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49E827" w14:textId="77777777" w:rsidR="00B63B10" w:rsidRDefault="00B63B10" w:rsidP="00B63B10">
      <w:pPr>
        <w:spacing w:after="160" w:line="259" w:lineRule="auto"/>
        <w:jc w:val="center"/>
        <w:rPr>
          <w:lang w:val="en-IN"/>
        </w:rPr>
      </w:pPr>
    </w:p>
    <w:p w14:paraId="6C9C128A" w14:textId="77777777" w:rsidR="00B63B10" w:rsidRDefault="00B63B10" w:rsidP="00B63B10">
      <w:pPr>
        <w:spacing w:after="160" w:line="259" w:lineRule="auto"/>
        <w:jc w:val="center"/>
        <w:rPr>
          <w:lang w:val="en-IN"/>
        </w:rPr>
      </w:pPr>
    </w:p>
    <w:p w14:paraId="6043B7EC" w14:textId="77777777" w:rsidR="00B63B10" w:rsidRDefault="00B63B10" w:rsidP="00B63B10">
      <w:pPr>
        <w:spacing w:after="160" w:line="259" w:lineRule="auto"/>
        <w:jc w:val="center"/>
        <w:rPr>
          <w:lang w:val="en-IN"/>
        </w:rPr>
      </w:pPr>
    </w:p>
    <w:p w14:paraId="44E1EBDA" w14:textId="77777777" w:rsidR="00B63B10" w:rsidRDefault="00B63B10" w:rsidP="00B63B10">
      <w:pPr>
        <w:spacing w:after="160" w:line="259" w:lineRule="auto"/>
        <w:jc w:val="center"/>
        <w:rPr>
          <w:lang w:val="en-IN"/>
        </w:rPr>
      </w:pPr>
    </w:p>
    <w:p w14:paraId="71E5570D" w14:textId="41522DA5" w:rsidR="00B63B10" w:rsidRDefault="00A62343" w:rsidP="00B63B10">
      <w:pPr>
        <w:spacing w:after="160" w:line="259" w:lineRule="auto"/>
        <w:jc w:val="center"/>
        <w:rPr>
          <w:lang w:val="en-IN"/>
        </w:rPr>
      </w:pPr>
      <w:r w:rsidRPr="00A62343">
        <w:rPr>
          <w:noProof/>
          <w:lang w:eastAsia="en-GB"/>
        </w:rPr>
        <w:drawing>
          <wp:inline distT="0" distB="0" distL="0" distR="0" wp14:anchorId="08ADFBC5" wp14:editId="15A06C77">
            <wp:extent cx="2190766" cy="847731"/>
            <wp:effectExtent l="0" t="0" r="0" b="9525"/>
            <wp:docPr id="22277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7584" name=""/>
                    <pic:cNvPicPr/>
                  </pic:nvPicPr>
                  <pic:blipFill>
                    <a:blip r:embed="rId8"/>
                    <a:stretch>
                      <a:fillRect/>
                    </a:stretch>
                  </pic:blipFill>
                  <pic:spPr>
                    <a:xfrm>
                      <a:off x="0" y="0"/>
                      <a:ext cx="2190766" cy="847731"/>
                    </a:xfrm>
                    <a:prstGeom prst="rect">
                      <a:avLst/>
                    </a:prstGeom>
                  </pic:spPr>
                </pic:pic>
              </a:graphicData>
            </a:graphic>
          </wp:inline>
        </w:drawing>
      </w:r>
    </w:p>
    <w:p w14:paraId="3795FCA8" w14:textId="77777777" w:rsidR="00A62343" w:rsidRDefault="00A62343" w:rsidP="00B63B10">
      <w:pPr>
        <w:spacing w:after="160" w:line="259" w:lineRule="auto"/>
        <w:jc w:val="center"/>
        <w:rPr>
          <w:lang w:val="en-IN"/>
        </w:rPr>
      </w:pPr>
    </w:p>
    <w:p w14:paraId="4B97D44B" w14:textId="17939C52" w:rsidR="00B63B10" w:rsidRPr="00A62343" w:rsidRDefault="00A62343" w:rsidP="00B63B10">
      <w:pPr>
        <w:spacing w:after="160" w:line="259" w:lineRule="auto"/>
        <w:jc w:val="center"/>
        <w:rPr>
          <w:b/>
          <w:bCs/>
          <w:sz w:val="48"/>
          <w:szCs w:val="44"/>
          <w:lang w:val="en-IN"/>
        </w:rPr>
      </w:pPr>
      <w:r w:rsidRPr="00A62343">
        <w:rPr>
          <w:b/>
          <w:bCs/>
          <w:sz w:val="48"/>
          <w:szCs w:val="44"/>
        </w:rPr>
        <w:t>LCBB4010</w:t>
      </w:r>
    </w:p>
    <w:p w14:paraId="263B726A" w14:textId="77777777" w:rsidR="00B63B10" w:rsidRDefault="00B63B10" w:rsidP="00B63B10">
      <w:pPr>
        <w:spacing w:after="160" w:line="259" w:lineRule="auto"/>
        <w:jc w:val="center"/>
        <w:rPr>
          <w:lang w:val="en-IN"/>
        </w:rPr>
      </w:pPr>
    </w:p>
    <w:p w14:paraId="71D44F99" w14:textId="75CF6342" w:rsidR="00B63B10" w:rsidRPr="00A62343" w:rsidRDefault="00A62343" w:rsidP="00A62343">
      <w:pPr>
        <w:pStyle w:val="Title"/>
      </w:pPr>
      <w:r w:rsidRPr="00A62343">
        <w:t>Global Business Environment</w:t>
      </w:r>
    </w:p>
    <w:p w14:paraId="59D5C313" w14:textId="77777777" w:rsidR="00B63B10" w:rsidRDefault="00B63B10" w:rsidP="00B63B10">
      <w:pPr>
        <w:spacing w:after="160" w:line="259" w:lineRule="auto"/>
        <w:jc w:val="center"/>
        <w:rPr>
          <w:lang w:val="en-IN"/>
        </w:rPr>
      </w:pPr>
    </w:p>
    <w:p w14:paraId="405B6C2F" w14:textId="027ECBD6" w:rsidR="00B63B10" w:rsidRDefault="00B63B10" w:rsidP="00B63B10">
      <w:pPr>
        <w:spacing w:after="160" w:line="259" w:lineRule="auto"/>
        <w:jc w:val="center"/>
        <w:rPr>
          <w:lang w:val="en-IN"/>
        </w:rPr>
      </w:pPr>
      <w:r>
        <w:rPr>
          <w:lang w:val="en-IN"/>
        </w:rPr>
        <w:t>Student Name:</w:t>
      </w:r>
      <w:r w:rsidR="00757966">
        <w:rPr>
          <w:lang w:val="en-IN"/>
        </w:rPr>
        <w:t>Cristian Sava</w:t>
      </w:r>
    </w:p>
    <w:p w14:paraId="0D792DAB" w14:textId="78C47259" w:rsidR="00B63B10" w:rsidRDefault="00B63B10" w:rsidP="00B63B10">
      <w:pPr>
        <w:spacing w:after="160" w:line="259" w:lineRule="auto"/>
        <w:jc w:val="center"/>
        <w:rPr>
          <w:lang w:val="en-IN"/>
        </w:rPr>
      </w:pPr>
      <w:r>
        <w:rPr>
          <w:lang w:val="en-IN"/>
        </w:rPr>
        <w:t>Student ID:</w:t>
      </w:r>
      <w:r w:rsidR="00757966">
        <w:rPr>
          <w:lang w:val="en-IN"/>
        </w:rPr>
        <w:t>2125456</w:t>
      </w:r>
    </w:p>
    <w:p w14:paraId="2363AAA8" w14:textId="0927CF71" w:rsidR="00757966" w:rsidRDefault="00757966" w:rsidP="00B63B10">
      <w:pPr>
        <w:spacing w:after="160" w:line="259" w:lineRule="auto"/>
        <w:jc w:val="center"/>
        <w:rPr>
          <w:rFonts w:eastAsiaTheme="majorEastAsia" w:cstheme="majorBidi"/>
          <w:b/>
          <w:color w:val="000000" w:themeColor="text1"/>
          <w:sz w:val="36"/>
          <w:szCs w:val="29"/>
          <w:lang w:val="en-IN"/>
        </w:rPr>
      </w:pPr>
      <w:r>
        <w:rPr>
          <w:lang w:val="en-IN"/>
        </w:rPr>
        <w:t>Lecturer:Rita</w:t>
      </w:r>
      <w:r w:rsidRPr="00757966">
        <w:t> Ukachi-Lois</w:t>
      </w:r>
    </w:p>
    <w:p w14:paraId="288FAEDC" w14:textId="77777777" w:rsidR="00B63B10" w:rsidRDefault="00B63B10">
      <w:pPr>
        <w:spacing w:after="160" w:line="259" w:lineRule="auto"/>
        <w:jc w:val="left"/>
        <w:rPr>
          <w:rFonts w:eastAsiaTheme="majorEastAsia" w:cstheme="majorBidi"/>
          <w:b/>
          <w:color w:val="000000" w:themeColor="text1"/>
          <w:sz w:val="36"/>
          <w:szCs w:val="29"/>
          <w:lang w:val="en-IN"/>
        </w:rPr>
      </w:pPr>
      <w:r>
        <w:rPr>
          <w:lang w:val="en-IN"/>
        </w:rPr>
        <w:br w:type="page"/>
      </w:r>
    </w:p>
    <w:sdt>
      <w:sdtPr>
        <w:rPr>
          <w:b/>
          <w:bCs/>
          <w:sz w:val="32"/>
          <w:szCs w:val="28"/>
        </w:rPr>
        <w:id w:val="-2001571902"/>
        <w:docPartObj>
          <w:docPartGallery w:val="Table of Contents"/>
          <w:docPartUnique/>
        </w:docPartObj>
      </w:sdtPr>
      <w:sdtEndPr>
        <w:rPr>
          <w:noProof/>
          <w:sz w:val="24"/>
          <w:szCs w:val="22"/>
        </w:rPr>
      </w:sdtEndPr>
      <w:sdtContent>
        <w:p w14:paraId="66CB6848" w14:textId="79109861" w:rsidR="00B63B10" w:rsidRPr="00B63B10" w:rsidRDefault="00B63B10" w:rsidP="00B63B10">
          <w:pPr>
            <w:rPr>
              <w:b/>
              <w:bCs/>
              <w:sz w:val="32"/>
              <w:szCs w:val="28"/>
            </w:rPr>
          </w:pPr>
          <w:r w:rsidRPr="00B63B10">
            <w:rPr>
              <w:b/>
              <w:bCs/>
              <w:sz w:val="32"/>
              <w:szCs w:val="28"/>
            </w:rPr>
            <w:t>Table of Contents</w:t>
          </w:r>
        </w:p>
        <w:p w14:paraId="2CF15EA3" w14:textId="018145A7" w:rsidR="00A62343" w:rsidRDefault="00B63B10">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71348328" w:history="1">
            <w:r w:rsidR="00A62343" w:rsidRPr="00CD34F0">
              <w:rPr>
                <w:rStyle w:val="Hyperlink"/>
                <w:noProof/>
                <w:lang w:val="en-IN"/>
              </w:rPr>
              <w:t>Introduction</w:t>
            </w:r>
            <w:r w:rsidR="00A62343">
              <w:rPr>
                <w:noProof/>
                <w:webHidden/>
              </w:rPr>
              <w:tab/>
            </w:r>
            <w:r w:rsidR="00A62343">
              <w:rPr>
                <w:noProof/>
                <w:webHidden/>
              </w:rPr>
              <w:fldChar w:fldCharType="begin"/>
            </w:r>
            <w:r w:rsidR="00A62343">
              <w:rPr>
                <w:noProof/>
                <w:webHidden/>
              </w:rPr>
              <w:instrText xml:space="preserve"> PAGEREF _Toc171348328 \h </w:instrText>
            </w:r>
            <w:r w:rsidR="00A62343">
              <w:rPr>
                <w:noProof/>
                <w:webHidden/>
              </w:rPr>
            </w:r>
            <w:r w:rsidR="00A62343">
              <w:rPr>
                <w:noProof/>
                <w:webHidden/>
              </w:rPr>
              <w:fldChar w:fldCharType="separate"/>
            </w:r>
            <w:r w:rsidR="00A62343">
              <w:rPr>
                <w:noProof/>
                <w:webHidden/>
              </w:rPr>
              <w:t>3</w:t>
            </w:r>
            <w:r w:rsidR="00A62343">
              <w:rPr>
                <w:noProof/>
                <w:webHidden/>
              </w:rPr>
              <w:fldChar w:fldCharType="end"/>
            </w:r>
          </w:hyperlink>
        </w:p>
        <w:p w14:paraId="42C8535B" w14:textId="7DE46837" w:rsidR="00A62343" w:rsidRDefault="0032772C">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71348329" w:history="1">
            <w:r w:rsidR="00A62343" w:rsidRPr="00CD34F0">
              <w:rPr>
                <w:rStyle w:val="Hyperlink"/>
                <w:noProof/>
                <w:lang w:val="en-IN"/>
              </w:rPr>
              <w:t>Main Body</w:t>
            </w:r>
            <w:r w:rsidR="00A62343">
              <w:rPr>
                <w:noProof/>
                <w:webHidden/>
              </w:rPr>
              <w:tab/>
            </w:r>
            <w:r w:rsidR="00A62343">
              <w:rPr>
                <w:noProof/>
                <w:webHidden/>
              </w:rPr>
              <w:fldChar w:fldCharType="begin"/>
            </w:r>
            <w:r w:rsidR="00A62343">
              <w:rPr>
                <w:noProof/>
                <w:webHidden/>
              </w:rPr>
              <w:instrText xml:space="preserve"> PAGEREF _Toc171348329 \h </w:instrText>
            </w:r>
            <w:r w:rsidR="00A62343">
              <w:rPr>
                <w:noProof/>
                <w:webHidden/>
              </w:rPr>
            </w:r>
            <w:r w:rsidR="00A62343">
              <w:rPr>
                <w:noProof/>
                <w:webHidden/>
              </w:rPr>
              <w:fldChar w:fldCharType="separate"/>
            </w:r>
            <w:r w:rsidR="00A62343">
              <w:rPr>
                <w:noProof/>
                <w:webHidden/>
              </w:rPr>
              <w:t>3</w:t>
            </w:r>
            <w:r w:rsidR="00A62343">
              <w:rPr>
                <w:noProof/>
                <w:webHidden/>
              </w:rPr>
              <w:fldChar w:fldCharType="end"/>
            </w:r>
          </w:hyperlink>
        </w:p>
        <w:p w14:paraId="1A32901F" w14:textId="5109754F" w:rsidR="00A62343" w:rsidRDefault="0032772C">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71348330" w:history="1">
            <w:r w:rsidR="00A62343" w:rsidRPr="00CD34F0">
              <w:rPr>
                <w:rStyle w:val="Hyperlink"/>
                <w:noProof/>
              </w:rPr>
              <w:t>Conclusion</w:t>
            </w:r>
            <w:r w:rsidR="00A62343">
              <w:rPr>
                <w:noProof/>
                <w:webHidden/>
              </w:rPr>
              <w:tab/>
            </w:r>
            <w:r w:rsidR="00A62343">
              <w:rPr>
                <w:noProof/>
                <w:webHidden/>
              </w:rPr>
              <w:fldChar w:fldCharType="begin"/>
            </w:r>
            <w:r w:rsidR="00A62343">
              <w:rPr>
                <w:noProof/>
                <w:webHidden/>
              </w:rPr>
              <w:instrText xml:space="preserve"> PAGEREF _Toc171348330 \h </w:instrText>
            </w:r>
            <w:r w:rsidR="00A62343">
              <w:rPr>
                <w:noProof/>
                <w:webHidden/>
              </w:rPr>
            </w:r>
            <w:r w:rsidR="00A62343">
              <w:rPr>
                <w:noProof/>
                <w:webHidden/>
              </w:rPr>
              <w:fldChar w:fldCharType="separate"/>
            </w:r>
            <w:r w:rsidR="00A62343">
              <w:rPr>
                <w:noProof/>
                <w:webHidden/>
              </w:rPr>
              <w:t>7</w:t>
            </w:r>
            <w:r w:rsidR="00A62343">
              <w:rPr>
                <w:noProof/>
                <w:webHidden/>
              </w:rPr>
              <w:fldChar w:fldCharType="end"/>
            </w:r>
          </w:hyperlink>
        </w:p>
        <w:p w14:paraId="20CFA25F" w14:textId="1AF64D34" w:rsidR="00A62343" w:rsidRDefault="0032772C">
          <w:pPr>
            <w:pStyle w:val="TOC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71348331" w:history="1">
            <w:r w:rsidR="00A62343" w:rsidRPr="00CD34F0">
              <w:rPr>
                <w:rStyle w:val="Hyperlink"/>
                <w:noProof/>
              </w:rPr>
              <w:t>References</w:t>
            </w:r>
            <w:r w:rsidR="00A62343">
              <w:rPr>
                <w:noProof/>
                <w:webHidden/>
              </w:rPr>
              <w:tab/>
            </w:r>
            <w:r w:rsidR="00A62343">
              <w:rPr>
                <w:noProof/>
                <w:webHidden/>
              </w:rPr>
              <w:fldChar w:fldCharType="begin"/>
            </w:r>
            <w:r w:rsidR="00A62343">
              <w:rPr>
                <w:noProof/>
                <w:webHidden/>
              </w:rPr>
              <w:instrText xml:space="preserve"> PAGEREF _Toc171348331 \h </w:instrText>
            </w:r>
            <w:r w:rsidR="00A62343">
              <w:rPr>
                <w:noProof/>
                <w:webHidden/>
              </w:rPr>
            </w:r>
            <w:r w:rsidR="00A62343">
              <w:rPr>
                <w:noProof/>
                <w:webHidden/>
              </w:rPr>
              <w:fldChar w:fldCharType="separate"/>
            </w:r>
            <w:r w:rsidR="00A62343">
              <w:rPr>
                <w:noProof/>
                <w:webHidden/>
              </w:rPr>
              <w:t>8</w:t>
            </w:r>
            <w:r w:rsidR="00A62343">
              <w:rPr>
                <w:noProof/>
                <w:webHidden/>
              </w:rPr>
              <w:fldChar w:fldCharType="end"/>
            </w:r>
          </w:hyperlink>
        </w:p>
        <w:p w14:paraId="246C9210" w14:textId="5894D753" w:rsidR="00B63B10" w:rsidRDefault="00B63B10">
          <w:r>
            <w:rPr>
              <w:b/>
              <w:bCs/>
              <w:noProof/>
            </w:rPr>
            <w:fldChar w:fldCharType="end"/>
          </w:r>
        </w:p>
      </w:sdtContent>
    </w:sdt>
    <w:p w14:paraId="036E82AE" w14:textId="77777777" w:rsidR="00B63B10" w:rsidRDefault="00B63B10" w:rsidP="00CA0EEF">
      <w:pPr>
        <w:pStyle w:val="Heading1"/>
        <w:rPr>
          <w:lang w:val="en-IN"/>
        </w:rPr>
      </w:pPr>
    </w:p>
    <w:p w14:paraId="4341C975" w14:textId="77777777" w:rsidR="00B63B10" w:rsidRDefault="00B63B10">
      <w:pPr>
        <w:spacing w:after="160" w:line="259" w:lineRule="auto"/>
        <w:jc w:val="left"/>
        <w:rPr>
          <w:rFonts w:eastAsiaTheme="majorEastAsia" w:cstheme="majorBidi"/>
          <w:b/>
          <w:color w:val="000000" w:themeColor="text1"/>
          <w:sz w:val="36"/>
          <w:szCs w:val="29"/>
          <w:lang w:val="en-IN"/>
        </w:rPr>
      </w:pPr>
      <w:r>
        <w:rPr>
          <w:lang w:val="en-IN"/>
        </w:rPr>
        <w:br w:type="page"/>
      </w:r>
    </w:p>
    <w:p w14:paraId="77E83DA7" w14:textId="219098C7" w:rsidR="00396608" w:rsidRDefault="00CA0EEF" w:rsidP="00CA0EEF">
      <w:pPr>
        <w:pStyle w:val="Heading1"/>
        <w:rPr>
          <w:lang w:val="en-IN"/>
        </w:rPr>
      </w:pPr>
      <w:bookmarkStart w:id="0" w:name="_Toc171348328"/>
      <w:r>
        <w:rPr>
          <w:lang w:val="en-IN"/>
        </w:rPr>
        <w:lastRenderedPageBreak/>
        <w:t>Introduction</w:t>
      </w:r>
      <w:bookmarkEnd w:id="0"/>
    </w:p>
    <w:p w14:paraId="2E5D8C0F" w14:textId="2B3AD7E4" w:rsidR="00CA0EEF" w:rsidRPr="009178C3" w:rsidRDefault="00CA0EEF" w:rsidP="009178C3">
      <w:pPr>
        <w:rPr>
          <w:lang w:val="en-IN"/>
        </w:rPr>
      </w:pPr>
      <w:r w:rsidRPr="00CA0EEF">
        <w:rPr>
          <w:lang w:val="en-IN"/>
        </w:rPr>
        <w:t xml:space="preserve">In business analysis, PESTLE expands the Political, Economic, Social, Technological, Legal, and Environmental acronyms respectively. Each of them contemplations major exterior forces that could potentially affect business </w:t>
      </w:r>
      <w:r w:rsidR="00156376">
        <w:rPr>
          <w:lang w:val="en-IN"/>
        </w:rPr>
        <w:t>administration</w:t>
      </w:r>
      <w:r w:rsidRPr="00CA0EEF">
        <w:rPr>
          <w:lang w:val="en-IN"/>
        </w:rPr>
        <w:t xml:space="preserve"> and strategic plans. There is importance in understanding these factors because all the risks and opportunities that need to be taken into consideration, as well as the potential ineffective adaptation of strategies </w:t>
      </w:r>
      <w:r w:rsidR="00156376">
        <w:rPr>
          <w:lang w:val="en-IN"/>
        </w:rPr>
        <w:t>about</w:t>
      </w:r>
      <w:r w:rsidRPr="00CA0EEF">
        <w:rPr>
          <w:lang w:val="en-IN"/>
        </w:rPr>
        <w:t xml:space="preserve"> the external environment surrounding the firm, </w:t>
      </w:r>
      <w:r w:rsidR="00156376">
        <w:rPr>
          <w:lang w:val="en-IN"/>
        </w:rPr>
        <w:t>are</w:t>
      </w:r>
      <w:r w:rsidRPr="00CA0EEF">
        <w:rPr>
          <w:lang w:val="en-IN"/>
        </w:rPr>
        <w:t xml:space="preserve"> encompassed here. It assists the firms in preparing for potential alterations in government regulations, business cycles, customer trends, new technologies, legal standards, and environmental factors that may influence companies’ operations and profitability. Hence, this essay will seek to </w:t>
      </w:r>
      <w:r w:rsidR="00B63B10" w:rsidRPr="00CA0EEF">
        <w:rPr>
          <w:lang w:val="en-IN"/>
        </w:rPr>
        <w:t>analyse</w:t>
      </w:r>
      <w:r w:rsidRPr="00CA0EEF">
        <w:rPr>
          <w:lang w:val="en-IN"/>
        </w:rPr>
        <w:t xml:space="preserve"> each of the PESTLE </w:t>
      </w:r>
      <w:r w:rsidR="00156376">
        <w:rPr>
          <w:lang w:val="en-IN"/>
        </w:rPr>
        <w:t>factors</w:t>
      </w:r>
      <w:r w:rsidRPr="00CA0EEF">
        <w:rPr>
          <w:lang w:val="en-IN"/>
        </w:rPr>
        <w:t xml:space="preserve"> in more detail explaining how </w:t>
      </w:r>
      <w:r w:rsidR="00156376">
        <w:rPr>
          <w:lang w:val="en-IN"/>
        </w:rPr>
        <w:t>they</w:t>
      </w:r>
      <w:r w:rsidRPr="00CA0EEF">
        <w:rPr>
          <w:lang w:val="en-IN"/>
        </w:rPr>
        <w:t xml:space="preserve"> </w:t>
      </w:r>
      <w:r w:rsidR="00156376">
        <w:rPr>
          <w:lang w:val="en-IN"/>
        </w:rPr>
        <w:t>apply</w:t>
      </w:r>
      <w:r w:rsidRPr="00CA0EEF">
        <w:rPr>
          <w:lang w:val="en-IN"/>
        </w:rPr>
        <w:t xml:space="preserve">, how </w:t>
      </w:r>
      <w:r w:rsidR="00156376">
        <w:rPr>
          <w:lang w:val="en-IN"/>
        </w:rPr>
        <w:t>they</w:t>
      </w:r>
      <w:r w:rsidRPr="00CA0EEF">
        <w:rPr>
          <w:lang w:val="en-IN"/>
        </w:rPr>
        <w:t xml:space="preserve"> could be used by the business and the outcomes that any organization managing a business might expect to achieve from factor.</w:t>
      </w:r>
    </w:p>
    <w:p w14:paraId="468E66F6" w14:textId="7716523B" w:rsidR="00CA0EEF" w:rsidRPr="00CA0EEF" w:rsidRDefault="00CA0EEF" w:rsidP="00CA0EEF">
      <w:pPr>
        <w:pStyle w:val="Heading1"/>
        <w:rPr>
          <w:lang w:val="en-IN"/>
        </w:rPr>
      </w:pPr>
      <w:bookmarkStart w:id="1" w:name="_Toc171348329"/>
      <w:r>
        <w:rPr>
          <w:lang w:val="en-IN"/>
        </w:rPr>
        <w:t>Main Body</w:t>
      </w:r>
      <w:bookmarkEnd w:id="1"/>
      <w:r>
        <w:rPr>
          <w:lang w:val="en-IN"/>
        </w:rPr>
        <w:t xml:space="preserve"> </w:t>
      </w:r>
    </w:p>
    <w:p w14:paraId="175D30D1" w14:textId="21566C35" w:rsidR="00CA0EEF" w:rsidRPr="00CA0EEF" w:rsidRDefault="00CA0EEF" w:rsidP="00CA0EEF">
      <w:pPr>
        <w:rPr>
          <w:b/>
          <w:bCs/>
        </w:rPr>
      </w:pPr>
      <w:r w:rsidRPr="00CA0EEF">
        <w:rPr>
          <w:b/>
          <w:bCs/>
        </w:rPr>
        <w:t xml:space="preserve">Political </w:t>
      </w:r>
      <w:r w:rsidR="00D448AC">
        <w:rPr>
          <w:b/>
          <w:bCs/>
        </w:rPr>
        <w:t>Factors</w:t>
      </w:r>
    </w:p>
    <w:p w14:paraId="0924BD2D" w14:textId="56CDC8B6" w:rsidR="00CA0EEF" w:rsidRDefault="00CA0EEF" w:rsidP="00CA0EEF">
      <w:r w:rsidRPr="00CA0EEF">
        <w:t>The lists of political factors include; Government policy, stability, and actions which are easily recognizable because they affect business. For instance, business operations in Great Britain have been greatly affected by Brexit especially as it is reflected in trade reforms. Many companies reported that after Brexit, they were not clear about tariff schedules, procedures of customs, and any relations to EU regulations</w:t>
      </w:r>
      <w:r w:rsidR="00B41505">
        <w:t xml:space="preserve"> </w:t>
      </w:r>
      <w:r w:rsidR="00B41505" w:rsidRPr="00B41505">
        <w:t>(Christodoulou and Cullinane, 2019)</w:t>
      </w:r>
      <w:r w:rsidRPr="00CA0EEF">
        <w:t xml:space="preserve">. New laws on Government rules occurred with drastic changes which impacted the industries which relied </w:t>
      </w:r>
      <w:r w:rsidR="00156376">
        <w:t>on</w:t>
      </w:r>
      <w:r w:rsidRPr="00CA0EEF">
        <w:t xml:space="preserve"> the European market for exports and imports. </w:t>
      </w:r>
      <w:r w:rsidR="00156376">
        <w:t>Political</w:t>
      </w:r>
      <w:r w:rsidRPr="00CA0EEF">
        <w:t xml:space="preserve"> stability can also distort the business environment because political instabilities such as the use of threats, violence and changes of government policies can happen at one time with unpredictable effects on the market and investor decisions. Policies on taxation form another component that may shift on account of changes and hence affect cost factors and business margins. For instance, changes in corporate tax rates </w:t>
      </w:r>
      <w:r w:rsidR="00156376">
        <w:t>affect</w:t>
      </w:r>
      <w:r w:rsidRPr="00CA0EEF">
        <w:t xml:space="preserve"> budgeting and capital investment decisions. </w:t>
      </w:r>
      <w:r w:rsidR="00156376">
        <w:t>Businesses need to comprehend</w:t>
      </w:r>
      <w:r w:rsidRPr="00CA0EEF">
        <w:t xml:space="preserve"> these types of political factors, operate within political structures, </w:t>
      </w:r>
      <w:r w:rsidR="00A62343">
        <w:t xml:space="preserve">and </w:t>
      </w:r>
      <w:r w:rsidRPr="00CA0EEF">
        <w:t>predict changes in legislatio</w:t>
      </w:r>
      <w:r w:rsidR="00156376">
        <w:t>n</w:t>
      </w:r>
      <w:r w:rsidR="00B41505">
        <w:t xml:space="preserve"> </w:t>
      </w:r>
      <w:r w:rsidR="00B41505" w:rsidRPr="00B41505">
        <w:t>(Achinas et al., 2019)</w:t>
      </w:r>
      <w:r w:rsidR="00B41505">
        <w:t>.</w:t>
      </w:r>
    </w:p>
    <w:p w14:paraId="2688E9A0" w14:textId="27E18682" w:rsidR="00CA0EEF" w:rsidRDefault="00D448AC" w:rsidP="00CA0EEF">
      <w:pPr>
        <w:rPr>
          <w:b/>
          <w:bCs/>
        </w:rPr>
      </w:pPr>
      <w:r>
        <w:rPr>
          <w:b/>
          <w:bCs/>
        </w:rPr>
        <w:t>Economic Factors</w:t>
      </w:r>
    </w:p>
    <w:p w14:paraId="1FB89AC9" w14:textId="22E914F7" w:rsidR="00CA0EEF" w:rsidRPr="00CA0EEF" w:rsidRDefault="00CA0EEF" w:rsidP="00CA0EEF">
      <w:r>
        <w:t>In the economic factor</w:t>
      </w:r>
      <w:r w:rsidR="00156376">
        <w:t>,</w:t>
      </w:r>
      <w:r>
        <w:t xml:space="preserve"> we investigate elements like inflation, which is the general increase in prices within an economy; interest rate, which is commonly known as the price that borrowers </w:t>
      </w:r>
      <w:r>
        <w:lastRenderedPageBreak/>
        <w:t>must pay to borrow funds and economic growth; which can be regarded as the process by which an economy’s wealth increases over a particular period. Inflation is also an influential factor that affects business operations since it raises the expenses of firms, as is evident from the Venezuela example, and reduces consumers’ spending power. They are also involved in determining business operations through the impact they have on the borrowing costs of capital investment and expansion. If rates are adjusted upwards the cost of capital also goes up; this constrains investment and opportunities for growth and can weigh down on companies with outstanding debts. On the other hand, growth in the economy affecting the Gross Domestic Product, GDP, either positively or negatively has a proportional effect on business outcomes because it has an overall effect on the market demand, investment climate and employment</w:t>
      </w:r>
      <w:r w:rsidR="00B41505">
        <w:t xml:space="preserve"> </w:t>
      </w:r>
      <w:r w:rsidR="00B41505" w:rsidRPr="00B41505">
        <w:t>(Akpoviroro and Owotutu, 2018)</w:t>
      </w:r>
      <w:r>
        <w:t>.</w:t>
      </w:r>
      <w:r w:rsidR="009178C3">
        <w:t xml:space="preserve"> </w:t>
      </w:r>
      <w:r>
        <w:t xml:space="preserve">The awareness of these economic factors would help businesses review the price policies, control costs and embark on expansion, investment insurance or any other form when there is instability of the economic factors. They play a critical role in enhancing an organization’s capacity to deal with volatility in </w:t>
      </w:r>
      <w:r w:rsidR="00156376">
        <w:t xml:space="preserve">the </w:t>
      </w:r>
      <w:r>
        <w:t>hope of achieving business sustainability in volatile markets</w:t>
      </w:r>
      <w:r w:rsidR="00B41505">
        <w:t xml:space="preserve"> </w:t>
      </w:r>
      <w:r w:rsidR="00B41505" w:rsidRPr="00B41505">
        <w:t>(Ajayi, 2016)</w:t>
      </w:r>
      <w:r>
        <w:t>.</w:t>
      </w:r>
    </w:p>
    <w:p w14:paraId="1D767F01" w14:textId="38C3CA2C" w:rsidR="00CA0EEF" w:rsidRDefault="00D448AC" w:rsidP="00CA0EEF">
      <w:pPr>
        <w:rPr>
          <w:b/>
          <w:bCs/>
        </w:rPr>
      </w:pPr>
      <w:r>
        <w:rPr>
          <w:b/>
          <w:bCs/>
        </w:rPr>
        <w:t>Social Factors</w:t>
      </w:r>
      <w:bookmarkStart w:id="2" w:name="_GoBack"/>
      <w:bookmarkEnd w:id="2"/>
    </w:p>
    <w:p w14:paraId="5506AED6" w14:textId="69D0CD7A" w:rsidR="00CA0EEF" w:rsidRDefault="00CA0EEF" w:rsidP="00156376">
      <w:r w:rsidRPr="00CA0EEF">
        <w:t xml:space="preserve">The social environment includes the demographic and social factors that have a tremendous impact on business. </w:t>
      </w:r>
      <w:r w:rsidR="00156376">
        <w:t>The</w:t>
      </w:r>
      <w:r w:rsidRPr="00CA0EEF">
        <w:t xml:space="preserve"> civil welfare situation has emerged as an important issue in Japan due to the rise in the number of older people, which is a </w:t>
      </w:r>
      <w:r w:rsidR="00156376">
        <w:t>challenging</w:t>
      </w:r>
      <w:r w:rsidRPr="00CA0EEF">
        <w:t xml:space="preserve"> area and business opportunity for companies in healthcare and elderliness. Thus, with the constantly </w:t>
      </w:r>
      <w:r w:rsidR="00156376">
        <w:t>rising</w:t>
      </w:r>
      <w:r w:rsidRPr="00CA0EEF">
        <w:t xml:space="preserve"> rates of seniors in the population, there is an obvious need for specialized </w:t>
      </w:r>
      <w:r w:rsidR="00B63B10">
        <w:t>healthcare</w:t>
      </w:r>
      <w:r w:rsidRPr="00CA0EEF">
        <w:t xml:space="preserve"> services, facilities for </w:t>
      </w:r>
      <w:r w:rsidR="00156376">
        <w:t xml:space="preserve">the </w:t>
      </w:r>
      <w:r w:rsidRPr="00CA0EEF">
        <w:t xml:space="preserve">elderly, and products and services targeting seniors. Demographic transition not only opens a percentage of </w:t>
      </w:r>
      <w:r w:rsidR="00156376">
        <w:t xml:space="preserve">the </w:t>
      </w:r>
      <w:r w:rsidRPr="00CA0EEF">
        <w:t xml:space="preserve">market but also contributes to innovations </w:t>
      </w:r>
      <w:r w:rsidR="00B63B10">
        <w:t>in</w:t>
      </w:r>
      <w:r w:rsidRPr="00CA0EEF">
        <w:t xml:space="preserve"> technologies and </w:t>
      </w:r>
      <w:r w:rsidR="00156376">
        <w:t>exceptional</w:t>
      </w:r>
      <w:r w:rsidRPr="00CA0EEF">
        <w:t xml:space="preserve"> specializations in health care for elderly people</w:t>
      </w:r>
      <w:r w:rsidR="00B41505">
        <w:t xml:space="preserve"> </w:t>
      </w:r>
      <w:r w:rsidR="00B41505" w:rsidRPr="00B41505">
        <w:t>(Vlados and Chatzinikolaou, 2019)</w:t>
      </w:r>
      <w:r w:rsidRPr="00CA0EEF">
        <w:t xml:space="preserve">. </w:t>
      </w:r>
      <w:r w:rsidR="00156376" w:rsidRPr="00156376">
        <w:t>They also involve social patterns like changing statuses of families and consumers in distinct age brackets which affect the business’s undertakings. Organizations need to align their portfolios as well as the strategies they use when targeting customers to the changing social trends and preferences. Knowledge of these social variables enables business organisations to be ready and respond to market opportunities, align their products and services to customers’ needs, and maintain the customers</w:t>
      </w:r>
      <w:r w:rsidR="00B41505">
        <w:t xml:space="preserve"> </w:t>
      </w:r>
      <w:r w:rsidR="00B41505" w:rsidRPr="00B41505">
        <w:t>(Peng, 2017)</w:t>
      </w:r>
      <w:r w:rsidR="00156376">
        <w:t>.</w:t>
      </w:r>
      <w:r w:rsidR="00156376">
        <w:tab/>
      </w:r>
    </w:p>
    <w:p w14:paraId="6D9C21ED" w14:textId="2F68DD70" w:rsidR="00156376" w:rsidRDefault="00CA0EEF" w:rsidP="00CA0EEF">
      <w:pPr>
        <w:rPr>
          <w:b/>
          <w:bCs/>
        </w:rPr>
      </w:pPr>
      <w:r w:rsidRPr="00CA0EEF">
        <w:rPr>
          <w:b/>
          <w:bCs/>
        </w:rPr>
        <w:t xml:space="preserve">Technological </w:t>
      </w:r>
      <w:r w:rsidR="009739C6">
        <w:rPr>
          <w:b/>
          <w:bCs/>
        </w:rPr>
        <w:t>Factors</w:t>
      </w:r>
    </w:p>
    <w:p w14:paraId="59BFF5A3" w14:textId="51DEC24C" w:rsidR="00156376" w:rsidRDefault="00156376" w:rsidP="00156376">
      <w:r w:rsidRPr="00156376">
        <w:lastRenderedPageBreak/>
        <w:t xml:space="preserve">The technological environment consists of technological developments, robotic </w:t>
      </w:r>
      <w:r>
        <w:t>processes</w:t>
      </w:r>
      <w:r w:rsidRPr="00156376">
        <w:t xml:space="preserve">, and </w:t>
      </w:r>
      <w:r>
        <w:t>innovation</w:t>
      </w:r>
      <w:r w:rsidRPr="00156376">
        <w:t xml:space="preserve"> that implant organizational changes in sectors like production. </w:t>
      </w:r>
      <w:r>
        <w:t>Equipment</w:t>
      </w:r>
      <w:r w:rsidRPr="00156376">
        <w:t xml:space="preserve"> producing artificial </w:t>
      </w:r>
      <w:r>
        <w:t>intelligence</w:t>
      </w:r>
      <w:r w:rsidRPr="00156376">
        <w:t xml:space="preserve"> and automation in the recent past </w:t>
      </w:r>
      <w:r w:rsidR="00B63B10">
        <w:t>has</w:t>
      </w:r>
      <w:r w:rsidRPr="00156376">
        <w:t xml:space="preserve"> boosted manufacturing operations and their performances. Such systems can be used to process a large data set that will assist in enhancing production rates, determining when machines are likely going to break down and managing the entire supply chain. Implementations of robotics and smart machinery in the industry have allowed certain work to be done more efficiently, accurately and at lower operational </w:t>
      </w:r>
      <w:r w:rsidR="00B63B10">
        <w:t>costs</w:t>
      </w:r>
      <w:r w:rsidRPr="00156376">
        <w:t xml:space="preserve"> as would be the case with manpower</w:t>
      </w:r>
      <w:r w:rsidR="00B41505">
        <w:t xml:space="preserve"> </w:t>
      </w:r>
      <w:r w:rsidR="00B41505" w:rsidRPr="00B41505">
        <w:t>(Onyshchenko, Maslii and Ivaniuk, 2020)</w:t>
      </w:r>
      <w:r w:rsidRPr="00156376">
        <w:t>.</w:t>
      </w:r>
      <w:r w:rsidR="009178C3">
        <w:t xml:space="preserve"> </w:t>
      </w:r>
      <w:r w:rsidRPr="00156376">
        <w:t xml:space="preserve">For instance, the use of predictive maintenance through artificial intelligence can help in identifying when </w:t>
      </w:r>
      <w:r w:rsidR="00B63B10">
        <w:t>equipment</w:t>
      </w:r>
      <w:r w:rsidRPr="00156376">
        <w:t xml:space="preserve"> is due for failure </w:t>
      </w:r>
      <w:r w:rsidR="00B63B10">
        <w:t>and thus</w:t>
      </w:r>
      <w:r w:rsidRPr="00156376">
        <w:t xml:space="preserve"> reducing equipment’s </w:t>
      </w:r>
      <w:r w:rsidR="00B63B10">
        <w:t>downtime</w:t>
      </w:r>
      <w:r w:rsidRPr="00156376">
        <w:t xml:space="preserve"> as well as efficient use of resources. By integrating robotics and automation </w:t>
      </w:r>
      <w:r w:rsidR="00B63B10">
        <w:t>into</w:t>
      </w:r>
      <w:r w:rsidRPr="00156376">
        <w:t xml:space="preserve"> assembly lines, production is made faster thus increasing efficiency, </w:t>
      </w:r>
      <w:r w:rsidR="00B63B10">
        <w:t>lowering</w:t>
      </w:r>
      <w:r w:rsidRPr="00156376">
        <w:t xml:space="preserve"> mistake rates, and at the same time </w:t>
      </w:r>
      <w:r w:rsidR="00B63B10">
        <w:t>producing</w:t>
      </w:r>
      <w:r w:rsidRPr="00156376">
        <w:t xml:space="preserve"> </w:t>
      </w:r>
      <w:r w:rsidR="00B63B10">
        <w:t>high-quality</w:t>
      </w:r>
      <w:r w:rsidRPr="00156376">
        <w:t xml:space="preserve"> end products. </w:t>
      </w:r>
      <w:r w:rsidR="009178C3">
        <w:t xml:space="preserve"> </w:t>
      </w:r>
      <w:r w:rsidRPr="00156376">
        <w:t xml:space="preserve">Knowledge of all these technological variables is very useful </w:t>
      </w:r>
      <w:r w:rsidR="00B63B10">
        <w:t>for</w:t>
      </w:r>
      <w:r w:rsidRPr="00156376">
        <w:t xml:space="preserve"> manufacturing sector businesses to compete effectively. This paper is aimed at analysing </w:t>
      </w:r>
      <w:r w:rsidR="00B63B10">
        <w:t>how</w:t>
      </w:r>
      <w:r w:rsidRPr="00156376">
        <w:t xml:space="preserve"> firms can unlock sustainable growth by adopting and applying advanced technologies in the competitive business environment</w:t>
      </w:r>
      <w:r w:rsidR="00B41505">
        <w:t xml:space="preserve"> </w:t>
      </w:r>
      <w:r w:rsidR="00B41505" w:rsidRPr="00B41505">
        <w:t>(Trisakhon, Onputtha and Peamchai, 2018)</w:t>
      </w:r>
      <w:r w:rsidRPr="00156376">
        <w:t xml:space="preserve">. </w:t>
      </w:r>
    </w:p>
    <w:p w14:paraId="44308AD0" w14:textId="1F2FBA91" w:rsidR="00156376" w:rsidRDefault="009178C3" w:rsidP="00156376">
      <w:pPr>
        <w:rPr>
          <w:b/>
          <w:bCs/>
        </w:rPr>
      </w:pPr>
      <w:r>
        <w:rPr>
          <w:b/>
          <w:bCs/>
        </w:rPr>
        <w:t>Legal</w:t>
      </w:r>
      <w:r w:rsidR="00156376" w:rsidRPr="00156376">
        <w:rPr>
          <w:b/>
          <w:bCs/>
        </w:rPr>
        <w:t xml:space="preserve"> Factors</w:t>
      </w:r>
    </w:p>
    <w:p w14:paraId="20DE56CE" w14:textId="1D5C6290" w:rsidR="00156376" w:rsidRDefault="00156376" w:rsidP="00156376">
      <w:r w:rsidRPr="00156376">
        <w:t xml:space="preserve">The legal factors consist of employment legislation which may affect the relationship between an organization and its employees, </w:t>
      </w:r>
      <w:r w:rsidR="00B63B10">
        <w:t xml:space="preserve">and </w:t>
      </w:r>
      <w:r w:rsidRPr="00156376">
        <w:t xml:space="preserve">health and safety rules and regulations that dictate the standards and measures employed by firms </w:t>
      </w:r>
      <w:r w:rsidR="00B63B10">
        <w:t>about</w:t>
      </w:r>
      <w:r w:rsidRPr="00156376">
        <w:t xml:space="preserve"> the well-being of employees</w:t>
      </w:r>
      <w:r>
        <w:t xml:space="preserve">. </w:t>
      </w:r>
      <w:r w:rsidRPr="00156376">
        <w:t xml:space="preserve">One of the most notable cases is the General Data Protection Regulation (GDPR) launched in the European Union (EU) </w:t>
      </w:r>
      <w:r w:rsidR="00B63B10">
        <w:t>which</w:t>
      </w:r>
      <w:r w:rsidRPr="00156376">
        <w:t xml:space="preserve"> has affected various organizations’ handling of data across the globe. GDPR extends rigid </w:t>
      </w:r>
      <w:r w:rsidR="00B63B10">
        <w:t>standards</w:t>
      </w:r>
      <w:r w:rsidRPr="00156376">
        <w:t xml:space="preserve"> </w:t>
      </w:r>
      <w:r w:rsidR="00A62343">
        <w:t>for</w:t>
      </w:r>
      <w:r w:rsidRPr="00156376">
        <w:t xml:space="preserve"> processing, collecting, and storing personal data to promote data protection </w:t>
      </w:r>
      <w:r w:rsidR="00B63B10">
        <w:t>for</w:t>
      </w:r>
      <w:r w:rsidRPr="00156376">
        <w:t xml:space="preserve"> EU citizens</w:t>
      </w:r>
      <w:r w:rsidR="00B41505">
        <w:t xml:space="preserve"> </w:t>
      </w:r>
      <w:r w:rsidR="00B41505" w:rsidRPr="00B41505">
        <w:t>(Neneh, 2016)</w:t>
      </w:r>
      <w:r w:rsidRPr="00156376">
        <w:t>.</w:t>
      </w:r>
      <w:r w:rsidR="009178C3">
        <w:t xml:space="preserve"> </w:t>
      </w:r>
      <w:r w:rsidRPr="00156376">
        <w:t xml:space="preserve">Businesses and corporations irrespective of their location have to adhere to GDPR standards when dealing with </w:t>
      </w:r>
      <w:r w:rsidR="00B63B10">
        <w:t xml:space="preserve">the </w:t>
      </w:r>
      <w:r w:rsidRPr="00156376">
        <w:t>data of EU citizens resulting in significant changes across the organizations. This includes data protection measures, consent for data processing activities or operations and, data transparency measures. Failure carries heavy penalties in terms of financial penalties, negative publicity, and legal consequences.</w:t>
      </w:r>
      <w:r w:rsidR="009178C3">
        <w:t xml:space="preserve"> </w:t>
      </w:r>
      <w:r w:rsidRPr="00156376">
        <w:t xml:space="preserve">Thus, </w:t>
      </w:r>
      <w:r w:rsidR="00B63B10">
        <w:t>businesses need to comprehend</w:t>
      </w:r>
      <w:r w:rsidRPr="00156376">
        <w:t xml:space="preserve"> and follow such legal requirements for managing legal exposures, gaining and retaining customers’ confidence, and ensuring continuity of operations in global environments. This demonstrates the merit of compliance-forced actions and adjustments on the necessity of ensuring constant changes in the regulatory environments. </w:t>
      </w:r>
    </w:p>
    <w:p w14:paraId="1796560B" w14:textId="3BAADFA0" w:rsidR="00156376" w:rsidRDefault="00156376" w:rsidP="00156376">
      <w:pPr>
        <w:rPr>
          <w:b/>
          <w:bCs/>
        </w:rPr>
      </w:pPr>
      <w:r w:rsidRPr="00156376">
        <w:rPr>
          <w:b/>
          <w:bCs/>
        </w:rPr>
        <w:lastRenderedPageBreak/>
        <w:t>Environmental Factors</w:t>
      </w:r>
      <w:r w:rsidR="00924D54">
        <w:rPr>
          <w:b/>
          <w:bCs/>
        </w:rPr>
        <w:t xml:space="preserve">  </w:t>
      </w:r>
    </w:p>
    <w:p w14:paraId="7AEDAB30" w14:textId="13295908" w:rsidR="00156376" w:rsidRPr="00156376" w:rsidRDefault="00156376" w:rsidP="00156376">
      <w:r w:rsidRPr="00156376">
        <w:t xml:space="preserve">Environmental factors refer to climate change and environmental rules, laws and policies or standards </w:t>
      </w:r>
      <w:r w:rsidR="00B63B10">
        <w:t>practised</w:t>
      </w:r>
      <w:r w:rsidRPr="00156376">
        <w:t xml:space="preserve"> in different countries that </w:t>
      </w:r>
      <w:r w:rsidR="00B63B10">
        <w:t>affect</w:t>
      </w:r>
      <w:r w:rsidRPr="00156376">
        <w:t xml:space="preserve"> operational activities. There are examples like Tesla: innovation and sustainability, as well as clean energy, and similar efforts became sources of competitive advantage. Electric vehicles are known to be environmentally friendly since they do not produce any smoke, and Tesla’s direction on the same also addresses the global trends of seeking ways to counter climate change</w:t>
      </w:r>
      <w:r w:rsidR="00B41505">
        <w:t xml:space="preserve"> </w:t>
      </w:r>
      <w:r w:rsidR="00B41505" w:rsidRPr="00B41505">
        <w:t>(Onyshchenko, Maslii and Ivaniuk, 2023)</w:t>
      </w:r>
      <w:r w:rsidRPr="00156376">
        <w:t xml:space="preserve">. </w:t>
      </w:r>
      <w:r w:rsidR="009178C3">
        <w:t xml:space="preserve"> </w:t>
      </w:r>
      <w:r w:rsidRPr="00156376">
        <w:t xml:space="preserve">Furthermore, it has elaborated plans </w:t>
      </w:r>
      <w:r w:rsidR="00B63B10">
        <w:t>for</w:t>
      </w:r>
      <w:r w:rsidRPr="00156376">
        <w:t xml:space="preserve"> the future making sustainable products not only in the electric cars sector but also in renewable energy solutions like solar, </w:t>
      </w:r>
      <w:r w:rsidR="00B63B10">
        <w:t xml:space="preserve">and </w:t>
      </w:r>
      <w:r w:rsidRPr="00156376">
        <w:t>energy storage solutions. These measures are beneficial not only in addressing the problem of environmental degradation but also in meeting the growing customers’ demand for green products. Incorporating sustainability into the organization’s structure improves product</w:t>
      </w:r>
      <w:r w:rsidR="00B41505">
        <w:t xml:space="preserve"> </w:t>
      </w:r>
      <w:r w:rsidR="00B41505" w:rsidRPr="00B41505">
        <w:t>(Hamilton and Webster, 2018)</w:t>
      </w:r>
      <w:r w:rsidR="00B41505">
        <w:t>.</w:t>
      </w:r>
    </w:p>
    <w:p w14:paraId="4A829D22" w14:textId="6767536A" w:rsidR="00CA0EEF" w:rsidRPr="00CA0EEF" w:rsidRDefault="00156376" w:rsidP="00156376">
      <w:pPr>
        <w:rPr>
          <w:rFonts w:eastAsiaTheme="majorEastAsia" w:cstheme="majorBidi"/>
          <w:b/>
          <w:bCs/>
          <w:color w:val="000000" w:themeColor="text1"/>
          <w:sz w:val="36"/>
          <w:szCs w:val="29"/>
        </w:rPr>
      </w:pPr>
      <w:r w:rsidRPr="00156376">
        <w:t xml:space="preserve">Knowledge and management of environmental factors are crucial since organizations need to regulate the legal environment </w:t>
      </w:r>
      <w:r w:rsidR="00B63B10">
        <w:t xml:space="preserve">and </w:t>
      </w:r>
      <w:r w:rsidRPr="00156376">
        <w:t>manage and seize opportunities at the global prompt towards sustainability. If managed properly, corporate sustainability is a way to increase long-term profitability and take care of the environmental impact at the same time</w:t>
      </w:r>
      <w:r w:rsidR="00B41505">
        <w:t xml:space="preserve"> </w:t>
      </w:r>
      <w:r w:rsidR="00B41505" w:rsidRPr="00B41505">
        <w:t>(Hill, 2022)</w:t>
      </w:r>
      <w:r w:rsidRPr="00156376">
        <w:t xml:space="preserve">. </w:t>
      </w:r>
      <w:r w:rsidR="00CA0EEF" w:rsidRPr="00CA0EEF">
        <w:rPr>
          <w:b/>
          <w:bCs/>
        </w:rPr>
        <w:br w:type="page"/>
      </w:r>
    </w:p>
    <w:p w14:paraId="51BCFE79" w14:textId="421569A4" w:rsidR="00CA0EEF" w:rsidRDefault="00CA0EEF" w:rsidP="00CA0EEF">
      <w:pPr>
        <w:pStyle w:val="Heading1"/>
      </w:pPr>
      <w:bookmarkStart w:id="3" w:name="_Toc171348330"/>
      <w:r>
        <w:lastRenderedPageBreak/>
        <w:t>Conclusion</w:t>
      </w:r>
      <w:bookmarkEnd w:id="3"/>
    </w:p>
    <w:p w14:paraId="62AB233A" w14:textId="1FA28B91" w:rsidR="00C109FC" w:rsidRDefault="00CA0EEF" w:rsidP="00B63B10">
      <w:r w:rsidRPr="00CA0EEF">
        <w:t xml:space="preserve">the PESTLE analysis highlights crucial external factors affecting businesses: This is due to factors such as Political stability and regulations, Economic situations like inflation rates and growth, Sociological aspects such as changes in population, Technology that is embraced like artificial intelligence and Business </w:t>
      </w:r>
      <w:r w:rsidR="00B63B10">
        <w:t>corteges</w:t>
      </w:r>
      <w:r w:rsidRPr="00CA0EEF">
        <w:t xml:space="preserve"> and environment issues including GDPR and climate change respectively. </w:t>
      </w:r>
      <w:r w:rsidR="00B63B10" w:rsidRPr="00B63B10">
        <w:t xml:space="preserve">Environmental factors refer to the climate plan, laws, and other environmental measures that affect the working of an organization. </w:t>
      </w:r>
      <w:r w:rsidRPr="00CA0EEF">
        <w:t>All of them affect business strategies, business functioning, and positioning in the market separately; thus, the changes should be consistent and under monitoring.</w:t>
      </w:r>
      <w:r>
        <w:t xml:space="preserve"> </w:t>
      </w:r>
      <w:r w:rsidRPr="00CA0EEF">
        <w:t xml:space="preserve">Organizations thus have to be alert to changes in business laws and policies, economic instability, societal trends and the development of specific technologies </w:t>
      </w:r>
      <w:r w:rsidR="00B63B10">
        <w:t>to</w:t>
      </w:r>
      <w:r w:rsidRPr="00CA0EEF">
        <w:t xml:space="preserve"> stay relevant and viable. Thus, with an approach and understanding of these external dynamics, risks can be minimized, and opportunities grasped effectively to keep organizations as relevant players in the constantly progressing global economy focused on sustainability and ethical operations.</w:t>
      </w:r>
    </w:p>
    <w:p w14:paraId="39D0EFDA" w14:textId="77777777" w:rsidR="00C109FC" w:rsidRDefault="00C109FC">
      <w:pPr>
        <w:spacing w:after="160" w:line="259" w:lineRule="auto"/>
        <w:jc w:val="left"/>
      </w:pPr>
      <w:r>
        <w:br w:type="page"/>
      </w:r>
    </w:p>
    <w:p w14:paraId="370A4269" w14:textId="558CB79D" w:rsidR="00CA0EEF" w:rsidRDefault="00C109FC" w:rsidP="00C109FC">
      <w:pPr>
        <w:pStyle w:val="Heading1"/>
      </w:pPr>
      <w:bookmarkStart w:id="4" w:name="_Toc171348331"/>
      <w:r>
        <w:lastRenderedPageBreak/>
        <w:t>References</w:t>
      </w:r>
      <w:bookmarkEnd w:id="4"/>
    </w:p>
    <w:p w14:paraId="606AB060" w14:textId="77777777" w:rsidR="009178C3" w:rsidRDefault="009178C3" w:rsidP="009178C3">
      <w:r>
        <w:t>Achinas, S., Horjus, J., Achinas, V. and Euverink, G.J.W., (2019). A PESTLE analysis of biofuels energy industry in Europe. Sustainability, 11(21), p.5981.</w:t>
      </w:r>
    </w:p>
    <w:p w14:paraId="77FD2E36" w14:textId="77777777" w:rsidR="009178C3" w:rsidRDefault="009178C3" w:rsidP="009178C3">
      <w:r>
        <w:t>Ajayi, A., (2016). Impact of external business environment on organisational performance of small and medium scale enterprises in Osun State, Nigeria. Scholedge International Journal of Business Policy &amp; Governance, 3(10), pp.155-166.</w:t>
      </w:r>
    </w:p>
    <w:p w14:paraId="46E2B791" w14:textId="77777777" w:rsidR="009178C3" w:rsidRDefault="009178C3" w:rsidP="009178C3">
      <w:r>
        <w:t>Akpoviroro, K.S. and Owotutu, S.O., (2018). Impact of external business environment on organizational performance. International Journal of Advance Research and Innovative Ideas in Education, 4(3), pp.498-505.</w:t>
      </w:r>
    </w:p>
    <w:p w14:paraId="02A90986" w14:textId="77777777" w:rsidR="009178C3" w:rsidRDefault="009178C3" w:rsidP="009178C3">
      <w:r>
        <w:t>Christodoulou, A. and Cullinane, K., (2019). Identifying the main opportunities and challenges from the implementation of a port energy management system: A SWOT/PESTLE analysis. Sustainability, 11(21), p.6046.</w:t>
      </w:r>
    </w:p>
    <w:p w14:paraId="29DF16F9" w14:textId="77777777" w:rsidR="009178C3" w:rsidRDefault="009178C3" w:rsidP="009178C3">
      <w:r>
        <w:t>Hamilton, L. and Webster, P., (2018). The international business environment. Oxford University Press.</w:t>
      </w:r>
    </w:p>
    <w:p w14:paraId="6E811843" w14:textId="77777777" w:rsidR="009178C3" w:rsidRDefault="009178C3" w:rsidP="009178C3">
      <w:r>
        <w:t>Hill, C.W., (2022). Global business today. McGraw-Hill.</w:t>
      </w:r>
    </w:p>
    <w:p w14:paraId="698CAFF5" w14:textId="7C3DFF29" w:rsidR="009178C3" w:rsidRDefault="009178C3" w:rsidP="009178C3">
      <w:r>
        <w:t xml:space="preserve">Neneh, B.N., (2016). Market orientation and performance: the contingency role of </w:t>
      </w:r>
      <w:r w:rsidR="00A62343">
        <w:t xml:space="preserve">the </w:t>
      </w:r>
      <w:r>
        <w:t>external environment. Environmental Economics, (7, Iss. 2), pp.130-137.</w:t>
      </w:r>
    </w:p>
    <w:p w14:paraId="55474051" w14:textId="0C092B46" w:rsidR="009178C3" w:rsidRDefault="009178C3" w:rsidP="009178C3">
      <w:r>
        <w:t xml:space="preserve">Oguejiofor, B.B., Omotosho, A., Abioye, K.M., Alabi, A.M., Oguntoyinbo, F.N., Daraojimba, A.I. and Daraojimba, C., (2023). A review on data-driven regulatory compliance in Nigeria. International Journal of </w:t>
      </w:r>
      <w:r w:rsidR="00A62343">
        <w:t>Applied Research</w:t>
      </w:r>
      <w:r>
        <w:t xml:space="preserve"> in social sciences, 5(8), pp.231-243.</w:t>
      </w:r>
    </w:p>
    <w:p w14:paraId="297B3600" w14:textId="77777777" w:rsidR="009178C3" w:rsidRDefault="009178C3" w:rsidP="009178C3">
      <w:r>
        <w:t>Onyshchenko, S., Maslii, O. and Ivaniuk, B., (2020). The impact of the external environment on the economic security of Ukrainian business. Науковий журнал «Економіка і регіон», (1 (76)), pp.22-29.</w:t>
      </w:r>
    </w:p>
    <w:p w14:paraId="76D357EB" w14:textId="77777777" w:rsidR="009178C3" w:rsidRDefault="009178C3" w:rsidP="009178C3">
      <w:r>
        <w:t>Peng, M.W., (2017). Global business. Boston: Cengage learning.</w:t>
      </w:r>
    </w:p>
    <w:p w14:paraId="24E0BBDF" w14:textId="77777777" w:rsidR="009178C3" w:rsidRDefault="009178C3" w:rsidP="009178C3">
      <w:r>
        <w:t>Trisakhon, C., Onputtha, S. and Peamchai, P., (2018). The effect of external business environment on business performance of small and medium food processing enterprises in Bangkok and metropolitan area. International Journal of Applied Computer Technology and Information Systems, 8(1), pp.69-75.</w:t>
      </w:r>
    </w:p>
    <w:p w14:paraId="5C942A42" w14:textId="77777777" w:rsidR="009178C3" w:rsidRPr="00C109FC" w:rsidRDefault="009178C3" w:rsidP="009178C3">
      <w:r>
        <w:t>Vlados, C. and Chatzinikolaou, D., (2019). Methodological redirections for an evolutionary approach of the external business environment. J. Mgmt. &amp; Sustainability, 9, p.25.</w:t>
      </w:r>
    </w:p>
    <w:sectPr w:rsidR="009178C3" w:rsidRPr="00C109F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8B18FD" w14:textId="77777777" w:rsidR="0032772C" w:rsidRDefault="0032772C" w:rsidP="00377926">
      <w:pPr>
        <w:spacing w:before="0" w:after="0" w:line="240" w:lineRule="auto"/>
      </w:pPr>
      <w:r>
        <w:separator/>
      </w:r>
    </w:p>
  </w:endnote>
  <w:endnote w:type="continuationSeparator" w:id="0">
    <w:p w14:paraId="175E8CC8" w14:textId="77777777" w:rsidR="0032772C" w:rsidRDefault="0032772C" w:rsidP="0037792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0627340"/>
      <w:docPartObj>
        <w:docPartGallery w:val="Page Numbers (Bottom of Page)"/>
        <w:docPartUnique/>
      </w:docPartObj>
    </w:sdtPr>
    <w:sdtEndPr>
      <w:rPr>
        <w:noProof/>
      </w:rPr>
    </w:sdtEndPr>
    <w:sdtContent>
      <w:p w14:paraId="642BDD92" w14:textId="33DB92CD" w:rsidR="00054148" w:rsidRDefault="00054148">
        <w:pPr>
          <w:pStyle w:val="Footer"/>
          <w:jc w:val="right"/>
        </w:pPr>
        <w:r>
          <w:fldChar w:fldCharType="begin"/>
        </w:r>
        <w:r>
          <w:instrText xml:space="preserve"> PAGE   \* MERGEFORMAT </w:instrText>
        </w:r>
        <w:r>
          <w:fldChar w:fldCharType="separate"/>
        </w:r>
        <w:r w:rsidR="00D448AC">
          <w:rPr>
            <w:noProof/>
          </w:rPr>
          <w:t>1</w:t>
        </w:r>
        <w:r>
          <w:rPr>
            <w:noProof/>
          </w:rPr>
          <w:fldChar w:fldCharType="end"/>
        </w:r>
      </w:p>
    </w:sdtContent>
  </w:sdt>
  <w:p w14:paraId="7B13F1F1" w14:textId="77777777" w:rsidR="00054148" w:rsidRDefault="0005414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264EBC" w14:textId="77777777" w:rsidR="0032772C" w:rsidRDefault="0032772C" w:rsidP="00377926">
      <w:pPr>
        <w:spacing w:before="0" w:after="0" w:line="240" w:lineRule="auto"/>
      </w:pPr>
      <w:r>
        <w:separator/>
      </w:r>
    </w:p>
  </w:footnote>
  <w:footnote w:type="continuationSeparator" w:id="0">
    <w:p w14:paraId="221F010B" w14:textId="77777777" w:rsidR="0032772C" w:rsidRDefault="0032772C" w:rsidP="0037792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195E02"/>
    <w:multiLevelType w:val="hybridMultilevel"/>
    <w:tmpl w:val="9B5A7C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EEF"/>
    <w:rsid w:val="00054148"/>
    <w:rsid w:val="00156376"/>
    <w:rsid w:val="001F7FA9"/>
    <w:rsid w:val="0032772C"/>
    <w:rsid w:val="00332790"/>
    <w:rsid w:val="00377926"/>
    <w:rsid w:val="00396608"/>
    <w:rsid w:val="004C5D7C"/>
    <w:rsid w:val="005815FD"/>
    <w:rsid w:val="00631BF4"/>
    <w:rsid w:val="006536C7"/>
    <w:rsid w:val="00734C5A"/>
    <w:rsid w:val="00741492"/>
    <w:rsid w:val="00757966"/>
    <w:rsid w:val="009178C3"/>
    <w:rsid w:val="00924D54"/>
    <w:rsid w:val="009739C6"/>
    <w:rsid w:val="00A62343"/>
    <w:rsid w:val="00B41505"/>
    <w:rsid w:val="00B63B10"/>
    <w:rsid w:val="00B71150"/>
    <w:rsid w:val="00C109FC"/>
    <w:rsid w:val="00C323B2"/>
    <w:rsid w:val="00CA0EEF"/>
    <w:rsid w:val="00D448AC"/>
    <w:rsid w:val="00EA5350"/>
    <w:rsid w:val="00F24008"/>
    <w:rsid w:val="00F969C0"/>
    <w:rsid w:val="00FF518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3170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78C3"/>
    <w:pPr>
      <w:spacing w:before="120" w:after="120" w:line="360" w:lineRule="auto"/>
      <w:jc w:val="both"/>
    </w:pPr>
    <w:rPr>
      <w:rFonts w:ascii="Times New Roman" w:hAnsi="Times New Roman" w:cs="Arial"/>
      <w:kern w:val="0"/>
      <w:sz w:val="24"/>
      <w:szCs w:val="22"/>
      <w:lang w:val="en-GB" w:bidi="ar-SA"/>
      <w14:ligatures w14:val="none"/>
    </w:rPr>
  </w:style>
  <w:style w:type="paragraph" w:styleId="Heading1">
    <w:name w:val="heading 1"/>
    <w:basedOn w:val="Normal"/>
    <w:next w:val="Normal"/>
    <w:link w:val="Heading1Char"/>
    <w:autoRedefine/>
    <w:uiPriority w:val="9"/>
    <w:qFormat/>
    <w:rsid w:val="00EA5350"/>
    <w:pPr>
      <w:keepNext/>
      <w:keepLines/>
      <w:spacing w:before="240"/>
      <w:outlineLvl w:val="0"/>
    </w:pPr>
    <w:rPr>
      <w:rFonts w:eastAsiaTheme="majorEastAsia" w:cstheme="majorBidi"/>
      <w:b/>
      <w:color w:val="000000" w:themeColor="text1"/>
      <w:sz w:val="36"/>
      <w:szCs w:val="29"/>
    </w:rPr>
  </w:style>
  <w:style w:type="paragraph" w:styleId="Heading2">
    <w:name w:val="heading 2"/>
    <w:basedOn w:val="Normal"/>
    <w:next w:val="Normal"/>
    <w:link w:val="Heading2Char"/>
    <w:autoRedefine/>
    <w:uiPriority w:val="9"/>
    <w:semiHidden/>
    <w:unhideWhenUsed/>
    <w:qFormat/>
    <w:rsid w:val="00EA5350"/>
    <w:pPr>
      <w:keepNext/>
      <w:keepLines/>
      <w:spacing w:before="40"/>
      <w:outlineLvl w:val="1"/>
    </w:pPr>
    <w:rPr>
      <w:rFonts w:eastAsiaTheme="majorEastAsia" w:cstheme="majorBidi"/>
      <w:b/>
      <w:sz w:val="32"/>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350"/>
    <w:rPr>
      <w:rFonts w:ascii="Times New Roman" w:eastAsiaTheme="majorEastAsia" w:hAnsi="Times New Roman" w:cstheme="majorBidi"/>
      <w:b/>
      <w:color w:val="000000" w:themeColor="text1"/>
      <w:kern w:val="0"/>
      <w:sz w:val="36"/>
      <w:szCs w:val="29"/>
      <w:lang w:val="en-GB" w:bidi="ar-SA"/>
      <w14:ligatures w14:val="none"/>
    </w:rPr>
  </w:style>
  <w:style w:type="character" w:customStyle="1" w:styleId="Heading2Char">
    <w:name w:val="Heading 2 Char"/>
    <w:basedOn w:val="DefaultParagraphFont"/>
    <w:link w:val="Heading2"/>
    <w:uiPriority w:val="9"/>
    <w:semiHidden/>
    <w:rsid w:val="00EA5350"/>
    <w:rPr>
      <w:rFonts w:ascii="Times New Roman" w:eastAsiaTheme="majorEastAsia" w:hAnsi="Times New Roman" w:cstheme="majorBidi"/>
      <w:b/>
      <w:kern w:val="0"/>
      <w:sz w:val="32"/>
      <w:szCs w:val="23"/>
      <w:lang w:val="en-GB" w:bidi="ar-SA"/>
      <w14:ligatures w14:val="none"/>
    </w:rPr>
  </w:style>
  <w:style w:type="paragraph" w:styleId="Title">
    <w:name w:val="Title"/>
    <w:basedOn w:val="Normal"/>
    <w:next w:val="Normal"/>
    <w:link w:val="TitleChar"/>
    <w:autoRedefine/>
    <w:uiPriority w:val="10"/>
    <w:qFormat/>
    <w:rsid w:val="00A62343"/>
    <w:pPr>
      <w:spacing w:line="480" w:lineRule="auto"/>
      <w:contextualSpacing/>
      <w:jc w:val="center"/>
    </w:pPr>
    <w:rPr>
      <w:rFonts w:eastAsiaTheme="majorEastAsia" w:cstheme="majorBidi"/>
      <w:b/>
      <w:spacing w:val="-10"/>
      <w:kern w:val="28"/>
      <w:sz w:val="72"/>
      <w:szCs w:val="72"/>
      <w:lang w:val="en-IN"/>
    </w:rPr>
  </w:style>
  <w:style w:type="character" w:customStyle="1" w:styleId="TitleChar">
    <w:name w:val="Title Char"/>
    <w:basedOn w:val="DefaultParagraphFont"/>
    <w:link w:val="Title"/>
    <w:uiPriority w:val="10"/>
    <w:rsid w:val="00A62343"/>
    <w:rPr>
      <w:rFonts w:ascii="Times New Roman" w:eastAsiaTheme="majorEastAsia" w:hAnsi="Times New Roman" w:cstheme="majorBidi"/>
      <w:b/>
      <w:spacing w:val="-10"/>
      <w:kern w:val="28"/>
      <w:sz w:val="72"/>
      <w:szCs w:val="72"/>
      <w:lang w:bidi="ar-SA"/>
      <w14:ligatures w14:val="none"/>
    </w:rPr>
  </w:style>
  <w:style w:type="paragraph" w:styleId="TOCHeading">
    <w:name w:val="TOC Heading"/>
    <w:basedOn w:val="Heading1"/>
    <w:next w:val="Normal"/>
    <w:uiPriority w:val="39"/>
    <w:unhideWhenUsed/>
    <w:qFormat/>
    <w:rsid w:val="00B63B10"/>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B63B10"/>
    <w:pPr>
      <w:spacing w:after="100"/>
    </w:pPr>
  </w:style>
  <w:style w:type="character" w:styleId="Hyperlink">
    <w:name w:val="Hyperlink"/>
    <w:basedOn w:val="DefaultParagraphFont"/>
    <w:uiPriority w:val="99"/>
    <w:unhideWhenUsed/>
    <w:rsid w:val="00B63B10"/>
    <w:rPr>
      <w:color w:val="0563C1" w:themeColor="hyperlink"/>
      <w:u w:val="single"/>
    </w:rPr>
  </w:style>
  <w:style w:type="paragraph" w:styleId="ListParagraph">
    <w:name w:val="List Paragraph"/>
    <w:basedOn w:val="Normal"/>
    <w:uiPriority w:val="34"/>
    <w:qFormat/>
    <w:rsid w:val="009178C3"/>
    <w:pPr>
      <w:ind w:left="720"/>
      <w:contextualSpacing/>
    </w:pPr>
  </w:style>
  <w:style w:type="paragraph" w:styleId="Header">
    <w:name w:val="header"/>
    <w:basedOn w:val="Normal"/>
    <w:link w:val="HeaderChar"/>
    <w:uiPriority w:val="99"/>
    <w:unhideWhenUsed/>
    <w:rsid w:val="0037792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77926"/>
    <w:rPr>
      <w:rFonts w:ascii="Times New Roman" w:hAnsi="Times New Roman" w:cs="Arial"/>
      <w:kern w:val="0"/>
      <w:sz w:val="24"/>
      <w:szCs w:val="22"/>
      <w:lang w:val="en-GB" w:bidi="ar-SA"/>
      <w14:ligatures w14:val="none"/>
    </w:rPr>
  </w:style>
  <w:style w:type="paragraph" w:styleId="Footer">
    <w:name w:val="footer"/>
    <w:basedOn w:val="Normal"/>
    <w:link w:val="FooterChar"/>
    <w:uiPriority w:val="99"/>
    <w:unhideWhenUsed/>
    <w:rsid w:val="0037792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77926"/>
    <w:rPr>
      <w:rFonts w:ascii="Times New Roman" w:hAnsi="Times New Roman" w:cs="Arial"/>
      <w:kern w:val="0"/>
      <w:sz w:val="24"/>
      <w:szCs w:val="22"/>
      <w:lang w:val="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2C763-890E-441A-9880-FA9B7ED92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1976</Words>
  <Characters>11265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2024-08-09T08:42:00Z</dcterms:created>
  <dcterms:modified xsi:type="dcterms:W3CDTF">2024-08-09T08:42:00Z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af96f8f38f4b4cccfac7130284d393e7ffce7e8994034049b59ab9ea2ed9df67</vt:lpwstr>
  </property>
</Properties>
</file>