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AB349"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This assignment will critically evaluate a critical incident observed and identify the next teaching and learning steps. Firstly, information on the institute used for research will be outlined, followed by a clarification of the methods used and why these methods were chosen. Next, the critical incident will be analysed in relation to Donaldson’s four purposes and following this a literature review examining the key themes of the incident will be specified. Lastly, an evaluation of the critical incident will lead to suggestions on the next steps and will be related to my own professional development. Tripp (1993) defines critical incidents as everyday common events that are shaped through analysis. Similarly, (Richards and Farrell, 2005) consider the events to develop into critical incidents prior to conscious reflection. The use of critical incidents in relation to research has become a key strategy in teaching development (Jager, 2013), as it is extremely beneficial for educators as it allows them to facilitate in-depth thinking and critical inquiry on their practice (McGarr and McCormack, 2016). Regardless of the emphasis on reflection skills in the teaching profession, (Poom-Valickis and Mathews, 2013) note the lack of reflection teachers demonstrate throughout their practice. Teaching practice that is inadequate of critical perspectives has limited value and generates a self-defeating cycle, according to (McGarr and McCormack, 2016). The importance of critical reflection is emphasised by (Yair, 2008), who considers evaluating one’s own practice produces effective data that is used to influence future professional development. Critical incidents allow teachers to recognise what is working and what is not working in their current practice, and enables them to identify and solve problems within the classroom (Joshi, 2018). A new expectation introduced by the National Professional Standards of Teaching and Leadership is that teachers will carry out research within their classroom and also relate research constructively to their curriculum and school improvement decisions (Wilson and Miller, 2016). Therefore, reflecting critically on my performance will be embedded into my everyday practice in order to facilitate my professional development. </w:t>
      </w:r>
    </w:p>
    <w:p w14:paraId="7FACBE8C" w14:textId="77777777" w:rsidR="00A11E9B" w:rsidRPr="00EF7A00" w:rsidRDefault="00A11E9B" w:rsidP="00A11E9B">
      <w:pPr>
        <w:pStyle w:val="NormalWeb"/>
        <w:spacing w:line="360" w:lineRule="auto"/>
        <w:rPr>
          <w:rFonts w:ascii="Arial" w:hAnsi="Arial" w:cs="Arial"/>
          <w:color w:val="000000" w:themeColor="text1"/>
          <w:sz w:val="22"/>
          <w:szCs w:val="22"/>
        </w:rPr>
      </w:pPr>
    </w:p>
    <w:p w14:paraId="2117088F"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Ethical guidelines provided by the British Educational Research Association (BERA) were adhered to throughout this study. The responsibilities researchers must comply whilst working with children are outlined here (Blaxter, Hughes and Tight, 2010). The importance of following BERA’s guidelines are identified by (McLeod, 2007), who suggests the researcher has an obligation to protect participants. The guidelines state the significance of confidentiality whilst conducting research (BERA, 2018). Consequently, the institute used for research will be referred to as School X, and all names will be kept anonymous. School X is a co-ed primary in an urban area in South Wales containing 471 pupils ranging from ages </w:t>
      </w:r>
      <w:r w:rsidRPr="00EF7A00">
        <w:rPr>
          <w:rFonts w:ascii="Arial" w:hAnsi="Arial" w:cs="Arial"/>
          <w:color w:val="000000" w:themeColor="text1"/>
          <w:sz w:val="22"/>
          <w:szCs w:val="22"/>
        </w:rPr>
        <w:lastRenderedPageBreak/>
        <w:t xml:space="preserve">three to eleven. 31% of the pupils are identified as being eligible for free school meals (Estyn, 2017). This is considerably higher than the national average of 18.3% (Welsh Government, 2019). Coming from a low-income background may cause implications on a child’s education, as Taylor (2018) highlights the probability of these children underachieving in primary as he discovers children who are not eligible for free school meals were one and half times more likely to achieve in educational assessments. These findings may help us to understand why children in School X who fit the criteria for free school meals do not succeed as well as other pupils. Contradictory to this, a variety of literature pays attention to free school meals improving concentration and increasing educational attainment; in particular in students from disadvantaged backgrounds (Golley et al, 2010, Kitchen et al.,2013 and Storey et al, 2011). School X prioritise the attainment gap between their disadvantaged and non-disadvantaged children by closely tracking the children in the school and working closely with families (Big Learning Company, 2014). However, more research on this topic needs to be undertaken before the association between free school meals and achievement is more clearly understood. The case study in School X were carried out in a year 1 class, containing twenty-nine pupils, one teacher and one teaching assistant. </w:t>
      </w:r>
    </w:p>
    <w:p w14:paraId="0BB007A1" w14:textId="77777777" w:rsidR="00A11E9B" w:rsidRPr="00EF7A00" w:rsidRDefault="00A11E9B" w:rsidP="00A11E9B">
      <w:pPr>
        <w:pStyle w:val="NormalWeb"/>
        <w:spacing w:line="360" w:lineRule="auto"/>
        <w:rPr>
          <w:rFonts w:ascii="Arial" w:hAnsi="Arial" w:cs="Arial"/>
          <w:color w:val="000000" w:themeColor="text1"/>
          <w:sz w:val="22"/>
          <w:szCs w:val="22"/>
        </w:rPr>
      </w:pPr>
    </w:p>
    <w:p w14:paraId="7B216F5F"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A case study approach was adopted to investigate and develop an in-depth understanding of a contemporary phenomenon within in classroom environment (Heale and Twycross, 2018; Atkins and Wallace, 2012; Swanborn, 2010). The case study approach has a number of attractive features including its ability to provide a holistic exploration (Kumar, 2014; Descombe, 2010). The ability to do this in a natural setting, allows the researcher to identify the complexity and context of the situation (Punch and Oancea, 2014). The appropriateness of using case studies is identified by (Descombe, 2010), who considers it suitable when the researcher has little control over events. However, there are certain drawbacks associated with the use of case studies as a considerable amount of literature has been published on the difficulties of generalizing data (Flyybjerg, 2006; Steinberg, 2015; Descombe, 2010). Complications arise in organizing data due the large quantity of information gathered, consequently it is vital that data analysis is carefully considered (Heale and Twycross, 2018). As part of my research analysis, the observation field notes were divided into four different incidents witnessed </w:t>
      </w:r>
      <w:r w:rsidRPr="00EF7A00">
        <w:rPr>
          <w:rFonts w:ascii="Arial" w:hAnsi="Arial" w:cs="Arial"/>
          <w:color w:val="000000" w:themeColor="text1"/>
          <w:sz w:val="22"/>
          <w:szCs w:val="22"/>
          <w:highlight w:val="green"/>
        </w:rPr>
        <w:t>(See Appendices 1)</w:t>
      </w:r>
      <w:r w:rsidRPr="00EF7A00">
        <w:rPr>
          <w:rFonts w:ascii="Arial" w:hAnsi="Arial" w:cs="Arial"/>
          <w:color w:val="000000" w:themeColor="text1"/>
          <w:sz w:val="22"/>
          <w:szCs w:val="22"/>
        </w:rPr>
        <w:t>. Next, one incident was chosen to focus and on (</w:t>
      </w:r>
      <w:r w:rsidRPr="00EF7A00">
        <w:rPr>
          <w:rFonts w:ascii="Arial" w:hAnsi="Arial" w:cs="Arial"/>
          <w:color w:val="000000" w:themeColor="text1"/>
          <w:sz w:val="22"/>
          <w:szCs w:val="22"/>
          <w:highlight w:val="green"/>
        </w:rPr>
        <w:t>See Appendices 2),</w:t>
      </w:r>
      <w:r w:rsidRPr="00EF7A00">
        <w:rPr>
          <w:rFonts w:ascii="Arial" w:hAnsi="Arial" w:cs="Arial"/>
          <w:color w:val="000000" w:themeColor="text1"/>
          <w:sz w:val="22"/>
          <w:szCs w:val="22"/>
        </w:rPr>
        <w:t xml:space="preserve"> to critically evaluate and identify the next teaching and learning steps. Within the case study approach a critical incident technique was used in the classroom. The critical incident technique was first established by (Flanagan, 1954), who introduced it as a technique of observing human behaviours in order to solve practical problems. The process </w:t>
      </w:r>
      <w:r w:rsidRPr="00EF7A00">
        <w:rPr>
          <w:rFonts w:ascii="Arial" w:hAnsi="Arial" w:cs="Arial"/>
          <w:color w:val="000000" w:themeColor="text1"/>
          <w:sz w:val="22"/>
          <w:szCs w:val="22"/>
        </w:rPr>
        <w:lastRenderedPageBreak/>
        <w:t xml:space="preserve">of collecting, analysing and classifying behavioural observations (Gremler, 2004), allows the researcher to develop a deeper understanding of the participants experiences (Alanzini, 2018). However, (Schwester, 2014) illuminates a limitation to this method; researches may misinterpret what they have seen, therefore compromising on data validity. This issue may be overcome as critical incidents give researchers the opportunity to access the participants perceptions, through interacting, questioning and communicating with them, furthering their knowledge on the situation (Cottrell, 2017); this information may also contribute and develop new theories and concepts (Tripp, 2011). Nevertheless, researchers may find difficulty in remembering precise details of the incident, consequently affecting the outcomes (Cassell and Symon, 2004). Therefore, a non-participant observation approach was employed in order to take notes throughout the observation to ensure validity on the data. Williams (2008) articulates how this is a typical feature of non-participant observations. Unfortunately, little literature has focused on non-participant observations, this indicates a need for further research. Whilst undertaking observations, it is important to consider the effect the researcher has on participants behaviour. Denscombe (2014) argues the presence of the researcher interrupts the naturalness of the classroom, consequently effecting the research validity. Over time, the observation approach altered to participant observation as involvement in a classroom environment is difficult to avoid. It has been acknowledged that participating rather than observing at a distance furthers the researchers understanding (Denscombe 2014; Silverman, 2013), therefore this method continued to be used. Bonner and Tolhurst (2002) outline the advantages of being a non-judgmental ‘outsider’ observing, as an ‘insider’ may disregard everyday experiences that are valuable for research.   </w:t>
      </w:r>
    </w:p>
    <w:p w14:paraId="4CBA7F14" w14:textId="77777777" w:rsidR="00A11E9B" w:rsidRPr="00EF7A00" w:rsidRDefault="00A11E9B" w:rsidP="00A11E9B">
      <w:pPr>
        <w:pStyle w:val="NormalWeb"/>
        <w:spacing w:line="360" w:lineRule="auto"/>
        <w:rPr>
          <w:rFonts w:ascii="Arial" w:hAnsi="Arial" w:cs="Arial"/>
          <w:color w:val="000000" w:themeColor="text1"/>
          <w:sz w:val="22"/>
          <w:szCs w:val="22"/>
        </w:rPr>
      </w:pPr>
    </w:p>
    <w:p w14:paraId="29AA0DF0"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The four purposes presented by (Donaldson, 2015), </w:t>
      </w:r>
      <w:r w:rsidRPr="00EF7A00">
        <w:rPr>
          <w:rFonts w:ascii="Arial" w:hAnsi="Arial" w:cs="Arial"/>
          <w:color w:val="000000" w:themeColor="text1"/>
          <w:sz w:val="22"/>
          <w:szCs w:val="22"/>
          <w:highlight w:val="green"/>
        </w:rPr>
        <w:t>(See Appendices 2)</w:t>
      </w:r>
      <w:r w:rsidRPr="00EF7A00">
        <w:rPr>
          <w:rFonts w:ascii="Arial" w:hAnsi="Arial" w:cs="Arial"/>
          <w:color w:val="000000" w:themeColor="text1"/>
          <w:sz w:val="22"/>
          <w:szCs w:val="22"/>
        </w:rPr>
        <w:t xml:space="preserve">, have been created in order to give schools across Wales a clarification of the aspirations for children and to provide them with long-term outcomes beyond specified classroom skills. The four purposes should encourage teachers’ decisions on lesson content, learning experiences and essential skills (Oxford Primary, 2018; Wilson and Miller, 2016). Donaldson’s hope is to educate children with the skills and knowledge that are necessary to become lifelong learners (Donaldson, 2015). The inclusivity of these purposes is outlined by (The Welsh Government, 2015), who considers them applicable for all children in Wales. The Welsh Government (2015) also states the importance of schools embedding the four purposes in their everyday practice. The critical incident in focus </w:t>
      </w:r>
      <w:r w:rsidRPr="00EF7A00">
        <w:rPr>
          <w:rFonts w:ascii="Arial" w:hAnsi="Arial" w:cs="Arial"/>
          <w:color w:val="000000" w:themeColor="text1"/>
          <w:sz w:val="22"/>
          <w:szCs w:val="22"/>
          <w:highlight w:val="green"/>
        </w:rPr>
        <w:t>(See Appendices 3)</w:t>
      </w:r>
      <w:r w:rsidRPr="00EF7A00">
        <w:rPr>
          <w:rFonts w:ascii="Arial" w:hAnsi="Arial" w:cs="Arial"/>
          <w:color w:val="000000" w:themeColor="text1"/>
          <w:sz w:val="22"/>
          <w:szCs w:val="22"/>
        </w:rPr>
        <w:t xml:space="preserve">, displays a child who may have low self-esteem and subsequently seeks constant reassurance from the TA leading the lesson. The following vignette demonstrates this. </w:t>
      </w:r>
    </w:p>
    <w:p w14:paraId="7BE58AB3"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w:lastRenderedPageBreak/>
        <mc:AlternateContent>
          <mc:Choice Requires="wps">
            <w:drawing>
              <wp:anchor distT="0" distB="0" distL="114300" distR="114300" simplePos="0" relativeHeight="251659264" behindDoc="0" locked="0" layoutInCell="1" allowOverlap="1" wp14:anchorId="19195FC7" wp14:editId="7D7C071E">
                <wp:simplePos x="0" y="0"/>
                <wp:positionH relativeFrom="column">
                  <wp:posOffset>417830</wp:posOffset>
                </wp:positionH>
                <wp:positionV relativeFrom="paragraph">
                  <wp:posOffset>69242</wp:posOffset>
                </wp:positionV>
                <wp:extent cx="4854102" cy="651753"/>
                <wp:effectExtent l="0" t="0" r="10160" b="8890"/>
                <wp:wrapNone/>
                <wp:docPr id="2" name="Text Box 2"/>
                <wp:cNvGraphicFramePr/>
                <a:graphic xmlns:a="http://schemas.openxmlformats.org/drawingml/2006/main">
                  <a:graphicData uri="http://schemas.microsoft.com/office/word/2010/wordprocessingShape">
                    <wps:wsp>
                      <wps:cNvSpPr txBox="1"/>
                      <wps:spPr>
                        <a:xfrm>
                          <a:off x="0" y="0"/>
                          <a:ext cx="4854102" cy="651753"/>
                        </a:xfrm>
                        <a:prstGeom prst="rect">
                          <a:avLst/>
                        </a:prstGeom>
                        <a:solidFill>
                          <a:schemeClr val="lt1"/>
                        </a:solidFill>
                        <a:ln w="6350">
                          <a:solidFill>
                            <a:prstClr val="black"/>
                          </a:solidFill>
                        </a:ln>
                      </wps:spPr>
                      <wps:txbx>
                        <w:txbxContent>
                          <w:p w14:paraId="058D10E5" w14:textId="77777777" w:rsidR="00A11E9B" w:rsidRPr="00EF7A00" w:rsidRDefault="00A11E9B" w:rsidP="00A11E9B">
                            <w:pPr>
                              <w:rPr>
                                <w:rFonts w:ascii="Arial" w:hAnsi="Arial" w:cs="Arial"/>
                              </w:rPr>
                            </w:pPr>
                            <w:r w:rsidRPr="00EF7A00">
                              <w:rPr>
                                <w:rFonts w:ascii="Arial" w:hAnsi="Arial" w:cs="Arial"/>
                                <w:i/>
                                <w:iCs/>
                              </w:rPr>
                              <w:t>A child is drawing a carrot. Throughout this period, she continuously looks up at the TA to get her attention. The child keeps shouting “look at my carrot!”.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195FC7" id="_x0000_t202" coordsize="21600,21600" o:spt="202" path="m,l,21600r21600,l21600,xe">
                <v:stroke joinstyle="miter"/>
                <v:path gradientshapeok="t" o:connecttype="rect"/>
              </v:shapetype>
              <v:shape id="Text Box 2" o:spid="_x0000_s1026" type="#_x0000_t202" style="position:absolute;margin-left:32.9pt;margin-top:5.45pt;width:382.2pt;height:51.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" fillcolor="white [3201]" strokeweight=".5pt">
                <v:textbox>
                  <w:txbxContent>
                    <w:p w14:paraId="058D10E5" w14:textId="77777777" w:rsidR="00A11E9B" w:rsidRPr="00EF7A00" w:rsidRDefault="00A11E9B" w:rsidP="00A11E9B">
                      <w:pPr>
                        <w:rPr>
                          <w:rFonts w:ascii="Arial" w:hAnsi="Arial" w:cs="Arial"/>
                        </w:rPr>
                      </w:pPr>
                      <w:r w:rsidRPr="00EF7A00">
                        <w:rPr>
                          <w:rFonts w:ascii="Arial" w:hAnsi="Arial" w:cs="Arial"/>
                          <w:i/>
                          <w:iCs/>
                        </w:rPr>
                        <w:t>A child is drawing a carrot. Throughout this period, she continuously looks up at the TA to get her attention. The child keeps shouting “look at my carrot!”.</w:t>
                      </w:r>
                    </w:p>
                  </w:txbxContent>
                </v:textbox>
              </v:shape>
            </w:pict>
          </mc:Fallback>
        </mc:AlternateContent>
      </w:r>
    </w:p>
    <w:p w14:paraId="3006DF0D" w14:textId="77777777" w:rsidR="00A11E9B" w:rsidRPr="00EF7A00" w:rsidRDefault="00A11E9B" w:rsidP="00A11E9B">
      <w:pPr>
        <w:pStyle w:val="NormalWeb"/>
        <w:spacing w:line="360" w:lineRule="auto"/>
        <w:rPr>
          <w:rFonts w:ascii="Arial" w:hAnsi="Arial" w:cs="Arial"/>
          <w:color w:val="000000" w:themeColor="text1"/>
          <w:sz w:val="22"/>
          <w:szCs w:val="22"/>
        </w:rPr>
      </w:pPr>
    </w:p>
    <w:p w14:paraId="12A7D077" w14:textId="77777777" w:rsidR="00A11E9B" w:rsidRPr="00EF7A00" w:rsidRDefault="00A11E9B" w:rsidP="00A11E9B">
      <w:pPr>
        <w:pStyle w:val="NormalWeb"/>
        <w:spacing w:line="360" w:lineRule="auto"/>
        <w:rPr>
          <w:rFonts w:ascii="Arial" w:hAnsi="Arial" w:cs="Arial"/>
          <w:color w:val="000000" w:themeColor="text1"/>
          <w:sz w:val="22"/>
          <w:szCs w:val="22"/>
        </w:rPr>
      </w:pPr>
    </w:p>
    <w:p w14:paraId="4AF5176F"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This incident relates to (Donaldson, 2015)’s “healthy, confident individuals” purpose, as the child may lack confidence within herself and therefore craves adult attention. Consequently, the child does not appear to be a “healthy, confident individual”. In contrast to this, regardless of the child’s possible low self-esteem within her work produced, the child is confident in the way she addresses the TA and assuredly draws her attention by shouting across the lesson, therefore it could be argued that she is a “healthy, confident individual”. School X have constructed their own ideas of the four purposes and how they are applied within the school </w:t>
      </w:r>
      <w:r w:rsidRPr="00EF7A00">
        <w:rPr>
          <w:rFonts w:ascii="Arial" w:hAnsi="Arial" w:cs="Arial"/>
          <w:color w:val="000000" w:themeColor="text1"/>
          <w:sz w:val="22"/>
          <w:szCs w:val="22"/>
          <w:highlight w:val="green"/>
        </w:rPr>
        <w:t>(See Appendices 4)</w:t>
      </w:r>
      <w:r w:rsidRPr="00EF7A00">
        <w:rPr>
          <w:rFonts w:ascii="Arial" w:hAnsi="Arial" w:cs="Arial"/>
          <w:color w:val="000000" w:themeColor="text1"/>
          <w:sz w:val="22"/>
          <w:szCs w:val="22"/>
        </w:rPr>
        <w:t>. Under the healthy, confident individual purpose they have stated ‘I know the difference between right and wrong’. The child continuously shouts across and runs out of the lesson. See vignette below:</w:t>
      </w:r>
    </w:p>
    <w:p w14:paraId="3790CBA0"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1A2A0216" wp14:editId="589EC6F4">
                <wp:simplePos x="0" y="0"/>
                <wp:positionH relativeFrom="column">
                  <wp:posOffset>416560</wp:posOffset>
                </wp:positionH>
                <wp:positionV relativeFrom="paragraph">
                  <wp:posOffset>109220</wp:posOffset>
                </wp:positionV>
                <wp:extent cx="4853940" cy="699770"/>
                <wp:effectExtent l="0" t="0" r="10160" b="11430"/>
                <wp:wrapNone/>
                <wp:docPr id="4" name="Text Box 4"/>
                <wp:cNvGraphicFramePr/>
                <a:graphic xmlns:a="http://schemas.openxmlformats.org/drawingml/2006/main">
                  <a:graphicData uri="http://schemas.microsoft.com/office/word/2010/wordprocessingShape">
                    <wps:wsp>
                      <wps:cNvSpPr txBox="1"/>
                      <wps:spPr>
                        <a:xfrm>
                          <a:off x="0" y="0"/>
                          <a:ext cx="4853940" cy="699770"/>
                        </a:xfrm>
                        <a:prstGeom prst="rect">
                          <a:avLst/>
                        </a:prstGeom>
                        <a:solidFill>
                          <a:schemeClr val="lt1"/>
                        </a:solidFill>
                        <a:ln w="6350">
                          <a:solidFill>
                            <a:prstClr val="black"/>
                          </a:solidFill>
                        </a:ln>
                      </wps:spPr>
                      <wps:txbx>
                        <w:txbxContent>
                          <w:p w14:paraId="68E858D2" w14:textId="77777777" w:rsidR="00A11E9B" w:rsidRPr="00EF7A00" w:rsidRDefault="00A11E9B" w:rsidP="00A11E9B">
                            <w:pPr>
                              <w:rPr>
                                <w:rFonts w:ascii="Arial" w:hAnsi="Arial" w:cs="Arial"/>
                              </w:rPr>
                            </w:pPr>
                            <w:r w:rsidRPr="00EF7A00">
                              <w:rPr>
                                <w:rFonts w:ascii="Arial" w:hAnsi="Arial" w:cs="Arial"/>
                                <w:i/>
                                <w:iCs/>
                              </w:rPr>
                              <w:t>The TA leaves the room, the child notices this, gets up from her seat and runs out following the TA exclaiming “I need to show miss something!”. The child is told to come back by the 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2A0216" id="Text Box 4" o:spid="_x0000_s1027" type="#_x0000_t202" style="position:absolute;margin-left:32.8pt;margin-top:8.6pt;width:382.2pt;height:55.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" fillcolor="white [3201]" strokeweight=".5pt">
                <v:textbox>
                  <w:txbxContent>
                    <w:p w14:paraId="68E858D2" w14:textId="77777777" w:rsidR="00A11E9B" w:rsidRPr="00EF7A00" w:rsidRDefault="00A11E9B" w:rsidP="00A11E9B">
                      <w:pPr>
                        <w:rPr>
                          <w:rFonts w:ascii="Arial" w:hAnsi="Arial" w:cs="Arial"/>
                        </w:rPr>
                      </w:pPr>
                      <w:r w:rsidRPr="00EF7A00">
                        <w:rPr>
                          <w:rFonts w:ascii="Arial" w:hAnsi="Arial" w:cs="Arial"/>
                          <w:i/>
                          <w:iCs/>
                        </w:rPr>
                        <w:t>The TA leaves the room, the child notices this, gets up from her seat and runs out following the TA exclaiming “I need to show miss something!”. The child is told to come back by the TA.</w:t>
                      </w:r>
                    </w:p>
                  </w:txbxContent>
                </v:textbox>
              </v:shape>
            </w:pict>
          </mc:Fallback>
        </mc:AlternateContent>
      </w:r>
    </w:p>
    <w:p w14:paraId="48E08BD8" w14:textId="77777777" w:rsidR="00A11E9B" w:rsidRPr="00EF7A00" w:rsidRDefault="00A11E9B" w:rsidP="00A11E9B">
      <w:pPr>
        <w:pStyle w:val="NormalWeb"/>
        <w:spacing w:line="360" w:lineRule="auto"/>
        <w:rPr>
          <w:rFonts w:ascii="Arial" w:hAnsi="Arial" w:cs="Arial"/>
          <w:color w:val="000000" w:themeColor="text1"/>
          <w:sz w:val="22"/>
          <w:szCs w:val="22"/>
        </w:rPr>
      </w:pPr>
    </w:p>
    <w:p w14:paraId="6961CBB0" w14:textId="77777777" w:rsidR="00A11E9B" w:rsidRPr="00EF7A00" w:rsidRDefault="00A11E9B" w:rsidP="00A11E9B">
      <w:pPr>
        <w:pStyle w:val="NormalWeb"/>
        <w:spacing w:line="360" w:lineRule="auto"/>
        <w:rPr>
          <w:rFonts w:ascii="Arial" w:hAnsi="Arial" w:cs="Arial"/>
          <w:color w:val="000000" w:themeColor="text1"/>
          <w:sz w:val="22"/>
          <w:szCs w:val="22"/>
        </w:rPr>
      </w:pPr>
    </w:p>
    <w:p w14:paraId="67D00031"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It may seem that the child is not clear, or does not follow the class rules therefore she is not aware of the difference between right and wrong and does not relate to being a healthy, confident individual. School X also stated under the purpose ‘I know who to go to if I need help’. The child in this incident demonstrates a clear understanding of who is able to help her, as she is continuously resilient and goes to the more knowledgeable other in the room for praise. Consequently, relating to the healthy, confident individual purpose. It is evident that the TA in room feeds this need for attention when possible, the following vignette displays this. </w:t>
      </w:r>
    </w:p>
    <w:p w14:paraId="31A44F2A"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5E436AFC" wp14:editId="5B6C3869">
                <wp:simplePos x="0" y="0"/>
                <wp:positionH relativeFrom="column">
                  <wp:posOffset>485775</wp:posOffset>
                </wp:positionH>
                <wp:positionV relativeFrom="paragraph">
                  <wp:posOffset>99492</wp:posOffset>
                </wp:positionV>
                <wp:extent cx="4853940" cy="700148"/>
                <wp:effectExtent l="0" t="0" r="10160" b="11430"/>
                <wp:wrapNone/>
                <wp:docPr id="3" name="Text Box 3"/>
                <wp:cNvGraphicFramePr/>
                <a:graphic xmlns:a="http://schemas.openxmlformats.org/drawingml/2006/main">
                  <a:graphicData uri="http://schemas.microsoft.com/office/word/2010/wordprocessingShape">
                    <wps:wsp>
                      <wps:cNvSpPr txBox="1"/>
                      <wps:spPr>
                        <a:xfrm>
                          <a:off x="0" y="0"/>
                          <a:ext cx="4853940" cy="700148"/>
                        </a:xfrm>
                        <a:prstGeom prst="rect">
                          <a:avLst/>
                        </a:prstGeom>
                        <a:solidFill>
                          <a:schemeClr val="lt1"/>
                        </a:solidFill>
                        <a:ln w="6350">
                          <a:solidFill>
                            <a:prstClr val="black"/>
                          </a:solidFill>
                        </a:ln>
                      </wps:spPr>
                      <wps:txbx>
                        <w:txbxContent>
                          <w:p w14:paraId="230F285D" w14:textId="77777777" w:rsidR="00A11E9B" w:rsidRPr="00EF7A00" w:rsidRDefault="00A11E9B" w:rsidP="00A11E9B">
                            <w:pPr>
                              <w:rPr>
                                <w:rFonts w:ascii="Arial" w:hAnsi="Arial" w:cs="Arial"/>
                              </w:rPr>
                            </w:pPr>
                            <w:r w:rsidRPr="00EF7A00">
                              <w:rPr>
                                <w:rFonts w:ascii="Arial" w:hAnsi="Arial" w:cs="Arial"/>
                                <w:i/>
                                <w:iCs/>
                              </w:rPr>
                              <w:t>The TA does not hear her all of the time but when she does the TA provides the child with positive attention and feedback whilst praising her by saying “that is a beautiful carrot”.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36AFC" id="Text Box 3" o:spid="_x0000_s1028" type="#_x0000_t202" style="position:absolute;margin-left:38.25pt;margin-top:7.85pt;width:382.2pt;height:5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" fillcolor="white [3201]" strokeweight=".5pt">
                <v:textbox>
                  <w:txbxContent>
                    <w:p w14:paraId="230F285D" w14:textId="77777777" w:rsidR="00A11E9B" w:rsidRPr="00EF7A00" w:rsidRDefault="00A11E9B" w:rsidP="00A11E9B">
                      <w:pPr>
                        <w:rPr>
                          <w:rFonts w:ascii="Arial" w:hAnsi="Arial" w:cs="Arial"/>
                        </w:rPr>
                      </w:pPr>
                      <w:r w:rsidRPr="00EF7A00">
                        <w:rPr>
                          <w:rFonts w:ascii="Arial" w:hAnsi="Arial" w:cs="Arial"/>
                          <w:i/>
                          <w:iCs/>
                        </w:rPr>
                        <w:t>The TA does not hear her all of the time but when she does the TA provides the child with positive attention and feedback whilst praising her by saying “that is a beautiful carrot”.</w:t>
                      </w:r>
                    </w:p>
                  </w:txbxContent>
                </v:textbox>
              </v:shape>
            </w:pict>
          </mc:Fallback>
        </mc:AlternateContent>
      </w:r>
    </w:p>
    <w:p w14:paraId="077DBF4D" w14:textId="77777777" w:rsidR="00A11E9B" w:rsidRPr="00EF7A00" w:rsidRDefault="00A11E9B" w:rsidP="00A11E9B">
      <w:pPr>
        <w:pStyle w:val="NormalWeb"/>
        <w:spacing w:line="360" w:lineRule="auto"/>
        <w:rPr>
          <w:rFonts w:ascii="Arial" w:hAnsi="Arial" w:cs="Arial"/>
          <w:color w:val="000000" w:themeColor="text1"/>
          <w:sz w:val="22"/>
          <w:szCs w:val="22"/>
        </w:rPr>
      </w:pPr>
    </w:p>
    <w:p w14:paraId="7E20938F" w14:textId="77777777" w:rsidR="00A11E9B" w:rsidRPr="00EF7A00" w:rsidRDefault="00A11E9B" w:rsidP="00A11E9B">
      <w:pPr>
        <w:pStyle w:val="NormalWeb"/>
        <w:spacing w:line="360" w:lineRule="auto"/>
        <w:rPr>
          <w:rFonts w:ascii="Arial" w:hAnsi="Arial" w:cs="Arial"/>
          <w:color w:val="000000" w:themeColor="text1"/>
          <w:sz w:val="22"/>
          <w:szCs w:val="22"/>
        </w:rPr>
      </w:pPr>
    </w:p>
    <w:p w14:paraId="42C9C3B2"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lastRenderedPageBreak/>
        <w:t>It appears that the TA attempts to build the child’s confidence through positive reinforcement and praise, thus guiding the child towards becoming a healthy, confident individual. Nevertheless, the following vignette demonstrates how the TA may have knocked the child’s confidence, who may already suffer from low self-esteem.</w:t>
      </w:r>
    </w:p>
    <w:p w14:paraId="5165491F"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61BCFF71" wp14:editId="2AA07016">
                <wp:simplePos x="0" y="0"/>
                <wp:positionH relativeFrom="column">
                  <wp:posOffset>486019</wp:posOffset>
                </wp:positionH>
                <wp:positionV relativeFrom="paragraph">
                  <wp:posOffset>20955</wp:posOffset>
                </wp:positionV>
                <wp:extent cx="4853940" cy="642025"/>
                <wp:effectExtent l="0" t="0" r="10160" b="18415"/>
                <wp:wrapNone/>
                <wp:docPr id="5" name="Text Box 5"/>
                <wp:cNvGraphicFramePr/>
                <a:graphic xmlns:a="http://schemas.openxmlformats.org/drawingml/2006/main">
                  <a:graphicData uri="http://schemas.microsoft.com/office/word/2010/wordprocessingShape">
                    <wps:wsp>
                      <wps:cNvSpPr txBox="1"/>
                      <wps:spPr>
                        <a:xfrm>
                          <a:off x="0" y="0"/>
                          <a:ext cx="4853940" cy="642025"/>
                        </a:xfrm>
                        <a:prstGeom prst="rect">
                          <a:avLst/>
                        </a:prstGeom>
                        <a:solidFill>
                          <a:schemeClr val="lt1"/>
                        </a:solidFill>
                        <a:ln w="6350">
                          <a:solidFill>
                            <a:prstClr val="black"/>
                          </a:solidFill>
                        </a:ln>
                      </wps:spPr>
                      <wps:txbx>
                        <w:txbxContent>
                          <w:p w14:paraId="77CBF65A" w14:textId="77777777" w:rsidR="00A11E9B" w:rsidRPr="00EF7A00" w:rsidRDefault="00A11E9B" w:rsidP="00A11E9B">
                            <w:pPr>
                              <w:rPr>
                                <w:rFonts w:ascii="Arial" w:hAnsi="Arial" w:cs="Arial"/>
                              </w:rPr>
                            </w:pPr>
                            <w:r w:rsidRPr="00EF7A00">
                              <w:rPr>
                                <w:rFonts w:ascii="Arial" w:hAnsi="Arial" w:cs="Arial"/>
                                <w:i/>
                                <w:iCs/>
                              </w:rPr>
                              <w:t>The child takes her drawing over to her and asks if she can put it on the wall. The TA, half disregarding the child as she was busy with another child, says “later”.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BCFF71" id="Text Box 5" o:spid="_x0000_s1029" type="#_x0000_t202" style="position:absolute;margin-left:38.25pt;margin-top:1.65pt;width:382.2pt;height:50.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" fillcolor="white [3201]" strokeweight=".5pt">
                <v:textbox>
                  <w:txbxContent>
                    <w:p w14:paraId="77CBF65A" w14:textId="77777777" w:rsidR="00A11E9B" w:rsidRPr="00EF7A00" w:rsidRDefault="00A11E9B" w:rsidP="00A11E9B">
                      <w:pPr>
                        <w:rPr>
                          <w:rFonts w:ascii="Arial" w:hAnsi="Arial" w:cs="Arial"/>
                        </w:rPr>
                      </w:pPr>
                      <w:r w:rsidRPr="00EF7A00">
                        <w:rPr>
                          <w:rFonts w:ascii="Arial" w:hAnsi="Arial" w:cs="Arial"/>
                          <w:i/>
                          <w:iCs/>
                        </w:rPr>
                        <w:t>The child takes her drawing over to her and asks if she can put it on the wall. The TA, half disregarding the child as she was busy with another child, says “later”.</w:t>
                      </w:r>
                    </w:p>
                  </w:txbxContent>
                </v:textbox>
              </v:shape>
            </w:pict>
          </mc:Fallback>
        </mc:AlternateContent>
      </w:r>
    </w:p>
    <w:p w14:paraId="35B312B6" w14:textId="77777777" w:rsidR="00A11E9B" w:rsidRPr="00EF7A00" w:rsidRDefault="00A11E9B" w:rsidP="00A11E9B">
      <w:pPr>
        <w:pStyle w:val="NormalWeb"/>
        <w:spacing w:line="360" w:lineRule="auto"/>
        <w:rPr>
          <w:rFonts w:ascii="Arial" w:hAnsi="Arial" w:cs="Arial"/>
          <w:color w:val="000000" w:themeColor="text1"/>
          <w:sz w:val="22"/>
          <w:szCs w:val="22"/>
          <w:highlight w:val="yellow"/>
        </w:rPr>
      </w:pPr>
    </w:p>
    <w:p w14:paraId="31E1B1E6"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br/>
        <w:t xml:space="preserve">The use of negative body language, and the disregard of the child’s request may provide the child with self-doubt as she does not get the positive attention she is evidently seeking. The TA being impersonal and overlooking the child may have implications on the child becoming a healthy, confident individual. </w:t>
      </w:r>
    </w:p>
    <w:p w14:paraId="3A729FF8" w14:textId="77777777" w:rsidR="00A11E9B" w:rsidRPr="00EF7A00" w:rsidRDefault="00A11E9B" w:rsidP="00A11E9B">
      <w:pPr>
        <w:pStyle w:val="NormalWeb"/>
        <w:spacing w:line="360" w:lineRule="auto"/>
        <w:rPr>
          <w:rStyle w:val="eop"/>
          <w:rFonts w:ascii="Arial" w:hAnsi="Arial" w:cs="Arial"/>
          <w:sz w:val="22"/>
          <w:szCs w:val="22"/>
        </w:rPr>
      </w:pPr>
    </w:p>
    <w:p w14:paraId="5A6FB7A5"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The child in the critical incident observed may experience fundamental issues such as attachment. The attachment theory was first introduced by (Bowlby, 1958), who highlighted the prominence of mother-child relationships in regard to the child’s development; socially, emotionally and cognitively. He propositioned the idea that the early relationship formed with their mothers have an immense impact that continues throughout their lifetime. He carried a belief that attachment was an ‘all or nothing’ process. However, this theory was tested by (Ainsworth, Bell and Stayton, 1971)’s Strange Situation Procedure, where the security of attachment was examined to establish the nature and styles of attachment. Three attachment styles were identified following this study; insecure avoidant, secure, insecure ambivalent/resistant. Ainsworth et al (1971) recognised these attachment styles were a result of early interactions between mother and child. She argued that a child’s attachment style is contingent on the behaviour displayed towards them by their mother. Similarly, (Harlow, 1958) investigated attachment as he studied the bond between new-born monkeys with their mothers. He suggested that attachment develops due to the mother providing physical comfort and therefore infants experience an innate need to be close to something for security. Nevertheless, (Harlow, 1958)’s research has been highly criticized due to his unethical approach of using monkeys to understand human behaviours. The isolation the monkeys experienced resulted in emotional harm and anxiety, causing implications for the female monkeys as they became mothers. Although, this investigation influenced Bowlby’s work, and therefore may be argued that it is a fundamental piece of literature for attachment theory (McLeod, 2017). Fundamentally, the idea of attachment theory relies on the </w:t>
      </w:r>
      <w:r w:rsidRPr="00EF7A00">
        <w:rPr>
          <w:rFonts w:ascii="Arial" w:hAnsi="Arial" w:cs="Arial"/>
          <w:color w:val="000000" w:themeColor="text1"/>
          <w:sz w:val="22"/>
          <w:szCs w:val="22"/>
        </w:rPr>
        <w:lastRenderedPageBreak/>
        <w:t xml:space="preserve">availability and responsiveness of another trusted person. This relationship then leads to cognitive, social and emotional development (Johnson, 2003). </w:t>
      </w:r>
    </w:p>
    <w:p w14:paraId="0AE52AE2"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According to (Shemmings and Shemmings, 2011), children experiencing insecure attachment are more likely to originate from low socioeconomic populations. School X have a high number of children from low socioeconomic backgrounds; therefore, this may explain why the child observed may experience attachment issues. This view is supported by </w:t>
      </w:r>
      <w:r w:rsidRPr="00B54A35">
        <w:rPr>
          <w:rFonts w:ascii="Arial" w:hAnsi="Arial" w:cs="Arial"/>
          <w:sz w:val="22"/>
          <w:szCs w:val="22"/>
        </w:rPr>
        <w:t>(Bakermans-Kranenburg, Van IJzendoorn, &amp; Kroonenberg, 2004)</w:t>
      </w:r>
      <w:r w:rsidRPr="00EF7A00">
        <w:rPr>
          <w:rFonts w:ascii="Arial" w:hAnsi="Arial" w:cs="Arial"/>
          <w:sz w:val="22"/>
          <w:szCs w:val="22"/>
        </w:rPr>
        <w:t xml:space="preserve">, who discovered African-American families suffering from poverty made up a large part of the children suffering with insecure attachment. However, more research on this topic needs to be undertaken before the association between low socio-economic status and insecure attachment is more clearly understood. </w:t>
      </w:r>
    </w:p>
    <w:p w14:paraId="14AACFD5" w14:textId="77777777" w:rsidR="00A11E9B" w:rsidRPr="00EF7A00" w:rsidRDefault="00A11E9B" w:rsidP="00A11E9B">
      <w:pPr>
        <w:spacing w:line="360" w:lineRule="auto"/>
        <w:rPr>
          <w:rFonts w:ascii="Arial" w:hAnsi="Arial" w:cs="Arial"/>
        </w:rPr>
      </w:pPr>
      <w:r w:rsidRPr="00EF7A00">
        <w:rPr>
          <w:rFonts w:ascii="Arial" w:hAnsi="Arial" w:cs="Arial"/>
        </w:rPr>
        <w:t>Sroufe (1983</w:t>
      </w:r>
      <w:r w:rsidRPr="00EF7A00">
        <w:rPr>
          <w:rFonts w:ascii="Arial" w:hAnsi="Arial" w:cs="Arial"/>
          <w:color w:val="000000" w:themeColor="text1"/>
        </w:rPr>
        <w:t>)’s work within the classroom discovered that children experiencing insecure attachment had low self-esteem, would seek help continuously by approaching the teacher directly and were significantly more dependent on the teacher. These are similar traits to the child in the critical incident. Regardless of (Scrofe, 1983)’s significant findings, it is important to consider when this research was carried out, as implications may arise in literature that is dated. It is therefore imperative to examine current literature on similar research. It is encouraging to compare these results with the work of (Geddes, 2018), who found children with insecure attachment were highly reliant on the teacher and seek their attention and presence continuously as they are recreating a secure relationship within the classroom. Geddes (2018) discusses the challenges that develop from these characteristics, as the child focuses persistently on gaining the teachers attention rather than the learning. This then causes implications on the child’s education. Watson (2018) notes how attachment theory provides a distinct view of children and consequently an original philosophy to classroom management. Children lacking positive relationships at home will seek nurturing relationships with their teachers. Support given by teachers is extremely vital to these children as the child’s development is accomplished with this. Children will learn how to regulate their emotions and behaviour with support and maturation of caregivers (Sroufe et al, 2005). Conversely, (</w:t>
      </w:r>
      <w:hyperlink r:id="rId5" w:tooltip="Click to search for more items by this author" w:history="1">
        <w:r w:rsidRPr="00EF7A00">
          <w:rPr>
            <w:rStyle w:val="Hyperlink"/>
            <w:rFonts w:ascii="Arial" w:hAnsi="Arial" w:cs="Arial"/>
            <w:color w:val="000000" w:themeColor="text1"/>
          </w:rPr>
          <w:t>Moţăţăianu</w:t>
        </w:r>
      </w:hyperlink>
      <w:r w:rsidRPr="00EF7A00">
        <w:rPr>
          <w:rFonts w:ascii="Arial" w:hAnsi="Arial" w:cs="Arial"/>
          <w:color w:val="000000" w:themeColor="text1"/>
        </w:rPr>
        <w:t xml:space="preserve">, 2018) note the significance of teacher-student relationships for children with insecure attachment as the emotional support gained from this stimulates the child’s autonomy and emotional intelligence. </w:t>
      </w:r>
    </w:p>
    <w:p w14:paraId="77F3ECE7" w14:textId="77777777" w:rsidR="00A11E9B" w:rsidRPr="00EF7A00" w:rsidRDefault="00A11E9B" w:rsidP="00A11E9B">
      <w:pPr>
        <w:pStyle w:val="NormalWeb"/>
        <w:spacing w:line="360" w:lineRule="auto"/>
        <w:rPr>
          <w:rFonts w:ascii="Arial" w:hAnsi="Arial" w:cs="Arial"/>
          <w:sz w:val="22"/>
          <w:szCs w:val="22"/>
        </w:rPr>
      </w:pPr>
      <w:r w:rsidRPr="00EF7A00">
        <w:rPr>
          <w:rFonts w:ascii="Arial" w:hAnsi="Arial" w:cs="Arial"/>
          <w:sz w:val="22"/>
          <w:szCs w:val="22"/>
        </w:rPr>
        <w:t xml:space="preserve">The critical incident in focus displays a child who is craving positive praise from the TA leading the lesson. Herman, Merrell, Reinke and Tucker (2004) considers children who desire constant reassurance and feedback as having internalizing problems. Nevertheless, </w:t>
      </w:r>
      <w:r w:rsidRPr="00EF7A00">
        <w:rPr>
          <w:rFonts w:ascii="Arial" w:hAnsi="Arial" w:cs="Arial"/>
          <w:sz w:val="22"/>
          <w:szCs w:val="22"/>
        </w:rPr>
        <w:lastRenderedPageBreak/>
        <w:t xml:space="preserve">teachers can help these children thrive within the classroom by providing positive attention more frequently than negative attention (Stormont, Herman and Reinke, 2015; Herman, Merrrell, Reinke and Tucker, 2004). Hodgman (2015) also believes praise to be a powerful tool within the classroom that has the potential to be beneficial for children’s motivation when used appropriately. He also considers how praise may be detrimental on a child’s development and emphasises how teachers should consider the individuals needs prior to implementing praise. It is important to consider that Hodgman’s ideas have been created through secondary research and therefore lack primary evidence to support his philosophies. </w:t>
      </w:r>
    </w:p>
    <w:p w14:paraId="63D4418B"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sz w:val="22"/>
          <w:szCs w:val="22"/>
        </w:rPr>
        <w:t xml:space="preserve">Hodgman’s negative perspective on praise has been generated by (Dweck, 1999) who considers the effects of overpraising a child, as it may lead them to become dependent on the opinion of others. It is evident that the child in the critical incident relies on the opinion of others, consequently, the child may have been overpraised. The substance behind praise is also measured within her work as she contemplates how praising a child for completing an easy task may lead them to believe that they are stupid. Although Dweck studied children from a variety of backgrounds, all children used for her research were the same age. The lack of range in age causes implications on the research findings and lowers the research validity as children of different ages respond differently to praise therefore the research should not focus on one age group. Regardless of this, (Dweck, 1999) suggested a valuable approach to praise in the classroom by empathizing the need for teachers to concentrate on students’ efforts. Two approaches to praise were first identified by (Kamins and Dweck, 1999). They introduced the difference between person praise, praise focusing on personal qualities, and process praise, praise directed at behaviour. According to (Dweck, 1999), providing students with the message that effort is the key to learning and praising their strategies (process praise), as appose to praising their </w:t>
      </w:r>
      <w:r w:rsidRPr="00EF7A00">
        <w:rPr>
          <w:rFonts w:ascii="Arial" w:hAnsi="Arial" w:cs="Arial"/>
          <w:color w:val="000000" w:themeColor="text1"/>
          <w:sz w:val="22"/>
          <w:szCs w:val="22"/>
        </w:rPr>
        <w:t xml:space="preserve">performance outcome (person praise), will give develop their achievement and self-esteem. Correspondingly, Brummelman et al (2013) credit process praise over person praise, as they highlight how person praise causes implications in children’s confidence. It is underlined that adults are more inclined to provide children with low self-esteem with person praise, nonetheless (Brummelman et al, 2013) discovered this detrimental to their emotions as their findings display children with low self-esteem that received person praise experienced feelings of shame. Brummelman et al (2013) state the importance of adults being careful with using person praise with children with low confidence. Contrarily, (Kempner and Pomerantz, 2013) revealed in their study that process praise did not have positive effects. The study investigating mother’s daily person and process praise towards their children presented no coloration between process praise and the child’s intelligence and motivation. Implications regarding the study should be considered. It is understood that objective assessment on the children’s success was not </w:t>
      </w:r>
      <w:r w:rsidRPr="00EF7A00">
        <w:rPr>
          <w:rFonts w:ascii="Arial" w:hAnsi="Arial" w:cs="Arial"/>
          <w:color w:val="000000" w:themeColor="text1"/>
          <w:sz w:val="22"/>
          <w:szCs w:val="22"/>
        </w:rPr>
        <w:lastRenderedPageBreak/>
        <w:t xml:space="preserve">obtained and therefore this data was given over the phone daily by their mothers. This is an unmanageable method of collecting data as each mother’s perspective on success may differ, therefore the data collected is not completely valid. Future investigations regarding person and process within in the classroom would be beneficial as there seems to be a lack of literature on this. </w:t>
      </w:r>
    </w:p>
    <w:p w14:paraId="60E3536D"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It is evident that a specific solution to effective praise is absent in current literature as every child responds differently to praise. Conroy et al (2009) highlight the significance of considering children’s individual differences when using praise. Children’s backgrounds and ability levels may have an impact on how they respond to praise, consequently it is important to consider these. Similarly, (Henderlong and Lepper, 2002), discovered the characterises of the recipient; age, gender and culture, have an effect on how praise encourages their motivation. Therefore, it is vital to consider the individual when implementing praise. </w:t>
      </w:r>
    </w:p>
    <w:p w14:paraId="0C0465F3" w14:textId="77777777" w:rsidR="00A11E9B" w:rsidRPr="00EF7A00" w:rsidRDefault="00A11E9B" w:rsidP="00A11E9B">
      <w:pPr>
        <w:pStyle w:val="NormalWeb"/>
        <w:spacing w:line="360" w:lineRule="auto"/>
        <w:rPr>
          <w:rFonts w:ascii="Arial" w:hAnsi="Arial" w:cs="Arial"/>
          <w:color w:val="000000" w:themeColor="text1"/>
          <w:sz w:val="22"/>
          <w:szCs w:val="22"/>
        </w:rPr>
      </w:pPr>
    </w:p>
    <w:p w14:paraId="1FC7DD97" w14:textId="77777777" w:rsidR="00A11E9B" w:rsidRPr="00EF7A00" w:rsidRDefault="00A11E9B" w:rsidP="00A11E9B">
      <w:pPr>
        <w:pStyle w:val="NormalWeb"/>
        <w:spacing w:line="360" w:lineRule="auto"/>
        <w:rPr>
          <w:rFonts w:ascii="Arial" w:hAnsi="Arial" w:cs="Arial"/>
          <w:color w:val="000000" w:themeColor="text1"/>
          <w:sz w:val="22"/>
          <w:szCs w:val="22"/>
        </w:rPr>
      </w:pPr>
      <w:r w:rsidRPr="00EF7A00">
        <w:rPr>
          <w:rFonts w:ascii="Arial" w:hAnsi="Arial" w:cs="Arial"/>
          <w:color w:val="000000" w:themeColor="text1"/>
          <w:sz w:val="22"/>
          <w:szCs w:val="22"/>
        </w:rPr>
        <w:t xml:space="preserve">Critical reflection is considered to be valuable method of developing knowledge and understanding on an experience encountered (Fook, 2015). It allows practitioners to contemplate their practice in depth whilst examining alternative approaches to the incident analysed (McGarr and McCormack, 2016). To support and guide me through reflecting and evaluating the critical incident in focus, </w:t>
      </w:r>
      <w:r w:rsidRPr="00EF7A00">
        <w:rPr>
          <w:rFonts w:ascii="Arial" w:hAnsi="Arial" w:cs="Arial"/>
          <w:sz w:val="22"/>
          <w:szCs w:val="22"/>
          <w:lang w:val="en-US"/>
        </w:rPr>
        <w:t xml:space="preserve">Gibbs Reflective Cycle (1988), </w:t>
      </w:r>
      <w:r w:rsidRPr="00EF7A00">
        <w:rPr>
          <w:rFonts w:ascii="Arial" w:hAnsi="Arial" w:cs="Arial"/>
          <w:sz w:val="22"/>
          <w:szCs w:val="22"/>
          <w:highlight w:val="green"/>
          <w:lang w:val="en-US"/>
        </w:rPr>
        <w:t>(See Appendices 4</w:t>
      </w:r>
      <w:r w:rsidRPr="00EF7A00">
        <w:rPr>
          <w:rFonts w:ascii="Arial" w:hAnsi="Arial" w:cs="Arial"/>
          <w:sz w:val="22"/>
          <w:szCs w:val="22"/>
          <w:highlight w:val="cyan"/>
          <w:lang w:val="en-US"/>
        </w:rPr>
        <w:t>)</w:t>
      </w:r>
      <w:r w:rsidRPr="00EF7A00">
        <w:rPr>
          <w:rFonts w:ascii="Arial" w:hAnsi="Arial" w:cs="Arial"/>
          <w:sz w:val="22"/>
          <w:szCs w:val="22"/>
          <w:lang w:val="en-US"/>
        </w:rPr>
        <w:t xml:space="preserve">, will be used due to its simplicity yet detailed approach to reflection (Williams, Wooliams, and Spirio, 2012). Gibbs (1998) understands his reflective model to be extremely beneficial for students reflecting for the first time as a result of its clearly defined sections. The cycle is fragmented into 6 different stages; Description, Feelings, Evaluation, Analysis, Conclusion, and Action Plan. </w:t>
      </w:r>
    </w:p>
    <w:p w14:paraId="518CBA2E" w14:textId="77777777" w:rsidR="00A11E9B" w:rsidRPr="00EF7A00" w:rsidRDefault="00A11E9B" w:rsidP="00A11E9B">
      <w:pPr>
        <w:pStyle w:val="NormalWeb"/>
        <w:spacing w:line="360" w:lineRule="auto"/>
        <w:rPr>
          <w:rFonts w:ascii="Arial" w:hAnsi="Arial" w:cs="Arial"/>
          <w:sz w:val="22"/>
          <w:szCs w:val="22"/>
          <w:lang w:val="en-US"/>
        </w:rPr>
      </w:pPr>
      <w:r w:rsidRPr="00EF7A00">
        <w:rPr>
          <w:rFonts w:ascii="Arial" w:hAnsi="Arial" w:cs="Arial"/>
          <w:sz w:val="22"/>
          <w:szCs w:val="22"/>
          <w:lang w:val="en-US"/>
        </w:rPr>
        <w:t xml:space="preserve">The critical incident in focus displays a child who constantly seeks attention and praise from the TA leading the session. She goes to extremes measures, such as running after her as she leaves in the room, in order to gain her attention. The TA uses positive praise and encouraging feedback to maintain the child’s focus on the task initially but is less enthusiastic about the child’s work towards the end of the incident. When observing the incident, it was difficult not to feel sorry for the child who appeared to have low self-esteem and was persisting to obtain the TA’s acknowledgement. Nonetheless, it was also pleasurable to encounter the child’s joy when the TA provided the child with a positive reaction. In addition to this, I felt slightly disappointed towards the end when the TA vaguely overlooked the child’s request to hang her drawing up as it is evident the child was actively seeking to show her work off. In response to these feelings, it is evident that the TA did a </w:t>
      </w:r>
      <w:r w:rsidRPr="00EF7A00">
        <w:rPr>
          <w:rFonts w:ascii="Arial" w:hAnsi="Arial" w:cs="Arial"/>
          <w:sz w:val="22"/>
          <w:szCs w:val="22"/>
          <w:lang w:val="en-US"/>
        </w:rPr>
        <w:lastRenderedPageBreak/>
        <w:t xml:space="preserve">good job of providing the child with the attention she is craving considering the other children in the lesson. Although, this positivity slightly altered as time went on as the TA seemed to get tired of the child’s demands. It is unfortunate that the encouraging remarks could not be maintained throughout the incident. </w:t>
      </w:r>
    </w:p>
    <w:p w14:paraId="1ECF45C3" w14:textId="77777777" w:rsidR="00A11E9B" w:rsidRPr="00B250C5" w:rsidRDefault="00A11E9B" w:rsidP="00A11E9B">
      <w:pPr>
        <w:pStyle w:val="NormalWeb"/>
        <w:spacing w:line="360" w:lineRule="auto"/>
        <w:rPr>
          <w:rFonts w:ascii="Arial" w:hAnsi="Arial" w:cs="Arial"/>
          <w:sz w:val="22"/>
          <w:szCs w:val="22"/>
          <w:lang w:val="en-US"/>
        </w:rPr>
      </w:pPr>
      <w:r w:rsidRPr="00EF7A00">
        <w:rPr>
          <w:rFonts w:ascii="Arial" w:hAnsi="Arial" w:cs="Arial"/>
          <w:sz w:val="22"/>
          <w:szCs w:val="22"/>
          <w:lang w:val="en-US"/>
        </w:rPr>
        <w:t xml:space="preserve">It may seem that the child in focus may experience fundamental issues such as insecure attachment. The child is seeking a positive interaction within her school environment as she may not have this at home. It has also been considered that the child may not have the experience of drawing in her home life, consequently the child may be over excited with the experience and therefore constantly displays her enthusiasm to the task to the TA. The child in focus may also carry confidence issues and therefore seeks reassurance for the TA. In order to fulfill the child’s need for praise, the TA may have used the method of ‘shoutouts’. After observing in school X, it became apparent to me that this method was used across the whole school. The method of “shoutouts” remains a public form of praise where the teacher displays or communicates a child’s good work to the whole class. Using this method to praise the child may have allowed the child to feel satisfied and possibly may have prevented the child in requesting further praise. Correspondingly, the use of peer feedback may have had the same effect. Furthermore, the TA may have given more specific praise to the child’s work as (Conroy et al, 2009) suggest using this form of praise will encourage a positive classroom environment and remind children of the expectations. It has been </w:t>
      </w:r>
      <w:r w:rsidRPr="00B250C5">
        <w:rPr>
          <w:rFonts w:ascii="Arial" w:hAnsi="Arial" w:cs="Arial"/>
          <w:sz w:val="22"/>
          <w:szCs w:val="22"/>
          <w:lang w:val="en-US"/>
        </w:rPr>
        <w:t xml:space="preserve">acknowledged by (Conroy et al, 2009) that teacher-initiated praise is more effective than waiting for the child to display their work in order to gain praise. Therefore, it may have been beneficial for the TA to praise the child prior to the child exhibiting her work. The philosophies accumulated from my reflection process will be applied to my own practice daily as I will frequently consider the impact praise has on children. I will regularly contemplate the children’s backgrounds and how this will impact their behavior within in the classroom, whilst anticipating the most effective use of praise and feedback for that individual. </w:t>
      </w:r>
    </w:p>
    <w:p w14:paraId="10B41585" w14:textId="77777777" w:rsidR="00A11E9B" w:rsidRPr="00B250C5" w:rsidRDefault="00A11E9B" w:rsidP="00A11E9B">
      <w:pPr>
        <w:pStyle w:val="NormalWeb"/>
        <w:spacing w:line="360" w:lineRule="auto"/>
        <w:rPr>
          <w:rFonts w:ascii="Arial" w:hAnsi="Arial" w:cs="Arial"/>
          <w:sz w:val="22"/>
          <w:szCs w:val="22"/>
          <w:lang w:val="en-US"/>
        </w:rPr>
      </w:pPr>
    </w:p>
    <w:p w14:paraId="67AA5453" w14:textId="77777777" w:rsidR="00A11E9B" w:rsidRPr="00B250C5" w:rsidRDefault="00A11E9B" w:rsidP="00A11E9B">
      <w:pPr>
        <w:pStyle w:val="NormalWeb"/>
        <w:spacing w:line="360" w:lineRule="auto"/>
        <w:rPr>
          <w:rFonts w:ascii="Arial" w:hAnsi="Arial" w:cs="Arial"/>
          <w:sz w:val="22"/>
          <w:szCs w:val="22"/>
        </w:rPr>
      </w:pPr>
      <w:r w:rsidRPr="00B250C5">
        <w:rPr>
          <w:rFonts w:ascii="Arial" w:hAnsi="Arial" w:cs="Arial"/>
          <w:sz w:val="22"/>
          <w:szCs w:val="22"/>
        </w:rPr>
        <w:t xml:space="preserve">To conclude, participant observations were undertaken in a year 1 classroom in school X. These observations allowed me to identify a critical incident that would be further investigated. Gibbs (1998) Reflective Cycle allowed me </w:t>
      </w:r>
      <w:r>
        <w:rPr>
          <w:rFonts w:ascii="Arial" w:hAnsi="Arial" w:cs="Arial"/>
          <w:sz w:val="22"/>
          <w:szCs w:val="22"/>
        </w:rPr>
        <w:t xml:space="preserve">to </w:t>
      </w:r>
      <w:r w:rsidRPr="00B250C5">
        <w:rPr>
          <w:rFonts w:ascii="Arial" w:hAnsi="Arial" w:cs="Arial"/>
          <w:sz w:val="22"/>
          <w:szCs w:val="22"/>
        </w:rPr>
        <w:t xml:space="preserve">critically analyse the incident. From this analysis, I was then able to distinguish the next steps in teaching and learning. These ideas will be applied in my everyday practice as a teacher as the Professional Standards for Teaching and Leadership formally state that teachers should frequently use reflection to extend their knowledge, skills and understanding (Welsh Government, 2019). </w:t>
      </w:r>
      <w:r w:rsidRPr="00B250C5">
        <w:rPr>
          <w:rFonts w:ascii="Arial" w:hAnsi="Arial" w:cs="Arial"/>
          <w:sz w:val="22"/>
          <w:szCs w:val="22"/>
        </w:rPr>
        <w:lastRenderedPageBreak/>
        <w:t xml:space="preserve">Consequently, reflecting on my practice will be embedded into my everyday work as I continue to grow as a teacher.  </w:t>
      </w:r>
    </w:p>
    <w:p w14:paraId="0C71D929" w14:textId="77777777" w:rsidR="00A11E9B" w:rsidRPr="00EF7A00" w:rsidRDefault="00A11E9B" w:rsidP="00A11E9B">
      <w:pPr>
        <w:pStyle w:val="NormalWeb"/>
        <w:spacing w:line="360" w:lineRule="auto"/>
        <w:rPr>
          <w:rFonts w:ascii="Arial" w:hAnsi="Arial" w:cs="Arial"/>
          <w:sz w:val="22"/>
          <w:szCs w:val="22"/>
          <w:lang w:val="en-US"/>
        </w:rPr>
      </w:pPr>
    </w:p>
    <w:p w14:paraId="06A4A7AE" w14:textId="77777777" w:rsidR="00A11E9B" w:rsidRPr="00EF7A00" w:rsidRDefault="00A11E9B" w:rsidP="00A11E9B">
      <w:pPr>
        <w:pStyle w:val="NormalWeb"/>
        <w:spacing w:line="360" w:lineRule="auto"/>
        <w:rPr>
          <w:rFonts w:ascii="Arial" w:hAnsi="Arial" w:cs="Arial"/>
          <w:sz w:val="22"/>
          <w:szCs w:val="22"/>
        </w:rPr>
      </w:pPr>
    </w:p>
    <w:p w14:paraId="75C17102" w14:textId="77777777" w:rsidR="00A11E9B" w:rsidRPr="00EF7A00" w:rsidRDefault="00A11E9B" w:rsidP="00A11E9B">
      <w:pPr>
        <w:pStyle w:val="AssignBody"/>
        <w:rPr>
          <w:rFonts w:cs="Arial"/>
        </w:rPr>
      </w:pPr>
    </w:p>
    <w:p w14:paraId="51B40021" w14:textId="77777777" w:rsidR="00A11E9B" w:rsidRDefault="00A11E9B">
      <w:bookmarkStart w:id="0" w:name="_GoBack"/>
      <w:bookmarkEnd w:id="0"/>
    </w:p>
    <w:sectPr w:rsidR="00A11E9B">
      <w:headerReference w:type="default" r:id="rId6"/>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24DA29" w14:textId="77777777" w:rsidR="00E611D9" w:rsidRDefault="00A11E9B">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3BD236CE" w14:textId="77777777" w:rsidR="00E611D9" w:rsidRDefault="00A11E9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55370268" w14:textId="77777777" w:rsidTr="00E611D9">
      <w:tc>
        <w:tcPr>
          <w:tcW w:w="4508" w:type="dxa"/>
        </w:tcPr>
        <w:p w14:paraId="67F8D441" w14:textId="77777777" w:rsidR="00E611D9" w:rsidRPr="00E611D9" w:rsidRDefault="00A11E9B">
          <w:pPr>
            <w:pStyle w:val="Header"/>
            <w:rPr>
              <w:rFonts w:ascii="Arial" w:hAnsi="Arial" w:cs="Arial"/>
            </w:rPr>
          </w:pPr>
          <w:r w:rsidRPr="00E611D9">
            <w:rPr>
              <w:rFonts w:ascii="Arial" w:hAnsi="Arial" w:cs="Arial"/>
            </w:rPr>
            <w:t>E</w:t>
          </w:r>
          <w:r>
            <w:rPr>
              <w:rFonts w:ascii="Arial" w:hAnsi="Arial" w:cs="Arial"/>
            </w:rPr>
            <w:t>CAD</w:t>
          </w:r>
          <w:r>
            <w:rPr>
              <w:rFonts w:ascii="Arial" w:hAnsi="Arial" w:cs="Arial"/>
            </w:rPr>
            <w:t>6007</w:t>
          </w:r>
        </w:p>
      </w:tc>
      <w:tc>
        <w:tcPr>
          <w:tcW w:w="4508" w:type="dxa"/>
        </w:tcPr>
        <w:p w14:paraId="4FF3C0C4" w14:textId="77777777" w:rsidR="00E611D9" w:rsidRPr="00E611D9" w:rsidRDefault="00A11E9B" w:rsidP="008B19F9">
          <w:pPr>
            <w:pStyle w:val="Header"/>
            <w:jc w:val="center"/>
            <w:rPr>
              <w:rFonts w:ascii="Arial" w:hAnsi="Arial" w:cs="Arial"/>
            </w:rPr>
          </w:pPr>
          <w:r>
            <w:rPr>
              <w:rFonts w:ascii="Arial" w:hAnsi="Arial" w:cs="Arial"/>
            </w:rPr>
            <w:t xml:space="preserve">                           </w:t>
          </w:r>
          <w:r>
            <w:rPr>
              <w:rFonts w:ascii="Arial" w:hAnsi="Arial" w:cs="Arial"/>
            </w:rPr>
            <w:t xml:space="preserve">Student Number: </w:t>
          </w:r>
          <w:r>
            <w:rPr>
              <w:rFonts w:ascii="Arial" w:hAnsi="Arial" w:cs="Arial"/>
            </w:rPr>
            <w:t>1903663</w:t>
          </w:r>
        </w:p>
      </w:tc>
    </w:tr>
  </w:tbl>
  <w:p w14:paraId="3A643C81" w14:textId="77777777" w:rsidR="00E611D9" w:rsidRDefault="00A11E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51EF7"/>
    <w:multiLevelType w:val="hybridMultilevel"/>
    <w:tmpl w:val="5DC24FA0"/>
    <w:lvl w:ilvl="0" w:tplc="48703F72">
      <w:start w:val="3"/>
      <w:numFmt w:val="bullet"/>
      <w:lvlText w:val="-"/>
      <w:lvlJc w:val="left"/>
      <w:pPr>
        <w:ind w:left="720" w:hanging="360"/>
      </w:pPr>
      <w:rPr>
        <w:rFonts w:ascii="Verdana" w:eastAsia="Times New Roman" w:hAnsi="Verdan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C17B17"/>
    <w:multiLevelType w:val="multilevel"/>
    <w:tmpl w:val="DE6C8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A56CA1"/>
    <w:multiLevelType w:val="multilevel"/>
    <w:tmpl w:val="3C0E4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42EFD"/>
    <w:multiLevelType w:val="multilevel"/>
    <w:tmpl w:val="D674A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6A38D9"/>
    <w:multiLevelType w:val="multilevel"/>
    <w:tmpl w:val="148A3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56605E"/>
    <w:multiLevelType w:val="hybridMultilevel"/>
    <w:tmpl w:val="16700DAE"/>
    <w:lvl w:ilvl="0" w:tplc="E3805A48">
      <w:start w:val="3"/>
      <w:numFmt w:val="bullet"/>
      <w:lvlText w:val="-"/>
      <w:lvlJc w:val="left"/>
      <w:pPr>
        <w:ind w:left="720" w:hanging="360"/>
      </w:pPr>
      <w:rPr>
        <w:rFonts w:ascii="Verdana" w:eastAsia="Times New Roman" w:hAnsi="Verdan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9B"/>
    <w:rsid w:val="004D637A"/>
    <w:rsid w:val="00A11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256B9"/>
  <w15:chartTrackingRefBased/>
  <w15:docId w15:val="{CBB479FD-AA49-AC49-A621-0E6079D77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9B"/>
    <w:pPr>
      <w:spacing w:after="160" w:line="259" w:lineRule="auto"/>
    </w:pPr>
    <w:rPr>
      <w:sz w:val="22"/>
      <w:szCs w:val="22"/>
    </w:rPr>
  </w:style>
  <w:style w:type="paragraph" w:styleId="Heading1">
    <w:name w:val="heading 1"/>
    <w:basedOn w:val="Normal"/>
    <w:link w:val="Heading1Char"/>
    <w:uiPriority w:val="9"/>
    <w:qFormat/>
    <w:rsid w:val="00A11E9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E9B"/>
    <w:rPr>
      <w:rFonts w:ascii="Times New Roman" w:eastAsia="Times New Roman" w:hAnsi="Times New Roman" w:cs="Times New Roman"/>
      <w:b/>
      <w:bCs/>
      <w:kern w:val="36"/>
      <w:sz w:val="48"/>
      <w:szCs w:val="48"/>
    </w:rPr>
  </w:style>
  <w:style w:type="paragraph" w:customStyle="1" w:styleId="AssignQuote">
    <w:name w:val="AssignQuote"/>
    <w:basedOn w:val="Normal"/>
    <w:next w:val="AssignBody"/>
    <w:link w:val="AssignQuoteChar"/>
    <w:qFormat/>
    <w:rsid w:val="00A11E9B"/>
    <w:pPr>
      <w:spacing w:after="0" w:line="360" w:lineRule="auto"/>
      <w:ind w:left="1134" w:right="1134"/>
    </w:pPr>
    <w:rPr>
      <w:rFonts w:ascii="Arial" w:hAnsi="Arial"/>
      <w:i/>
    </w:rPr>
  </w:style>
  <w:style w:type="paragraph" w:customStyle="1" w:styleId="AssignBody">
    <w:name w:val="AssignBody"/>
    <w:basedOn w:val="AssignQuote"/>
    <w:link w:val="AssignBodyChar"/>
    <w:qFormat/>
    <w:rsid w:val="00A11E9B"/>
    <w:pPr>
      <w:ind w:left="0" w:right="0"/>
    </w:pPr>
    <w:rPr>
      <w:i w:val="0"/>
    </w:rPr>
  </w:style>
  <w:style w:type="character" w:customStyle="1" w:styleId="AssignQuoteChar">
    <w:name w:val="AssignQuote Char"/>
    <w:basedOn w:val="DefaultParagraphFont"/>
    <w:link w:val="AssignQuote"/>
    <w:rsid w:val="00A11E9B"/>
    <w:rPr>
      <w:rFonts w:ascii="Arial" w:hAnsi="Arial"/>
      <w:i/>
      <w:sz w:val="22"/>
      <w:szCs w:val="22"/>
    </w:rPr>
  </w:style>
  <w:style w:type="paragraph" w:customStyle="1" w:styleId="AssignSubHeader">
    <w:name w:val="AssignSubHeader"/>
    <w:basedOn w:val="AssignBody"/>
    <w:next w:val="AssignBody"/>
    <w:link w:val="AssignSubHeaderChar"/>
    <w:qFormat/>
    <w:rsid w:val="00A11E9B"/>
    <w:rPr>
      <w:b/>
      <w:i/>
      <w:sz w:val="28"/>
    </w:rPr>
  </w:style>
  <w:style w:type="character" w:customStyle="1" w:styleId="AssignBodyChar">
    <w:name w:val="AssignBody Char"/>
    <w:basedOn w:val="AssignQuoteChar"/>
    <w:link w:val="AssignBody"/>
    <w:rsid w:val="00A11E9B"/>
    <w:rPr>
      <w:rFonts w:ascii="Arial" w:hAnsi="Arial"/>
      <w:i w:val="0"/>
      <w:sz w:val="22"/>
      <w:szCs w:val="22"/>
    </w:rPr>
  </w:style>
  <w:style w:type="paragraph" w:customStyle="1" w:styleId="AssignHeader">
    <w:name w:val="AssignHeader"/>
    <w:basedOn w:val="AssignSubHeader"/>
    <w:next w:val="AssignSubHeader"/>
    <w:link w:val="AssignHeaderChar"/>
    <w:qFormat/>
    <w:rsid w:val="00A11E9B"/>
    <w:pPr>
      <w:jc w:val="center"/>
    </w:pPr>
    <w:rPr>
      <w:sz w:val="36"/>
      <w:u w:val="single"/>
    </w:rPr>
  </w:style>
  <w:style w:type="character" w:customStyle="1" w:styleId="AssignSubHeaderChar">
    <w:name w:val="AssignSubHeader Char"/>
    <w:basedOn w:val="AssignBodyChar"/>
    <w:link w:val="AssignSubHeader"/>
    <w:rsid w:val="00A11E9B"/>
    <w:rPr>
      <w:rFonts w:ascii="Arial" w:hAnsi="Arial"/>
      <w:b/>
      <w:i/>
      <w:sz w:val="28"/>
      <w:szCs w:val="22"/>
    </w:rPr>
  </w:style>
  <w:style w:type="paragraph" w:styleId="Header">
    <w:name w:val="header"/>
    <w:basedOn w:val="Normal"/>
    <w:link w:val="HeaderChar"/>
    <w:uiPriority w:val="99"/>
    <w:unhideWhenUsed/>
    <w:rsid w:val="00A11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E9B"/>
    <w:rPr>
      <w:sz w:val="22"/>
      <w:szCs w:val="22"/>
    </w:rPr>
  </w:style>
  <w:style w:type="character" w:customStyle="1" w:styleId="AssignHeaderChar">
    <w:name w:val="AssignHeader Char"/>
    <w:basedOn w:val="AssignSubHeaderChar"/>
    <w:link w:val="AssignHeader"/>
    <w:rsid w:val="00A11E9B"/>
    <w:rPr>
      <w:rFonts w:ascii="Arial" w:hAnsi="Arial"/>
      <w:b/>
      <w:i/>
      <w:sz w:val="36"/>
      <w:szCs w:val="22"/>
      <w:u w:val="single"/>
    </w:rPr>
  </w:style>
  <w:style w:type="paragraph" w:styleId="Footer">
    <w:name w:val="footer"/>
    <w:basedOn w:val="Normal"/>
    <w:link w:val="FooterChar"/>
    <w:uiPriority w:val="99"/>
    <w:unhideWhenUsed/>
    <w:rsid w:val="00A11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E9B"/>
    <w:rPr>
      <w:sz w:val="22"/>
      <w:szCs w:val="22"/>
    </w:rPr>
  </w:style>
  <w:style w:type="table" w:styleId="TableGrid">
    <w:name w:val="Table Grid"/>
    <w:basedOn w:val="TableNormal"/>
    <w:uiPriority w:val="39"/>
    <w:rsid w:val="00A11E9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11E9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11E9B"/>
    <w:rPr>
      <w:color w:val="0563C1" w:themeColor="hyperlink"/>
      <w:u w:val="single"/>
    </w:rPr>
  </w:style>
  <w:style w:type="character" w:styleId="UnresolvedMention">
    <w:name w:val="Unresolved Mention"/>
    <w:basedOn w:val="DefaultParagraphFont"/>
    <w:uiPriority w:val="99"/>
    <w:semiHidden/>
    <w:unhideWhenUsed/>
    <w:rsid w:val="00A11E9B"/>
    <w:rPr>
      <w:color w:val="605E5C"/>
      <w:shd w:val="clear" w:color="auto" w:fill="E1DFDD"/>
    </w:rPr>
  </w:style>
  <w:style w:type="character" w:customStyle="1" w:styleId="apple-converted-space">
    <w:name w:val="apple-converted-space"/>
    <w:basedOn w:val="DefaultParagraphFont"/>
    <w:rsid w:val="00A11E9B"/>
  </w:style>
  <w:style w:type="character" w:styleId="FollowedHyperlink">
    <w:name w:val="FollowedHyperlink"/>
    <w:basedOn w:val="DefaultParagraphFont"/>
    <w:uiPriority w:val="99"/>
    <w:semiHidden/>
    <w:unhideWhenUsed/>
    <w:rsid w:val="00A11E9B"/>
    <w:rPr>
      <w:color w:val="954F72" w:themeColor="followedHyperlink"/>
      <w:u w:val="single"/>
    </w:rPr>
  </w:style>
  <w:style w:type="character" w:styleId="Emphasis">
    <w:name w:val="Emphasis"/>
    <w:basedOn w:val="DefaultParagraphFont"/>
    <w:uiPriority w:val="20"/>
    <w:qFormat/>
    <w:rsid w:val="00A11E9B"/>
    <w:rPr>
      <w:i/>
      <w:iCs/>
    </w:rPr>
  </w:style>
  <w:style w:type="character" w:styleId="Strong">
    <w:name w:val="Strong"/>
    <w:basedOn w:val="DefaultParagraphFont"/>
    <w:uiPriority w:val="22"/>
    <w:qFormat/>
    <w:rsid w:val="00A11E9B"/>
    <w:rPr>
      <w:b/>
      <w:bCs/>
    </w:rPr>
  </w:style>
  <w:style w:type="character" w:customStyle="1" w:styleId="journalname">
    <w:name w:val="journalname"/>
    <w:basedOn w:val="DefaultParagraphFont"/>
    <w:rsid w:val="00A11E9B"/>
  </w:style>
  <w:style w:type="character" w:customStyle="1" w:styleId="year">
    <w:name w:val="year"/>
    <w:basedOn w:val="DefaultParagraphFont"/>
    <w:rsid w:val="00A11E9B"/>
  </w:style>
  <w:style w:type="character" w:customStyle="1" w:styleId="volumetest">
    <w:name w:val="volumetest"/>
    <w:basedOn w:val="DefaultParagraphFont"/>
    <w:rsid w:val="00A11E9B"/>
  </w:style>
  <w:style w:type="character" w:customStyle="1" w:styleId="page">
    <w:name w:val="page"/>
    <w:basedOn w:val="DefaultParagraphFont"/>
    <w:rsid w:val="00A11E9B"/>
  </w:style>
  <w:style w:type="paragraph" w:customStyle="1" w:styleId="paragraph">
    <w:name w:val="paragraph"/>
    <w:basedOn w:val="Normal"/>
    <w:rsid w:val="00A11E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11E9B"/>
  </w:style>
  <w:style w:type="character" w:customStyle="1" w:styleId="eop">
    <w:name w:val="eop"/>
    <w:basedOn w:val="DefaultParagraphFont"/>
    <w:rsid w:val="00A11E9B"/>
  </w:style>
  <w:style w:type="character" w:customStyle="1" w:styleId="contextualspellingandgrammarerror">
    <w:name w:val="contextualspellingandgrammarerror"/>
    <w:basedOn w:val="DefaultParagraphFont"/>
    <w:rsid w:val="00A11E9B"/>
  </w:style>
  <w:style w:type="character" w:customStyle="1" w:styleId="scxw101782923">
    <w:name w:val="scxw101782923"/>
    <w:basedOn w:val="DefaultParagraphFont"/>
    <w:rsid w:val="00A11E9B"/>
  </w:style>
  <w:style w:type="character" w:customStyle="1" w:styleId="hlfld-contribauthor">
    <w:name w:val="hlfld-contribauthor"/>
    <w:basedOn w:val="DefaultParagraphFont"/>
    <w:rsid w:val="00A11E9B"/>
  </w:style>
  <w:style w:type="character" w:customStyle="1" w:styleId="nlmgiven-names">
    <w:name w:val="nlm_given-names"/>
    <w:basedOn w:val="DefaultParagraphFont"/>
    <w:rsid w:val="00A11E9B"/>
  </w:style>
  <w:style w:type="character" w:customStyle="1" w:styleId="nlmyear">
    <w:name w:val="nlm_year"/>
    <w:basedOn w:val="DefaultParagraphFont"/>
    <w:rsid w:val="00A11E9B"/>
  </w:style>
  <w:style w:type="character" w:customStyle="1" w:styleId="nlmarticle-title">
    <w:name w:val="nlm_article-title"/>
    <w:basedOn w:val="DefaultParagraphFont"/>
    <w:rsid w:val="00A11E9B"/>
  </w:style>
  <w:style w:type="character" w:customStyle="1" w:styleId="nlmfpage">
    <w:name w:val="nlm_fpage"/>
    <w:basedOn w:val="DefaultParagraphFont"/>
    <w:rsid w:val="00A11E9B"/>
  </w:style>
  <w:style w:type="character" w:customStyle="1" w:styleId="nlmlpage">
    <w:name w:val="nlm_lpage"/>
    <w:basedOn w:val="DefaultParagraphFont"/>
    <w:rsid w:val="00A11E9B"/>
  </w:style>
  <w:style w:type="character" w:customStyle="1" w:styleId="nlmpub-id">
    <w:name w:val="nlm_pub-id"/>
    <w:basedOn w:val="DefaultParagraphFont"/>
    <w:rsid w:val="00A11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hyperlink" Target="https://search-proquest-com.ezproxy.uwtsd.ac.uk/indexinglinkhandler/sng/au/Mo$x0163$x0103$x0163$x0103ianu,+Irina+Teodora/$N?accountid=13047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3588</Words>
  <Characters>21780</Characters>
  <Application>Microsoft Office Word</Application>
  <DocSecurity>0</DocSecurity>
  <Lines>473</Lines>
  <Paragraphs>112</Paragraphs>
  <ScaleCrop>false</ScaleCrop>
  <Company/>
  <LinksUpToDate>false</LinksUpToDate>
  <CharactersWithSpaces>25256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Prynne (1903663)</dc:creator>
  <cp:keywords/>
  <dc:description/>
  <cp:lastModifiedBy>Lauren Prynne (1903663)</cp:lastModifiedBy>
  <cp:revision>1</cp:revision>
  <dcterms:created xsi:type="dcterms:W3CDTF">2019-10-29T14:12:00Z</dcterms:created>
  <dcterms:modified xsi:type="dcterms:W3CDTF">2019-10-29T14:13:00Z</dcterms:modified>
</cp:coreProperties>
</file>