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356C1" w:rsidRDefault="00F356C1" w:rsidP="002713B6">
      <w:pPr>
        <w:spacing w:line="360" w:lineRule="auto"/>
        <w:jc w:val="center"/>
        <w:rPr>
          <w:rFonts w:ascii="Times New Roman" w:eastAsia="Times New Roman" w:hAnsi="Times New Roman" w:cs="Times New Roman"/>
          <w:b/>
          <w:sz w:val="32"/>
          <w:szCs w:val="32"/>
        </w:rPr>
      </w:pPr>
    </w:p>
    <w:p w:rsidR="00F356C1" w:rsidRDefault="00F356C1" w:rsidP="002713B6">
      <w:pPr>
        <w:spacing w:line="360" w:lineRule="auto"/>
        <w:jc w:val="center"/>
        <w:rPr>
          <w:rFonts w:ascii="Times New Roman" w:eastAsia="Times New Roman" w:hAnsi="Times New Roman" w:cs="Times New Roman"/>
          <w:b/>
          <w:sz w:val="32"/>
          <w:szCs w:val="32"/>
        </w:rPr>
      </w:pPr>
    </w:p>
    <w:p w:rsidR="00F356C1" w:rsidRDefault="00F356C1" w:rsidP="002713B6">
      <w:pPr>
        <w:spacing w:line="360" w:lineRule="auto"/>
        <w:jc w:val="center"/>
        <w:rPr>
          <w:rFonts w:ascii="Times New Roman" w:eastAsia="Times New Roman" w:hAnsi="Times New Roman" w:cs="Times New Roman"/>
          <w:b/>
          <w:sz w:val="32"/>
          <w:szCs w:val="32"/>
        </w:rPr>
      </w:pPr>
    </w:p>
    <w:p w:rsidR="00F356C1" w:rsidRDefault="00F356C1" w:rsidP="002713B6">
      <w:pPr>
        <w:spacing w:line="360" w:lineRule="auto"/>
        <w:jc w:val="center"/>
        <w:rPr>
          <w:rFonts w:ascii="Times New Roman" w:eastAsia="Times New Roman" w:hAnsi="Times New Roman" w:cs="Times New Roman"/>
          <w:b/>
          <w:sz w:val="32"/>
          <w:szCs w:val="32"/>
        </w:rPr>
      </w:pPr>
    </w:p>
    <w:p w:rsidR="00F356C1" w:rsidRPr="003E0070" w:rsidRDefault="00F356C1" w:rsidP="003E0070">
      <w:pPr>
        <w:spacing w:line="360" w:lineRule="auto"/>
        <w:rPr>
          <w:rFonts w:eastAsia="Times New Roman"/>
          <w:b/>
          <w:sz w:val="52"/>
          <w:szCs w:val="52"/>
        </w:rPr>
      </w:pPr>
    </w:p>
    <w:p w:rsidR="00041857" w:rsidRDefault="00B61710" w:rsidP="002713B6">
      <w:pPr>
        <w:spacing w:line="360" w:lineRule="auto"/>
        <w:jc w:val="center"/>
        <w:rPr>
          <w:rFonts w:eastAsia="Times New Roman"/>
          <w:b/>
          <w:sz w:val="52"/>
          <w:szCs w:val="52"/>
        </w:rPr>
      </w:pPr>
      <w:r w:rsidRPr="003E0070">
        <w:rPr>
          <w:rFonts w:eastAsia="Times New Roman"/>
          <w:b/>
          <w:sz w:val="52"/>
          <w:szCs w:val="52"/>
        </w:rPr>
        <w:t xml:space="preserve">EMPLOYEE ENGAGEMENT </w:t>
      </w:r>
    </w:p>
    <w:p w:rsidR="003E0070" w:rsidRDefault="003E0070" w:rsidP="002713B6">
      <w:pPr>
        <w:spacing w:line="360" w:lineRule="auto"/>
        <w:jc w:val="center"/>
        <w:rPr>
          <w:rFonts w:eastAsia="Times New Roman"/>
          <w:b/>
          <w:sz w:val="52"/>
          <w:szCs w:val="52"/>
        </w:rPr>
      </w:pPr>
    </w:p>
    <w:p w:rsidR="00AD34FC" w:rsidRDefault="00AD34FC" w:rsidP="002713B6">
      <w:pPr>
        <w:spacing w:line="360" w:lineRule="auto"/>
        <w:jc w:val="center"/>
        <w:rPr>
          <w:rFonts w:eastAsia="Times New Roman"/>
          <w:b/>
          <w:sz w:val="52"/>
          <w:szCs w:val="52"/>
        </w:rPr>
      </w:pPr>
    </w:p>
    <w:p w:rsidR="00AD34FC" w:rsidRDefault="00AD34FC" w:rsidP="002713B6">
      <w:pPr>
        <w:spacing w:line="360" w:lineRule="auto"/>
        <w:jc w:val="center"/>
        <w:rPr>
          <w:rFonts w:eastAsia="Times New Roman"/>
          <w:b/>
          <w:sz w:val="52"/>
          <w:szCs w:val="52"/>
        </w:rPr>
      </w:pPr>
    </w:p>
    <w:p w:rsidR="00AD34FC" w:rsidRDefault="00AD34FC" w:rsidP="002713B6">
      <w:pPr>
        <w:spacing w:line="360" w:lineRule="auto"/>
        <w:jc w:val="center"/>
        <w:rPr>
          <w:rFonts w:eastAsia="Times New Roman"/>
          <w:b/>
          <w:sz w:val="52"/>
          <w:szCs w:val="52"/>
        </w:rPr>
      </w:pPr>
    </w:p>
    <w:p w:rsidR="003E0070" w:rsidRDefault="003E0070" w:rsidP="003E0070">
      <w:pPr>
        <w:spacing w:line="360" w:lineRule="auto"/>
        <w:rPr>
          <w:rFonts w:eastAsia="Times New Roman"/>
          <w:sz w:val="28"/>
          <w:szCs w:val="28"/>
        </w:rPr>
      </w:pPr>
      <w:r>
        <w:rPr>
          <w:rFonts w:eastAsia="Times New Roman"/>
          <w:b/>
          <w:sz w:val="28"/>
          <w:szCs w:val="28"/>
        </w:rPr>
        <w:t xml:space="preserve">Student Name: </w:t>
      </w:r>
      <w:r w:rsidRPr="003E0070">
        <w:rPr>
          <w:rFonts w:eastAsia="Times New Roman"/>
          <w:sz w:val="28"/>
          <w:szCs w:val="28"/>
        </w:rPr>
        <w:t>Simina Maria Suciu</w:t>
      </w:r>
    </w:p>
    <w:p w:rsidR="003E0070" w:rsidRDefault="003E0070" w:rsidP="003E0070">
      <w:pPr>
        <w:spacing w:line="360" w:lineRule="auto"/>
        <w:rPr>
          <w:rFonts w:eastAsia="Times New Roman"/>
          <w:sz w:val="28"/>
          <w:szCs w:val="28"/>
        </w:rPr>
      </w:pPr>
      <w:r w:rsidRPr="003E0070">
        <w:rPr>
          <w:rFonts w:eastAsia="Times New Roman"/>
          <w:b/>
          <w:sz w:val="28"/>
          <w:szCs w:val="28"/>
        </w:rPr>
        <w:t>Student ID:</w:t>
      </w:r>
      <w:r>
        <w:rPr>
          <w:rFonts w:eastAsia="Times New Roman"/>
          <w:b/>
          <w:sz w:val="28"/>
          <w:szCs w:val="28"/>
        </w:rPr>
        <w:t xml:space="preserve"> </w:t>
      </w:r>
      <w:r>
        <w:rPr>
          <w:rFonts w:eastAsia="Times New Roman"/>
          <w:sz w:val="28"/>
          <w:szCs w:val="28"/>
        </w:rPr>
        <w:t>2131600</w:t>
      </w:r>
    </w:p>
    <w:p w:rsidR="003E0070" w:rsidRPr="003E0070" w:rsidRDefault="003E0070" w:rsidP="003E0070">
      <w:pPr>
        <w:spacing w:line="360" w:lineRule="auto"/>
        <w:rPr>
          <w:sz w:val="28"/>
          <w:szCs w:val="28"/>
        </w:rPr>
      </w:pPr>
      <w:r>
        <w:rPr>
          <w:rFonts w:eastAsia="Times New Roman"/>
          <w:b/>
          <w:sz w:val="28"/>
          <w:szCs w:val="28"/>
        </w:rPr>
        <w:t xml:space="preserve">Module: </w:t>
      </w:r>
      <w:r w:rsidR="00AD34FC" w:rsidRPr="003E0070">
        <w:rPr>
          <w:sz w:val="28"/>
          <w:szCs w:val="28"/>
        </w:rPr>
        <w:t>BMIH5005</w:t>
      </w:r>
      <w:r w:rsidR="00AD34FC">
        <w:rPr>
          <w:sz w:val="28"/>
          <w:szCs w:val="28"/>
        </w:rPr>
        <w:t xml:space="preserve"> - </w:t>
      </w:r>
      <w:r w:rsidRPr="003E0070">
        <w:rPr>
          <w:sz w:val="28"/>
          <w:szCs w:val="28"/>
        </w:rPr>
        <w:t>Personnel Resourcing and Development</w:t>
      </w:r>
      <w:r w:rsidR="00AD34FC">
        <w:rPr>
          <w:sz w:val="28"/>
          <w:szCs w:val="28"/>
        </w:rPr>
        <w:t xml:space="preserve"> </w:t>
      </w:r>
    </w:p>
    <w:p w:rsidR="003E0070" w:rsidRPr="003E0070" w:rsidRDefault="003E0070" w:rsidP="003E0070">
      <w:pPr>
        <w:spacing w:line="360" w:lineRule="auto"/>
        <w:rPr>
          <w:sz w:val="28"/>
          <w:szCs w:val="28"/>
        </w:rPr>
      </w:pPr>
      <w:r>
        <w:rPr>
          <w:b/>
          <w:sz w:val="28"/>
          <w:szCs w:val="28"/>
        </w:rPr>
        <w:t>Lecturer</w:t>
      </w:r>
      <w:r w:rsidRPr="003E0070">
        <w:rPr>
          <w:b/>
          <w:sz w:val="28"/>
          <w:szCs w:val="28"/>
        </w:rPr>
        <w:t>:</w:t>
      </w:r>
      <w:r w:rsidRPr="003E0070">
        <w:rPr>
          <w:sz w:val="28"/>
          <w:szCs w:val="28"/>
        </w:rPr>
        <w:t xml:space="preserve"> Helen Evans</w:t>
      </w:r>
    </w:p>
    <w:p w:rsidR="003E0070" w:rsidRPr="003E0070" w:rsidRDefault="003E0070" w:rsidP="003E0070">
      <w:pPr>
        <w:spacing w:line="360" w:lineRule="auto"/>
        <w:rPr>
          <w:rFonts w:eastAsia="Times New Roman"/>
          <w:sz w:val="28"/>
          <w:szCs w:val="28"/>
        </w:rPr>
      </w:pPr>
    </w:p>
    <w:p w:rsidR="003E0070" w:rsidRPr="003E0070" w:rsidRDefault="003E0070" w:rsidP="003E0070">
      <w:pPr>
        <w:spacing w:line="360" w:lineRule="auto"/>
        <w:rPr>
          <w:rFonts w:eastAsia="Times New Roman"/>
          <w:b/>
          <w:sz w:val="28"/>
          <w:szCs w:val="28"/>
        </w:rPr>
      </w:pPr>
    </w:p>
    <w:p w:rsidR="003E0070" w:rsidRPr="003E0070" w:rsidRDefault="003E0070" w:rsidP="002713B6">
      <w:pPr>
        <w:spacing w:line="360" w:lineRule="auto"/>
        <w:jc w:val="center"/>
        <w:rPr>
          <w:rFonts w:ascii="Times New Roman" w:eastAsia="Times New Roman" w:hAnsi="Times New Roman" w:cs="Times New Roman"/>
          <w:b/>
          <w:sz w:val="52"/>
          <w:szCs w:val="52"/>
        </w:rPr>
      </w:pPr>
    </w:p>
    <w:p w:rsidR="00AF7705" w:rsidRPr="00F356C1" w:rsidRDefault="00AF7705" w:rsidP="002713B6">
      <w:pPr>
        <w:spacing w:line="360" w:lineRule="auto"/>
        <w:jc w:val="center"/>
        <w:rPr>
          <w:rFonts w:ascii="Times New Roman" w:eastAsia="Times New Roman" w:hAnsi="Times New Roman" w:cs="Times New Roman"/>
          <w:b/>
          <w:sz w:val="32"/>
          <w:szCs w:val="32"/>
        </w:rPr>
      </w:pPr>
    </w:p>
    <w:p w:rsidR="00AF7705" w:rsidRDefault="00B61710" w:rsidP="002713B6">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sz w:val="22"/>
          <w:szCs w:val="22"/>
          <w:lang w:eastAsia="en-IN"/>
        </w:rPr>
        <w:id w:val="-318510611"/>
        <w:docPartObj>
          <w:docPartGallery w:val="Table of Contents"/>
          <w:docPartUnique/>
        </w:docPartObj>
      </w:sdtPr>
      <w:sdtEndPr>
        <w:rPr>
          <w:b/>
          <w:bCs/>
          <w:noProof/>
          <w:color w:val="auto"/>
          <w:sz w:val="24"/>
          <w:szCs w:val="24"/>
        </w:rPr>
      </w:sdtEndPr>
      <w:sdtContent>
        <w:p w:rsidR="00AF7705" w:rsidRPr="00AF7705" w:rsidRDefault="00B61710" w:rsidP="00AD34FC">
          <w:pPr>
            <w:pStyle w:val="TOCHeading"/>
          </w:pPr>
          <w:r w:rsidRPr="00AF7705">
            <w:t>Table of Contents</w:t>
          </w:r>
        </w:p>
        <w:p w:rsidR="00AF7705" w:rsidRPr="00AD34FC" w:rsidRDefault="00D058FB" w:rsidP="002713B6">
          <w:pPr>
            <w:pStyle w:val="TOC1"/>
            <w:tabs>
              <w:tab w:val="right" w:leader="dot" w:pos="9350"/>
            </w:tabs>
            <w:spacing w:line="360" w:lineRule="auto"/>
            <w:jc w:val="both"/>
            <w:rPr>
              <w:rFonts w:eastAsiaTheme="minorEastAsia"/>
              <w:noProof/>
              <w:kern w:val="2"/>
              <w:sz w:val="24"/>
              <w:szCs w:val="24"/>
              <w:lang w:val="en-IN"/>
            </w:rPr>
          </w:pPr>
          <w:r w:rsidRPr="00AD34FC">
            <w:rPr>
              <w:sz w:val="24"/>
              <w:szCs w:val="24"/>
            </w:rPr>
            <w:fldChar w:fldCharType="begin"/>
          </w:r>
          <w:r w:rsidR="00B61710" w:rsidRPr="00AD34FC">
            <w:rPr>
              <w:sz w:val="24"/>
              <w:szCs w:val="24"/>
            </w:rPr>
            <w:instrText xml:space="preserve"> TOC \o "1-3" \h \z \u </w:instrText>
          </w:r>
          <w:r w:rsidRPr="00AD34FC">
            <w:rPr>
              <w:sz w:val="24"/>
              <w:szCs w:val="24"/>
            </w:rPr>
            <w:fldChar w:fldCharType="separate"/>
          </w:r>
          <w:hyperlink w:anchor="_Toc136722479" w:history="1">
            <w:r w:rsidR="00B61710" w:rsidRPr="00AD34FC">
              <w:rPr>
                <w:rStyle w:val="Hyperlink"/>
                <w:noProof/>
                <w:sz w:val="24"/>
                <w:szCs w:val="24"/>
              </w:rPr>
              <w:t>Introduction</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_Toc136722479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3</w:t>
            </w:r>
            <w:r w:rsidRPr="00AD34FC">
              <w:rPr>
                <w:noProof/>
                <w:webHidden/>
                <w:sz w:val="24"/>
                <w:szCs w:val="24"/>
              </w:rPr>
              <w:fldChar w:fldCharType="end"/>
            </w:r>
          </w:hyperlink>
        </w:p>
        <w:p w:rsidR="00AF7705" w:rsidRPr="00AD34FC" w:rsidRDefault="00D058FB" w:rsidP="002713B6">
          <w:pPr>
            <w:pStyle w:val="TOC1"/>
            <w:tabs>
              <w:tab w:val="right" w:leader="dot" w:pos="9350"/>
            </w:tabs>
            <w:spacing w:line="360" w:lineRule="auto"/>
            <w:jc w:val="both"/>
            <w:rPr>
              <w:rFonts w:eastAsiaTheme="minorEastAsia"/>
              <w:noProof/>
              <w:kern w:val="2"/>
              <w:sz w:val="24"/>
              <w:szCs w:val="24"/>
              <w:lang w:val="en-IN"/>
            </w:rPr>
          </w:pPr>
          <w:hyperlink w:anchor="_Toc136722480" w:history="1">
            <w:r w:rsidR="00B61710" w:rsidRPr="00AD34FC">
              <w:rPr>
                <w:rStyle w:val="Hyperlink"/>
                <w:noProof/>
                <w:sz w:val="24"/>
                <w:szCs w:val="24"/>
              </w:rPr>
              <w:t>Body</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_Toc136722480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3</w:t>
            </w:r>
            <w:r w:rsidRPr="00AD34FC">
              <w:rPr>
                <w:noProof/>
                <w:webHidden/>
                <w:sz w:val="24"/>
                <w:szCs w:val="24"/>
              </w:rPr>
              <w:fldChar w:fldCharType="end"/>
            </w:r>
          </w:hyperlink>
        </w:p>
        <w:p w:rsidR="00AF7705" w:rsidRPr="00AD34FC" w:rsidRDefault="00D058FB" w:rsidP="002713B6">
          <w:pPr>
            <w:pStyle w:val="TOC2"/>
            <w:tabs>
              <w:tab w:val="right" w:leader="dot" w:pos="9350"/>
            </w:tabs>
            <w:spacing w:line="360" w:lineRule="auto"/>
            <w:jc w:val="both"/>
            <w:rPr>
              <w:rFonts w:eastAsiaTheme="minorEastAsia"/>
              <w:noProof/>
              <w:kern w:val="2"/>
              <w:sz w:val="24"/>
              <w:szCs w:val="24"/>
              <w:lang w:val="en-IN"/>
            </w:rPr>
          </w:pPr>
          <w:hyperlink w:anchor="_Toc136722481" w:history="1">
            <w:r w:rsidR="00B61710" w:rsidRPr="00AD34FC">
              <w:rPr>
                <w:rStyle w:val="Hyperlink"/>
                <w:noProof/>
                <w:sz w:val="24"/>
                <w:szCs w:val="24"/>
              </w:rPr>
              <w:t>Attraction:</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w:instrText>
            </w:r>
            <w:r w:rsidR="00B61710" w:rsidRPr="00AD34FC">
              <w:rPr>
                <w:noProof/>
                <w:webHidden/>
                <w:sz w:val="24"/>
                <w:szCs w:val="24"/>
              </w:rPr>
              <w:instrText xml:space="preserve">722481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3</w:t>
            </w:r>
            <w:r w:rsidRPr="00AD34FC">
              <w:rPr>
                <w:noProof/>
                <w:webHidden/>
                <w:sz w:val="24"/>
                <w:szCs w:val="24"/>
              </w:rPr>
              <w:fldChar w:fldCharType="end"/>
            </w:r>
          </w:hyperlink>
        </w:p>
        <w:p w:rsidR="00AF7705" w:rsidRPr="00AD34FC" w:rsidRDefault="00D058FB" w:rsidP="002713B6">
          <w:pPr>
            <w:pStyle w:val="TOC2"/>
            <w:tabs>
              <w:tab w:val="right" w:leader="dot" w:pos="9350"/>
            </w:tabs>
            <w:spacing w:line="360" w:lineRule="auto"/>
            <w:jc w:val="both"/>
            <w:rPr>
              <w:rFonts w:eastAsiaTheme="minorEastAsia"/>
              <w:noProof/>
              <w:kern w:val="2"/>
              <w:sz w:val="24"/>
              <w:szCs w:val="24"/>
              <w:lang w:val="en-IN"/>
            </w:rPr>
          </w:pPr>
          <w:hyperlink w:anchor="_Toc136722482" w:history="1">
            <w:r w:rsidR="00B61710" w:rsidRPr="00AD34FC">
              <w:rPr>
                <w:rStyle w:val="Hyperlink"/>
                <w:noProof/>
                <w:sz w:val="24"/>
                <w:szCs w:val="24"/>
              </w:rPr>
              <w:t>Recruitment</w:t>
            </w:r>
            <w:r w:rsidR="00B61710" w:rsidRPr="00AD34FC">
              <w:rPr>
                <w:rStyle w:val="Hyperlink"/>
                <w:noProof/>
                <w:sz w:val="24"/>
                <w:szCs w:val="24"/>
              </w:rPr>
              <w:t>:</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_Toc136722482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3</w:t>
            </w:r>
            <w:r w:rsidRPr="00AD34FC">
              <w:rPr>
                <w:noProof/>
                <w:webHidden/>
                <w:sz w:val="24"/>
                <w:szCs w:val="24"/>
              </w:rPr>
              <w:fldChar w:fldCharType="end"/>
            </w:r>
          </w:hyperlink>
        </w:p>
        <w:p w:rsidR="00AF7705" w:rsidRPr="00AD34FC" w:rsidRDefault="00D058FB" w:rsidP="002713B6">
          <w:pPr>
            <w:pStyle w:val="TOC2"/>
            <w:tabs>
              <w:tab w:val="right" w:leader="dot" w:pos="9350"/>
            </w:tabs>
            <w:spacing w:line="360" w:lineRule="auto"/>
            <w:jc w:val="both"/>
            <w:rPr>
              <w:rFonts w:eastAsiaTheme="minorEastAsia"/>
              <w:noProof/>
              <w:kern w:val="2"/>
              <w:sz w:val="24"/>
              <w:szCs w:val="24"/>
              <w:lang w:val="en-IN"/>
            </w:rPr>
          </w:pPr>
          <w:hyperlink w:anchor="_Toc136722483" w:history="1">
            <w:r w:rsidR="00B61710" w:rsidRPr="00AD34FC">
              <w:rPr>
                <w:rStyle w:val="Hyperlink"/>
                <w:noProof/>
                <w:sz w:val="24"/>
                <w:szCs w:val="24"/>
              </w:rPr>
              <w:t>Onboarding:</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_Toc136722483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3</w:t>
            </w:r>
            <w:r w:rsidRPr="00AD34FC">
              <w:rPr>
                <w:noProof/>
                <w:webHidden/>
                <w:sz w:val="24"/>
                <w:szCs w:val="24"/>
              </w:rPr>
              <w:fldChar w:fldCharType="end"/>
            </w:r>
          </w:hyperlink>
        </w:p>
        <w:p w:rsidR="00AF7705" w:rsidRPr="00AD34FC" w:rsidRDefault="00D058FB" w:rsidP="002713B6">
          <w:pPr>
            <w:pStyle w:val="TOC2"/>
            <w:tabs>
              <w:tab w:val="right" w:leader="dot" w:pos="9350"/>
            </w:tabs>
            <w:spacing w:line="360" w:lineRule="auto"/>
            <w:jc w:val="both"/>
            <w:rPr>
              <w:rFonts w:eastAsiaTheme="minorEastAsia"/>
              <w:noProof/>
              <w:kern w:val="2"/>
              <w:sz w:val="24"/>
              <w:szCs w:val="24"/>
              <w:lang w:val="en-IN"/>
            </w:rPr>
          </w:pPr>
          <w:hyperlink w:anchor="_Toc136722484" w:history="1">
            <w:r w:rsidR="00B61710" w:rsidRPr="00AD34FC">
              <w:rPr>
                <w:rStyle w:val="Hyperlink"/>
                <w:noProof/>
                <w:sz w:val="24"/>
                <w:szCs w:val="24"/>
              </w:rPr>
              <w:t>Development:</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w:instrText>
            </w:r>
            <w:r w:rsidR="00B61710" w:rsidRPr="00AD34FC">
              <w:rPr>
                <w:noProof/>
                <w:webHidden/>
                <w:sz w:val="24"/>
                <w:szCs w:val="24"/>
              </w:rPr>
              <w:instrText xml:space="preserve">_Toc136722484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4</w:t>
            </w:r>
            <w:r w:rsidRPr="00AD34FC">
              <w:rPr>
                <w:noProof/>
                <w:webHidden/>
                <w:sz w:val="24"/>
                <w:szCs w:val="24"/>
              </w:rPr>
              <w:fldChar w:fldCharType="end"/>
            </w:r>
          </w:hyperlink>
        </w:p>
        <w:p w:rsidR="00AF7705" w:rsidRPr="00AD34FC" w:rsidRDefault="00D058FB" w:rsidP="002713B6">
          <w:pPr>
            <w:pStyle w:val="TOC2"/>
            <w:tabs>
              <w:tab w:val="right" w:leader="dot" w:pos="9350"/>
            </w:tabs>
            <w:spacing w:line="360" w:lineRule="auto"/>
            <w:jc w:val="both"/>
            <w:rPr>
              <w:rFonts w:eastAsiaTheme="minorEastAsia"/>
              <w:noProof/>
              <w:kern w:val="2"/>
              <w:sz w:val="24"/>
              <w:szCs w:val="24"/>
              <w:lang w:val="en-IN"/>
            </w:rPr>
          </w:pPr>
          <w:hyperlink w:anchor="_Toc136722485" w:history="1">
            <w:r w:rsidR="00B61710" w:rsidRPr="00AD34FC">
              <w:rPr>
                <w:rStyle w:val="Hyperlink"/>
                <w:noProof/>
                <w:sz w:val="24"/>
                <w:szCs w:val="24"/>
              </w:rPr>
              <w:t>Retention:</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_Toc136722485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4</w:t>
            </w:r>
            <w:r w:rsidRPr="00AD34FC">
              <w:rPr>
                <w:noProof/>
                <w:webHidden/>
                <w:sz w:val="24"/>
                <w:szCs w:val="24"/>
              </w:rPr>
              <w:fldChar w:fldCharType="end"/>
            </w:r>
          </w:hyperlink>
        </w:p>
        <w:p w:rsidR="00AF7705" w:rsidRPr="00AD34FC" w:rsidRDefault="00D058FB" w:rsidP="002713B6">
          <w:pPr>
            <w:pStyle w:val="TOC2"/>
            <w:tabs>
              <w:tab w:val="right" w:leader="dot" w:pos="9350"/>
            </w:tabs>
            <w:spacing w:line="360" w:lineRule="auto"/>
            <w:jc w:val="both"/>
            <w:rPr>
              <w:rFonts w:eastAsiaTheme="minorEastAsia"/>
              <w:noProof/>
              <w:kern w:val="2"/>
              <w:sz w:val="24"/>
              <w:szCs w:val="24"/>
              <w:lang w:val="en-IN"/>
            </w:rPr>
          </w:pPr>
          <w:hyperlink w:anchor="_Toc136722486" w:history="1">
            <w:r w:rsidR="00B61710" w:rsidRPr="00AD34FC">
              <w:rPr>
                <w:rStyle w:val="Hyperlink"/>
                <w:noProof/>
                <w:sz w:val="24"/>
                <w:szCs w:val="24"/>
              </w:rPr>
              <w:t>Separation:</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_Toc136722486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4</w:t>
            </w:r>
            <w:r w:rsidRPr="00AD34FC">
              <w:rPr>
                <w:noProof/>
                <w:webHidden/>
                <w:sz w:val="24"/>
                <w:szCs w:val="24"/>
              </w:rPr>
              <w:fldChar w:fldCharType="end"/>
            </w:r>
          </w:hyperlink>
        </w:p>
        <w:p w:rsidR="00AF7705" w:rsidRPr="00AD34FC" w:rsidRDefault="00D058FB" w:rsidP="002713B6">
          <w:pPr>
            <w:pStyle w:val="TOC2"/>
            <w:tabs>
              <w:tab w:val="right" w:leader="dot" w:pos="9350"/>
            </w:tabs>
            <w:spacing w:line="360" w:lineRule="auto"/>
            <w:jc w:val="both"/>
            <w:rPr>
              <w:rFonts w:eastAsiaTheme="minorEastAsia"/>
              <w:noProof/>
              <w:kern w:val="2"/>
              <w:sz w:val="24"/>
              <w:szCs w:val="24"/>
              <w:lang w:val="en-IN"/>
            </w:rPr>
          </w:pPr>
          <w:hyperlink w:anchor="_Toc136722487" w:history="1">
            <w:r w:rsidR="00B61710" w:rsidRPr="00AD34FC">
              <w:rPr>
                <w:rStyle w:val="Hyperlink"/>
                <w:noProof/>
                <w:sz w:val="24"/>
                <w:szCs w:val="24"/>
              </w:rPr>
              <w:t>Analysis</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w:instrText>
            </w:r>
            <w:r w:rsidR="00B61710" w:rsidRPr="00AD34FC">
              <w:rPr>
                <w:noProof/>
                <w:webHidden/>
                <w:sz w:val="24"/>
                <w:szCs w:val="24"/>
              </w:rPr>
              <w:instrText xml:space="preserve">136722487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4</w:t>
            </w:r>
            <w:r w:rsidRPr="00AD34FC">
              <w:rPr>
                <w:noProof/>
                <w:webHidden/>
                <w:sz w:val="24"/>
                <w:szCs w:val="24"/>
              </w:rPr>
              <w:fldChar w:fldCharType="end"/>
            </w:r>
          </w:hyperlink>
        </w:p>
        <w:p w:rsidR="00AF7705" w:rsidRPr="00AD34FC" w:rsidRDefault="00D058FB" w:rsidP="002713B6">
          <w:pPr>
            <w:pStyle w:val="TOC2"/>
            <w:tabs>
              <w:tab w:val="right" w:leader="dot" w:pos="9350"/>
            </w:tabs>
            <w:spacing w:line="360" w:lineRule="auto"/>
            <w:jc w:val="both"/>
            <w:rPr>
              <w:rFonts w:eastAsiaTheme="minorEastAsia"/>
              <w:noProof/>
              <w:kern w:val="2"/>
              <w:sz w:val="24"/>
              <w:szCs w:val="24"/>
              <w:lang w:val="en-IN"/>
            </w:rPr>
          </w:pPr>
          <w:hyperlink w:anchor="_Toc136722488" w:history="1">
            <w:r w:rsidR="00B61710" w:rsidRPr="00AD34FC">
              <w:rPr>
                <w:rStyle w:val="Hyperlink"/>
                <w:noProof/>
                <w:sz w:val="24"/>
                <w:szCs w:val="24"/>
              </w:rPr>
              <w:t>Benefits of Engagement and Best Practice Examples:</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_Toc136722488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6</w:t>
            </w:r>
            <w:r w:rsidRPr="00AD34FC">
              <w:rPr>
                <w:noProof/>
                <w:webHidden/>
                <w:sz w:val="24"/>
                <w:szCs w:val="24"/>
              </w:rPr>
              <w:fldChar w:fldCharType="end"/>
            </w:r>
          </w:hyperlink>
        </w:p>
        <w:p w:rsidR="00AF7705" w:rsidRPr="00AD34FC" w:rsidRDefault="00D058FB" w:rsidP="002713B6">
          <w:pPr>
            <w:pStyle w:val="TOC1"/>
            <w:tabs>
              <w:tab w:val="right" w:leader="dot" w:pos="9350"/>
            </w:tabs>
            <w:spacing w:line="360" w:lineRule="auto"/>
            <w:jc w:val="both"/>
            <w:rPr>
              <w:rFonts w:eastAsiaTheme="minorEastAsia"/>
              <w:noProof/>
              <w:kern w:val="2"/>
              <w:sz w:val="24"/>
              <w:szCs w:val="24"/>
              <w:lang w:val="en-IN"/>
            </w:rPr>
          </w:pPr>
          <w:hyperlink w:anchor="_Toc136722489" w:history="1">
            <w:r w:rsidR="00B61710" w:rsidRPr="00AD34FC">
              <w:rPr>
                <w:rStyle w:val="Hyperlink"/>
                <w:noProof/>
                <w:sz w:val="24"/>
                <w:szCs w:val="24"/>
              </w:rPr>
              <w:t>Recommendation</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_Toc136722489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7</w:t>
            </w:r>
            <w:r w:rsidRPr="00AD34FC">
              <w:rPr>
                <w:noProof/>
                <w:webHidden/>
                <w:sz w:val="24"/>
                <w:szCs w:val="24"/>
              </w:rPr>
              <w:fldChar w:fldCharType="end"/>
            </w:r>
          </w:hyperlink>
        </w:p>
        <w:p w:rsidR="00AF7705" w:rsidRPr="00AD34FC" w:rsidRDefault="00D058FB" w:rsidP="002713B6">
          <w:pPr>
            <w:pStyle w:val="TOC1"/>
            <w:tabs>
              <w:tab w:val="right" w:leader="dot" w:pos="9350"/>
            </w:tabs>
            <w:spacing w:line="360" w:lineRule="auto"/>
            <w:jc w:val="both"/>
            <w:rPr>
              <w:rFonts w:eastAsiaTheme="minorEastAsia"/>
              <w:noProof/>
              <w:kern w:val="2"/>
              <w:sz w:val="24"/>
              <w:szCs w:val="24"/>
              <w:lang w:val="en-IN"/>
            </w:rPr>
          </w:pPr>
          <w:hyperlink w:anchor="_Toc136722490" w:history="1">
            <w:r w:rsidR="00B61710" w:rsidRPr="00AD34FC">
              <w:rPr>
                <w:rStyle w:val="Hyperlink"/>
                <w:noProof/>
                <w:sz w:val="24"/>
                <w:szCs w:val="24"/>
              </w:rPr>
              <w:t>Conclusion</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_Toc136722490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7</w:t>
            </w:r>
            <w:r w:rsidRPr="00AD34FC">
              <w:rPr>
                <w:noProof/>
                <w:webHidden/>
                <w:sz w:val="24"/>
                <w:szCs w:val="24"/>
              </w:rPr>
              <w:fldChar w:fldCharType="end"/>
            </w:r>
          </w:hyperlink>
        </w:p>
        <w:p w:rsidR="00AF7705" w:rsidRPr="00AD34FC" w:rsidRDefault="00D058FB" w:rsidP="002713B6">
          <w:pPr>
            <w:pStyle w:val="TOC1"/>
            <w:tabs>
              <w:tab w:val="right" w:leader="dot" w:pos="9350"/>
            </w:tabs>
            <w:spacing w:line="360" w:lineRule="auto"/>
            <w:jc w:val="both"/>
            <w:rPr>
              <w:rFonts w:eastAsiaTheme="minorEastAsia"/>
              <w:noProof/>
              <w:kern w:val="2"/>
              <w:sz w:val="24"/>
              <w:szCs w:val="24"/>
              <w:lang w:val="en-IN"/>
            </w:rPr>
          </w:pPr>
          <w:hyperlink w:anchor="_Toc136722491" w:history="1">
            <w:r w:rsidR="00B61710" w:rsidRPr="00AD34FC">
              <w:rPr>
                <w:rStyle w:val="Hyperlink"/>
                <w:noProof/>
                <w:sz w:val="24"/>
                <w:szCs w:val="24"/>
              </w:rPr>
              <w:t>References</w:t>
            </w:r>
            <w:r w:rsidR="00B61710" w:rsidRPr="00AD34FC">
              <w:rPr>
                <w:noProof/>
                <w:webHidden/>
                <w:sz w:val="24"/>
                <w:szCs w:val="24"/>
              </w:rPr>
              <w:tab/>
            </w:r>
            <w:r w:rsidRPr="00AD34FC">
              <w:rPr>
                <w:noProof/>
                <w:webHidden/>
                <w:sz w:val="24"/>
                <w:szCs w:val="24"/>
              </w:rPr>
              <w:fldChar w:fldCharType="begin"/>
            </w:r>
            <w:r w:rsidR="00B61710" w:rsidRPr="00AD34FC">
              <w:rPr>
                <w:noProof/>
                <w:webHidden/>
                <w:sz w:val="24"/>
                <w:szCs w:val="24"/>
              </w:rPr>
              <w:instrText xml:space="preserve"> PAGEREF _Toc136722491 \h </w:instrText>
            </w:r>
            <w:r w:rsidRPr="00AD34FC">
              <w:rPr>
                <w:noProof/>
                <w:webHidden/>
                <w:sz w:val="24"/>
                <w:szCs w:val="24"/>
              </w:rPr>
            </w:r>
            <w:r w:rsidRPr="00AD34FC">
              <w:rPr>
                <w:noProof/>
                <w:webHidden/>
                <w:sz w:val="24"/>
                <w:szCs w:val="24"/>
              </w:rPr>
              <w:fldChar w:fldCharType="separate"/>
            </w:r>
            <w:r w:rsidR="00B61710" w:rsidRPr="00AD34FC">
              <w:rPr>
                <w:noProof/>
                <w:webHidden/>
                <w:sz w:val="24"/>
                <w:szCs w:val="24"/>
              </w:rPr>
              <w:t>9</w:t>
            </w:r>
            <w:r w:rsidRPr="00AD34FC">
              <w:rPr>
                <w:noProof/>
                <w:webHidden/>
                <w:sz w:val="24"/>
                <w:szCs w:val="24"/>
              </w:rPr>
              <w:fldChar w:fldCharType="end"/>
            </w:r>
          </w:hyperlink>
        </w:p>
        <w:p w:rsidR="00AF7705" w:rsidRDefault="00D058FB" w:rsidP="002713B6">
          <w:pPr>
            <w:spacing w:line="360" w:lineRule="auto"/>
            <w:jc w:val="both"/>
          </w:pPr>
          <w:r w:rsidRPr="00AD34FC">
            <w:rPr>
              <w:b/>
              <w:bCs/>
              <w:noProof/>
              <w:sz w:val="24"/>
              <w:szCs w:val="24"/>
            </w:rPr>
            <w:fldChar w:fldCharType="end"/>
          </w:r>
        </w:p>
      </w:sdtContent>
    </w:sdt>
    <w:p w:rsidR="00041857" w:rsidRPr="007362C9" w:rsidRDefault="00B61710" w:rsidP="002713B6">
      <w:pPr>
        <w:spacing w:line="360" w:lineRule="auto"/>
        <w:rPr>
          <w:rFonts w:ascii="Times New Roman" w:eastAsia="Times New Roman" w:hAnsi="Times New Roman" w:cs="Times New Roman"/>
          <w:sz w:val="24"/>
          <w:szCs w:val="24"/>
        </w:rPr>
      </w:pPr>
      <w:r w:rsidRPr="007362C9">
        <w:br w:type="page"/>
      </w:r>
    </w:p>
    <w:p w:rsidR="00041857" w:rsidRPr="003E0070" w:rsidRDefault="00B61710" w:rsidP="00AD34FC">
      <w:pPr>
        <w:pStyle w:val="Heading1"/>
      </w:pPr>
      <w:bookmarkStart w:id="0" w:name="_Toc136722479"/>
      <w:r w:rsidRPr="003E0070">
        <w:lastRenderedPageBreak/>
        <w:t>Introduction</w:t>
      </w:r>
      <w:bookmarkEnd w:id="0"/>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Success at The Tower Hotel hinges on how skillfully the human resources division develops and nurtures talent. HR practitioners use a variety of techniques and actions collectively referred to as talent management to seek, hire, onboard, develop, retain, a</w:t>
      </w:r>
      <w:r w:rsidRPr="003E0070">
        <w:rPr>
          <w:rFonts w:eastAsia="Times New Roman"/>
          <w:sz w:val="24"/>
          <w:szCs w:val="24"/>
        </w:rPr>
        <w:t>nd let go of people during the course of their employment. Talent management and development are essential because a talented and motivated staff positively impacts the team and organisational performance. In this article, we'll look at the employee lifecy</w:t>
      </w:r>
      <w:r w:rsidRPr="003E0070">
        <w:rPr>
          <w:rFonts w:eastAsia="Times New Roman"/>
          <w:sz w:val="24"/>
          <w:szCs w:val="24"/>
        </w:rPr>
        <w:t>cle in the context of The Tower Hotel and outline the key responsibilities of the HR department at each stage. We'll give examples of industry best practices and explain how these initiatives could boost the productivity of groups and enterprises.</w:t>
      </w:r>
    </w:p>
    <w:p w:rsidR="00041857" w:rsidRPr="003E0070" w:rsidRDefault="00B61710" w:rsidP="00AD34FC">
      <w:pPr>
        <w:pStyle w:val="Heading1"/>
      </w:pPr>
      <w:bookmarkStart w:id="1" w:name="_Toc136722480"/>
      <w:r w:rsidRPr="003E0070">
        <w:t>Body</w:t>
      </w:r>
      <w:bookmarkEnd w:id="1"/>
    </w:p>
    <w:p w:rsidR="00041857" w:rsidRPr="003E0070" w:rsidRDefault="00B61710" w:rsidP="002713B6">
      <w:pPr>
        <w:pStyle w:val="Heading2"/>
        <w:rPr>
          <w:rFonts w:ascii="Arial" w:hAnsi="Arial"/>
          <w:sz w:val="24"/>
          <w:szCs w:val="24"/>
        </w:rPr>
      </w:pPr>
      <w:bookmarkStart w:id="2" w:name="_Toc136722481"/>
      <w:r w:rsidRPr="003E0070">
        <w:rPr>
          <w:rFonts w:ascii="Arial" w:hAnsi="Arial"/>
          <w:sz w:val="24"/>
          <w:szCs w:val="24"/>
        </w:rPr>
        <w:t>Att</w:t>
      </w:r>
      <w:r w:rsidRPr="003E0070">
        <w:rPr>
          <w:rFonts w:ascii="Arial" w:hAnsi="Arial"/>
          <w:sz w:val="24"/>
          <w:szCs w:val="24"/>
        </w:rPr>
        <w:t>raction:</w:t>
      </w:r>
      <w:bookmarkEnd w:id="2"/>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The Tower Hotel's HR division is crucial in luring smart individuals to work for the organisation. By properly promoting the hotel's unique selling points, culture, and career opportunities, HR can create a desired employer brand. To accomplish th</w:t>
      </w:r>
      <w:r w:rsidRPr="003E0070">
        <w:rPr>
          <w:rFonts w:eastAsia="Times New Roman"/>
          <w:sz w:val="24"/>
          <w:szCs w:val="24"/>
        </w:rPr>
        <w:t>is, you must build websites with appealing job posts, use social media, and go to business gatherings and job fairs. The HR department works to ensure that the company has a strong talent pipeline by attracting a wide range of competent candidates.</w:t>
      </w:r>
    </w:p>
    <w:p w:rsidR="00041857" w:rsidRPr="003E0070" w:rsidRDefault="00B61710" w:rsidP="002713B6">
      <w:pPr>
        <w:pStyle w:val="Heading2"/>
        <w:rPr>
          <w:rFonts w:ascii="Arial" w:hAnsi="Arial"/>
          <w:sz w:val="24"/>
          <w:szCs w:val="24"/>
        </w:rPr>
      </w:pPr>
      <w:bookmarkStart w:id="3" w:name="_Toc136722482"/>
      <w:r w:rsidRPr="003E0070">
        <w:rPr>
          <w:rFonts w:ascii="Arial" w:hAnsi="Arial"/>
          <w:sz w:val="24"/>
          <w:szCs w:val="24"/>
        </w:rPr>
        <w:t>Recruit</w:t>
      </w:r>
      <w:r w:rsidRPr="003E0070">
        <w:rPr>
          <w:rFonts w:ascii="Arial" w:hAnsi="Arial"/>
          <w:sz w:val="24"/>
          <w:szCs w:val="24"/>
        </w:rPr>
        <w:t>ment:</w:t>
      </w:r>
      <w:bookmarkEnd w:id="3"/>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The Tower Hotel's human resources division is responsible for employing new staff members and overseeing the hiring procedure. They interview candidates, review applications, and evaluate applicants based on their educational background, skill set, a</w:t>
      </w:r>
      <w:r w:rsidRPr="003E0070">
        <w:rPr>
          <w:rFonts w:eastAsia="Times New Roman"/>
          <w:sz w:val="24"/>
          <w:szCs w:val="24"/>
        </w:rPr>
        <w:t>nd cultural fit with the hotel (</w:t>
      </w:r>
      <w:r w:rsidRPr="003E0070">
        <w:rPr>
          <w:rFonts w:eastAsia="Times New Roman"/>
          <w:sz w:val="24"/>
          <w:szCs w:val="24"/>
          <w:highlight w:val="white"/>
        </w:rPr>
        <w:t>Sun and Bunchapattanasakda, 2019</w:t>
      </w:r>
      <w:r w:rsidRPr="003E0070">
        <w:rPr>
          <w:rFonts w:eastAsia="Times New Roman"/>
          <w:sz w:val="24"/>
          <w:szCs w:val="24"/>
        </w:rPr>
        <w:t xml:space="preserve">). The HR team searches and selects the best candidates for open positions using a variety of academic institutions, business networks, and online job sites. By choosing the best candidates, </w:t>
      </w:r>
      <w:r w:rsidRPr="003E0070">
        <w:rPr>
          <w:rFonts w:eastAsia="Times New Roman"/>
          <w:sz w:val="24"/>
          <w:szCs w:val="24"/>
        </w:rPr>
        <w:lastRenderedPageBreak/>
        <w:t>t</w:t>
      </w:r>
      <w:r w:rsidRPr="003E0070">
        <w:rPr>
          <w:rFonts w:eastAsia="Times New Roman"/>
          <w:sz w:val="24"/>
          <w:szCs w:val="24"/>
        </w:rPr>
        <w:t>he HR division contributes to raising the level of competence and general quality of the hotel staff.</w:t>
      </w:r>
    </w:p>
    <w:p w:rsidR="00041857" w:rsidRPr="003E0070" w:rsidRDefault="00B61710" w:rsidP="002713B6">
      <w:pPr>
        <w:pStyle w:val="Heading2"/>
        <w:rPr>
          <w:rFonts w:ascii="Arial" w:hAnsi="Arial"/>
          <w:sz w:val="24"/>
          <w:szCs w:val="24"/>
        </w:rPr>
      </w:pPr>
      <w:bookmarkStart w:id="4" w:name="_Toc136722483"/>
      <w:r w:rsidRPr="003E0070">
        <w:rPr>
          <w:rFonts w:ascii="Arial" w:hAnsi="Arial"/>
          <w:sz w:val="24"/>
          <w:szCs w:val="24"/>
        </w:rPr>
        <w:t>Onboarding:</w:t>
      </w:r>
      <w:bookmarkEnd w:id="4"/>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If new hires are to feel at home, supported, and ready to contribute straight away to The Tower Hotel, effective onboarding is crucial. The HR</w:t>
      </w:r>
      <w:r w:rsidRPr="003E0070">
        <w:rPr>
          <w:rFonts w:eastAsia="Times New Roman"/>
          <w:sz w:val="24"/>
          <w:szCs w:val="24"/>
        </w:rPr>
        <w:t xml:space="preserve"> department creates and implements a successful onboarding plan to acquaint new hires with the hotel's culture, values, rules, and procedures. This involves identifying friends or mentors, providing in-depth teaching, and encouraging networking opportuniti</w:t>
      </w:r>
      <w:r w:rsidRPr="003E0070">
        <w:rPr>
          <w:rFonts w:eastAsia="Times New Roman"/>
          <w:sz w:val="24"/>
          <w:szCs w:val="24"/>
        </w:rPr>
        <w:t>es. By facilitating the company's seamless workforce integration, HR aids in raising employee engagement and productivity.</w:t>
      </w:r>
    </w:p>
    <w:p w:rsidR="00041857" w:rsidRPr="003E0070" w:rsidRDefault="00B61710" w:rsidP="002713B6">
      <w:pPr>
        <w:pStyle w:val="Heading2"/>
        <w:rPr>
          <w:rFonts w:ascii="Arial" w:hAnsi="Arial"/>
          <w:sz w:val="24"/>
          <w:szCs w:val="24"/>
        </w:rPr>
      </w:pPr>
      <w:bookmarkStart w:id="5" w:name="_Toc136722484"/>
      <w:r w:rsidRPr="003E0070">
        <w:rPr>
          <w:rFonts w:ascii="Arial" w:hAnsi="Arial"/>
          <w:sz w:val="24"/>
          <w:szCs w:val="24"/>
        </w:rPr>
        <w:t>Development:</w:t>
      </w:r>
      <w:bookmarkEnd w:id="5"/>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To encourage growth and professional advancement, The Tower Hotel's HR department places great value on developing staff</w:t>
      </w:r>
      <w:r w:rsidRPr="003E0070">
        <w:rPr>
          <w:rFonts w:eastAsia="Times New Roman"/>
          <w:sz w:val="24"/>
          <w:szCs w:val="24"/>
        </w:rPr>
        <w:t xml:space="preserve"> members' abilities, expertise, and skills. To assess the need for training and develop customised training courses, HR professionals collaborate with department managers. Opportunities for cross-functional projects, leadership development initiatives, and</w:t>
      </w:r>
      <w:r w:rsidRPr="003E0070">
        <w:rPr>
          <w:rFonts w:eastAsia="Times New Roman"/>
          <w:sz w:val="24"/>
          <w:szCs w:val="24"/>
        </w:rPr>
        <w:t xml:space="preserve"> the development of technical skills may be presented via these courses. By supporting employee development, which improves both individual and team performance, the HR department aids in the creation of knowledgeable and motivated workers.</w:t>
      </w:r>
    </w:p>
    <w:p w:rsidR="00041857" w:rsidRPr="003E0070" w:rsidRDefault="00B61710" w:rsidP="002713B6">
      <w:pPr>
        <w:pStyle w:val="Heading2"/>
        <w:rPr>
          <w:rFonts w:ascii="Arial" w:hAnsi="Arial"/>
          <w:sz w:val="24"/>
          <w:szCs w:val="24"/>
        </w:rPr>
      </w:pPr>
      <w:bookmarkStart w:id="6" w:name="_Toc136722485"/>
      <w:r w:rsidRPr="003E0070">
        <w:rPr>
          <w:rFonts w:ascii="Arial" w:hAnsi="Arial"/>
          <w:sz w:val="24"/>
          <w:szCs w:val="24"/>
        </w:rPr>
        <w:t>Retention:</w:t>
      </w:r>
      <w:bookmarkEnd w:id="6"/>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 xml:space="preserve">The </w:t>
      </w:r>
      <w:r w:rsidRPr="003E0070">
        <w:rPr>
          <w:rFonts w:eastAsia="Times New Roman"/>
          <w:sz w:val="24"/>
          <w:szCs w:val="24"/>
        </w:rPr>
        <w:t>Tower Hotel's HR team places a great priority on keeping qualified employees. Plans for a pleasant environment, employee engagement, and work-life balance are put into action. Providing fair remuneration and benefits, recognising and rewarding great perfor</w:t>
      </w:r>
      <w:r w:rsidRPr="003E0070">
        <w:rPr>
          <w:rFonts w:eastAsia="Times New Roman"/>
          <w:sz w:val="24"/>
          <w:szCs w:val="24"/>
        </w:rPr>
        <w:t>mance, offering opportunities for professional advancement, and fostering a welcoming workplace that values diversity and inclusion are a few examples of how to accomplish this (</w:t>
      </w:r>
      <w:r w:rsidRPr="003E0070">
        <w:rPr>
          <w:rFonts w:eastAsia="Times New Roman"/>
          <w:sz w:val="24"/>
          <w:szCs w:val="24"/>
          <w:highlight w:val="white"/>
        </w:rPr>
        <w:t>Kwon and Kim, 2020</w:t>
      </w:r>
      <w:r w:rsidRPr="003E0070">
        <w:rPr>
          <w:rFonts w:eastAsia="Times New Roman"/>
          <w:sz w:val="24"/>
          <w:szCs w:val="24"/>
        </w:rPr>
        <w:t xml:space="preserve">). The HR department also incorporates retention strategies </w:t>
      </w:r>
      <w:r w:rsidRPr="003E0070">
        <w:rPr>
          <w:rFonts w:eastAsia="Times New Roman"/>
          <w:sz w:val="24"/>
          <w:szCs w:val="24"/>
        </w:rPr>
        <w:t xml:space="preserve">like flexible scheduling and employee wellness programmes, in addition to </w:t>
      </w:r>
      <w:r w:rsidRPr="003E0070">
        <w:rPr>
          <w:rFonts w:eastAsia="Times New Roman"/>
          <w:sz w:val="24"/>
          <w:szCs w:val="24"/>
        </w:rPr>
        <w:lastRenderedPageBreak/>
        <w:t>routine performance assessments, feedback, and coaching. By putting a high priority on employee retention, the HR division preserves knowledge continuity and lowers the costs associa</w:t>
      </w:r>
      <w:r w:rsidRPr="003E0070">
        <w:rPr>
          <w:rFonts w:eastAsia="Times New Roman"/>
          <w:sz w:val="24"/>
          <w:szCs w:val="24"/>
        </w:rPr>
        <w:t>ted with turnover.</w:t>
      </w:r>
    </w:p>
    <w:p w:rsidR="00041857" w:rsidRPr="003E0070" w:rsidRDefault="00B61710" w:rsidP="002713B6">
      <w:pPr>
        <w:pStyle w:val="Heading2"/>
        <w:rPr>
          <w:rFonts w:ascii="Arial" w:hAnsi="Arial"/>
          <w:sz w:val="24"/>
          <w:szCs w:val="24"/>
        </w:rPr>
      </w:pPr>
      <w:bookmarkStart w:id="7" w:name="_Toc136722486"/>
      <w:r w:rsidRPr="003E0070">
        <w:rPr>
          <w:rFonts w:ascii="Arial" w:hAnsi="Arial"/>
          <w:sz w:val="24"/>
          <w:szCs w:val="24"/>
        </w:rPr>
        <w:t>Separation:</w:t>
      </w:r>
      <w:bookmarkEnd w:id="7"/>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The Tower Hotel may experience personnel separations despite our best efforts. The HR department is crucial for managing the dissolution procedure well and offering a positive leaving experience. This calls for gathering inpu</w:t>
      </w:r>
      <w:r w:rsidRPr="003E0070">
        <w:rPr>
          <w:rFonts w:eastAsia="Times New Roman"/>
          <w:sz w:val="24"/>
          <w:szCs w:val="24"/>
        </w:rPr>
        <w:t>t from departing employees, staying in touch with them, and utilising their knowledge and experience to improve organisational and human resources practises. HR maintains the company's reputation and strengthens the employer brand by effectively managing s</w:t>
      </w:r>
      <w:r w:rsidRPr="003E0070">
        <w:rPr>
          <w:rFonts w:eastAsia="Times New Roman"/>
          <w:sz w:val="24"/>
          <w:szCs w:val="24"/>
        </w:rPr>
        <w:t>eparations.</w:t>
      </w:r>
    </w:p>
    <w:p w:rsidR="00041857" w:rsidRPr="003E0070" w:rsidRDefault="00B61710" w:rsidP="002713B6">
      <w:pPr>
        <w:pStyle w:val="Heading2"/>
        <w:rPr>
          <w:rFonts w:ascii="Arial" w:hAnsi="Arial"/>
          <w:sz w:val="24"/>
          <w:szCs w:val="24"/>
        </w:rPr>
      </w:pPr>
      <w:bookmarkStart w:id="8" w:name="_Toc136722487"/>
      <w:r w:rsidRPr="003E0070">
        <w:rPr>
          <w:rFonts w:ascii="Arial" w:hAnsi="Arial"/>
          <w:sz w:val="24"/>
          <w:szCs w:val="24"/>
        </w:rPr>
        <w:t>Analysis</w:t>
      </w:r>
      <w:bookmarkEnd w:id="8"/>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Various strategies and activities may be employed at The Tower Hotel to maintain staff members' engagement and loyalty during their employment. By studying each step of the employee lifecycle and successfully changing strategies, the h</w:t>
      </w:r>
      <w:r w:rsidRPr="003E0070">
        <w:rPr>
          <w:rFonts w:eastAsia="Times New Roman"/>
          <w:sz w:val="24"/>
          <w:szCs w:val="24"/>
        </w:rPr>
        <w:t>otel can create a productive environment that promotes employee happiness, advancement, and long-term commitment. During the recruitment stage, it is critical to promote The Tower Hotel as an employer of choice. To do this, it may be helpful to highlight t</w:t>
      </w:r>
      <w:r w:rsidRPr="003E0070">
        <w:rPr>
          <w:rFonts w:eastAsia="Times New Roman"/>
          <w:sz w:val="24"/>
          <w:szCs w:val="24"/>
        </w:rPr>
        <w:t>he hotel's unique selling points, such as its well-known brand, its employee benefits, and its opportunities for career advancement. By emphasising a wonderful workplace culture, work-life balance, and a welcoming environment, the hotel may be able to draw</w:t>
      </w:r>
      <w:r w:rsidRPr="003E0070">
        <w:rPr>
          <w:rFonts w:eastAsia="Times New Roman"/>
          <w:sz w:val="24"/>
          <w:szCs w:val="24"/>
        </w:rPr>
        <w:t xml:space="preserve"> smart individuals who share its ideals and objectives (</w:t>
      </w:r>
      <w:r w:rsidRPr="003E0070">
        <w:rPr>
          <w:rFonts w:eastAsia="Times New Roman"/>
          <w:sz w:val="24"/>
          <w:szCs w:val="24"/>
          <w:highlight w:val="white"/>
        </w:rPr>
        <w:t>Lee, Rocco and Shuck, 2020</w:t>
      </w:r>
      <w:r w:rsidRPr="003E0070">
        <w:rPr>
          <w:rFonts w:eastAsia="Times New Roman"/>
          <w:sz w:val="24"/>
          <w:szCs w:val="24"/>
        </w:rPr>
        <w:t>). Effective recruiting practices include carefully selecting candidates who have the required education, work experience, and cultural fit. Strict hiring practices including</w:t>
      </w:r>
      <w:r w:rsidRPr="003E0070">
        <w:rPr>
          <w:rFonts w:eastAsia="Times New Roman"/>
          <w:sz w:val="24"/>
          <w:szCs w:val="24"/>
        </w:rPr>
        <w:t xml:space="preserve"> reference checks, exams, and interviews can help you select the best candidates. If The Tower Hotel promotes its commitment to employee growth and development throughout the recruiting process, candidates are more likely to perceive it as a company intere</w:t>
      </w:r>
      <w:r w:rsidRPr="003E0070">
        <w:rPr>
          <w:rFonts w:eastAsia="Times New Roman"/>
          <w:sz w:val="24"/>
          <w:szCs w:val="24"/>
        </w:rPr>
        <w:t xml:space="preserve">sted in their long-term success. It's crucial to set the mood for an employee's time working at The Tower Hotel. A robust and efficient onboarding procedure can help new hires feel welcomed, </w:t>
      </w:r>
      <w:r w:rsidRPr="003E0070">
        <w:rPr>
          <w:rFonts w:eastAsia="Times New Roman"/>
          <w:sz w:val="24"/>
          <w:szCs w:val="24"/>
        </w:rPr>
        <w:lastRenderedPageBreak/>
        <w:t>educated, and incorporated into the business. This could entail i</w:t>
      </w:r>
      <w:r w:rsidRPr="003E0070">
        <w:rPr>
          <w:rFonts w:eastAsia="Times New Roman"/>
          <w:sz w:val="24"/>
          <w:szCs w:val="24"/>
        </w:rPr>
        <w:t>nstructing them about the values, norms, practises, and traditions of the hotel as well as providing them with support and training. If their tasks are simply understood, employees are more likely to feel interested and committed right away.</w:t>
      </w:r>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The key to attracting and keeping talent is to make investments in their development. The Tower Hotel offers lectures, opportunities for career advancement, and ongoing training programmes. Programmes for developing technical skills and leadership skills m</w:t>
      </w:r>
      <w:r w:rsidRPr="003E0070">
        <w:rPr>
          <w:rFonts w:eastAsia="Times New Roman"/>
          <w:sz w:val="24"/>
          <w:szCs w:val="24"/>
        </w:rPr>
        <w:t>ay fall under this heading. Employees can advance professionally and get a range of work-related experiences by taking part in job rotation, coaching, and mentorship programmes. By making this investment in staff development, which boosts performance and s</w:t>
      </w:r>
      <w:r w:rsidRPr="003E0070">
        <w:rPr>
          <w:rFonts w:eastAsia="Times New Roman"/>
          <w:sz w:val="24"/>
          <w:szCs w:val="24"/>
        </w:rPr>
        <w:t>kills, the hotel demonstrates its commitment to the professional advancement of its workforce (</w:t>
      </w:r>
      <w:r w:rsidRPr="003E0070">
        <w:rPr>
          <w:rFonts w:eastAsia="Times New Roman"/>
          <w:sz w:val="24"/>
          <w:szCs w:val="24"/>
          <w:highlight w:val="white"/>
        </w:rPr>
        <w:t>Men, O’Neil and Ewing, 2020</w:t>
      </w:r>
      <w:r w:rsidRPr="003E0070">
        <w:rPr>
          <w:rFonts w:eastAsia="Times New Roman"/>
          <w:sz w:val="24"/>
          <w:szCs w:val="24"/>
        </w:rPr>
        <w:t xml:space="preserve">). In order to keep employees, The Tower Hotel should prioritise creating a pleasant workplace and employee retention. Allowing staff </w:t>
      </w:r>
      <w:r w:rsidRPr="003E0070">
        <w:rPr>
          <w:rFonts w:eastAsia="Times New Roman"/>
          <w:sz w:val="24"/>
          <w:szCs w:val="24"/>
        </w:rPr>
        <w:t>to participate in decision-making, regularly evaluating performance, maintaining open lines of communication, and implementing recognition programmes can all help with this. Workplace wellness initiatives, competitive pay packages for employees, and work-l</w:t>
      </w:r>
      <w:r w:rsidRPr="003E0070">
        <w:rPr>
          <w:rFonts w:eastAsia="Times New Roman"/>
          <w:sz w:val="24"/>
          <w:szCs w:val="24"/>
        </w:rPr>
        <w:t>ife balance initiatives can all help to increase employee happiness and retention. If the hotel truly cares about the growth and well-being of its people, it may be able to attract a loyal workforce. Even when employees leave the company of their own volit</w:t>
      </w:r>
      <w:r w:rsidRPr="003E0070">
        <w:rPr>
          <w:rFonts w:eastAsia="Times New Roman"/>
          <w:sz w:val="24"/>
          <w:szCs w:val="24"/>
        </w:rPr>
        <w:t>ion, it's crucial to manage severances efficiently. Exit interviews may offer insightful feedback on areas that want improvement. By staying in touch with departing employees and supporting them during their transition, positive perceptions of the organisa</w:t>
      </w:r>
      <w:r w:rsidRPr="003E0070">
        <w:rPr>
          <w:rFonts w:eastAsia="Times New Roman"/>
          <w:sz w:val="24"/>
          <w:szCs w:val="24"/>
        </w:rPr>
        <w:t>tion may be preserved. Further work possibilities or stellar references can also result from this. By putting these principles into practice at each stage of the employee lifecycle, The Tower Hotel may create a culture that promotes employee engagement, en</w:t>
      </w:r>
      <w:r w:rsidRPr="003E0070">
        <w:rPr>
          <w:rFonts w:eastAsia="Times New Roman"/>
          <w:sz w:val="24"/>
          <w:szCs w:val="24"/>
        </w:rPr>
        <w:t>joyment, and long-term commitment. If there are investments made in employee development, a healthy work environment, and individual needs and ambitions, the team and the company will perform better.</w:t>
      </w:r>
    </w:p>
    <w:p w:rsidR="00041857" w:rsidRPr="003E0070" w:rsidRDefault="00B61710" w:rsidP="002713B6">
      <w:pPr>
        <w:pStyle w:val="Heading2"/>
        <w:rPr>
          <w:rFonts w:ascii="Arial" w:hAnsi="Arial"/>
          <w:sz w:val="24"/>
          <w:szCs w:val="24"/>
        </w:rPr>
      </w:pPr>
      <w:bookmarkStart w:id="9" w:name="_Toc136722488"/>
      <w:r w:rsidRPr="003E0070">
        <w:rPr>
          <w:rFonts w:ascii="Arial" w:hAnsi="Arial"/>
          <w:sz w:val="24"/>
          <w:szCs w:val="24"/>
        </w:rPr>
        <w:lastRenderedPageBreak/>
        <w:t>Benefits of Engagement and Best Practice Examples:</w:t>
      </w:r>
      <w:bookmarkEnd w:id="9"/>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Inves</w:t>
      </w:r>
      <w:r w:rsidRPr="003E0070">
        <w:rPr>
          <w:rFonts w:eastAsia="Times New Roman"/>
          <w:sz w:val="24"/>
          <w:szCs w:val="24"/>
        </w:rPr>
        <w:t>ting in and developing employees throughout their careers benefits both the team and the organisation. The Tower Hotel employees that are engaged are more likely to be motivated, efficient, and committed to achieving organisational goals. They contribute t</w:t>
      </w:r>
      <w:r w:rsidRPr="003E0070">
        <w:rPr>
          <w:rFonts w:eastAsia="Times New Roman"/>
          <w:sz w:val="24"/>
          <w:szCs w:val="24"/>
        </w:rPr>
        <w:t>o better customer service, a supportive workplace, and customer satisfaction. Potential outcomes of talent management operations include the creation of a powerful employer brand, the ability to attract and retain top people, and employee retention (</w:t>
      </w:r>
      <w:r w:rsidRPr="003E0070">
        <w:rPr>
          <w:rFonts w:eastAsia="Times New Roman"/>
          <w:sz w:val="24"/>
          <w:szCs w:val="24"/>
          <w:highlight w:val="white"/>
        </w:rPr>
        <w:t>Abaran</w:t>
      </w:r>
      <w:r w:rsidRPr="003E0070">
        <w:rPr>
          <w:rFonts w:eastAsia="Times New Roman"/>
          <w:sz w:val="24"/>
          <w:szCs w:val="24"/>
          <w:highlight w:val="white"/>
        </w:rPr>
        <w:t>tyne, Naidoo and Rugimbana, 2019</w:t>
      </w:r>
      <w:r w:rsidRPr="003E0070">
        <w:rPr>
          <w:rFonts w:eastAsia="Times New Roman"/>
          <w:sz w:val="24"/>
          <w:szCs w:val="24"/>
        </w:rPr>
        <w:t>). The Tower Hotel could learn from examples of industry best practices for personnel management. For instance, Marriott International is well known for its extensive training and development programmes that give the develop</w:t>
      </w:r>
      <w:r w:rsidRPr="003E0070">
        <w:rPr>
          <w:rFonts w:eastAsia="Times New Roman"/>
          <w:sz w:val="24"/>
          <w:szCs w:val="24"/>
        </w:rPr>
        <w:t>ment of both technical proficiency and leadership a high priority. Building an inspiring and appreciative culture is the goal of Hilton Worldwide's employee appreciation and reward initiatives. These real-world business examples show how important it is to</w:t>
      </w:r>
      <w:r w:rsidRPr="003E0070">
        <w:rPr>
          <w:rFonts w:eastAsia="Times New Roman"/>
          <w:sz w:val="24"/>
          <w:szCs w:val="24"/>
        </w:rPr>
        <w:t xml:space="preserve"> keep investing in personnel management to boost group and organisational success. The Tower Hotel's human resource department needs a firm understanding of the underlying concepts and concepts that underpin each concept in order to manage and develop tale</w:t>
      </w:r>
      <w:r w:rsidRPr="003E0070">
        <w:rPr>
          <w:rFonts w:eastAsia="Times New Roman"/>
          <w:sz w:val="24"/>
          <w:szCs w:val="24"/>
        </w:rPr>
        <w:t>nt.</w:t>
      </w:r>
    </w:p>
    <w:p w:rsidR="00041857" w:rsidRPr="003E0070" w:rsidRDefault="00B61710" w:rsidP="002713B6">
      <w:pPr>
        <w:spacing w:before="240" w:after="240" w:line="360" w:lineRule="auto"/>
        <w:jc w:val="both"/>
        <w:rPr>
          <w:rFonts w:eastAsia="Times New Roman"/>
          <w:b/>
          <w:sz w:val="24"/>
          <w:szCs w:val="24"/>
        </w:rPr>
      </w:pPr>
      <w:r w:rsidRPr="003E0070">
        <w:rPr>
          <w:rFonts w:eastAsia="Times New Roman"/>
          <w:b/>
          <w:sz w:val="24"/>
          <w:szCs w:val="24"/>
        </w:rPr>
        <w:t>Talent Management:</w:t>
      </w:r>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The systematic hiring, spotting, nurturing, and retention of high-potential employees inside a company is known as talent management (</w:t>
      </w:r>
      <w:r w:rsidRPr="003E0070">
        <w:rPr>
          <w:rFonts w:eastAsia="Times New Roman"/>
          <w:sz w:val="24"/>
          <w:szCs w:val="24"/>
          <w:highlight w:val="white"/>
        </w:rPr>
        <w:t>Perkmann et al. 2021</w:t>
      </w:r>
      <w:r w:rsidRPr="003E0070">
        <w:rPr>
          <w:rFonts w:eastAsia="Times New Roman"/>
          <w:sz w:val="24"/>
          <w:szCs w:val="24"/>
        </w:rPr>
        <w:t xml:space="preserve">). Building a talent pipeline and implementing programmes to help people reach </w:t>
      </w:r>
      <w:r w:rsidRPr="003E0070">
        <w:rPr>
          <w:rFonts w:eastAsia="Times New Roman"/>
          <w:sz w:val="24"/>
          <w:szCs w:val="24"/>
        </w:rPr>
        <w:t>their full potential is necessary. Important people management concepts include succession planning, performance management, and career development.</w:t>
      </w:r>
    </w:p>
    <w:p w:rsidR="00041857" w:rsidRPr="003E0070" w:rsidRDefault="00B61710" w:rsidP="002713B6">
      <w:pPr>
        <w:spacing w:before="240" w:after="240" w:line="360" w:lineRule="auto"/>
        <w:jc w:val="both"/>
        <w:rPr>
          <w:rFonts w:eastAsia="Times New Roman"/>
          <w:b/>
          <w:sz w:val="24"/>
          <w:szCs w:val="24"/>
        </w:rPr>
      </w:pPr>
      <w:r w:rsidRPr="003E0070">
        <w:rPr>
          <w:rFonts w:eastAsia="Times New Roman"/>
          <w:b/>
          <w:sz w:val="24"/>
          <w:szCs w:val="24"/>
        </w:rPr>
        <w:t>Employer Branding:</w:t>
      </w:r>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Employer branding is the process by which a business establishes and promotes its reputa</w:t>
      </w:r>
      <w:r w:rsidRPr="003E0070">
        <w:rPr>
          <w:rFonts w:eastAsia="Times New Roman"/>
          <w:sz w:val="24"/>
          <w:szCs w:val="24"/>
        </w:rPr>
        <w:t>tion as an employer. The company's special qualities, values, and culture must be displayed in order to attract and keep great employees (</w:t>
      </w:r>
      <w:r w:rsidRPr="003E0070">
        <w:rPr>
          <w:rFonts w:eastAsia="Times New Roman"/>
          <w:sz w:val="24"/>
          <w:szCs w:val="24"/>
          <w:highlight w:val="white"/>
        </w:rPr>
        <w:t>Marhefka, Lockhart and Turner, 2020</w:t>
      </w:r>
      <w:r w:rsidRPr="003E0070">
        <w:rPr>
          <w:rFonts w:eastAsia="Times New Roman"/>
          <w:sz w:val="24"/>
          <w:szCs w:val="24"/>
        </w:rPr>
        <w:t xml:space="preserve">). The importance of creating a strong employer brand through effective </w:t>
      </w:r>
      <w:r w:rsidRPr="003E0070">
        <w:rPr>
          <w:rFonts w:eastAsia="Times New Roman"/>
          <w:sz w:val="24"/>
          <w:szCs w:val="24"/>
        </w:rPr>
        <w:lastRenderedPageBreak/>
        <w:t>communicati</w:t>
      </w:r>
      <w:r w:rsidRPr="003E0070">
        <w:rPr>
          <w:rFonts w:eastAsia="Times New Roman"/>
          <w:sz w:val="24"/>
          <w:szCs w:val="24"/>
        </w:rPr>
        <w:t>on, an employee value proposition, and cooperation between employers and employees is highlighted by this notion.</w:t>
      </w:r>
    </w:p>
    <w:p w:rsidR="00041857" w:rsidRPr="003E0070" w:rsidRDefault="00B61710" w:rsidP="002713B6">
      <w:pPr>
        <w:spacing w:before="240" w:after="240" w:line="360" w:lineRule="auto"/>
        <w:jc w:val="both"/>
        <w:rPr>
          <w:rFonts w:eastAsia="Times New Roman"/>
          <w:b/>
          <w:sz w:val="24"/>
          <w:szCs w:val="24"/>
        </w:rPr>
      </w:pPr>
      <w:r w:rsidRPr="003E0070">
        <w:rPr>
          <w:rFonts w:eastAsia="Times New Roman"/>
          <w:b/>
          <w:sz w:val="24"/>
          <w:szCs w:val="24"/>
        </w:rPr>
        <w:t>Performance Management:</w:t>
      </w:r>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In addition to providing workers with feedback and ratings on their performance, clear performance standards must be c</w:t>
      </w:r>
      <w:r w:rsidRPr="003E0070">
        <w:rPr>
          <w:rFonts w:eastAsia="Times New Roman"/>
          <w:sz w:val="24"/>
          <w:szCs w:val="24"/>
        </w:rPr>
        <w:t xml:space="preserve">reated. The use of performance rating systems, goal-setting theories (like SMART objectives), and continuous feedback techniques are the foundations of effective performance management. The principles of equity, transparency, and goal alignment constitute </w:t>
      </w:r>
      <w:r w:rsidRPr="003E0070">
        <w:rPr>
          <w:rFonts w:eastAsia="Times New Roman"/>
          <w:sz w:val="24"/>
          <w:szCs w:val="24"/>
        </w:rPr>
        <w:t>the foundation of effective performance management processes.</w:t>
      </w:r>
    </w:p>
    <w:p w:rsidR="00041857" w:rsidRPr="003E0070" w:rsidRDefault="00B61710" w:rsidP="002713B6">
      <w:pPr>
        <w:spacing w:before="240" w:after="240" w:line="360" w:lineRule="auto"/>
        <w:jc w:val="both"/>
        <w:rPr>
          <w:rFonts w:eastAsia="Times New Roman"/>
          <w:b/>
          <w:sz w:val="24"/>
          <w:szCs w:val="24"/>
        </w:rPr>
      </w:pPr>
      <w:r w:rsidRPr="003E0070">
        <w:rPr>
          <w:rFonts w:eastAsia="Times New Roman"/>
          <w:b/>
          <w:sz w:val="24"/>
          <w:szCs w:val="24"/>
        </w:rPr>
        <w:t>Talent Retention:</w:t>
      </w:r>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Retention of Talent: The aim of talent retention is to create an environment that encourages employees to stick with the business. This concept recognises the value of preservi</w:t>
      </w:r>
      <w:r w:rsidRPr="003E0070">
        <w:rPr>
          <w:rFonts w:eastAsia="Times New Roman"/>
          <w:sz w:val="24"/>
          <w:szCs w:val="24"/>
        </w:rPr>
        <w:t xml:space="preserve">ng a friendly workplace culture, offering competitive pay and benefits, offering opportunities for career growth, and making investments in employee development. Understanding talent retention strategies requires an understanding of both the psychological </w:t>
      </w:r>
      <w:r w:rsidRPr="003E0070">
        <w:rPr>
          <w:rFonts w:eastAsia="Times New Roman"/>
          <w:sz w:val="24"/>
          <w:szCs w:val="24"/>
        </w:rPr>
        <w:t>contract theory and the concept of work-life balance. I can investigate and evaluate how HR helps manage and grow employees at The Tower Hotel by demonstrating an understanding of these concepts and underlying ideas. Thanks to my background, I can offer th</w:t>
      </w:r>
      <w:r w:rsidRPr="003E0070">
        <w:rPr>
          <w:rFonts w:eastAsia="Times New Roman"/>
          <w:sz w:val="24"/>
          <w:szCs w:val="24"/>
        </w:rPr>
        <w:t>e organisation valuable analysis and recommendations for enhancing its people management practices.</w:t>
      </w:r>
    </w:p>
    <w:p w:rsidR="00041857" w:rsidRPr="003E0070" w:rsidRDefault="00B61710" w:rsidP="00AD34FC">
      <w:pPr>
        <w:pStyle w:val="Heading1"/>
      </w:pPr>
      <w:bookmarkStart w:id="10" w:name="_Toc136722489"/>
      <w:r w:rsidRPr="003E0070">
        <w:t>Recommendation</w:t>
      </w:r>
      <w:bookmarkEnd w:id="10"/>
    </w:p>
    <w:p w:rsidR="00041857"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Strengthen the onboarding program by providing new hires with the necessary tools, information, and support to quickly integrate into their r</w:t>
      </w:r>
      <w:r w:rsidRPr="003E0070">
        <w:rPr>
          <w:rFonts w:eastAsia="Times New Roman"/>
          <w:sz w:val="24"/>
          <w:szCs w:val="24"/>
        </w:rPr>
        <w:t>oles. Assign mentors or buddies to guide them through their initial days and help them feel connected to the organization. Establish a performance management framework that includes regular feedback, goal setting, and performance evaluations. This system s</w:t>
      </w:r>
      <w:r w:rsidRPr="003E0070">
        <w:rPr>
          <w:rFonts w:eastAsia="Times New Roman"/>
          <w:sz w:val="24"/>
          <w:szCs w:val="24"/>
        </w:rPr>
        <w:t xml:space="preserve">hould provide opportunities for growth, skill development, and transparent communication between </w:t>
      </w:r>
      <w:r w:rsidRPr="003E0070">
        <w:rPr>
          <w:rFonts w:eastAsia="Times New Roman"/>
          <w:sz w:val="24"/>
          <w:szCs w:val="24"/>
        </w:rPr>
        <w:lastRenderedPageBreak/>
        <w:t>managers and employees. Invest in training programs, workshops, and continuous learning opportunities to enhance employee skills and competencies (</w:t>
      </w:r>
      <w:r w:rsidRPr="003E0070">
        <w:rPr>
          <w:rFonts w:eastAsia="Times New Roman"/>
          <w:sz w:val="24"/>
          <w:szCs w:val="24"/>
          <w:highlight w:val="white"/>
        </w:rPr>
        <w:t xml:space="preserve">Harrison et </w:t>
      </w:r>
      <w:r w:rsidRPr="003E0070">
        <w:rPr>
          <w:rFonts w:eastAsia="Times New Roman"/>
          <w:sz w:val="24"/>
          <w:szCs w:val="24"/>
          <w:highlight w:val="white"/>
        </w:rPr>
        <w:t>al. 2019</w:t>
      </w:r>
      <w:r w:rsidRPr="003E0070">
        <w:rPr>
          <w:rFonts w:eastAsia="Times New Roman"/>
          <w:sz w:val="24"/>
          <w:szCs w:val="24"/>
        </w:rPr>
        <w:t xml:space="preserve">). Provide access to online learning platforms, offer certifications, and support employees' pursuit of professional development. Develop initiatives that prioritize employee well-being, such as wellness programs, flexible work arrangements, and </w:t>
      </w:r>
      <w:r w:rsidRPr="003E0070">
        <w:rPr>
          <w:rFonts w:eastAsia="Times New Roman"/>
          <w:sz w:val="24"/>
          <w:szCs w:val="24"/>
        </w:rPr>
        <w:t>employee assistance programs. Encourage work-life balance and promote a supportive and healthy work environment. Create clear pathways for career advancement and growth within the organization. Offer internal job postings, mentorship programs, and successi</w:t>
      </w:r>
      <w:r w:rsidRPr="003E0070">
        <w:rPr>
          <w:rFonts w:eastAsia="Times New Roman"/>
          <w:sz w:val="24"/>
          <w:szCs w:val="24"/>
        </w:rPr>
        <w:t>on planning to encourage employees to see long-term opportunities at The Tower Hotel. Act on the feedback received to continuously enhance the employee experience. Establish a recognition and rewards program that acknowledges and appreciates employee achie</w:t>
      </w:r>
      <w:r w:rsidRPr="003E0070">
        <w:rPr>
          <w:rFonts w:eastAsia="Times New Roman"/>
          <w:sz w:val="24"/>
          <w:szCs w:val="24"/>
        </w:rPr>
        <w:t>vements and contributions.</w:t>
      </w:r>
    </w:p>
    <w:p w:rsidR="00041857" w:rsidRPr="003E0070" w:rsidRDefault="00B61710" w:rsidP="00AD34FC">
      <w:pPr>
        <w:pStyle w:val="Heading1"/>
      </w:pPr>
      <w:bookmarkStart w:id="11" w:name="_Toc136722490"/>
      <w:r w:rsidRPr="003E0070">
        <w:t>Conclusion</w:t>
      </w:r>
      <w:bookmarkEnd w:id="11"/>
    </w:p>
    <w:p w:rsidR="007362C9" w:rsidRPr="003E0070" w:rsidRDefault="00B61710" w:rsidP="002713B6">
      <w:pPr>
        <w:spacing w:before="240" w:after="240" w:line="360" w:lineRule="auto"/>
        <w:jc w:val="both"/>
        <w:rPr>
          <w:rFonts w:eastAsia="Times New Roman"/>
          <w:sz w:val="24"/>
          <w:szCs w:val="24"/>
        </w:rPr>
      </w:pPr>
      <w:r w:rsidRPr="003E0070">
        <w:rPr>
          <w:rFonts w:eastAsia="Times New Roman"/>
          <w:sz w:val="24"/>
          <w:szCs w:val="24"/>
        </w:rPr>
        <w:t xml:space="preserve">By giving new hires the tools, information, and help they need to succeed in their roles straight away, the onboarding process will be improved. Create a sense of community within the company by designating mentors or </w:t>
      </w:r>
      <w:r w:rsidRPr="003E0070">
        <w:rPr>
          <w:rFonts w:eastAsia="Times New Roman"/>
          <w:sz w:val="24"/>
          <w:szCs w:val="24"/>
        </w:rPr>
        <w:t>friends to help them during their formative years. Establish a system for managing performance that includes regular goal-setting, performance evaluations, and feedback. This system must offer opportunities for career promotion, skill development, and tran</w:t>
      </w:r>
      <w:r w:rsidRPr="003E0070">
        <w:rPr>
          <w:rFonts w:eastAsia="Times New Roman"/>
          <w:sz w:val="24"/>
          <w:szCs w:val="24"/>
        </w:rPr>
        <w:t>sparent communication between management and employees. Enrol staff members in seminars, workshops, and other activities so they can spend money on continuing their education. Provide employees with access to online learning tools, incentives, and career a</w:t>
      </w:r>
      <w:r w:rsidRPr="003E0070">
        <w:rPr>
          <w:rFonts w:eastAsia="Times New Roman"/>
          <w:sz w:val="24"/>
          <w:szCs w:val="24"/>
        </w:rPr>
        <w:t>dvancement inspiration. Create programmes that put an emphasis on employee well-being, such as flexible work schedules, employee assistance initiatives, and wellness programmes. Encourage a positive, productive work atmosphere and a good work-life balance.</w:t>
      </w:r>
      <w:r w:rsidRPr="003E0070">
        <w:rPr>
          <w:rFonts w:eastAsia="Times New Roman"/>
          <w:sz w:val="24"/>
          <w:szCs w:val="24"/>
        </w:rPr>
        <w:t xml:space="preserve"> Create a clear road map for business growth and career advancement. Implement the suggestions you receive to maintain the employee experience getting better. Create a system for recognising and appreciating the contributions of your employees. </w:t>
      </w:r>
    </w:p>
    <w:p w:rsidR="007362C9" w:rsidRPr="003E0070" w:rsidRDefault="00B61710" w:rsidP="002713B6">
      <w:pPr>
        <w:spacing w:line="360" w:lineRule="auto"/>
        <w:rPr>
          <w:rFonts w:eastAsia="Times New Roman"/>
          <w:sz w:val="24"/>
          <w:szCs w:val="24"/>
        </w:rPr>
      </w:pPr>
      <w:r w:rsidRPr="003E0070">
        <w:rPr>
          <w:rFonts w:eastAsia="Times New Roman"/>
          <w:sz w:val="24"/>
          <w:szCs w:val="24"/>
        </w:rPr>
        <w:br w:type="page"/>
      </w:r>
    </w:p>
    <w:p w:rsidR="00041857" w:rsidRPr="00AD34FC" w:rsidRDefault="00B61710" w:rsidP="00AD34FC">
      <w:pPr>
        <w:pStyle w:val="Heading1"/>
      </w:pPr>
      <w:bookmarkStart w:id="12" w:name="_Toc136722491"/>
      <w:r w:rsidRPr="00AD34FC">
        <w:lastRenderedPageBreak/>
        <w:t>Referenc</w:t>
      </w:r>
      <w:r w:rsidRPr="00AD34FC">
        <w:t>es</w:t>
      </w:r>
      <w:bookmarkEnd w:id="12"/>
    </w:p>
    <w:p w:rsidR="00AF7705" w:rsidRPr="003E0070" w:rsidRDefault="00B61710" w:rsidP="002713B6">
      <w:pPr>
        <w:spacing w:line="360" w:lineRule="auto"/>
        <w:jc w:val="both"/>
        <w:rPr>
          <w:sz w:val="24"/>
          <w:szCs w:val="24"/>
          <w:shd w:val="clear" w:color="auto" w:fill="FFFFFF"/>
        </w:rPr>
      </w:pPr>
      <w:r w:rsidRPr="003E0070">
        <w:rPr>
          <w:sz w:val="24"/>
          <w:szCs w:val="24"/>
          <w:shd w:val="clear" w:color="auto" w:fill="FFFFFF"/>
        </w:rPr>
        <w:t>Abarantyne, I., Naidoo, V. and Rugimbana, R., 2019. The impact of psychological contracts on employee engagement at a university of technology. </w:t>
      </w:r>
      <w:r w:rsidRPr="003E0070">
        <w:rPr>
          <w:i/>
          <w:iCs/>
          <w:sz w:val="24"/>
          <w:szCs w:val="24"/>
          <w:shd w:val="clear" w:color="auto" w:fill="FFFFFF"/>
        </w:rPr>
        <w:t>SA Journal of Human Resource Management</w:t>
      </w:r>
      <w:r w:rsidRPr="003E0070">
        <w:rPr>
          <w:sz w:val="24"/>
          <w:szCs w:val="24"/>
          <w:shd w:val="clear" w:color="auto" w:fill="FFFFFF"/>
        </w:rPr>
        <w:t>, </w:t>
      </w:r>
      <w:r w:rsidRPr="003E0070">
        <w:rPr>
          <w:i/>
          <w:iCs/>
          <w:sz w:val="24"/>
          <w:szCs w:val="24"/>
          <w:shd w:val="clear" w:color="auto" w:fill="FFFFFF"/>
        </w:rPr>
        <w:t>17</w:t>
      </w:r>
      <w:r w:rsidRPr="003E0070">
        <w:rPr>
          <w:sz w:val="24"/>
          <w:szCs w:val="24"/>
          <w:shd w:val="clear" w:color="auto" w:fill="FFFFFF"/>
        </w:rPr>
        <w:t>(1), pp.1-11.</w:t>
      </w:r>
    </w:p>
    <w:p w:rsidR="00AF7705" w:rsidRPr="003E0070" w:rsidRDefault="00B61710" w:rsidP="002713B6">
      <w:pPr>
        <w:spacing w:line="360" w:lineRule="auto"/>
        <w:jc w:val="both"/>
        <w:rPr>
          <w:sz w:val="24"/>
          <w:szCs w:val="24"/>
          <w:shd w:val="clear" w:color="auto" w:fill="FFFFFF"/>
        </w:rPr>
      </w:pPr>
      <w:r w:rsidRPr="003E0070">
        <w:rPr>
          <w:sz w:val="24"/>
          <w:szCs w:val="24"/>
          <w:shd w:val="clear" w:color="auto" w:fill="FFFFFF"/>
        </w:rPr>
        <w:t>Harrison, J.D., Auerbach, A.D., Anderson, W., Fagan,</w:t>
      </w:r>
      <w:r w:rsidRPr="003E0070">
        <w:rPr>
          <w:sz w:val="24"/>
          <w:szCs w:val="24"/>
          <w:shd w:val="clear" w:color="auto" w:fill="FFFFFF"/>
        </w:rPr>
        <w:t xml:space="preserve"> M., Carnie, M., Hanson, C., Banta, J., Symczak, G., Robinson, E., Schnipper, J. and Wong, C., 2019. Patient stakeholder engagement in research: a narrative review to describe foundational principles and best practice activities. </w:t>
      </w:r>
      <w:r w:rsidRPr="003E0070">
        <w:rPr>
          <w:i/>
          <w:iCs/>
          <w:sz w:val="24"/>
          <w:szCs w:val="24"/>
          <w:shd w:val="clear" w:color="auto" w:fill="FFFFFF"/>
        </w:rPr>
        <w:t>Health Expectations</w:t>
      </w:r>
      <w:r w:rsidRPr="003E0070">
        <w:rPr>
          <w:sz w:val="24"/>
          <w:szCs w:val="24"/>
          <w:shd w:val="clear" w:color="auto" w:fill="FFFFFF"/>
        </w:rPr>
        <w:t>, </w:t>
      </w:r>
      <w:r w:rsidRPr="003E0070">
        <w:rPr>
          <w:i/>
          <w:iCs/>
          <w:sz w:val="24"/>
          <w:szCs w:val="24"/>
          <w:shd w:val="clear" w:color="auto" w:fill="FFFFFF"/>
        </w:rPr>
        <w:t>22</w:t>
      </w:r>
      <w:r w:rsidRPr="003E0070">
        <w:rPr>
          <w:sz w:val="24"/>
          <w:szCs w:val="24"/>
          <w:shd w:val="clear" w:color="auto" w:fill="FFFFFF"/>
        </w:rPr>
        <w:t>(3)</w:t>
      </w:r>
      <w:r w:rsidRPr="003E0070">
        <w:rPr>
          <w:sz w:val="24"/>
          <w:szCs w:val="24"/>
          <w:shd w:val="clear" w:color="auto" w:fill="FFFFFF"/>
        </w:rPr>
        <w:t>, pp.307-316.</w:t>
      </w:r>
    </w:p>
    <w:p w:rsidR="00AF7705" w:rsidRPr="003E0070" w:rsidRDefault="00B61710" w:rsidP="002713B6">
      <w:pPr>
        <w:spacing w:line="360" w:lineRule="auto"/>
        <w:jc w:val="both"/>
        <w:rPr>
          <w:sz w:val="24"/>
          <w:szCs w:val="24"/>
          <w:shd w:val="clear" w:color="auto" w:fill="FFFFFF"/>
        </w:rPr>
      </w:pPr>
      <w:r w:rsidRPr="003E0070">
        <w:rPr>
          <w:sz w:val="24"/>
          <w:szCs w:val="24"/>
          <w:shd w:val="clear" w:color="auto" w:fill="FFFFFF"/>
        </w:rPr>
        <w:t>Kwon, K. and Kim, T., 2020. An integrative literature review of employee engagement and innovative behavior: Revisiting the JD-R model. </w:t>
      </w:r>
      <w:r w:rsidRPr="003E0070">
        <w:rPr>
          <w:i/>
          <w:iCs/>
          <w:sz w:val="24"/>
          <w:szCs w:val="24"/>
          <w:shd w:val="clear" w:color="auto" w:fill="FFFFFF"/>
        </w:rPr>
        <w:t>Human Resource Management Review</w:t>
      </w:r>
      <w:r w:rsidRPr="003E0070">
        <w:rPr>
          <w:sz w:val="24"/>
          <w:szCs w:val="24"/>
          <w:shd w:val="clear" w:color="auto" w:fill="FFFFFF"/>
        </w:rPr>
        <w:t>, </w:t>
      </w:r>
      <w:r w:rsidRPr="003E0070">
        <w:rPr>
          <w:i/>
          <w:iCs/>
          <w:sz w:val="24"/>
          <w:szCs w:val="24"/>
          <w:shd w:val="clear" w:color="auto" w:fill="FFFFFF"/>
        </w:rPr>
        <w:t>30</w:t>
      </w:r>
      <w:r w:rsidRPr="003E0070">
        <w:rPr>
          <w:sz w:val="24"/>
          <w:szCs w:val="24"/>
          <w:shd w:val="clear" w:color="auto" w:fill="FFFFFF"/>
        </w:rPr>
        <w:t>(2), p.100704.</w:t>
      </w:r>
    </w:p>
    <w:p w:rsidR="00AF7705" w:rsidRPr="003E0070" w:rsidRDefault="00B61710" w:rsidP="002713B6">
      <w:pPr>
        <w:spacing w:line="360" w:lineRule="auto"/>
        <w:jc w:val="both"/>
        <w:rPr>
          <w:sz w:val="24"/>
          <w:szCs w:val="24"/>
          <w:shd w:val="clear" w:color="auto" w:fill="FFFFFF"/>
        </w:rPr>
      </w:pPr>
      <w:r w:rsidRPr="003E0070">
        <w:rPr>
          <w:sz w:val="24"/>
          <w:szCs w:val="24"/>
          <w:shd w:val="clear" w:color="auto" w:fill="FFFFFF"/>
        </w:rPr>
        <w:t>Lee, J.Y., Rocco, T.S. and Shuck, B., 2020. What is a r</w:t>
      </w:r>
      <w:r w:rsidRPr="003E0070">
        <w:rPr>
          <w:sz w:val="24"/>
          <w:szCs w:val="24"/>
          <w:shd w:val="clear" w:color="auto" w:fill="FFFFFF"/>
        </w:rPr>
        <w:t>esource: Toward a taxonomy of resources for employee engagement. </w:t>
      </w:r>
      <w:r w:rsidRPr="003E0070">
        <w:rPr>
          <w:i/>
          <w:iCs/>
          <w:sz w:val="24"/>
          <w:szCs w:val="24"/>
          <w:shd w:val="clear" w:color="auto" w:fill="FFFFFF"/>
        </w:rPr>
        <w:t>Human Resource Development Review</w:t>
      </w:r>
      <w:r w:rsidRPr="003E0070">
        <w:rPr>
          <w:sz w:val="24"/>
          <w:szCs w:val="24"/>
          <w:shd w:val="clear" w:color="auto" w:fill="FFFFFF"/>
        </w:rPr>
        <w:t>, </w:t>
      </w:r>
      <w:r w:rsidRPr="003E0070">
        <w:rPr>
          <w:i/>
          <w:iCs/>
          <w:sz w:val="24"/>
          <w:szCs w:val="24"/>
          <w:shd w:val="clear" w:color="auto" w:fill="FFFFFF"/>
        </w:rPr>
        <w:t>19</w:t>
      </w:r>
      <w:r w:rsidRPr="003E0070">
        <w:rPr>
          <w:sz w:val="24"/>
          <w:szCs w:val="24"/>
          <w:shd w:val="clear" w:color="auto" w:fill="FFFFFF"/>
        </w:rPr>
        <w:t>(1), pp.5-38.</w:t>
      </w:r>
    </w:p>
    <w:p w:rsidR="00AF7705" w:rsidRPr="003E0070" w:rsidRDefault="00B61710" w:rsidP="002713B6">
      <w:pPr>
        <w:spacing w:line="360" w:lineRule="auto"/>
        <w:jc w:val="both"/>
        <w:rPr>
          <w:sz w:val="24"/>
          <w:szCs w:val="24"/>
          <w:shd w:val="clear" w:color="auto" w:fill="FFFFFF"/>
        </w:rPr>
      </w:pPr>
      <w:r w:rsidRPr="003E0070">
        <w:rPr>
          <w:sz w:val="24"/>
          <w:szCs w:val="24"/>
          <w:shd w:val="clear" w:color="auto" w:fill="FFFFFF"/>
        </w:rPr>
        <w:t>Marhefka, S., Lockhart, E. and Turner, D., 2020. Achieve research continuity during social distancing by rapidly implementing individual and</w:t>
      </w:r>
      <w:r w:rsidRPr="003E0070">
        <w:rPr>
          <w:sz w:val="24"/>
          <w:szCs w:val="24"/>
          <w:shd w:val="clear" w:color="auto" w:fill="FFFFFF"/>
        </w:rPr>
        <w:t xml:space="preserve"> group videoconferencing with participants: key considerations, best practices, and protocols. </w:t>
      </w:r>
      <w:r w:rsidRPr="003E0070">
        <w:rPr>
          <w:i/>
          <w:iCs/>
          <w:sz w:val="24"/>
          <w:szCs w:val="24"/>
          <w:shd w:val="clear" w:color="auto" w:fill="FFFFFF"/>
        </w:rPr>
        <w:t>AIDS and Behavior</w:t>
      </w:r>
      <w:r w:rsidRPr="003E0070">
        <w:rPr>
          <w:sz w:val="24"/>
          <w:szCs w:val="24"/>
          <w:shd w:val="clear" w:color="auto" w:fill="FFFFFF"/>
        </w:rPr>
        <w:t>, </w:t>
      </w:r>
      <w:r w:rsidRPr="003E0070">
        <w:rPr>
          <w:i/>
          <w:iCs/>
          <w:sz w:val="24"/>
          <w:szCs w:val="24"/>
          <w:shd w:val="clear" w:color="auto" w:fill="FFFFFF"/>
        </w:rPr>
        <w:t>24</w:t>
      </w:r>
      <w:r w:rsidRPr="003E0070">
        <w:rPr>
          <w:sz w:val="24"/>
          <w:szCs w:val="24"/>
          <w:shd w:val="clear" w:color="auto" w:fill="FFFFFF"/>
        </w:rPr>
        <w:t>, pp.1983-1989.</w:t>
      </w:r>
    </w:p>
    <w:p w:rsidR="00AF7705" w:rsidRPr="003E0070" w:rsidRDefault="00B61710" w:rsidP="002713B6">
      <w:pPr>
        <w:spacing w:line="360" w:lineRule="auto"/>
        <w:jc w:val="both"/>
        <w:rPr>
          <w:sz w:val="24"/>
          <w:szCs w:val="24"/>
          <w:shd w:val="clear" w:color="auto" w:fill="FFFFFF"/>
        </w:rPr>
      </w:pPr>
      <w:r w:rsidRPr="003E0070">
        <w:rPr>
          <w:sz w:val="24"/>
          <w:szCs w:val="24"/>
          <w:shd w:val="clear" w:color="auto" w:fill="FFFFFF"/>
        </w:rPr>
        <w:t>Men, L.R., O’Neil, J. and Ewing, M., 2020. Examining the effects of internal social media usage on employee engagement. </w:t>
      </w:r>
      <w:r w:rsidRPr="003E0070">
        <w:rPr>
          <w:i/>
          <w:iCs/>
          <w:sz w:val="24"/>
          <w:szCs w:val="24"/>
          <w:shd w:val="clear" w:color="auto" w:fill="FFFFFF"/>
        </w:rPr>
        <w:t>Publ</w:t>
      </w:r>
      <w:r w:rsidRPr="003E0070">
        <w:rPr>
          <w:i/>
          <w:iCs/>
          <w:sz w:val="24"/>
          <w:szCs w:val="24"/>
          <w:shd w:val="clear" w:color="auto" w:fill="FFFFFF"/>
        </w:rPr>
        <w:t>ic Relations Review</w:t>
      </w:r>
      <w:r w:rsidRPr="003E0070">
        <w:rPr>
          <w:sz w:val="24"/>
          <w:szCs w:val="24"/>
          <w:shd w:val="clear" w:color="auto" w:fill="FFFFFF"/>
        </w:rPr>
        <w:t>, </w:t>
      </w:r>
      <w:r w:rsidRPr="003E0070">
        <w:rPr>
          <w:i/>
          <w:iCs/>
          <w:sz w:val="24"/>
          <w:szCs w:val="24"/>
          <w:shd w:val="clear" w:color="auto" w:fill="FFFFFF"/>
        </w:rPr>
        <w:t>46</w:t>
      </w:r>
      <w:r w:rsidRPr="003E0070">
        <w:rPr>
          <w:sz w:val="24"/>
          <w:szCs w:val="24"/>
          <w:shd w:val="clear" w:color="auto" w:fill="FFFFFF"/>
        </w:rPr>
        <w:t>(2), p.101880.</w:t>
      </w:r>
    </w:p>
    <w:p w:rsidR="00AF7705" w:rsidRPr="003E0070" w:rsidRDefault="00B61710" w:rsidP="002713B6">
      <w:pPr>
        <w:spacing w:line="360" w:lineRule="auto"/>
        <w:jc w:val="both"/>
        <w:rPr>
          <w:sz w:val="24"/>
          <w:szCs w:val="24"/>
        </w:rPr>
      </w:pPr>
      <w:r w:rsidRPr="003E0070">
        <w:rPr>
          <w:sz w:val="24"/>
          <w:szCs w:val="24"/>
          <w:shd w:val="clear" w:color="auto" w:fill="FFFFFF"/>
        </w:rPr>
        <w:t>Perkmann, M., Salandra, R., Tartari, V., McKelvey, M. and Hughes, A., 2021. Academic engagement: A review of the literature 2011-2019. </w:t>
      </w:r>
      <w:r w:rsidRPr="003E0070">
        <w:rPr>
          <w:i/>
          <w:iCs/>
          <w:sz w:val="24"/>
          <w:szCs w:val="24"/>
          <w:shd w:val="clear" w:color="auto" w:fill="FFFFFF"/>
        </w:rPr>
        <w:t>Research policy</w:t>
      </w:r>
      <w:r w:rsidRPr="003E0070">
        <w:rPr>
          <w:sz w:val="24"/>
          <w:szCs w:val="24"/>
          <w:shd w:val="clear" w:color="auto" w:fill="FFFFFF"/>
        </w:rPr>
        <w:t>, </w:t>
      </w:r>
      <w:r w:rsidRPr="003E0070">
        <w:rPr>
          <w:i/>
          <w:iCs/>
          <w:sz w:val="24"/>
          <w:szCs w:val="24"/>
          <w:shd w:val="clear" w:color="auto" w:fill="FFFFFF"/>
        </w:rPr>
        <w:t>50</w:t>
      </w:r>
      <w:r w:rsidRPr="003E0070">
        <w:rPr>
          <w:sz w:val="24"/>
          <w:szCs w:val="24"/>
          <w:shd w:val="clear" w:color="auto" w:fill="FFFFFF"/>
        </w:rPr>
        <w:t>(1), p.104114.</w:t>
      </w:r>
    </w:p>
    <w:p w:rsidR="00AF7705" w:rsidRPr="003E0070" w:rsidRDefault="00B61710" w:rsidP="002713B6">
      <w:pPr>
        <w:spacing w:line="360" w:lineRule="auto"/>
        <w:jc w:val="both"/>
        <w:rPr>
          <w:sz w:val="24"/>
          <w:szCs w:val="24"/>
          <w:shd w:val="clear" w:color="auto" w:fill="FFFFFF"/>
        </w:rPr>
      </w:pPr>
      <w:r w:rsidRPr="003E0070">
        <w:rPr>
          <w:sz w:val="24"/>
          <w:szCs w:val="24"/>
          <w:shd w:val="clear" w:color="auto" w:fill="FFFFFF"/>
        </w:rPr>
        <w:t xml:space="preserve">Sun, L. and Bunchapattanasakda, C., 2019. </w:t>
      </w:r>
      <w:r w:rsidRPr="003E0070">
        <w:rPr>
          <w:sz w:val="24"/>
          <w:szCs w:val="24"/>
          <w:shd w:val="clear" w:color="auto" w:fill="FFFFFF"/>
        </w:rPr>
        <w:t>Employee engagement: A literature review. </w:t>
      </w:r>
      <w:r w:rsidRPr="003E0070">
        <w:rPr>
          <w:i/>
          <w:iCs/>
          <w:sz w:val="24"/>
          <w:szCs w:val="24"/>
          <w:shd w:val="clear" w:color="auto" w:fill="FFFFFF"/>
        </w:rPr>
        <w:t>International Journal of Human Resource Studies</w:t>
      </w:r>
      <w:r w:rsidRPr="003E0070">
        <w:rPr>
          <w:sz w:val="24"/>
          <w:szCs w:val="24"/>
          <w:shd w:val="clear" w:color="auto" w:fill="FFFFFF"/>
        </w:rPr>
        <w:t>, </w:t>
      </w:r>
      <w:r w:rsidRPr="003E0070">
        <w:rPr>
          <w:i/>
          <w:iCs/>
          <w:sz w:val="24"/>
          <w:szCs w:val="24"/>
          <w:shd w:val="clear" w:color="auto" w:fill="FFFFFF"/>
        </w:rPr>
        <w:t>9</w:t>
      </w:r>
      <w:r w:rsidRPr="003E0070">
        <w:rPr>
          <w:sz w:val="24"/>
          <w:szCs w:val="24"/>
          <w:shd w:val="clear" w:color="auto" w:fill="FFFFFF"/>
        </w:rPr>
        <w:t>(1), pp.63-80.</w:t>
      </w:r>
    </w:p>
    <w:p w:rsidR="007362C9" w:rsidRPr="007362C9" w:rsidRDefault="007362C9" w:rsidP="002713B6">
      <w:pPr>
        <w:spacing w:before="240" w:after="240" w:line="360" w:lineRule="auto"/>
        <w:jc w:val="both"/>
        <w:rPr>
          <w:rFonts w:ascii="Times New Roman" w:eastAsia="Times New Roman" w:hAnsi="Times New Roman" w:cs="Times New Roman"/>
          <w:sz w:val="24"/>
          <w:szCs w:val="24"/>
        </w:rPr>
      </w:pPr>
    </w:p>
    <w:p w:rsidR="00041857" w:rsidRPr="007362C9" w:rsidRDefault="00041857" w:rsidP="002713B6">
      <w:pPr>
        <w:spacing w:line="360" w:lineRule="auto"/>
        <w:jc w:val="both"/>
        <w:rPr>
          <w:rFonts w:ascii="Times New Roman" w:eastAsia="Times New Roman" w:hAnsi="Times New Roman" w:cs="Times New Roman"/>
          <w:sz w:val="24"/>
          <w:szCs w:val="24"/>
        </w:rPr>
      </w:pPr>
    </w:p>
    <w:sectPr w:rsidR="00041857" w:rsidRPr="007362C9" w:rsidSect="00D058FB">
      <w:footerReference w:type="default" r:id="rId7"/>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61710" w:rsidRDefault="00B61710" w:rsidP="00D058FB">
      <w:pPr>
        <w:spacing w:line="240" w:lineRule="auto"/>
      </w:pPr>
      <w:r>
        <w:separator/>
      </w:r>
    </w:p>
  </w:endnote>
  <w:endnote w:type="continuationSeparator" w:id="1">
    <w:p w:rsidR="00B61710" w:rsidRDefault="00B61710" w:rsidP="00D058F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95605485"/>
      <w:docPartObj>
        <w:docPartGallery w:val="Page Numbers (Bottom of Page)"/>
        <w:docPartUnique/>
      </w:docPartObj>
    </w:sdtPr>
    <w:sdtEndPr>
      <w:rPr>
        <w:rFonts w:ascii="Times New Roman" w:hAnsi="Times New Roman" w:cs="Times New Roman"/>
        <w:noProof/>
        <w:sz w:val="20"/>
        <w:szCs w:val="20"/>
      </w:rPr>
    </w:sdtEndPr>
    <w:sdtContent>
      <w:p w:rsidR="00F356C1" w:rsidRPr="00F356C1" w:rsidRDefault="00D058FB">
        <w:pPr>
          <w:pStyle w:val="Footer"/>
          <w:jc w:val="right"/>
          <w:rPr>
            <w:rFonts w:ascii="Times New Roman" w:hAnsi="Times New Roman" w:cs="Times New Roman"/>
            <w:sz w:val="20"/>
            <w:szCs w:val="20"/>
          </w:rPr>
        </w:pPr>
        <w:r w:rsidRPr="00F356C1">
          <w:rPr>
            <w:rFonts w:ascii="Times New Roman" w:hAnsi="Times New Roman" w:cs="Times New Roman"/>
            <w:sz w:val="20"/>
            <w:szCs w:val="20"/>
          </w:rPr>
          <w:fldChar w:fldCharType="begin"/>
        </w:r>
        <w:r w:rsidR="00B61710" w:rsidRPr="00F356C1">
          <w:rPr>
            <w:rFonts w:ascii="Times New Roman" w:hAnsi="Times New Roman" w:cs="Times New Roman"/>
            <w:sz w:val="20"/>
            <w:szCs w:val="20"/>
          </w:rPr>
          <w:instrText xml:space="preserve"> PAGE   \* MERGEFORMAT </w:instrText>
        </w:r>
        <w:r w:rsidRPr="00F356C1">
          <w:rPr>
            <w:rFonts w:ascii="Times New Roman" w:hAnsi="Times New Roman" w:cs="Times New Roman"/>
            <w:sz w:val="20"/>
            <w:szCs w:val="20"/>
          </w:rPr>
          <w:fldChar w:fldCharType="separate"/>
        </w:r>
        <w:r w:rsidR="00AD34FC">
          <w:rPr>
            <w:rFonts w:ascii="Times New Roman" w:hAnsi="Times New Roman" w:cs="Times New Roman"/>
            <w:noProof/>
            <w:sz w:val="20"/>
            <w:szCs w:val="20"/>
          </w:rPr>
          <w:t>10</w:t>
        </w:r>
        <w:r w:rsidRPr="00F356C1">
          <w:rPr>
            <w:rFonts w:ascii="Times New Roman" w:hAnsi="Times New Roman" w:cs="Times New Roman"/>
            <w:noProof/>
            <w:sz w:val="20"/>
            <w:szCs w:val="20"/>
          </w:rPr>
          <w:fldChar w:fldCharType="end"/>
        </w:r>
      </w:p>
    </w:sdtContent>
  </w:sdt>
  <w:p w:rsidR="00F356C1" w:rsidRDefault="00F356C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61710" w:rsidRDefault="00B61710" w:rsidP="00D058FB">
      <w:pPr>
        <w:spacing w:line="240" w:lineRule="auto"/>
      </w:pPr>
      <w:r>
        <w:separator/>
      </w:r>
    </w:p>
  </w:footnote>
  <w:footnote w:type="continuationSeparator" w:id="1">
    <w:p w:rsidR="00B61710" w:rsidRDefault="00B61710" w:rsidP="00D058FB">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41857"/>
    <w:rsid w:val="00041857"/>
    <w:rsid w:val="002713B6"/>
    <w:rsid w:val="003E0070"/>
    <w:rsid w:val="007362C9"/>
    <w:rsid w:val="00AD34FC"/>
    <w:rsid w:val="00AF7705"/>
    <w:rsid w:val="00B61710"/>
    <w:rsid w:val="00D058FB"/>
    <w:rsid w:val="00D80A6E"/>
    <w:rsid w:val="00F356C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58FB"/>
  </w:style>
  <w:style w:type="paragraph" w:styleId="Heading1">
    <w:name w:val="heading 1"/>
    <w:basedOn w:val="Normal"/>
    <w:next w:val="Normal"/>
    <w:autoRedefine/>
    <w:uiPriority w:val="9"/>
    <w:qFormat/>
    <w:rsid w:val="00AD34FC"/>
    <w:pPr>
      <w:keepNext/>
      <w:keepLines/>
      <w:spacing w:before="400" w:after="120" w:line="360" w:lineRule="auto"/>
      <w:jc w:val="both"/>
      <w:outlineLvl w:val="0"/>
    </w:pPr>
    <w:rPr>
      <w:b/>
      <w:sz w:val="28"/>
      <w:szCs w:val="28"/>
    </w:rPr>
  </w:style>
  <w:style w:type="paragraph" w:styleId="Heading2">
    <w:name w:val="heading 2"/>
    <w:basedOn w:val="Normal"/>
    <w:next w:val="Normal"/>
    <w:autoRedefine/>
    <w:uiPriority w:val="9"/>
    <w:unhideWhenUsed/>
    <w:qFormat/>
    <w:rsid w:val="007362C9"/>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rsid w:val="00D058FB"/>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D058FB"/>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D058FB"/>
    <w:pPr>
      <w:keepNext/>
      <w:keepLines/>
      <w:spacing w:before="240" w:after="80"/>
      <w:outlineLvl w:val="4"/>
    </w:pPr>
    <w:rPr>
      <w:color w:val="666666"/>
    </w:rPr>
  </w:style>
  <w:style w:type="paragraph" w:styleId="Heading6">
    <w:name w:val="heading 6"/>
    <w:basedOn w:val="Normal"/>
    <w:next w:val="Normal"/>
    <w:uiPriority w:val="9"/>
    <w:semiHidden/>
    <w:unhideWhenUsed/>
    <w:qFormat/>
    <w:rsid w:val="00D058F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058FB"/>
    <w:pPr>
      <w:keepNext/>
      <w:keepLines/>
      <w:spacing w:after="60"/>
    </w:pPr>
    <w:rPr>
      <w:sz w:val="52"/>
      <w:szCs w:val="52"/>
    </w:rPr>
  </w:style>
  <w:style w:type="paragraph" w:styleId="Subtitle">
    <w:name w:val="Subtitle"/>
    <w:basedOn w:val="Normal"/>
    <w:next w:val="Normal"/>
    <w:uiPriority w:val="11"/>
    <w:qFormat/>
    <w:rsid w:val="00D058FB"/>
    <w:pPr>
      <w:keepNext/>
      <w:keepLines/>
      <w:spacing w:after="320"/>
    </w:pPr>
    <w:rPr>
      <w:color w:val="666666"/>
      <w:sz w:val="30"/>
      <w:szCs w:val="30"/>
    </w:rPr>
  </w:style>
  <w:style w:type="paragraph" w:styleId="TOCHeading">
    <w:name w:val="TOC Heading"/>
    <w:basedOn w:val="Heading1"/>
    <w:next w:val="Normal"/>
    <w:uiPriority w:val="39"/>
    <w:unhideWhenUsed/>
    <w:qFormat/>
    <w:rsid w:val="00AF770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F7705"/>
    <w:pPr>
      <w:spacing w:after="100"/>
    </w:pPr>
  </w:style>
  <w:style w:type="paragraph" w:styleId="TOC2">
    <w:name w:val="toc 2"/>
    <w:basedOn w:val="Normal"/>
    <w:next w:val="Normal"/>
    <w:autoRedefine/>
    <w:uiPriority w:val="39"/>
    <w:unhideWhenUsed/>
    <w:rsid w:val="00AF7705"/>
    <w:pPr>
      <w:spacing w:after="100"/>
      <w:ind w:left="220"/>
    </w:pPr>
  </w:style>
  <w:style w:type="character" w:styleId="Hyperlink">
    <w:name w:val="Hyperlink"/>
    <w:basedOn w:val="DefaultParagraphFont"/>
    <w:uiPriority w:val="99"/>
    <w:unhideWhenUsed/>
    <w:rsid w:val="00AF7705"/>
    <w:rPr>
      <w:color w:val="0000FF" w:themeColor="hyperlink"/>
      <w:u w:val="single"/>
    </w:rPr>
  </w:style>
  <w:style w:type="paragraph" w:styleId="Header">
    <w:name w:val="header"/>
    <w:basedOn w:val="Normal"/>
    <w:link w:val="HeaderChar"/>
    <w:uiPriority w:val="99"/>
    <w:unhideWhenUsed/>
    <w:rsid w:val="00F356C1"/>
    <w:pPr>
      <w:tabs>
        <w:tab w:val="center" w:pos="4513"/>
        <w:tab w:val="right" w:pos="9026"/>
      </w:tabs>
      <w:spacing w:line="240" w:lineRule="auto"/>
    </w:pPr>
  </w:style>
  <w:style w:type="character" w:customStyle="1" w:styleId="HeaderChar">
    <w:name w:val="Header Char"/>
    <w:basedOn w:val="DefaultParagraphFont"/>
    <w:link w:val="Header"/>
    <w:uiPriority w:val="99"/>
    <w:rsid w:val="00F356C1"/>
  </w:style>
  <w:style w:type="paragraph" w:styleId="Footer">
    <w:name w:val="footer"/>
    <w:basedOn w:val="Normal"/>
    <w:link w:val="FooterChar"/>
    <w:uiPriority w:val="99"/>
    <w:unhideWhenUsed/>
    <w:rsid w:val="00F356C1"/>
    <w:pPr>
      <w:tabs>
        <w:tab w:val="center" w:pos="4513"/>
        <w:tab w:val="right" w:pos="9026"/>
      </w:tabs>
      <w:spacing w:line="240" w:lineRule="auto"/>
    </w:pPr>
  </w:style>
  <w:style w:type="character" w:customStyle="1" w:styleId="FooterChar">
    <w:name w:val="Footer Char"/>
    <w:basedOn w:val="DefaultParagraphFont"/>
    <w:link w:val="Footer"/>
    <w:uiPriority w:val="99"/>
    <w:rsid w:val="00F356C1"/>
  </w:style>
  <w:style w:type="paragraph" w:styleId="BalloonText">
    <w:name w:val="Balloon Text"/>
    <w:basedOn w:val="Normal"/>
    <w:link w:val="BalloonTextChar"/>
    <w:uiPriority w:val="99"/>
    <w:semiHidden/>
    <w:unhideWhenUsed/>
    <w:rsid w:val="003E007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007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4C35F5-BF6A-46A5-B386-394A12D52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2566</Words>
  <Characters>14629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17161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2023-06-12T11:17:00Z</dcterms:created>
  <dcterms:modified xsi:type="dcterms:W3CDTF">2023-06-12T11:17:00Z</dcterms:modified>
</cp:coreProperties>
</file>