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746AEC" w14:textId="2581914A" w:rsidR="003A0BBD" w:rsidRDefault="00DA4684" w:rsidP="00DA4684">
      <w:pPr>
        <w:pStyle w:val="Heading1"/>
        <w:rPr>
          <w:lang w:val="en-GB"/>
        </w:rPr>
      </w:pPr>
      <w:r>
        <w:rPr>
          <w:lang w:val="en-GB"/>
        </w:rPr>
        <w:t>Jewish and Christian scholars are engaging in critical discussions over biblical texts. Discuss the significance of this process of interaction for biblical scholarship and interpretation</w:t>
      </w:r>
    </w:p>
    <w:p w14:paraId="76AF98D9" w14:textId="4987BC49" w:rsidR="00DA4684" w:rsidRDefault="00DA4684" w:rsidP="00DA4684">
      <w:pPr>
        <w:rPr>
          <w:lang w:val="en-GB"/>
        </w:rPr>
      </w:pPr>
    </w:p>
    <w:p w14:paraId="0F2E157B" w14:textId="5A0F730E" w:rsidR="005B5053" w:rsidRDefault="002B1FCB" w:rsidP="00CB0E2B">
      <w:pPr>
        <w:rPr>
          <w:lang w:val="en-GB"/>
        </w:rPr>
      </w:pPr>
      <w:r>
        <w:rPr>
          <w:lang w:val="en-GB"/>
        </w:rPr>
        <w:t>Happily, much has</w:t>
      </w:r>
      <w:r w:rsidR="00677217">
        <w:rPr>
          <w:lang w:val="en-GB"/>
        </w:rPr>
        <w:t xml:space="preserve"> changed in Pauline scholarship since Adolf von </w:t>
      </w:r>
      <w:proofErr w:type="spellStart"/>
      <w:r w:rsidR="00677217">
        <w:rPr>
          <w:lang w:val="en-GB"/>
        </w:rPr>
        <w:t>Harnack’s</w:t>
      </w:r>
      <w:proofErr w:type="spellEnd"/>
      <w:r w:rsidR="00677217">
        <w:rPr>
          <w:lang w:val="en-GB"/>
        </w:rPr>
        <w:t xml:space="preserve"> observation in 1924 that ‘Paul </w:t>
      </w:r>
      <w:r w:rsidR="006B2057">
        <w:rPr>
          <w:lang w:val="en-GB"/>
        </w:rPr>
        <w:t>pulverised</w:t>
      </w:r>
      <w:r w:rsidR="00677217">
        <w:rPr>
          <w:lang w:val="en-GB"/>
        </w:rPr>
        <w:t xml:space="preserve"> Israel’s religion with the cross of Christ’.</w:t>
      </w:r>
      <w:r w:rsidR="00677217">
        <w:rPr>
          <w:rStyle w:val="FootnoteReference"/>
          <w:lang w:val="en-GB"/>
        </w:rPr>
        <w:footnoteReference w:id="1"/>
      </w:r>
      <w:r w:rsidR="008B00C9">
        <w:rPr>
          <w:lang w:val="en-GB"/>
        </w:rPr>
        <w:t xml:space="preserve"> A combination of </w:t>
      </w:r>
      <w:r w:rsidR="00C73B64">
        <w:rPr>
          <w:lang w:val="en-GB"/>
        </w:rPr>
        <w:t>factors</w:t>
      </w:r>
      <w:r w:rsidR="008B00C9">
        <w:rPr>
          <w:lang w:val="en-GB"/>
        </w:rPr>
        <w:t xml:space="preserve"> has meant that a sharp opposition between a Christianised Paul and his Jewish roots is, in most academic contexts at least, no longer tenable. </w:t>
      </w:r>
      <w:r w:rsidR="008F5DA9">
        <w:rPr>
          <w:lang w:val="en-GB"/>
        </w:rPr>
        <w:t xml:space="preserve">Particularly in the last thirty years, this has made space </w:t>
      </w:r>
      <w:r w:rsidR="008F5DA9">
        <w:rPr>
          <w:lang w:val="en-GB"/>
        </w:rPr>
        <w:t>fo</w:t>
      </w:r>
      <w:r w:rsidR="009C1F00" w:rsidRPr="009C1F00">
        <w:rPr>
          <w:lang w:val="en-GB"/>
        </w:rPr>
        <w:t>r discussion between Jewish and Christian scholars</w:t>
      </w:r>
      <w:r w:rsidR="008F5DA9">
        <w:rPr>
          <w:lang w:val="en-GB"/>
        </w:rPr>
        <w:t>.</w:t>
      </w:r>
      <w:r w:rsidR="00D8725C">
        <w:rPr>
          <w:lang w:val="en-GB"/>
        </w:rPr>
        <w:t xml:space="preserve"> In this essay, I begin by offering an account of some of the changes both </w:t>
      </w:r>
      <w:r w:rsidR="00C73B64">
        <w:rPr>
          <w:lang w:val="en-GB"/>
        </w:rPr>
        <w:t>inside and outside</w:t>
      </w:r>
      <w:r w:rsidR="00D8725C">
        <w:rPr>
          <w:lang w:val="en-GB"/>
        </w:rPr>
        <w:t xml:space="preserve"> Pauline scholarship that have made these discussions possible. I then move on to consider three particular areas of contribution – discussion around Paul’s conversion, </w:t>
      </w:r>
      <w:r w:rsidR="00DD18ED">
        <w:rPr>
          <w:lang w:val="en-GB"/>
        </w:rPr>
        <w:t xml:space="preserve">Daniel </w:t>
      </w:r>
      <w:proofErr w:type="spellStart"/>
      <w:r w:rsidR="00D8725C">
        <w:rPr>
          <w:lang w:val="en-GB"/>
        </w:rPr>
        <w:t>Boyarin</w:t>
      </w:r>
      <w:proofErr w:type="spellEnd"/>
      <w:r w:rsidR="00A3798A">
        <w:rPr>
          <w:lang w:val="en-GB"/>
        </w:rPr>
        <w:t xml:space="preserve"> </w:t>
      </w:r>
      <w:r w:rsidR="00D8725C">
        <w:rPr>
          <w:lang w:val="en-GB"/>
        </w:rPr>
        <w:t>as an example of reader-centred approaches to Paul, and the methodological criticisms of the Radical New Perspective on Paul – and assess their significance for biblical scholarship.</w:t>
      </w:r>
    </w:p>
    <w:p w14:paraId="4A85EF34" w14:textId="0F367569" w:rsidR="003A580F" w:rsidRDefault="003A580F" w:rsidP="00CB0E2B">
      <w:pPr>
        <w:rPr>
          <w:lang w:val="en-GB"/>
        </w:rPr>
      </w:pPr>
    </w:p>
    <w:p w14:paraId="7D127A6C" w14:textId="556E7C4F" w:rsidR="004E6F48" w:rsidRDefault="001113E1" w:rsidP="00963E39">
      <w:pPr>
        <w:rPr>
          <w:lang w:val="en-GB"/>
        </w:rPr>
      </w:pPr>
      <w:r>
        <w:rPr>
          <w:lang w:val="en-GB"/>
        </w:rPr>
        <w:t xml:space="preserve">What, then, has made an increase in critical conversations between Jewish and Christian scholars possible? </w:t>
      </w:r>
      <w:r w:rsidR="008F5DA9">
        <w:rPr>
          <w:lang w:val="en-GB"/>
        </w:rPr>
        <w:t xml:space="preserve">John </w:t>
      </w:r>
      <w:proofErr w:type="spellStart"/>
      <w:r w:rsidR="008F5DA9">
        <w:rPr>
          <w:lang w:val="en-GB"/>
        </w:rPr>
        <w:t>Gager</w:t>
      </w:r>
      <w:proofErr w:type="spellEnd"/>
      <w:r w:rsidR="008F5DA9">
        <w:rPr>
          <w:lang w:val="en-GB"/>
        </w:rPr>
        <w:t xml:space="preserve"> demonstrates that Paul was ignored by Jewish scholars for much of history</w:t>
      </w:r>
      <w:r w:rsidR="0071631F">
        <w:rPr>
          <w:lang w:val="en-GB"/>
        </w:rPr>
        <w:t xml:space="preserve">; </w:t>
      </w:r>
      <w:r w:rsidR="000F4028">
        <w:rPr>
          <w:lang w:val="en-GB"/>
        </w:rPr>
        <w:t>though, where he was read,</w:t>
      </w:r>
      <w:r w:rsidR="0071631F">
        <w:rPr>
          <w:lang w:val="en-GB"/>
        </w:rPr>
        <w:t xml:space="preserve"> he was considered sympathetically as a fellow Jewish thinker.</w:t>
      </w:r>
      <w:r w:rsidR="000F4028">
        <w:rPr>
          <w:rStyle w:val="FootnoteReference"/>
          <w:lang w:val="en-GB"/>
        </w:rPr>
        <w:footnoteReference w:id="2"/>
      </w:r>
      <w:r w:rsidR="0071631F">
        <w:rPr>
          <w:lang w:val="en-GB"/>
        </w:rPr>
        <w:t xml:space="preserve"> </w:t>
      </w:r>
      <w:r w:rsidR="00C22DA6">
        <w:rPr>
          <w:lang w:val="en-GB"/>
        </w:rPr>
        <w:t>Even as late as the beginning of the twentieth century, readings</w:t>
      </w:r>
      <w:r w:rsidR="002A10DF">
        <w:rPr>
          <w:lang w:val="en-GB"/>
        </w:rPr>
        <w:t xml:space="preserve"> of Paul by</w:t>
      </w:r>
      <w:r w:rsidR="00C22DA6">
        <w:rPr>
          <w:lang w:val="en-GB"/>
        </w:rPr>
        <w:t xml:space="preserve"> Jewish</w:t>
      </w:r>
      <w:r w:rsidR="002A10DF">
        <w:rPr>
          <w:lang w:val="en-GB"/>
        </w:rPr>
        <w:t xml:space="preserve"> figures such as Leo </w:t>
      </w:r>
      <w:proofErr w:type="spellStart"/>
      <w:r w:rsidR="002A10DF">
        <w:rPr>
          <w:lang w:val="en-GB"/>
        </w:rPr>
        <w:t>Baeck</w:t>
      </w:r>
      <w:proofErr w:type="spellEnd"/>
      <w:r w:rsidR="002A10DF">
        <w:rPr>
          <w:lang w:val="en-GB"/>
        </w:rPr>
        <w:t xml:space="preserve"> and Martin </w:t>
      </w:r>
      <w:r w:rsidR="00D71259">
        <w:rPr>
          <w:lang w:val="en-GB"/>
        </w:rPr>
        <w:t>Buber</w:t>
      </w:r>
      <w:r w:rsidR="002A10DF">
        <w:rPr>
          <w:lang w:val="en-GB"/>
        </w:rPr>
        <w:t xml:space="preserve"> functioned apologetically, offering a different reading to those of the Protestant university figures.</w:t>
      </w:r>
      <w:r w:rsidR="002A10DF">
        <w:rPr>
          <w:rStyle w:val="FootnoteReference"/>
          <w:lang w:val="en-GB"/>
        </w:rPr>
        <w:footnoteReference w:id="3"/>
      </w:r>
      <w:r w:rsidR="002A10DF">
        <w:rPr>
          <w:lang w:val="en-GB"/>
        </w:rPr>
        <w:t xml:space="preserve"> </w:t>
      </w:r>
      <w:r w:rsidR="00084A2C">
        <w:rPr>
          <w:lang w:val="en-GB"/>
        </w:rPr>
        <w:t xml:space="preserve">Pamela </w:t>
      </w:r>
      <w:proofErr w:type="spellStart"/>
      <w:r w:rsidR="002A10DF">
        <w:rPr>
          <w:lang w:val="en-GB"/>
        </w:rPr>
        <w:t>Eisenbaum</w:t>
      </w:r>
      <w:proofErr w:type="spellEnd"/>
      <w:r w:rsidR="002A10DF">
        <w:rPr>
          <w:lang w:val="en-GB"/>
        </w:rPr>
        <w:t xml:space="preserve"> judges that the contributions of these figures never ‘transcended Jewish-Christian polemics; circumstances [before WWII] made it impossible’.</w:t>
      </w:r>
      <w:r w:rsidR="002A10DF">
        <w:rPr>
          <w:rStyle w:val="FootnoteReference"/>
          <w:lang w:val="en-GB"/>
        </w:rPr>
        <w:footnoteReference w:id="4"/>
      </w:r>
      <w:r w:rsidR="002A10DF">
        <w:rPr>
          <w:lang w:val="en-GB"/>
        </w:rPr>
        <w:t xml:space="preserve"> </w:t>
      </w:r>
      <w:r w:rsidR="001656BC">
        <w:rPr>
          <w:lang w:val="en-GB"/>
        </w:rPr>
        <w:t>This changed in the aftermath of the Second World War. Firstly</w:t>
      </w:r>
      <w:r w:rsidR="002A10DF">
        <w:rPr>
          <w:lang w:val="en-GB"/>
        </w:rPr>
        <w:t>, the horrors</w:t>
      </w:r>
      <w:r w:rsidR="003A580F">
        <w:rPr>
          <w:lang w:val="en-GB"/>
        </w:rPr>
        <w:t xml:space="preserve"> of the Shoah prompted a rethinking of cultural </w:t>
      </w:r>
      <w:r w:rsidR="003A580F">
        <w:rPr>
          <w:lang w:val="en-GB"/>
        </w:rPr>
        <w:lastRenderedPageBreak/>
        <w:t>perceptions of Judaism, which has included the discipline of Biblical studies.</w:t>
      </w:r>
      <w:r w:rsidR="003A580F">
        <w:rPr>
          <w:rStyle w:val="FootnoteReference"/>
          <w:lang w:val="en-GB"/>
        </w:rPr>
        <w:footnoteReference w:id="5"/>
      </w:r>
      <w:r w:rsidR="003A580F">
        <w:rPr>
          <w:lang w:val="en-GB"/>
        </w:rPr>
        <w:t xml:space="preserve"> </w:t>
      </w:r>
      <w:r w:rsidR="00DF2C5B">
        <w:rPr>
          <w:lang w:val="en-GB"/>
        </w:rPr>
        <w:t>Secondly,</w:t>
      </w:r>
      <w:r w:rsidR="001656BC">
        <w:rPr>
          <w:lang w:val="en-GB"/>
        </w:rPr>
        <w:t xml:space="preserve"> there was an increasing awareness of inherent anti-Semitism within the Christian tradition, whether from historical figures such as Augustine and Luther,</w:t>
      </w:r>
      <w:r w:rsidR="001656BC">
        <w:rPr>
          <w:rStyle w:val="FootnoteReference"/>
          <w:lang w:val="en-GB"/>
        </w:rPr>
        <w:footnoteReference w:id="6"/>
      </w:r>
      <w:r w:rsidR="001656BC">
        <w:rPr>
          <w:lang w:val="en-GB"/>
        </w:rPr>
        <w:t xml:space="preserve"> or from leading scholars in Protestant research such as Gerhard Kittel. </w:t>
      </w:r>
      <w:r w:rsidR="00DF2C5B">
        <w:rPr>
          <w:lang w:val="en-GB"/>
        </w:rPr>
        <w:t>Thirdly</w:t>
      </w:r>
      <w:r w:rsidR="001656BC">
        <w:rPr>
          <w:lang w:val="en-GB"/>
        </w:rPr>
        <w:t>, t</w:t>
      </w:r>
      <w:r w:rsidR="003A580F">
        <w:rPr>
          <w:lang w:val="en-GB"/>
        </w:rPr>
        <w:t>he gravitational centre of the discipline moved away from the German University context</w:t>
      </w:r>
      <w:r w:rsidR="001A3891">
        <w:rPr>
          <w:lang w:val="en-GB"/>
        </w:rPr>
        <w:t xml:space="preserve">. This </w:t>
      </w:r>
      <w:r w:rsidR="00DF2C5B">
        <w:rPr>
          <w:lang w:val="en-GB"/>
        </w:rPr>
        <w:t xml:space="preserve">third point </w:t>
      </w:r>
      <w:r w:rsidR="001A3891">
        <w:rPr>
          <w:lang w:val="en-GB"/>
        </w:rPr>
        <w:t xml:space="preserve">is, </w:t>
      </w:r>
      <w:r w:rsidR="003A580F">
        <w:rPr>
          <w:lang w:val="en-GB"/>
        </w:rPr>
        <w:t xml:space="preserve">to my mind, </w:t>
      </w:r>
      <w:r w:rsidR="00152BF3">
        <w:rPr>
          <w:lang w:val="en-GB"/>
        </w:rPr>
        <w:t xml:space="preserve">an </w:t>
      </w:r>
      <w:r w:rsidR="003A580F">
        <w:rPr>
          <w:lang w:val="en-GB"/>
        </w:rPr>
        <w:t>underrated generative factor in fresh readings of Paul</w:t>
      </w:r>
      <w:r w:rsidR="00963E39">
        <w:rPr>
          <w:lang w:val="en-GB"/>
        </w:rPr>
        <w:t xml:space="preserve">. </w:t>
      </w:r>
      <w:r w:rsidR="003A580F">
        <w:rPr>
          <w:lang w:val="en-GB"/>
        </w:rPr>
        <w:t>The sharp</w:t>
      </w:r>
      <w:r w:rsidR="00963E39">
        <w:rPr>
          <w:lang w:val="en-GB"/>
        </w:rPr>
        <w:t xml:space="preserve"> confessional</w:t>
      </w:r>
      <w:r w:rsidR="003A580F">
        <w:rPr>
          <w:lang w:val="en-GB"/>
        </w:rPr>
        <w:t xml:space="preserve"> divide between Catholic and Protestant faculties</w:t>
      </w:r>
      <w:r w:rsidR="00963E39">
        <w:rPr>
          <w:lang w:val="en-GB"/>
        </w:rPr>
        <w:t xml:space="preserve"> in Germany</w:t>
      </w:r>
      <w:r w:rsidR="003A580F">
        <w:rPr>
          <w:lang w:val="en-GB"/>
        </w:rPr>
        <w:t xml:space="preserve">, and the fact that these faculties also </w:t>
      </w:r>
      <w:r w:rsidR="00963E39">
        <w:rPr>
          <w:lang w:val="en-GB"/>
        </w:rPr>
        <w:t>formed</w:t>
      </w:r>
      <w:r w:rsidR="003A580F">
        <w:rPr>
          <w:lang w:val="en-GB"/>
        </w:rPr>
        <w:t xml:space="preserve"> future ministers and priests within said confessional traditions, created a tradition of reading Paul that was</w:t>
      </w:r>
      <w:r w:rsidR="00963E39">
        <w:rPr>
          <w:lang w:val="en-GB"/>
        </w:rPr>
        <w:t xml:space="preserve"> – and in many ways still is</w:t>
      </w:r>
      <w:r w:rsidR="00963E39">
        <w:rPr>
          <w:rStyle w:val="FootnoteReference"/>
          <w:lang w:val="en-GB"/>
        </w:rPr>
        <w:footnoteReference w:id="7"/>
      </w:r>
      <w:r w:rsidR="00963E39">
        <w:rPr>
          <w:lang w:val="en-GB"/>
        </w:rPr>
        <w:t xml:space="preserve"> – </w:t>
      </w:r>
      <w:r w:rsidR="003A580F">
        <w:rPr>
          <w:lang w:val="en-GB"/>
        </w:rPr>
        <w:t>self-replicating</w:t>
      </w:r>
      <w:r w:rsidR="00963E39">
        <w:rPr>
          <w:lang w:val="en-GB"/>
        </w:rPr>
        <w:t xml:space="preserve"> and inherently resistant to new readings that threatened core confessional commitments</w:t>
      </w:r>
      <w:r w:rsidR="00152BF3">
        <w:rPr>
          <w:lang w:val="en-GB"/>
        </w:rPr>
        <w:t xml:space="preserve">. The move to </w:t>
      </w:r>
      <w:r w:rsidR="002D42D3">
        <w:rPr>
          <w:lang w:val="en-GB"/>
        </w:rPr>
        <w:t>the Anglo-American world</w:t>
      </w:r>
      <w:r w:rsidR="00152BF3">
        <w:rPr>
          <w:lang w:val="en-GB"/>
        </w:rPr>
        <w:t xml:space="preserve"> provided an academic context that</w:t>
      </w:r>
      <w:r w:rsidR="005A5612">
        <w:rPr>
          <w:lang w:val="en-GB"/>
        </w:rPr>
        <w:t>, being often both ecumenical and more secular,</w:t>
      </w:r>
      <w:r w:rsidR="00152BF3">
        <w:rPr>
          <w:lang w:val="en-GB"/>
        </w:rPr>
        <w:t xml:space="preserve"> was to </w:t>
      </w:r>
      <w:r w:rsidR="007C7AC3">
        <w:rPr>
          <w:lang w:val="en-GB"/>
        </w:rPr>
        <w:t>a greater</w:t>
      </w:r>
      <w:r w:rsidR="00152BF3">
        <w:rPr>
          <w:lang w:val="en-GB"/>
        </w:rPr>
        <w:t xml:space="preserve"> </w:t>
      </w:r>
      <w:r w:rsidR="00194541">
        <w:rPr>
          <w:lang w:val="en-GB"/>
        </w:rPr>
        <w:t>degree</w:t>
      </w:r>
      <w:r w:rsidR="00152BF3">
        <w:rPr>
          <w:lang w:val="en-GB"/>
        </w:rPr>
        <w:t xml:space="preserve"> free of some of this confessional legacy.</w:t>
      </w:r>
    </w:p>
    <w:p w14:paraId="3FF8DECB" w14:textId="77777777" w:rsidR="004E6F48" w:rsidRDefault="004E6F48" w:rsidP="00CB0E2B">
      <w:pPr>
        <w:rPr>
          <w:lang w:val="en-GB"/>
        </w:rPr>
      </w:pPr>
    </w:p>
    <w:p w14:paraId="7D539F7D" w14:textId="3AFD576F" w:rsidR="00E1782E" w:rsidRDefault="00445246" w:rsidP="00CB0E2B">
      <w:pPr>
        <w:rPr>
          <w:lang w:val="en-GB"/>
        </w:rPr>
      </w:pPr>
      <w:r>
        <w:rPr>
          <w:lang w:val="en-GB"/>
        </w:rPr>
        <w:t>Int</w:t>
      </w:r>
      <w:r w:rsidR="00A2374B">
        <w:rPr>
          <w:lang w:val="en-GB"/>
        </w:rPr>
        <w:t>ernally</w:t>
      </w:r>
      <w:r>
        <w:rPr>
          <w:lang w:val="en-GB"/>
        </w:rPr>
        <w:t xml:space="preserve">, the rise of the New Perspectives on Paul (hereafter NPP) in the last forty years has been hugely important, </w:t>
      </w:r>
      <w:r w:rsidR="00CB0E2B">
        <w:rPr>
          <w:lang w:val="en-GB"/>
        </w:rPr>
        <w:t xml:space="preserve">prompting both a reassessment of the nature of Second Temple Judaism in general, and Paul’s Jewish identity within this context. </w:t>
      </w:r>
      <w:r w:rsidR="000001EB">
        <w:rPr>
          <w:lang w:val="en-GB"/>
        </w:rPr>
        <w:t xml:space="preserve">A narrative of the internal changes within Pauline scholarship often mentions the contributions of figures such as </w:t>
      </w:r>
      <w:proofErr w:type="spellStart"/>
      <w:r w:rsidR="000001EB">
        <w:rPr>
          <w:lang w:val="en-GB"/>
        </w:rPr>
        <w:t>Kriste</w:t>
      </w:r>
      <w:r w:rsidR="003C29B4">
        <w:rPr>
          <w:lang w:val="en-GB"/>
        </w:rPr>
        <w:t>r</w:t>
      </w:r>
      <w:proofErr w:type="spellEnd"/>
      <w:r w:rsidR="000001EB">
        <w:rPr>
          <w:lang w:val="en-GB"/>
        </w:rPr>
        <w:t xml:space="preserve"> </w:t>
      </w:r>
      <w:proofErr w:type="spellStart"/>
      <w:r w:rsidR="000001EB">
        <w:rPr>
          <w:lang w:val="en-GB"/>
        </w:rPr>
        <w:t>Stendahl</w:t>
      </w:r>
      <w:proofErr w:type="spellEnd"/>
      <w:r w:rsidR="007E18DE">
        <w:rPr>
          <w:lang w:val="en-GB"/>
        </w:rPr>
        <w:t xml:space="preserve"> and E.P. Sanders.</w:t>
      </w:r>
      <w:r w:rsidR="000A158B">
        <w:rPr>
          <w:rStyle w:val="FootnoteReference"/>
          <w:lang w:val="en-GB"/>
        </w:rPr>
        <w:footnoteReference w:id="8"/>
      </w:r>
      <w:r w:rsidR="000001EB">
        <w:rPr>
          <w:lang w:val="en-GB"/>
        </w:rPr>
        <w:t xml:space="preserve"> </w:t>
      </w:r>
      <w:proofErr w:type="spellStart"/>
      <w:r w:rsidR="007E18DE">
        <w:rPr>
          <w:lang w:val="en-GB"/>
        </w:rPr>
        <w:t>Stendahl</w:t>
      </w:r>
      <w:proofErr w:type="spellEnd"/>
      <w:r w:rsidR="000001EB">
        <w:rPr>
          <w:lang w:val="en-GB"/>
        </w:rPr>
        <w:t xml:space="preserve"> argued that, far from being a figure tormented by a Judaism defined by works-righteousness and legalistic perfection, the Apostle Paul seems to have possessed a very ‘robust conscience’ regarding his ability to fulfil the Jewish law</w:t>
      </w:r>
      <w:r w:rsidR="004B3167">
        <w:rPr>
          <w:lang w:val="en-GB"/>
        </w:rPr>
        <w:t>’</w:t>
      </w:r>
      <w:r w:rsidR="000001EB">
        <w:rPr>
          <w:lang w:val="en-GB"/>
        </w:rPr>
        <w:t>.</w:t>
      </w:r>
      <w:r w:rsidR="00CE2912">
        <w:rPr>
          <w:rStyle w:val="FootnoteReference"/>
          <w:lang w:val="en-GB"/>
        </w:rPr>
        <w:footnoteReference w:id="9"/>
      </w:r>
      <w:r w:rsidR="000001EB">
        <w:rPr>
          <w:lang w:val="en-GB"/>
        </w:rPr>
        <w:t xml:space="preserve"> </w:t>
      </w:r>
      <w:r w:rsidR="00721FB7">
        <w:rPr>
          <w:lang w:val="en-GB"/>
        </w:rPr>
        <w:t xml:space="preserve">Furthermore, </w:t>
      </w:r>
      <w:proofErr w:type="spellStart"/>
      <w:r w:rsidR="00721FB7">
        <w:rPr>
          <w:lang w:val="en-GB"/>
        </w:rPr>
        <w:t>Stendahl</w:t>
      </w:r>
      <w:proofErr w:type="spellEnd"/>
      <w:r w:rsidR="00721FB7">
        <w:rPr>
          <w:lang w:val="en-GB"/>
        </w:rPr>
        <w:t xml:space="preserve"> argues that this was by no means an exceptional stance to take: ‘it is </w:t>
      </w:r>
      <w:r w:rsidR="00721FB7" w:rsidRPr="00721FB7">
        <w:rPr>
          <w:lang w:val="en-GB"/>
        </w:rPr>
        <w:t>striking to note that Paul nev</w:t>
      </w:r>
      <w:r w:rsidR="00721FB7">
        <w:rPr>
          <w:lang w:val="en-GB"/>
        </w:rPr>
        <w:t>er</w:t>
      </w:r>
      <w:r w:rsidR="00721FB7" w:rsidRPr="00721FB7">
        <w:rPr>
          <w:lang w:val="en-GB"/>
        </w:rPr>
        <w:t xml:space="preserve"> </w:t>
      </w:r>
      <w:r w:rsidR="00721FB7">
        <w:rPr>
          <w:lang w:val="en-GB"/>
        </w:rPr>
        <w:t xml:space="preserve">urges Jews to </w:t>
      </w:r>
      <w:r w:rsidR="00721FB7" w:rsidRPr="00721FB7">
        <w:rPr>
          <w:lang w:val="en-GB"/>
        </w:rPr>
        <w:t xml:space="preserve">find in Christ the answer to the </w:t>
      </w:r>
      <w:r w:rsidR="00122D31" w:rsidRPr="00122D31">
        <w:rPr>
          <w:lang w:val="en-GB"/>
        </w:rPr>
        <w:lastRenderedPageBreak/>
        <w:t>anguish of a plagued conscience</w:t>
      </w:r>
      <w:r w:rsidR="00122D31">
        <w:rPr>
          <w:lang w:val="en-GB"/>
        </w:rPr>
        <w:t>’</w:t>
      </w:r>
      <w:r w:rsidR="00721FB7">
        <w:rPr>
          <w:lang w:val="en-GB"/>
        </w:rPr>
        <w:t>.</w:t>
      </w:r>
      <w:r w:rsidR="00CE2912">
        <w:rPr>
          <w:rStyle w:val="FootnoteReference"/>
          <w:lang w:val="en-GB"/>
        </w:rPr>
        <w:footnoteReference w:id="10"/>
      </w:r>
      <w:r w:rsidR="00721FB7">
        <w:rPr>
          <w:lang w:val="en-GB"/>
        </w:rPr>
        <w:t xml:space="preserve"> Readings of Paul that project a concern about the inability </w:t>
      </w:r>
      <w:r w:rsidR="00D63BD7">
        <w:rPr>
          <w:lang w:val="en-GB"/>
        </w:rPr>
        <w:t>to follow</w:t>
      </w:r>
      <w:r w:rsidR="00721FB7">
        <w:rPr>
          <w:lang w:val="en-GB"/>
        </w:rPr>
        <w:t xml:space="preserve"> the law owe more to the Christian theological tradition of introspection propagated by figures such as Augustine and Luther.</w:t>
      </w:r>
      <w:r w:rsidR="00CE2912">
        <w:rPr>
          <w:rStyle w:val="FootnoteReference"/>
          <w:lang w:val="en-GB"/>
        </w:rPr>
        <w:footnoteReference w:id="11"/>
      </w:r>
      <w:r w:rsidR="007E18DE">
        <w:rPr>
          <w:lang w:val="en-GB"/>
        </w:rPr>
        <w:t xml:space="preserve"> </w:t>
      </w:r>
      <w:r w:rsidR="00A123D4">
        <w:rPr>
          <w:lang w:val="en-GB"/>
        </w:rPr>
        <w:t xml:space="preserve">Meanwhile, </w:t>
      </w:r>
      <w:r w:rsidR="00E1782E">
        <w:rPr>
          <w:lang w:val="en-GB"/>
        </w:rPr>
        <w:t>Sanders’ contribution</w:t>
      </w:r>
      <w:r w:rsidR="00A96552">
        <w:rPr>
          <w:lang w:val="en-GB"/>
        </w:rPr>
        <w:t xml:space="preserve"> in </w:t>
      </w:r>
      <w:r w:rsidR="00A96552">
        <w:rPr>
          <w:i/>
          <w:iCs/>
          <w:lang w:val="en-GB"/>
        </w:rPr>
        <w:t>Paul and Palestinian Judaism</w:t>
      </w:r>
      <w:r w:rsidR="00A96552">
        <w:rPr>
          <w:lang w:val="en-GB"/>
        </w:rPr>
        <w:t xml:space="preserve"> (1977)</w:t>
      </w:r>
      <w:r w:rsidR="001A5A19">
        <w:rPr>
          <w:rStyle w:val="FootnoteReference"/>
          <w:lang w:val="en-GB"/>
        </w:rPr>
        <w:footnoteReference w:id="12"/>
      </w:r>
      <w:r w:rsidR="00E1782E">
        <w:rPr>
          <w:lang w:val="en-GB"/>
        </w:rPr>
        <w:t xml:space="preserve"> was to present an exhaustive reading of literature from Second Temple Judaism</w:t>
      </w:r>
      <w:r w:rsidR="00BE3883">
        <w:rPr>
          <w:lang w:val="en-GB"/>
        </w:rPr>
        <w:t xml:space="preserve">. He demonstrated that, </w:t>
      </w:r>
      <w:r w:rsidR="00E1782E">
        <w:rPr>
          <w:lang w:val="en-GB"/>
        </w:rPr>
        <w:t>far from being a legalistic religion based on works-righteousness, Judaism was predicated on God’s gracious election of the nation of Israel to covenant relationship</w:t>
      </w:r>
      <w:r w:rsidR="00BE3883">
        <w:rPr>
          <w:lang w:val="en-GB"/>
        </w:rPr>
        <w:t xml:space="preserve"> which in turn</w:t>
      </w:r>
      <w:r w:rsidR="00E1782E">
        <w:rPr>
          <w:lang w:val="en-GB"/>
        </w:rPr>
        <w:t xml:space="preserve"> generated human obedience</w:t>
      </w:r>
      <w:r w:rsidR="00F3255A">
        <w:rPr>
          <w:lang w:val="en-GB"/>
        </w:rPr>
        <w:t xml:space="preserve">, </w:t>
      </w:r>
      <w:r w:rsidR="00E1782E">
        <w:rPr>
          <w:lang w:val="en-GB"/>
        </w:rPr>
        <w:t>a relationship that Sanders termed ‘covenantal nomism’.</w:t>
      </w:r>
      <w:r w:rsidR="00E1782E">
        <w:rPr>
          <w:rStyle w:val="FootnoteReference"/>
          <w:lang w:val="en-GB"/>
        </w:rPr>
        <w:footnoteReference w:id="13"/>
      </w:r>
      <w:r w:rsidR="00E1782E">
        <w:rPr>
          <w:lang w:val="en-GB"/>
        </w:rPr>
        <w:t xml:space="preserve"> </w:t>
      </w:r>
      <w:r w:rsidR="00265E19">
        <w:rPr>
          <w:lang w:val="en-GB"/>
        </w:rPr>
        <w:t xml:space="preserve">Human obedience, then, was less about earning God’s favour </w:t>
      </w:r>
      <w:r w:rsidR="00AB4C63">
        <w:rPr>
          <w:lang w:val="en-GB"/>
        </w:rPr>
        <w:t xml:space="preserve">than </w:t>
      </w:r>
      <w:r w:rsidR="00265E19">
        <w:rPr>
          <w:lang w:val="en-GB"/>
        </w:rPr>
        <w:t>about marking out the</w:t>
      </w:r>
      <w:r w:rsidR="002634B4">
        <w:rPr>
          <w:lang w:val="en-GB"/>
        </w:rPr>
        <w:t xml:space="preserve"> covenantal</w:t>
      </w:r>
      <w:r w:rsidR="00265E19">
        <w:rPr>
          <w:lang w:val="en-GB"/>
        </w:rPr>
        <w:t xml:space="preserve"> boundaries of God’s elected </w:t>
      </w:r>
      <w:r w:rsidR="00AB5EF1">
        <w:rPr>
          <w:lang w:val="en-GB"/>
        </w:rPr>
        <w:t>people</w:t>
      </w:r>
      <w:r w:rsidR="00265E19">
        <w:rPr>
          <w:lang w:val="en-GB"/>
        </w:rPr>
        <w:t xml:space="preserve">. </w:t>
      </w:r>
    </w:p>
    <w:p w14:paraId="4BC1B0E0" w14:textId="60AB5E0F" w:rsidR="00A96552" w:rsidRDefault="00A96552" w:rsidP="00CB0E2B">
      <w:pPr>
        <w:rPr>
          <w:lang w:val="en-GB"/>
        </w:rPr>
      </w:pPr>
    </w:p>
    <w:p w14:paraId="74615B1E" w14:textId="0F308201" w:rsidR="00C24D95" w:rsidRPr="00007DDE" w:rsidRDefault="00A96552" w:rsidP="00245856">
      <w:pPr>
        <w:rPr>
          <w:lang w:val="en-GB"/>
        </w:rPr>
      </w:pPr>
      <w:r>
        <w:rPr>
          <w:lang w:val="en-GB"/>
        </w:rPr>
        <w:t xml:space="preserve">The contributions of </w:t>
      </w:r>
      <w:r w:rsidR="00530F2A">
        <w:rPr>
          <w:lang w:val="en-GB"/>
        </w:rPr>
        <w:t>the NPP</w:t>
      </w:r>
      <w:r>
        <w:rPr>
          <w:lang w:val="en-GB"/>
        </w:rPr>
        <w:t xml:space="preserve"> </w:t>
      </w:r>
      <w:r w:rsidR="00C7360D">
        <w:rPr>
          <w:lang w:val="en-GB"/>
        </w:rPr>
        <w:t>achieved</w:t>
      </w:r>
      <w:r w:rsidR="000F4EB5">
        <w:rPr>
          <w:lang w:val="en-GB"/>
        </w:rPr>
        <w:t xml:space="preserve"> exegetical </w:t>
      </w:r>
      <w:r w:rsidR="00930C3E">
        <w:rPr>
          <w:lang w:val="en-GB"/>
        </w:rPr>
        <w:t xml:space="preserve">distance </w:t>
      </w:r>
      <w:r w:rsidR="000F4EB5">
        <w:rPr>
          <w:lang w:val="en-GB"/>
        </w:rPr>
        <w:t xml:space="preserve">between the Apostle Paul and his later theological readers. They also provoked a rediscovery of Paul’s original </w:t>
      </w:r>
      <w:r w:rsidR="00F96344">
        <w:rPr>
          <w:lang w:val="en-GB"/>
        </w:rPr>
        <w:t xml:space="preserve">context, shattering caricatures of Judaism that for many centuries had </w:t>
      </w:r>
      <w:r w:rsidR="00840AD8">
        <w:rPr>
          <w:lang w:val="en-GB"/>
        </w:rPr>
        <w:t>generated fresh</w:t>
      </w:r>
      <w:r w:rsidR="00F96344">
        <w:rPr>
          <w:lang w:val="en-GB"/>
        </w:rPr>
        <w:t xml:space="preserve"> reading</w:t>
      </w:r>
      <w:r w:rsidR="00840AD8">
        <w:rPr>
          <w:lang w:val="en-GB"/>
        </w:rPr>
        <w:t>s</w:t>
      </w:r>
      <w:r w:rsidR="00F96344">
        <w:rPr>
          <w:lang w:val="en-GB"/>
        </w:rPr>
        <w:t xml:space="preserve"> of Paul, and fundamentally </w:t>
      </w:r>
      <w:r w:rsidR="00624CAE">
        <w:rPr>
          <w:lang w:val="en-GB"/>
        </w:rPr>
        <w:t>changing the t</w:t>
      </w:r>
      <w:r w:rsidR="00A94D6E">
        <w:rPr>
          <w:lang w:val="en-GB"/>
        </w:rPr>
        <w:t>o</w:t>
      </w:r>
      <w:r w:rsidR="00624CAE">
        <w:rPr>
          <w:lang w:val="en-GB"/>
        </w:rPr>
        <w:t>pography</w:t>
      </w:r>
      <w:r w:rsidR="002E4664">
        <w:rPr>
          <w:lang w:val="en-GB"/>
        </w:rPr>
        <w:t xml:space="preserve"> of</w:t>
      </w:r>
      <w:r w:rsidR="00F96344">
        <w:rPr>
          <w:lang w:val="en-GB"/>
        </w:rPr>
        <w:t xml:space="preserve"> Pauline theology</w:t>
      </w:r>
      <w:r w:rsidR="00A94D6E">
        <w:rPr>
          <w:lang w:val="en-GB"/>
        </w:rPr>
        <w:t xml:space="preserve">, giving new weight to the topics of </w:t>
      </w:r>
      <w:r w:rsidR="00F96344">
        <w:rPr>
          <w:lang w:val="en-GB"/>
        </w:rPr>
        <w:t xml:space="preserve">election, </w:t>
      </w:r>
      <w:r w:rsidR="00571AD9">
        <w:rPr>
          <w:lang w:val="en-GB"/>
        </w:rPr>
        <w:t xml:space="preserve">table fellowship, </w:t>
      </w:r>
      <w:r w:rsidR="00F96344">
        <w:rPr>
          <w:lang w:val="en-GB"/>
        </w:rPr>
        <w:t xml:space="preserve">covenant and Torah. </w:t>
      </w:r>
      <w:r w:rsidR="0023765C">
        <w:rPr>
          <w:lang w:val="en-GB"/>
        </w:rPr>
        <w:t>This reappraisal also</w:t>
      </w:r>
      <w:r w:rsidR="00C9206A">
        <w:rPr>
          <w:lang w:val="en-GB"/>
        </w:rPr>
        <w:t xml:space="preserve"> creat</w:t>
      </w:r>
      <w:r w:rsidR="0023765C">
        <w:rPr>
          <w:lang w:val="en-GB"/>
        </w:rPr>
        <w:t>ed</w:t>
      </w:r>
      <w:r w:rsidR="00C9206A">
        <w:rPr>
          <w:lang w:val="en-GB"/>
        </w:rPr>
        <w:t xml:space="preserve"> space for </w:t>
      </w:r>
      <w:r w:rsidR="009B2F29">
        <w:rPr>
          <w:lang w:val="en-GB"/>
        </w:rPr>
        <w:t>helpful</w:t>
      </w:r>
      <w:r w:rsidR="00C9206A">
        <w:rPr>
          <w:lang w:val="en-GB"/>
        </w:rPr>
        <w:t xml:space="preserve"> interactions between Jewish and Christian scholars. </w:t>
      </w:r>
      <w:r w:rsidR="00302835">
        <w:rPr>
          <w:lang w:val="en-GB"/>
        </w:rPr>
        <w:t xml:space="preserve">The NPP prompted a wave of </w:t>
      </w:r>
      <w:r w:rsidR="00BF090D">
        <w:rPr>
          <w:lang w:val="en-GB"/>
        </w:rPr>
        <w:t xml:space="preserve">new, </w:t>
      </w:r>
      <w:r w:rsidR="00302835">
        <w:rPr>
          <w:lang w:val="en-GB"/>
        </w:rPr>
        <w:t>creative Christian engagement with Paul by figures such as N.T. Wright, James Dunn, Francis Watson and Richard Hays.</w:t>
      </w:r>
      <w:r w:rsidR="009E378C">
        <w:rPr>
          <w:rStyle w:val="FootnoteReference"/>
          <w:lang w:val="en-GB"/>
        </w:rPr>
        <w:footnoteReference w:id="14"/>
      </w:r>
    </w:p>
    <w:p w14:paraId="5C694A2D" w14:textId="77777777" w:rsidR="00095BBC" w:rsidRDefault="00095BBC" w:rsidP="00245856">
      <w:pPr>
        <w:rPr>
          <w:lang w:val="en-GB"/>
        </w:rPr>
      </w:pPr>
    </w:p>
    <w:p w14:paraId="62C082DC" w14:textId="0E6927A3" w:rsidR="004B1D28" w:rsidRDefault="004B1D28" w:rsidP="00245856">
      <w:pPr>
        <w:rPr>
          <w:lang w:val="en-GB"/>
        </w:rPr>
      </w:pPr>
    </w:p>
    <w:p w14:paraId="73225966" w14:textId="3A973C33" w:rsidR="004B1D28" w:rsidRDefault="004B1D28" w:rsidP="00245856">
      <w:pPr>
        <w:rPr>
          <w:lang w:val="en-GB"/>
        </w:rPr>
      </w:pPr>
      <w:r>
        <w:rPr>
          <w:lang w:val="en-GB"/>
        </w:rPr>
        <w:lastRenderedPageBreak/>
        <w:t>At the same time, there has been a</w:t>
      </w:r>
      <w:r w:rsidR="001A5DE2">
        <w:rPr>
          <w:lang w:val="en-GB"/>
        </w:rPr>
        <w:t xml:space="preserve"> </w:t>
      </w:r>
      <w:r>
        <w:rPr>
          <w:lang w:val="en-GB"/>
        </w:rPr>
        <w:t>newly</w:t>
      </w:r>
      <w:r w:rsidR="00E15791">
        <w:rPr>
          <w:lang w:val="en-GB"/>
        </w:rPr>
        <w:t xml:space="preserve"> </w:t>
      </w:r>
      <w:r>
        <w:rPr>
          <w:lang w:val="en-GB"/>
        </w:rPr>
        <w:t>awakened interest in the study of the Apostle Paul amongst Jewish scholars.</w:t>
      </w:r>
      <w:r w:rsidR="001A5DE2">
        <w:rPr>
          <w:rStyle w:val="FootnoteReference"/>
          <w:lang w:val="en-GB"/>
        </w:rPr>
        <w:footnoteReference w:id="15"/>
      </w:r>
      <w:r w:rsidR="00895BB2">
        <w:rPr>
          <w:lang w:val="en-GB"/>
        </w:rPr>
        <w:t xml:space="preserve"> </w:t>
      </w:r>
      <w:r w:rsidR="007F7189">
        <w:rPr>
          <w:lang w:val="en-GB"/>
        </w:rPr>
        <w:t>The reasons for this, as one might expect, have been as varied as the methodologies employed and the scholarly conclusions reached. For some Jewish scholars, Paul represents an important, if not unique,</w:t>
      </w:r>
      <w:r w:rsidR="00A7525C">
        <w:rPr>
          <w:lang w:val="en-GB"/>
        </w:rPr>
        <w:t xml:space="preserve"> point of access </w:t>
      </w:r>
      <w:r w:rsidR="007F7189">
        <w:rPr>
          <w:lang w:val="en-GB"/>
        </w:rPr>
        <w:t>t</w:t>
      </w:r>
      <w:r w:rsidR="00A7525C">
        <w:rPr>
          <w:lang w:val="en-GB"/>
        </w:rPr>
        <w:t>o</w:t>
      </w:r>
      <w:r w:rsidR="007F7189">
        <w:rPr>
          <w:lang w:val="en-GB"/>
        </w:rPr>
        <w:t xml:space="preserve"> the diversity of first century Judaism and the development of later rabbinical Judaism.</w:t>
      </w:r>
      <w:r w:rsidR="0070019D">
        <w:rPr>
          <w:rStyle w:val="FootnoteReference"/>
          <w:lang w:val="en-GB"/>
        </w:rPr>
        <w:footnoteReference w:id="16"/>
      </w:r>
      <w:r w:rsidR="002C1F85">
        <w:rPr>
          <w:lang w:val="en-GB"/>
        </w:rPr>
        <w:t xml:space="preserve"> Others set out to reclaim Paul from a reading tradition that has co-opted </w:t>
      </w:r>
      <w:r w:rsidR="009021F9">
        <w:rPr>
          <w:lang w:val="en-GB"/>
        </w:rPr>
        <w:t>him in ways which they see as inaccurate and even harmful</w:t>
      </w:r>
      <w:r w:rsidR="002C1F85">
        <w:rPr>
          <w:lang w:val="en-GB"/>
        </w:rPr>
        <w:t>.</w:t>
      </w:r>
      <w:r w:rsidR="002C1F85">
        <w:rPr>
          <w:rStyle w:val="FootnoteReference"/>
          <w:lang w:val="en-GB"/>
        </w:rPr>
        <w:footnoteReference w:id="17"/>
      </w:r>
      <w:r w:rsidR="005C3FEC">
        <w:rPr>
          <w:lang w:val="en-GB"/>
        </w:rPr>
        <w:t xml:space="preserve"> </w:t>
      </w:r>
      <w:r w:rsidR="0070019D">
        <w:rPr>
          <w:lang w:val="en-GB"/>
        </w:rPr>
        <w:t>Approaches include traditional historical-critical studies</w:t>
      </w:r>
      <w:r w:rsidR="001847C0">
        <w:rPr>
          <w:lang w:val="en-GB"/>
        </w:rPr>
        <w:t xml:space="preserve"> (e.g.</w:t>
      </w:r>
      <w:r w:rsidR="0073461A">
        <w:rPr>
          <w:lang w:val="en-GB"/>
        </w:rPr>
        <w:t xml:space="preserve"> Mark</w:t>
      </w:r>
      <w:r w:rsidR="001847C0">
        <w:rPr>
          <w:lang w:val="en-GB"/>
        </w:rPr>
        <w:t xml:space="preserve"> Nanos</w:t>
      </w:r>
      <w:r w:rsidR="0070019D">
        <w:rPr>
          <w:lang w:val="en-GB"/>
        </w:rPr>
        <w:t xml:space="preserve">, </w:t>
      </w:r>
      <w:r w:rsidR="0073461A">
        <w:rPr>
          <w:lang w:val="en-GB"/>
        </w:rPr>
        <w:t xml:space="preserve">Paula </w:t>
      </w:r>
      <w:proofErr w:type="spellStart"/>
      <w:r w:rsidR="001847C0">
        <w:rPr>
          <w:lang w:val="en-GB"/>
        </w:rPr>
        <w:t>Fredriksen</w:t>
      </w:r>
      <w:proofErr w:type="spellEnd"/>
      <w:r w:rsidR="001847C0">
        <w:rPr>
          <w:lang w:val="en-GB"/>
        </w:rPr>
        <w:t xml:space="preserve">), </w:t>
      </w:r>
      <w:r w:rsidR="0070019D">
        <w:rPr>
          <w:lang w:val="en-GB"/>
        </w:rPr>
        <w:t>sociological approaches</w:t>
      </w:r>
      <w:r w:rsidR="001847C0">
        <w:rPr>
          <w:lang w:val="en-GB"/>
        </w:rPr>
        <w:t xml:space="preserve"> (</w:t>
      </w:r>
      <w:r w:rsidR="00561EA9">
        <w:rPr>
          <w:lang w:val="en-GB"/>
        </w:rPr>
        <w:t>e.g.</w:t>
      </w:r>
      <w:r w:rsidR="0073461A">
        <w:rPr>
          <w:lang w:val="en-GB"/>
        </w:rPr>
        <w:t xml:space="preserve"> Alan</w:t>
      </w:r>
      <w:r w:rsidR="00561EA9">
        <w:rPr>
          <w:lang w:val="en-GB"/>
        </w:rPr>
        <w:t xml:space="preserve"> </w:t>
      </w:r>
      <w:r w:rsidR="001847C0">
        <w:rPr>
          <w:lang w:val="en-GB"/>
        </w:rPr>
        <w:t>Segal)</w:t>
      </w:r>
      <w:r w:rsidR="0070019D">
        <w:rPr>
          <w:lang w:val="en-GB"/>
        </w:rPr>
        <w:t xml:space="preserve">, and reading through the lens of feminist </w:t>
      </w:r>
      <w:r w:rsidR="0016240B">
        <w:rPr>
          <w:lang w:val="en-GB"/>
        </w:rPr>
        <w:t>and postmodern theory</w:t>
      </w:r>
      <w:r w:rsidR="001847C0">
        <w:rPr>
          <w:lang w:val="en-GB"/>
        </w:rPr>
        <w:t xml:space="preserve"> (e.g. </w:t>
      </w:r>
      <w:proofErr w:type="spellStart"/>
      <w:r w:rsidR="001847C0">
        <w:rPr>
          <w:lang w:val="en-GB"/>
        </w:rPr>
        <w:t>Boyarin</w:t>
      </w:r>
      <w:proofErr w:type="spellEnd"/>
      <w:r w:rsidR="001847C0">
        <w:rPr>
          <w:lang w:val="en-GB"/>
        </w:rPr>
        <w:t>)</w:t>
      </w:r>
      <w:r w:rsidR="0070019D">
        <w:rPr>
          <w:lang w:val="en-GB"/>
        </w:rPr>
        <w:t>.</w:t>
      </w:r>
      <w:r w:rsidR="0016240B">
        <w:rPr>
          <w:lang w:val="en-GB"/>
        </w:rPr>
        <w:t xml:space="preserve"> </w:t>
      </w:r>
    </w:p>
    <w:p w14:paraId="759771D8" w14:textId="4DF768F9" w:rsidR="0016240B" w:rsidRDefault="0016240B" w:rsidP="00245856">
      <w:pPr>
        <w:rPr>
          <w:lang w:val="en-GB"/>
        </w:rPr>
      </w:pPr>
    </w:p>
    <w:p w14:paraId="2782FBE4" w14:textId="0FBFA9C3" w:rsidR="0016240B" w:rsidRDefault="0016240B" w:rsidP="00245856">
      <w:pPr>
        <w:rPr>
          <w:lang w:val="en-GB"/>
        </w:rPr>
      </w:pPr>
      <w:r>
        <w:rPr>
          <w:lang w:val="en-GB"/>
        </w:rPr>
        <w:t xml:space="preserve">The next section of this essay moves to consider three contributions to the ongoing discussion between Christian and Jewish scholars. A word on methodology: as the topography of Pauline studies has largely been set by Christian scholarship, many of the Jewish contributions have been responding to a </w:t>
      </w:r>
      <w:r w:rsidR="00C75F77">
        <w:rPr>
          <w:lang w:val="en-GB"/>
        </w:rPr>
        <w:t xml:space="preserve">pre-established </w:t>
      </w:r>
      <w:r>
        <w:rPr>
          <w:lang w:val="en-GB"/>
        </w:rPr>
        <w:t>playing</w:t>
      </w:r>
      <w:r w:rsidR="00820634">
        <w:rPr>
          <w:lang w:val="en-GB"/>
        </w:rPr>
        <w:t xml:space="preserve"> </w:t>
      </w:r>
      <w:r w:rsidR="00C75F77">
        <w:rPr>
          <w:lang w:val="en-GB"/>
        </w:rPr>
        <w:t>field</w:t>
      </w:r>
      <w:r>
        <w:rPr>
          <w:lang w:val="en-GB"/>
        </w:rPr>
        <w:t xml:space="preserve">. Therefore, the following material foregrounds the contribution of Jewish scholars in order to best show where new exegetical possibilities have been raised; it is assumed at times that the reader is familiar with the implied Christian topography </w:t>
      </w:r>
      <w:r w:rsidR="002073BD">
        <w:rPr>
          <w:lang w:val="en-GB"/>
        </w:rPr>
        <w:t>which is being presupposed</w:t>
      </w:r>
      <w:r>
        <w:rPr>
          <w:lang w:val="en-GB"/>
        </w:rPr>
        <w:t xml:space="preserve">. </w:t>
      </w:r>
    </w:p>
    <w:p w14:paraId="53CEDB88" w14:textId="77777777" w:rsidR="000E5EC9" w:rsidRDefault="000E5EC9" w:rsidP="007748CC">
      <w:pPr>
        <w:rPr>
          <w:lang w:val="en-GB"/>
        </w:rPr>
      </w:pPr>
    </w:p>
    <w:p w14:paraId="10548295" w14:textId="638A0151" w:rsidR="007748CC" w:rsidRDefault="007748CC" w:rsidP="007748CC">
      <w:pPr>
        <w:pStyle w:val="Heading2"/>
        <w:rPr>
          <w:lang w:val="en-GB"/>
        </w:rPr>
      </w:pPr>
      <w:r>
        <w:rPr>
          <w:lang w:val="en-GB"/>
        </w:rPr>
        <w:lastRenderedPageBreak/>
        <w:t>P</w:t>
      </w:r>
      <w:r w:rsidR="00B71583">
        <w:rPr>
          <w:lang w:val="en-GB"/>
        </w:rPr>
        <w:t>aul’s</w:t>
      </w:r>
      <w:r w:rsidR="00974876">
        <w:rPr>
          <w:lang w:val="en-GB"/>
        </w:rPr>
        <w:t xml:space="preserve"> Conversion?</w:t>
      </w:r>
    </w:p>
    <w:p w14:paraId="40617EC1" w14:textId="732F01FE" w:rsidR="00974876" w:rsidRDefault="00083892" w:rsidP="00974876">
      <w:pPr>
        <w:rPr>
          <w:lang w:val="en-GB"/>
        </w:rPr>
      </w:pPr>
      <w:r>
        <w:rPr>
          <w:lang w:val="en-GB"/>
        </w:rPr>
        <w:t>Paul’s e</w:t>
      </w:r>
      <w:r w:rsidR="003C1672">
        <w:rPr>
          <w:lang w:val="en-GB"/>
        </w:rPr>
        <w:t>ncounter with Jesus</w:t>
      </w:r>
      <w:r>
        <w:rPr>
          <w:lang w:val="en-GB"/>
        </w:rPr>
        <w:t xml:space="preserve"> on the Damascus road, reported in Acts,</w:t>
      </w:r>
      <w:r w:rsidR="008E684C">
        <w:rPr>
          <w:rStyle w:val="FootnoteReference"/>
          <w:lang w:val="en-GB"/>
        </w:rPr>
        <w:footnoteReference w:id="18"/>
      </w:r>
      <w:r w:rsidR="003A628D">
        <w:rPr>
          <w:lang w:val="en-GB"/>
        </w:rPr>
        <w:t xml:space="preserve"> </w:t>
      </w:r>
      <w:r w:rsidR="003C1672">
        <w:rPr>
          <w:lang w:val="en-GB"/>
        </w:rPr>
        <w:t xml:space="preserve">has traditionally been </w:t>
      </w:r>
      <w:r w:rsidR="00442C3B">
        <w:rPr>
          <w:lang w:val="en-GB"/>
        </w:rPr>
        <w:t>thought of as</w:t>
      </w:r>
      <w:r>
        <w:rPr>
          <w:lang w:val="en-GB"/>
        </w:rPr>
        <w:t xml:space="preserve"> the moment of his conversion from Judaism to Christianity</w:t>
      </w:r>
      <w:r w:rsidR="00B0249B">
        <w:rPr>
          <w:lang w:val="en-GB"/>
        </w:rPr>
        <w:t>.</w:t>
      </w:r>
      <w:r w:rsidR="00B0249B">
        <w:rPr>
          <w:rStyle w:val="FootnoteReference"/>
          <w:lang w:val="en-GB"/>
        </w:rPr>
        <w:footnoteReference w:id="19"/>
      </w:r>
      <w:r w:rsidR="00265BD7">
        <w:rPr>
          <w:lang w:val="en-GB"/>
        </w:rPr>
        <w:t xml:space="preserve"> </w:t>
      </w:r>
      <w:r w:rsidR="002A4772">
        <w:rPr>
          <w:lang w:val="en-GB"/>
        </w:rPr>
        <w:t>Paul was the ‘prototype of the Christian convert’.</w:t>
      </w:r>
      <w:r w:rsidR="002A4772">
        <w:rPr>
          <w:rStyle w:val="FootnoteReference"/>
          <w:lang w:val="en-GB"/>
        </w:rPr>
        <w:footnoteReference w:id="20"/>
      </w:r>
      <w:r w:rsidR="002A4772">
        <w:rPr>
          <w:lang w:val="en-GB"/>
        </w:rPr>
        <w:t xml:space="preserve"> </w:t>
      </w:r>
      <w:r w:rsidR="00265BD7">
        <w:rPr>
          <w:lang w:val="en-GB"/>
        </w:rPr>
        <w:t>This conversion experience</w:t>
      </w:r>
      <w:r w:rsidR="00B3388D">
        <w:rPr>
          <w:lang w:val="en-GB"/>
        </w:rPr>
        <w:t xml:space="preserve"> </w:t>
      </w:r>
      <w:r w:rsidR="00265BD7">
        <w:rPr>
          <w:lang w:val="en-GB"/>
        </w:rPr>
        <w:t>was often held to be generative of everything else that follows in Paul’s biography and thought</w:t>
      </w:r>
      <w:r w:rsidR="007D7D0B">
        <w:rPr>
          <w:lang w:val="en-GB"/>
        </w:rPr>
        <w:t>.</w:t>
      </w:r>
      <w:r w:rsidR="00265BD7">
        <w:rPr>
          <w:rStyle w:val="FootnoteReference"/>
          <w:lang w:val="en-GB"/>
        </w:rPr>
        <w:footnoteReference w:id="21"/>
      </w:r>
      <w:r w:rsidR="002639FE">
        <w:rPr>
          <w:lang w:val="en-GB"/>
        </w:rPr>
        <w:t xml:space="preserve"> </w:t>
      </w:r>
      <w:r w:rsidR="00E91793">
        <w:rPr>
          <w:lang w:val="en-GB"/>
        </w:rPr>
        <w:t>S</w:t>
      </w:r>
      <w:r w:rsidR="002A4772">
        <w:rPr>
          <w:lang w:val="en-GB"/>
        </w:rPr>
        <w:t xml:space="preserve">ince </w:t>
      </w:r>
      <w:proofErr w:type="spellStart"/>
      <w:r w:rsidR="002A4772">
        <w:rPr>
          <w:lang w:val="en-GB"/>
        </w:rPr>
        <w:t>Stendahl</w:t>
      </w:r>
      <w:proofErr w:type="spellEnd"/>
      <w:r w:rsidR="002A4772">
        <w:rPr>
          <w:lang w:val="en-GB"/>
        </w:rPr>
        <w:t>,</w:t>
      </w:r>
      <w:r w:rsidR="00DA61E7">
        <w:rPr>
          <w:rStyle w:val="FootnoteReference"/>
          <w:lang w:val="en-GB"/>
        </w:rPr>
        <w:footnoteReference w:id="22"/>
      </w:r>
      <w:r w:rsidR="00972657">
        <w:rPr>
          <w:lang w:val="en-GB"/>
        </w:rPr>
        <w:t xml:space="preserve"> however,</w:t>
      </w:r>
      <w:r w:rsidR="002A4772">
        <w:rPr>
          <w:lang w:val="en-GB"/>
        </w:rPr>
        <w:t xml:space="preserve"> </w:t>
      </w:r>
      <w:r w:rsidR="006E7E47">
        <w:rPr>
          <w:lang w:val="en-GB"/>
        </w:rPr>
        <w:t>there has been a move away from talking</w:t>
      </w:r>
      <w:r w:rsidR="002A4772">
        <w:rPr>
          <w:lang w:val="en-GB"/>
        </w:rPr>
        <w:t xml:space="preserve"> </w:t>
      </w:r>
      <w:r w:rsidR="006E7E47">
        <w:rPr>
          <w:lang w:val="en-GB"/>
        </w:rPr>
        <w:t>about Paul’s conversion away from Judaism to a new religion called Christianity</w:t>
      </w:r>
      <w:r w:rsidR="002A4772">
        <w:rPr>
          <w:lang w:val="en-GB"/>
        </w:rPr>
        <w:t>. Instead</w:t>
      </w:r>
      <w:r w:rsidR="006E7E47">
        <w:rPr>
          <w:lang w:val="en-GB"/>
        </w:rPr>
        <w:t xml:space="preserve"> this </w:t>
      </w:r>
      <w:r w:rsidR="002A4772">
        <w:rPr>
          <w:lang w:val="en-GB"/>
        </w:rPr>
        <w:t>experience is interpreted as his</w:t>
      </w:r>
      <w:r w:rsidR="006E7E47">
        <w:rPr>
          <w:lang w:val="en-GB"/>
        </w:rPr>
        <w:t xml:space="preserve"> ‘call’ to a new prophetic vocation</w:t>
      </w:r>
      <w:r w:rsidR="00BB0066">
        <w:rPr>
          <w:lang w:val="en-GB"/>
        </w:rPr>
        <w:t xml:space="preserve"> as Apostle to the Gentiles.</w:t>
      </w:r>
      <w:r w:rsidR="002D17F7">
        <w:rPr>
          <w:rStyle w:val="FootnoteReference"/>
          <w:lang w:val="en-GB"/>
        </w:rPr>
        <w:footnoteReference w:id="23"/>
      </w:r>
      <w:r w:rsidR="00BB0066">
        <w:rPr>
          <w:lang w:val="en-GB"/>
        </w:rPr>
        <w:t xml:space="preserve"> </w:t>
      </w:r>
    </w:p>
    <w:p w14:paraId="1684C43C" w14:textId="7E68FC32" w:rsidR="00ED4DD5" w:rsidRDefault="00ED4DD5" w:rsidP="00974876">
      <w:pPr>
        <w:rPr>
          <w:lang w:val="en-GB"/>
        </w:rPr>
      </w:pPr>
    </w:p>
    <w:p w14:paraId="6719FAF6" w14:textId="108E3DCE" w:rsidR="00DD5F23" w:rsidRDefault="00110A17" w:rsidP="00974876">
      <w:pPr>
        <w:rPr>
          <w:lang w:val="en-GB"/>
        </w:rPr>
      </w:pPr>
      <w:r>
        <w:rPr>
          <w:lang w:val="en-GB"/>
        </w:rPr>
        <w:t xml:space="preserve">In his </w:t>
      </w:r>
      <w:r>
        <w:rPr>
          <w:i/>
          <w:iCs/>
          <w:lang w:val="en-GB"/>
        </w:rPr>
        <w:t>Paul among Jews and Gentiles</w:t>
      </w:r>
      <w:r>
        <w:rPr>
          <w:lang w:val="en-GB"/>
        </w:rPr>
        <w:t xml:space="preserve">, </w:t>
      </w:r>
      <w:proofErr w:type="spellStart"/>
      <w:r w:rsidR="00DA61E7">
        <w:rPr>
          <w:lang w:val="en-GB"/>
        </w:rPr>
        <w:t>Stendahl</w:t>
      </w:r>
      <w:proofErr w:type="spellEnd"/>
      <w:r w:rsidR="00DA61E7">
        <w:rPr>
          <w:lang w:val="en-GB"/>
        </w:rPr>
        <w:t xml:space="preserve"> </w:t>
      </w:r>
      <w:r>
        <w:rPr>
          <w:lang w:val="en-GB"/>
        </w:rPr>
        <w:t>read</w:t>
      </w:r>
      <w:r w:rsidR="00DA61E7">
        <w:rPr>
          <w:lang w:val="en-GB"/>
        </w:rPr>
        <w:t>s</w:t>
      </w:r>
      <w:r>
        <w:rPr>
          <w:lang w:val="en-GB"/>
        </w:rPr>
        <w:t xml:space="preserve"> both Paul’s self-description of his experience (e.g. Gal. 1:14-17) and the various accounts in Acts in terms of </w:t>
      </w:r>
      <w:r w:rsidR="00CF7BBF">
        <w:rPr>
          <w:lang w:val="en-GB"/>
        </w:rPr>
        <w:t>an Old Testament prophetic calling.</w:t>
      </w:r>
      <w:r>
        <w:rPr>
          <w:lang w:val="en-GB"/>
        </w:rPr>
        <w:t xml:space="preserve"> Noting the similarity to the Old Testament calling of Isaiah (Is. 49:6) and Jeremiah (Jer</w:t>
      </w:r>
      <w:r w:rsidR="003B4AE9">
        <w:rPr>
          <w:lang w:val="en-GB"/>
        </w:rPr>
        <w:t>.</w:t>
      </w:r>
      <w:r>
        <w:rPr>
          <w:lang w:val="en-GB"/>
        </w:rPr>
        <w:t xml:space="preserve"> 1:5), he argues that it makes sense to </w:t>
      </w:r>
      <w:r w:rsidR="004F48D1">
        <w:rPr>
          <w:lang w:val="en-GB"/>
        </w:rPr>
        <w:t>view</w:t>
      </w:r>
      <w:r>
        <w:rPr>
          <w:lang w:val="en-GB"/>
        </w:rPr>
        <w:t xml:space="preserve"> Paul </w:t>
      </w:r>
      <w:r w:rsidR="004F48D1">
        <w:rPr>
          <w:lang w:val="en-GB"/>
        </w:rPr>
        <w:t>within</w:t>
      </w:r>
      <w:r>
        <w:rPr>
          <w:lang w:val="en-GB"/>
        </w:rPr>
        <w:t xml:space="preserve"> this biblical tradition. </w:t>
      </w:r>
      <w:r w:rsidR="000713B8">
        <w:rPr>
          <w:lang w:val="en-GB"/>
        </w:rPr>
        <w:t>Just as</w:t>
      </w:r>
      <w:r>
        <w:rPr>
          <w:lang w:val="en-GB"/>
        </w:rPr>
        <w:t xml:space="preserve"> one does</w:t>
      </w:r>
      <w:r w:rsidR="00475CE9">
        <w:rPr>
          <w:lang w:val="en-GB"/>
        </w:rPr>
        <w:t xml:space="preserve"> not </w:t>
      </w:r>
      <w:r>
        <w:rPr>
          <w:lang w:val="en-GB"/>
        </w:rPr>
        <w:t xml:space="preserve">speak of the Old Testament prophets being converted, so </w:t>
      </w:r>
      <w:r w:rsidR="009021F9">
        <w:rPr>
          <w:lang w:val="en-GB"/>
        </w:rPr>
        <w:t>too</w:t>
      </w:r>
      <w:r>
        <w:rPr>
          <w:lang w:val="en-GB"/>
        </w:rPr>
        <w:t xml:space="preserve"> one should not speak of Pau</w:t>
      </w:r>
      <w:r w:rsidR="00757598">
        <w:rPr>
          <w:lang w:val="en-GB"/>
        </w:rPr>
        <w:t>l’s conversion</w:t>
      </w:r>
      <w:r>
        <w:rPr>
          <w:lang w:val="en-GB"/>
        </w:rPr>
        <w:t>.</w:t>
      </w:r>
      <w:r w:rsidR="00CE2912">
        <w:rPr>
          <w:rStyle w:val="FootnoteReference"/>
          <w:lang w:val="en-GB"/>
        </w:rPr>
        <w:footnoteReference w:id="24"/>
      </w:r>
      <w:r>
        <w:rPr>
          <w:lang w:val="en-GB"/>
        </w:rPr>
        <w:t xml:space="preserve"> </w:t>
      </w:r>
      <w:proofErr w:type="spellStart"/>
      <w:r>
        <w:rPr>
          <w:lang w:val="en-GB"/>
        </w:rPr>
        <w:t>Stendahl’s</w:t>
      </w:r>
      <w:proofErr w:type="spellEnd"/>
      <w:r>
        <w:rPr>
          <w:lang w:val="en-GB"/>
        </w:rPr>
        <w:t xml:space="preserve"> concern around the language of conversion is twofold. Firstly, and less significantly, he </w:t>
      </w:r>
      <w:r w:rsidR="00BD4AE5">
        <w:rPr>
          <w:lang w:val="en-GB"/>
        </w:rPr>
        <w:t>worries</w:t>
      </w:r>
      <w:r>
        <w:rPr>
          <w:lang w:val="en-GB"/>
        </w:rPr>
        <w:t xml:space="preserve"> about anachronistic use of language</w:t>
      </w:r>
      <w:r w:rsidR="001A3CC3">
        <w:rPr>
          <w:lang w:val="en-GB"/>
        </w:rPr>
        <w:t xml:space="preserve"> and the idea that conversion assumes a modern phenomenon</w:t>
      </w:r>
      <w:r>
        <w:rPr>
          <w:lang w:val="en-GB"/>
        </w:rPr>
        <w:t xml:space="preserve">. But more </w:t>
      </w:r>
      <w:r w:rsidR="0076238C">
        <w:rPr>
          <w:lang w:val="en-GB"/>
        </w:rPr>
        <w:lastRenderedPageBreak/>
        <w:t>importantly</w:t>
      </w:r>
      <w:r>
        <w:rPr>
          <w:lang w:val="en-GB"/>
        </w:rPr>
        <w:t xml:space="preserve">, he is concerned that </w:t>
      </w:r>
      <w:r w:rsidR="00914B91">
        <w:rPr>
          <w:lang w:val="en-GB"/>
        </w:rPr>
        <w:t>talk of</w:t>
      </w:r>
      <w:r w:rsidR="0076238C">
        <w:rPr>
          <w:lang w:val="en-GB"/>
        </w:rPr>
        <w:t xml:space="preserve"> conversion </w:t>
      </w:r>
      <w:r w:rsidR="00914B91">
        <w:rPr>
          <w:lang w:val="en-GB"/>
        </w:rPr>
        <w:t>obscures the</w:t>
      </w:r>
      <w:r>
        <w:rPr>
          <w:lang w:val="en-GB"/>
        </w:rPr>
        <w:t xml:space="preserve"> continuity between</w:t>
      </w:r>
      <w:r w:rsidR="00F4147D">
        <w:rPr>
          <w:lang w:val="en-GB"/>
        </w:rPr>
        <w:t xml:space="preserve"> Paul’s</w:t>
      </w:r>
      <w:r>
        <w:rPr>
          <w:lang w:val="en-GB"/>
        </w:rPr>
        <w:t xml:space="preserve"> life before and after his calling: ‘</w:t>
      </w:r>
      <w:r w:rsidRPr="00110A17">
        <w:rPr>
          <w:lang w:val="en-GB"/>
        </w:rPr>
        <w:t xml:space="preserve">Paul's experience is not of that </w:t>
      </w:r>
      <w:r>
        <w:rPr>
          <w:lang w:val="en-GB"/>
        </w:rPr>
        <w:t>in</w:t>
      </w:r>
      <w:r w:rsidRPr="00110A17">
        <w:rPr>
          <w:lang w:val="en-GB"/>
        </w:rPr>
        <w:t>ner expe</w:t>
      </w:r>
      <w:r>
        <w:rPr>
          <w:lang w:val="en-GB"/>
        </w:rPr>
        <w:t>ri</w:t>
      </w:r>
      <w:r w:rsidRPr="00110A17">
        <w:rPr>
          <w:lang w:val="en-GB"/>
        </w:rPr>
        <w:t>ence of conversion which Western theology has taken for granted</w:t>
      </w:r>
      <w:r>
        <w:rPr>
          <w:lang w:val="en-GB"/>
        </w:rPr>
        <w:t>’.</w:t>
      </w:r>
      <w:r w:rsidR="00CE2912">
        <w:rPr>
          <w:rStyle w:val="FootnoteReference"/>
          <w:lang w:val="en-GB"/>
        </w:rPr>
        <w:footnoteReference w:id="25"/>
      </w:r>
      <w:r>
        <w:rPr>
          <w:lang w:val="en-GB"/>
        </w:rPr>
        <w:t xml:space="preserve"> </w:t>
      </w:r>
      <w:proofErr w:type="spellStart"/>
      <w:r w:rsidR="00C407D0">
        <w:rPr>
          <w:lang w:val="en-GB"/>
        </w:rPr>
        <w:t>Stendahl’s</w:t>
      </w:r>
      <w:proofErr w:type="spellEnd"/>
      <w:r w:rsidR="00C407D0">
        <w:rPr>
          <w:lang w:val="en-GB"/>
        </w:rPr>
        <w:t xml:space="preserve"> apprehension is</w:t>
      </w:r>
      <w:r>
        <w:rPr>
          <w:lang w:val="en-GB"/>
        </w:rPr>
        <w:t xml:space="preserve"> </w:t>
      </w:r>
      <w:r w:rsidR="006F4007">
        <w:rPr>
          <w:lang w:val="en-GB"/>
        </w:rPr>
        <w:t xml:space="preserve">that </w:t>
      </w:r>
      <w:r>
        <w:rPr>
          <w:lang w:val="en-GB"/>
        </w:rPr>
        <w:t xml:space="preserve">we will </w:t>
      </w:r>
      <w:r w:rsidR="00897850">
        <w:rPr>
          <w:lang w:val="en-GB"/>
        </w:rPr>
        <w:t>view</w:t>
      </w:r>
      <w:r w:rsidR="00511C7E">
        <w:rPr>
          <w:lang w:val="en-GB"/>
        </w:rPr>
        <w:t xml:space="preserve"> Paul</w:t>
      </w:r>
      <w:r>
        <w:rPr>
          <w:lang w:val="en-GB"/>
        </w:rPr>
        <w:t xml:space="preserve"> through the lens of famous Christian converts </w:t>
      </w:r>
      <w:r w:rsidR="007A2F13">
        <w:rPr>
          <w:lang w:val="en-GB"/>
        </w:rPr>
        <w:t>like</w:t>
      </w:r>
      <w:r>
        <w:rPr>
          <w:lang w:val="en-GB"/>
        </w:rPr>
        <w:t xml:space="preserve"> Augustine and Luther, read</w:t>
      </w:r>
      <w:r w:rsidR="00C86C8F">
        <w:rPr>
          <w:lang w:val="en-GB"/>
        </w:rPr>
        <w:t>ing</w:t>
      </w:r>
      <w:r>
        <w:rPr>
          <w:lang w:val="en-GB"/>
        </w:rPr>
        <w:t xml:space="preserve"> </w:t>
      </w:r>
      <w:r w:rsidR="000E0B82">
        <w:rPr>
          <w:lang w:val="en-GB"/>
        </w:rPr>
        <w:t xml:space="preserve">his </w:t>
      </w:r>
      <w:r>
        <w:rPr>
          <w:lang w:val="en-GB"/>
        </w:rPr>
        <w:t>wor</w:t>
      </w:r>
      <w:r w:rsidR="00ED0295">
        <w:rPr>
          <w:lang w:val="en-GB"/>
        </w:rPr>
        <w:t>ds</w:t>
      </w:r>
      <w:r>
        <w:rPr>
          <w:lang w:val="en-GB"/>
        </w:rPr>
        <w:t xml:space="preserve"> through the</w:t>
      </w:r>
      <w:r w:rsidR="009154B4">
        <w:rPr>
          <w:lang w:val="en-GB"/>
        </w:rPr>
        <w:t>ir</w:t>
      </w:r>
      <w:r>
        <w:rPr>
          <w:lang w:val="en-GB"/>
        </w:rPr>
        <w:t xml:space="preserve"> psychological struggles, rather than appreciating him in his own right. </w:t>
      </w:r>
      <w:r w:rsidR="00ED0295">
        <w:rPr>
          <w:lang w:val="en-GB"/>
        </w:rPr>
        <w:t>This</w:t>
      </w:r>
      <w:r w:rsidR="00A65F67">
        <w:rPr>
          <w:lang w:val="en-GB"/>
        </w:rPr>
        <w:t xml:space="preserve"> ‘exegetical legacy’ risks over-privileging texts </w:t>
      </w:r>
      <w:r w:rsidR="006767A5">
        <w:rPr>
          <w:lang w:val="en-GB"/>
        </w:rPr>
        <w:t xml:space="preserve">like </w:t>
      </w:r>
      <w:r w:rsidR="00A65F67">
        <w:rPr>
          <w:lang w:val="en-GB"/>
        </w:rPr>
        <w:t>Romans 7</w:t>
      </w:r>
      <w:r w:rsidR="00926C7D">
        <w:rPr>
          <w:lang w:val="en-GB"/>
        </w:rPr>
        <w:t>, misreading it as if it were speaking</w:t>
      </w:r>
      <w:r w:rsidR="00A65F67">
        <w:rPr>
          <w:lang w:val="en-GB"/>
        </w:rPr>
        <w:t xml:space="preserve"> of Paul’s anxious soul</w:t>
      </w:r>
      <w:r w:rsidR="005D31DB">
        <w:rPr>
          <w:lang w:val="en-GB"/>
        </w:rPr>
        <w:t>.</w:t>
      </w:r>
      <w:r w:rsidR="00A65F67">
        <w:rPr>
          <w:rStyle w:val="FootnoteReference"/>
          <w:lang w:val="en-GB"/>
        </w:rPr>
        <w:footnoteReference w:id="26"/>
      </w:r>
      <w:r w:rsidR="007A7C0B">
        <w:rPr>
          <w:lang w:val="en-GB"/>
        </w:rPr>
        <w:t xml:space="preserve"> </w:t>
      </w:r>
      <w:proofErr w:type="spellStart"/>
      <w:r w:rsidR="00E12FEB">
        <w:rPr>
          <w:lang w:val="en-GB"/>
        </w:rPr>
        <w:t>Stendahl</w:t>
      </w:r>
      <w:proofErr w:type="spellEnd"/>
      <w:r w:rsidR="00E12FEB">
        <w:rPr>
          <w:lang w:val="en-GB"/>
        </w:rPr>
        <w:t xml:space="preserve"> </w:t>
      </w:r>
      <w:r w:rsidR="00B712CC">
        <w:rPr>
          <w:lang w:val="en-GB"/>
        </w:rPr>
        <w:t>instead gives</w:t>
      </w:r>
      <w:r w:rsidR="005F60BE">
        <w:rPr>
          <w:lang w:val="en-GB"/>
        </w:rPr>
        <w:t xml:space="preserve"> interpretative priority </w:t>
      </w:r>
      <w:r w:rsidR="00B712CC">
        <w:rPr>
          <w:lang w:val="en-GB"/>
        </w:rPr>
        <w:t>to</w:t>
      </w:r>
      <w:r w:rsidR="005F60BE">
        <w:rPr>
          <w:lang w:val="en-GB"/>
        </w:rPr>
        <w:t xml:space="preserve"> Paul’s new vocational identity as ‘Apostle to the Gentiles’.</w:t>
      </w:r>
      <w:r w:rsidR="00CE2912">
        <w:rPr>
          <w:rStyle w:val="FootnoteReference"/>
          <w:lang w:val="en-GB"/>
        </w:rPr>
        <w:footnoteReference w:id="27"/>
      </w:r>
      <w:r w:rsidR="005F60BE">
        <w:rPr>
          <w:lang w:val="en-GB"/>
        </w:rPr>
        <w:t xml:space="preserve"> </w:t>
      </w:r>
    </w:p>
    <w:p w14:paraId="082DDAED" w14:textId="77777777" w:rsidR="00DD5F23" w:rsidRDefault="00DD5F23" w:rsidP="00974876">
      <w:pPr>
        <w:rPr>
          <w:lang w:val="en-GB"/>
        </w:rPr>
      </w:pPr>
    </w:p>
    <w:p w14:paraId="1CA01888" w14:textId="0A146A68" w:rsidR="00ED4DD5" w:rsidRPr="00110A17" w:rsidRDefault="005F60BE" w:rsidP="00974876">
      <w:proofErr w:type="spellStart"/>
      <w:r>
        <w:rPr>
          <w:lang w:val="en-GB"/>
        </w:rPr>
        <w:t>Stendahl’s</w:t>
      </w:r>
      <w:proofErr w:type="spellEnd"/>
      <w:r>
        <w:rPr>
          <w:lang w:val="en-GB"/>
        </w:rPr>
        <w:t xml:space="preserve"> argument makes sense within his own interpretative project</w:t>
      </w:r>
      <w:r w:rsidR="00DD5F23">
        <w:rPr>
          <w:lang w:val="en-GB"/>
        </w:rPr>
        <w:t xml:space="preserve">. His aim is to </w:t>
      </w:r>
      <w:r>
        <w:rPr>
          <w:lang w:val="en-GB"/>
        </w:rPr>
        <w:t xml:space="preserve">create interpretative space between dominant Lutheran-influenced readings of Paul and his </w:t>
      </w:r>
      <w:r w:rsidR="00DD5F23">
        <w:rPr>
          <w:lang w:val="en-GB"/>
        </w:rPr>
        <w:t xml:space="preserve">own </w:t>
      </w:r>
      <w:r>
        <w:rPr>
          <w:lang w:val="en-GB"/>
        </w:rPr>
        <w:t xml:space="preserve">new proposals. </w:t>
      </w:r>
      <w:r w:rsidR="008133A0">
        <w:rPr>
          <w:lang w:val="en-GB"/>
        </w:rPr>
        <w:t xml:space="preserve">It also, rightly, accounts for the continuities in </w:t>
      </w:r>
      <w:r w:rsidR="00BD06E4">
        <w:rPr>
          <w:lang w:val="en-GB"/>
        </w:rPr>
        <w:t>Paul’s life</w:t>
      </w:r>
      <w:r w:rsidR="008133A0">
        <w:rPr>
          <w:lang w:val="en-GB"/>
        </w:rPr>
        <w:t xml:space="preserve">. </w:t>
      </w:r>
      <w:r w:rsidR="00D50132">
        <w:rPr>
          <w:lang w:val="en-GB"/>
        </w:rPr>
        <w:t>I</w:t>
      </w:r>
      <w:r w:rsidR="008133A0">
        <w:rPr>
          <w:lang w:val="en-GB"/>
        </w:rPr>
        <w:t xml:space="preserve">t is clear that Paul sees himself in continuity with </w:t>
      </w:r>
      <w:r w:rsidR="00D50132">
        <w:rPr>
          <w:lang w:val="en-GB"/>
        </w:rPr>
        <w:t>Judaism</w:t>
      </w:r>
      <w:r w:rsidR="008133A0">
        <w:rPr>
          <w:lang w:val="en-GB"/>
        </w:rPr>
        <w:t xml:space="preserve">, even if </w:t>
      </w:r>
      <w:r w:rsidR="00D50132">
        <w:rPr>
          <w:lang w:val="en-GB"/>
        </w:rPr>
        <w:t xml:space="preserve">Israel’s </w:t>
      </w:r>
      <w:r w:rsidR="008133A0">
        <w:rPr>
          <w:lang w:val="en-GB"/>
        </w:rPr>
        <w:t xml:space="preserve">God has now done an unexpected thing around the person of Jesus of Nazareth. </w:t>
      </w:r>
      <w:r w:rsidR="0006419A">
        <w:rPr>
          <w:lang w:val="en-GB"/>
        </w:rPr>
        <w:t>However,</w:t>
      </w:r>
      <w:r w:rsidR="002520C2">
        <w:rPr>
          <w:lang w:val="en-GB"/>
        </w:rPr>
        <w:t xml:space="preserve"> </w:t>
      </w:r>
      <w:r w:rsidR="008B7614">
        <w:rPr>
          <w:lang w:val="en-GB"/>
        </w:rPr>
        <w:t>it</w:t>
      </w:r>
      <w:r w:rsidR="002520C2">
        <w:rPr>
          <w:lang w:val="en-GB"/>
        </w:rPr>
        <w:t xml:space="preserve"> also</w:t>
      </w:r>
      <w:r w:rsidR="0006419A">
        <w:rPr>
          <w:lang w:val="en-GB"/>
        </w:rPr>
        <w:t xml:space="preserve"> raises some questions. His distinction between ‘conversion’ and ‘call’ relies on a </w:t>
      </w:r>
      <w:proofErr w:type="gramStart"/>
      <w:r w:rsidR="0006419A">
        <w:rPr>
          <w:lang w:val="en-GB"/>
        </w:rPr>
        <w:t>plain-sense</w:t>
      </w:r>
      <w:proofErr w:type="gramEnd"/>
      <w:r w:rsidR="0006419A">
        <w:rPr>
          <w:lang w:val="en-GB"/>
        </w:rPr>
        <w:t xml:space="preserve"> reading of both words</w:t>
      </w:r>
      <w:r w:rsidR="00CE7055">
        <w:rPr>
          <w:lang w:val="en-GB"/>
        </w:rPr>
        <w:t>.</w:t>
      </w:r>
      <w:r w:rsidR="0006419A">
        <w:rPr>
          <w:lang w:val="en-GB"/>
        </w:rPr>
        <w:t xml:space="preserve"> </w:t>
      </w:r>
      <w:r w:rsidR="00CE7055">
        <w:rPr>
          <w:lang w:val="en-GB"/>
        </w:rPr>
        <w:t>He assumes</w:t>
      </w:r>
      <w:r w:rsidR="0006419A">
        <w:rPr>
          <w:lang w:val="en-GB"/>
        </w:rPr>
        <w:t xml:space="preserve"> that everyone who reads his argument has the same understanding of these term</w:t>
      </w:r>
      <w:r w:rsidR="001E658C">
        <w:rPr>
          <w:lang w:val="en-GB"/>
        </w:rPr>
        <w:t>s</w:t>
      </w:r>
      <w:r w:rsidR="0006419A">
        <w:rPr>
          <w:lang w:val="en-GB"/>
        </w:rPr>
        <w:t xml:space="preserve">. </w:t>
      </w:r>
      <w:r w:rsidR="005A67A9">
        <w:rPr>
          <w:lang w:val="en-GB"/>
        </w:rPr>
        <w:t>Must</w:t>
      </w:r>
      <w:r w:rsidR="0006419A">
        <w:rPr>
          <w:lang w:val="en-GB"/>
        </w:rPr>
        <w:t xml:space="preserve"> </w:t>
      </w:r>
      <w:r w:rsidR="00916DA7">
        <w:rPr>
          <w:lang w:val="en-GB"/>
        </w:rPr>
        <w:t>the clear presence of</w:t>
      </w:r>
      <w:r w:rsidR="0006419A">
        <w:rPr>
          <w:lang w:val="en-GB"/>
        </w:rPr>
        <w:t xml:space="preserve"> Old Testament echoes of the calling of prophets also exclude other layers of meaning within the texts?</w:t>
      </w:r>
      <w:r w:rsidR="00A44165">
        <w:rPr>
          <w:lang w:val="en-GB"/>
        </w:rPr>
        <w:t xml:space="preserve"> How do we account for the fact that, as </w:t>
      </w:r>
      <w:proofErr w:type="spellStart"/>
      <w:r w:rsidR="00A44165">
        <w:rPr>
          <w:lang w:val="en-GB"/>
        </w:rPr>
        <w:t>Stendahl</w:t>
      </w:r>
      <w:proofErr w:type="spellEnd"/>
      <w:r w:rsidR="00A44165">
        <w:rPr>
          <w:lang w:val="en-GB"/>
        </w:rPr>
        <w:t xml:space="preserve"> acknowledges, </w:t>
      </w:r>
      <w:r w:rsidR="009D21C2">
        <w:rPr>
          <w:lang w:val="en-GB"/>
        </w:rPr>
        <w:t xml:space="preserve">Paul’s calling </w:t>
      </w:r>
      <w:r w:rsidR="00A44165">
        <w:rPr>
          <w:lang w:val="en-GB"/>
        </w:rPr>
        <w:t>is ‘mediated’ by Anan</w:t>
      </w:r>
      <w:r w:rsidR="00D663C0">
        <w:rPr>
          <w:lang w:val="en-GB"/>
        </w:rPr>
        <w:t>ia</w:t>
      </w:r>
      <w:r w:rsidR="00A44165">
        <w:rPr>
          <w:lang w:val="en-GB"/>
        </w:rPr>
        <w:t>s in Acts?</w:t>
      </w:r>
      <w:r w:rsidR="00CE2912">
        <w:rPr>
          <w:rStyle w:val="FootnoteReference"/>
          <w:lang w:val="en-GB"/>
        </w:rPr>
        <w:footnoteReference w:id="28"/>
      </w:r>
      <w:r w:rsidR="00A44165">
        <w:rPr>
          <w:lang w:val="en-GB"/>
        </w:rPr>
        <w:t xml:space="preserve"> Does this not seem to be a break from the Old Testament model</w:t>
      </w:r>
      <w:r w:rsidR="00603C8E">
        <w:rPr>
          <w:lang w:val="en-GB"/>
        </w:rPr>
        <w:t>?</w:t>
      </w:r>
      <w:r w:rsidR="0006419A">
        <w:rPr>
          <w:lang w:val="en-GB"/>
        </w:rPr>
        <w:t xml:space="preserve"> Moreover, </w:t>
      </w:r>
      <w:proofErr w:type="spellStart"/>
      <w:r w:rsidR="00A44165">
        <w:rPr>
          <w:lang w:val="en-GB"/>
        </w:rPr>
        <w:t>Stendahl</w:t>
      </w:r>
      <w:r w:rsidR="00E2128B">
        <w:rPr>
          <w:lang w:val="en-GB"/>
        </w:rPr>
        <w:t>’s</w:t>
      </w:r>
      <w:proofErr w:type="spellEnd"/>
      <w:r w:rsidR="0006419A">
        <w:rPr>
          <w:lang w:val="en-GB"/>
        </w:rPr>
        <w:t xml:space="preserve"> </w:t>
      </w:r>
      <w:r w:rsidR="00D703F8">
        <w:rPr>
          <w:lang w:val="en-GB"/>
        </w:rPr>
        <w:t>unease</w:t>
      </w:r>
      <w:r w:rsidR="0006419A">
        <w:rPr>
          <w:lang w:val="en-GB"/>
        </w:rPr>
        <w:t xml:space="preserve"> about the language of conversion seems to be more influenced by the spectre of an anxious Luther than it does </w:t>
      </w:r>
      <w:r w:rsidR="006B3BB7">
        <w:rPr>
          <w:lang w:val="en-GB"/>
        </w:rPr>
        <w:t xml:space="preserve">by </w:t>
      </w:r>
      <w:r w:rsidR="0006419A">
        <w:rPr>
          <w:lang w:val="en-GB"/>
        </w:rPr>
        <w:t xml:space="preserve">engagement with the phenomenology of </w:t>
      </w:r>
      <w:r w:rsidR="00133AA3">
        <w:rPr>
          <w:lang w:val="en-GB"/>
        </w:rPr>
        <w:t>Paul’s experience</w:t>
      </w:r>
      <w:r w:rsidR="00FC7345">
        <w:rPr>
          <w:lang w:val="en-GB"/>
        </w:rPr>
        <w:t>.</w:t>
      </w:r>
    </w:p>
    <w:p w14:paraId="2018C16E" w14:textId="7A1910F0" w:rsidR="00CD070D" w:rsidRDefault="00CD070D" w:rsidP="00974876">
      <w:pPr>
        <w:rPr>
          <w:lang w:val="en-GB"/>
        </w:rPr>
      </w:pPr>
    </w:p>
    <w:p w14:paraId="3CB8E81E" w14:textId="2B5CA117" w:rsidR="00545DC0" w:rsidRDefault="00460483" w:rsidP="00974876">
      <w:pPr>
        <w:rPr>
          <w:lang w:val="en-GB"/>
        </w:rPr>
      </w:pPr>
      <w:r>
        <w:rPr>
          <w:lang w:val="en-GB"/>
        </w:rPr>
        <w:t xml:space="preserve">Alan </w:t>
      </w:r>
      <w:r w:rsidR="00C30B77">
        <w:rPr>
          <w:lang w:val="en-GB"/>
        </w:rPr>
        <w:t xml:space="preserve">Segal’s 1990 book </w:t>
      </w:r>
      <w:r w:rsidR="00C30B77">
        <w:rPr>
          <w:i/>
          <w:iCs/>
          <w:lang w:val="en-GB"/>
        </w:rPr>
        <w:t>Paul the Convert</w:t>
      </w:r>
      <w:r w:rsidR="00C30B77">
        <w:rPr>
          <w:lang w:val="en-GB"/>
        </w:rPr>
        <w:t xml:space="preserve"> nuances several elements of this discussion. </w:t>
      </w:r>
      <w:r w:rsidR="00560178">
        <w:rPr>
          <w:lang w:val="en-GB"/>
        </w:rPr>
        <w:t>Through a</w:t>
      </w:r>
      <w:r w:rsidR="00C30B77">
        <w:rPr>
          <w:lang w:val="en-GB"/>
        </w:rPr>
        <w:t xml:space="preserve"> combination of historical-critical study of the wider Second Temple context and sociological study of the phenomeno</w:t>
      </w:r>
      <w:r w:rsidR="007B12A3">
        <w:rPr>
          <w:lang w:val="en-GB"/>
        </w:rPr>
        <w:t>logy</w:t>
      </w:r>
      <w:r w:rsidR="00C30B77">
        <w:rPr>
          <w:lang w:val="en-GB"/>
        </w:rPr>
        <w:t xml:space="preserve"> of conversion, Segal makes the argument that we can indeed see Paul as a conversion. </w:t>
      </w:r>
      <w:r w:rsidR="00D32C25">
        <w:rPr>
          <w:lang w:val="en-GB"/>
        </w:rPr>
        <w:t xml:space="preserve">Whilst noting that conversion was uncommon in the </w:t>
      </w:r>
      <w:r w:rsidR="009D21C2">
        <w:rPr>
          <w:lang w:val="en-GB"/>
        </w:rPr>
        <w:t>ancient</w:t>
      </w:r>
      <w:r w:rsidR="00D32C25">
        <w:rPr>
          <w:lang w:val="en-GB"/>
        </w:rPr>
        <w:t xml:space="preserve"> world – something fellow Jewish scholar </w:t>
      </w:r>
      <w:proofErr w:type="spellStart"/>
      <w:r w:rsidR="00D32C25">
        <w:rPr>
          <w:lang w:val="en-GB"/>
        </w:rPr>
        <w:t>Friedriksen</w:t>
      </w:r>
      <w:proofErr w:type="spellEnd"/>
      <w:r w:rsidR="00D32C25">
        <w:rPr>
          <w:lang w:val="en-GB"/>
        </w:rPr>
        <w:t xml:space="preserve"> echoes, </w:t>
      </w:r>
      <w:r w:rsidR="007D7F9E">
        <w:rPr>
          <w:lang w:val="en-GB"/>
        </w:rPr>
        <w:t>stating</w:t>
      </w:r>
      <w:r w:rsidR="00D32C25">
        <w:rPr>
          <w:lang w:val="en-GB"/>
        </w:rPr>
        <w:t xml:space="preserve"> that ‘forging an </w:t>
      </w:r>
      <w:r w:rsidR="00D32C25" w:rsidRPr="005711B2">
        <w:rPr>
          <w:i/>
          <w:iCs/>
          <w:lang w:val="en-GB"/>
        </w:rPr>
        <w:lastRenderedPageBreak/>
        <w:t>exclusive</w:t>
      </w:r>
      <w:r w:rsidR="00D32C25">
        <w:rPr>
          <w:lang w:val="en-GB"/>
        </w:rPr>
        <w:t xml:space="preserve"> commitment to a foreign God…was tantamount to changing ethnicity’</w:t>
      </w:r>
      <w:r w:rsidR="00CE2912">
        <w:rPr>
          <w:rStyle w:val="FootnoteReference"/>
          <w:lang w:val="en-GB"/>
        </w:rPr>
        <w:footnoteReference w:id="29"/>
      </w:r>
      <w:r w:rsidR="00D32C25">
        <w:rPr>
          <w:lang w:val="en-GB"/>
        </w:rPr>
        <w:t xml:space="preserve"> – </w:t>
      </w:r>
      <w:r w:rsidR="000F4B20">
        <w:rPr>
          <w:lang w:val="en-GB"/>
        </w:rPr>
        <w:t xml:space="preserve">Segal </w:t>
      </w:r>
      <w:r w:rsidR="00D32C25">
        <w:rPr>
          <w:lang w:val="en-GB"/>
        </w:rPr>
        <w:t>argues that it was not unknown, particularly between different intra-Judaism movements.</w:t>
      </w:r>
      <w:r w:rsidR="00CE2912">
        <w:rPr>
          <w:rStyle w:val="FootnoteReference"/>
          <w:lang w:val="en-GB"/>
        </w:rPr>
        <w:footnoteReference w:id="30"/>
      </w:r>
      <w:r w:rsidR="00D32C25">
        <w:rPr>
          <w:lang w:val="en-GB"/>
        </w:rPr>
        <w:t xml:space="preserve"> Segal d</w:t>
      </w:r>
      <w:r w:rsidR="009420E1">
        <w:rPr>
          <w:lang w:val="en-GB"/>
        </w:rPr>
        <w:t>raws</w:t>
      </w:r>
      <w:r w:rsidR="00106D9C">
        <w:rPr>
          <w:lang w:val="en-GB"/>
        </w:rPr>
        <w:t xml:space="preserve"> on</w:t>
      </w:r>
      <w:r w:rsidR="00D32C25">
        <w:rPr>
          <w:lang w:val="en-GB"/>
        </w:rPr>
        <w:t xml:space="preserve"> a much wider range of Paul’s own accounts of his experiences than </w:t>
      </w:r>
      <w:proofErr w:type="spellStart"/>
      <w:r w:rsidR="00D32C25">
        <w:rPr>
          <w:lang w:val="en-GB"/>
        </w:rPr>
        <w:t>Stendahl</w:t>
      </w:r>
      <w:proofErr w:type="spellEnd"/>
      <w:r w:rsidR="00D32C25">
        <w:rPr>
          <w:lang w:val="en-GB"/>
        </w:rPr>
        <w:t xml:space="preserve"> (1 Cor. 9:1; 18:-10; Gal. 1:13-17; Phil. 3:4-11; 2 Cor. 3-5),</w:t>
      </w:r>
      <w:r w:rsidR="00CE2912">
        <w:rPr>
          <w:rStyle w:val="FootnoteReference"/>
          <w:lang w:val="en-GB"/>
        </w:rPr>
        <w:footnoteReference w:id="31"/>
      </w:r>
      <w:r w:rsidR="00D32C25">
        <w:rPr>
          <w:lang w:val="en-GB"/>
        </w:rPr>
        <w:t xml:space="preserve"> situating them within various</w:t>
      </w:r>
      <w:r w:rsidR="00BD24EB">
        <w:rPr>
          <w:lang w:val="en-GB"/>
        </w:rPr>
        <w:t xml:space="preserve"> apocalyptic</w:t>
      </w:r>
      <w:r w:rsidR="00D32C25">
        <w:rPr>
          <w:lang w:val="en-GB"/>
        </w:rPr>
        <w:t xml:space="preserve"> mystical traditions of Second Temple Judaism</w:t>
      </w:r>
      <w:r w:rsidR="006730C6">
        <w:rPr>
          <w:lang w:val="en-GB"/>
        </w:rPr>
        <w:t>. These include</w:t>
      </w:r>
      <w:r w:rsidR="00BD24EB">
        <w:rPr>
          <w:lang w:val="en-GB"/>
        </w:rPr>
        <w:t xml:space="preserve"> the Enochian and</w:t>
      </w:r>
      <w:r w:rsidR="00D32C25">
        <w:rPr>
          <w:lang w:val="en-GB"/>
        </w:rPr>
        <w:t xml:space="preserve"> the </w:t>
      </w:r>
      <w:r w:rsidR="00BD24EB">
        <w:rPr>
          <w:lang w:val="en-GB"/>
        </w:rPr>
        <w:t>‘</w:t>
      </w:r>
      <w:r w:rsidR="00D32C25">
        <w:rPr>
          <w:lang w:val="en-GB"/>
        </w:rPr>
        <w:t>heavenly man</w:t>
      </w:r>
      <w:r w:rsidR="00BD24EB">
        <w:rPr>
          <w:lang w:val="en-GB"/>
        </w:rPr>
        <w:t>’</w:t>
      </w:r>
      <w:r w:rsidR="00D32C25">
        <w:rPr>
          <w:lang w:val="en-GB"/>
        </w:rPr>
        <w:t xml:space="preserve"> traditions</w:t>
      </w:r>
      <w:r w:rsidR="00924801">
        <w:rPr>
          <w:lang w:val="en-GB"/>
        </w:rPr>
        <w:t>,</w:t>
      </w:r>
      <w:r w:rsidR="00D32C25">
        <w:rPr>
          <w:lang w:val="en-GB"/>
        </w:rPr>
        <w:t xml:space="preserve"> and the</w:t>
      </w:r>
      <w:r w:rsidR="00694296">
        <w:rPr>
          <w:lang w:val="en-GB"/>
        </w:rPr>
        <w:t xml:space="preserve"> textual</w:t>
      </w:r>
      <w:r w:rsidR="00D32C25">
        <w:rPr>
          <w:lang w:val="en-GB"/>
        </w:rPr>
        <w:t xml:space="preserve"> echoes of Ezekiel 1</w:t>
      </w:r>
      <w:r w:rsidR="00694296">
        <w:rPr>
          <w:lang w:val="en-GB"/>
        </w:rPr>
        <w:t xml:space="preserve"> found</w:t>
      </w:r>
      <w:r w:rsidR="00D32C25">
        <w:rPr>
          <w:lang w:val="en-GB"/>
        </w:rPr>
        <w:t xml:space="preserve"> in some accounts of Paul’s conversion</w:t>
      </w:r>
      <w:r w:rsidR="00D048F2">
        <w:rPr>
          <w:lang w:val="en-GB"/>
        </w:rPr>
        <w:t xml:space="preserve"> in Acts</w:t>
      </w:r>
      <w:r w:rsidR="00D32C25">
        <w:rPr>
          <w:lang w:val="en-GB"/>
        </w:rPr>
        <w:t>.</w:t>
      </w:r>
      <w:r w:rsidR="00CE2912">
        <w:rPr>
          <w:rStyle w:val="FootnoteReference"/>
          <w:lang w:val="en-GB"/>
        </w:rPr>
        <w:footnoteReference w:id="32"/>
      </w:r>
      <w:r w:rsidR="00DB15C3">
        <w:rPr>
          <w:lang w:val="en-GB"/>
        </w:rPr>
        <w:t xml:space="preserve"> </w:t>
      </w:r>
      <w:r w:rsidR="0026531E">
        <w:rPr>
          <w:lang w:val="en-GB"/>
        </w:rPr>
        <w:t xml:space="preserve">In addition, </w:t>
      </w:r>
      <w:r w:rsidR="00DB15C3">
        <w:rPr>
          <w:lang w:val="en-GB"/>
        </w:rPr>
        <w:t>Segal draws on numerous</w:t>
      </w:r>
      <w:r w:rsidR="00FB3BB6">
        <w:rPr>
          <w:lang w:val="en-GB"/>
        </w:rPr>
        <w:t xml:space="preserve"> sociological</w:t>
      </w:r>
      <w:r w:rsidR="00DB15C3">
        <w:rPr>
          <w:lang w:val="en-GB"/>
        </w:rPr>
        <w:t xml:space="preserve"> theorists throughout the book to give a phenomenological account of conversion</w:t>
      </w:r>
      <w:r w:rsidR="00FB3BB6">
        <w:rPr>
          <w:lang w:val="en-GB"/>
        </w:rPr>
        <w:t xml:space="preserve"> as a religious experience</w:t>
      </w:r>
      <w:r w:rsidR="00DB15C3">
        <w:rPr>
          <w:lang w:val="en-GB"/>
        </w:rPr>
        <w:t>.</w:t>
      </w:r>
      <w:r w:rsidR="00DB15C3">
        <w:rPr>
          <w:rStyle w:val="FootnoteReference"/>
          <w:lang w:val="en-GB"/>
        </w:rPr>
        <w:footnoteReference w:id="33"/>
      </w:r>
      <w:r w:rsidR="0026531E">
        <w:rPr>
          <w:lang w:val="en-GB"/>
        </w:rPr>
        <w:t xml:space="preserve"> </w:t>
      </w:r>
      <w:r w:rsidR="008A2E96">
        <w:rPr>
          <w:lang w:val="en-GB"/>
        </w:rPr>
        <w:t xml:space="preserve">He argues that </w:t>
      </w:r>
      <w:r w:rsidR="004D4F4A">
        <w:rPr>
          <w:lang w:val="en-GB"/>
        </w:rPr>
        <w:t xml:space="preserve">Paul </w:t>
      </w:r>
      <w:r w:rsidR="008A2E96">
        <w:rPr>
          <w:lang w:val="en-GB"/>
        </w:rPr>
        <w:t xml:space="preserve">did indeed experience </w:t>
      </w:r>
      <w:r w:rsidR="004D4F4A">
        <w:rPr>
          <w:lang w:val="en-GB"/>
        </w:rPr>
        <w:t xml:space="preserve">something that, phenomenologically, </w:t>
      </w:r>
      <w:r w:rsidR="00A70E65">
        <w:rPr>
          <w:lang w:val="en-GB"/>
        </w:rPr>
        <w:t>one</w:t>
      </w:r>
      <w:r w:rsidR="004D4F4A">
        <w:rPr>
          <w:lang w:val="en-GB"/>
        </w:rPr>
        <w:t xml:space="preserve"> would </w:t>
      </w:r>
      <w:r w:rsidR="00A70E65">
        <w:rPr>
          <w:lang w:val="en-GB"/>
        </w:rPr>
        <w:t>call</w:t>
      </w:r>
      <w:r w:rsidR="004D4F4A">
        <w:rPr>
          <w:lang w:val="en-GB"/>
        </w:rPr>
        <w:t xml:space="preserve"> a conversion</w:t>
      </w:r>
      <w:r w:rsidR="007F30CA">
        <w:rPr>
          <w:lang w:val="en-GB"/>
        </w:rPr>
        <w:t>, namely</w:t>
      </w:r>
      <w:r w:rsidR="004D4F4A">
        <w:rPr>
          <w:lang w:val="en-GB"/>
        </w:rPr>
        <w:t xml:space="preserve"> from one movement of </w:t>
      </w:r>
      <w:r w:rsidR="0004144B">
        <w:rPr>
          <w:lang w:val="en-GB"/>
        </w:rPr>
        <w:t>Judaism</w:t>
      </w:r>
      <w:r w:rsidR="004D4F4A">
        <w:rPr>
          <w:lang w:val="en-GB"/>
        </w:rPr>
        <w:t xml:space="preserve"> to another</w:t>
      </w:r>
      <w:r w:rsidR="0004144B">
        <w:rPr>
          <w:lang w:val="en-GB"/>
        </w:rPr>
        <w:t>. Further</w:t>
      </w:r>
      <w:r w:rsidR="00F2070C">
        <w:rPr>
          <w:lang w:val="en-GB"/>
        </w:rPr>
        <w:t>more,</w:t>
      </w:r>
      <w:r w:rsidR="004D4F4A">
        <w:rPr>
          <w:lang w:val="en-GB"/>
        </w:rPr>
        <w:t xml:space="preserve"> this experience was in fact just the beginning of a lifetime of mystical experiences</w:t>
      </w:r>
      <w:r w:rsidR="00F2070C">
        <w:rPr>
          <w:lang w:val="en-GB"/>
        </w:rPr>
        <w:t xml:space="preserve"> </w:t>
      </w:r>
      <w:r w:rsidR="004D4F4A">
        <w:rPr>
          <w:lang w:val="en-GB"/>
        </w:rPr>
        <w:t>that would profound</w:t>
      </w:r>
      <w:r w:rsidR="00295B64">
        <w:rPr>
          <w:lang w:val="en-GB"/>
        </w:rPr>
        <w:t>ly</w:t>
      </w:r>
      <w:r w:rsidR="004D4F4A">
        <w:rPr>
          <w:lang w:val="en-GB"/>
        </w:rPr>
        <w:t xml:space="preserve"> shape various aspects of his theology and mission.</w:t>
      </w:r>
      <w:r w:rsidR="00DB15C3">
        <w:rPr>
          <w:lang w:val="en-GB"/>
        </w:rPr>
        <w:t xml:space="preserve"> </w:t>
      </w:r>
      <w:r w:rsidR="004D4F4A">
        <w:rPr>
          <w:lang w:val="en-GB"/>
        </w:rPr>
        <w:t>Thus,</w:t>
      </w:r>
      <w:r w:rsidR="00DB15C3">
        <w:rPr>
          <w:lang w:val="en-GB"/>
        </w:rPr>
        <w:t xml:space="preserve"> Segal manages to evade </w:t>
      </w:r>
      <w:proofErr w:type="spellStart"/>
      <w:r w:rsidR="00DB15C3">
        <w:rPr>
          <w:lang w:val="en-GB"/>
        </w:rPr>
        <w:t>Stendahl’s</w:t>
      </w:r>
      <w:proofErr w:type="spellEnd"/>
      <w:r w:rsidR="00DB15C3">
        <w:rPr>
          <w:lang w:val="en-GB"/>
        </w:rPr>
        <w:t xml:space="preserve"> accusation of using the (plain-sense) of the term ‘conversion’ in a</w:t>
      </w:r>
      <w:r w:rsidR="0039303A">
        <w:rPr>
          <w:lang w:val="en-GB"/>
        </w:rPr>
        <w:t xml:space="preserve">n </w:t>
      </w:r>
      <w:r w:rsidR="00DB15C3">
        <w:rPr>
          <w:lang w:val="en-GB"/>
        </w:rPr>
        <w:t xml:space="preserve">anachronistic </w:t>
      </w:r>
      <w:r w:rsidR="0039303A">
        <w:rPr>
          <w:lang w:val="en-GB"/>
        </w:rPr>
        <w:t xml:space="preserve">way, </w:t>
      </w:r>
      <w:r w:rsidR="00DB15C3">
        <w:rPr>
          <w:lang w:val="en-GB"/>
        </w:rPr>
        <w:t xml:space="preserve">whilst also keeping </w:t>
      </w:r>
      <w:proofErr w:type="spellStart"/>
      <w:r w:rsidR="00DB15C3">
        <w:rPr>
          <w:lang w:val="en-GB"/>
        </w:rPr>
        <w:t>Stendahl’s</w:t>
      </w:r>
      <w:proofErr w:type="spellEnd"/>
      <w:r w:rsidR="00DB15C3">
        <w:rPr>
          <w:lang w:val="en-GB"/>
        </w:rPr>
        <w:t xml:space="preserve"> concern about language that suggests Paul left Judaism for a new,</w:t>
      </w:r>
      <w:r w:rsidR="005E2662">
        <w:rPr>
          <w:lang w:val="en-GB"/>
        </w:rPr>
        <w:t xml:space="preserve"> </w:t>
      </w:r>
      <w:r w:rsidR="00DB15C3">
        <w:rPr>
          <w:lang w:val="en-GB"/>
        </w:rPr>
        <w:t>Lutheran-</w:t>
      </w:r>
      <w:r w:rsidR="007755ED">
        <w:rPr>
          <w:lang w:val="en-GB"/>
        </w:rPr>
        <w:t>Augustinian-</w:t>
      </w:r>
      <w:r w:rsidR="00DB15C3">
        <w:rPr>
          <w:lang w:val="en-GB"/>
        </w:rPr>
        <w:t>shaped phenomenon called Christianity.</w:t>
      </w:r>
      <w:r w:rsidR="00746DBA">
        <w:rPr>
          <w:rStyle w:val="FootnoteReference"/>
          <w:lang w:val="en-GB"/>
        </w:rPr>
        <w:footnoteReference w:id="34"/>
      </w:r>
      <w:r w:rsidR="00545DC0">
        <w:rPr>
          <w:lang w:val="en-GB"/>
        </w:rPr>
        <w:t xml:space="preserve"> </w:t>
      </w:r>
      <w:r w:rsidR="00CE1564">
        <w:rPr>
          <w:lang w:val="en-GB"/>
        </w:rPr>
        <w:t xml:space="preserve">Not all recent Pauline scholars </w:t>
      </w:r>
      <w:r w:rsidR="002C4CD5">
        <w:rPr>
          <w:lang w:val="en-GB"/>
        </w:rPr>
        <w:t>find</w:t>
      </w:r>
      <w:r w:rsidR="00545DC0">
        <w:rPr>
          <w:lang w:val="en-GB"/>
        </w:rPr>
        <w:t xml:space="preserve"> Segal’s argument</w:t>
      </w:r>
      <w:r w:rsidR="002C4CD5">
        <w:rPr>
          <w:lang w:val="en-GB"/>
        </w:rPr>
        <w:t xml:space="preserve"> convincing</w:t>
      </w:r>
      <w:r w:rsidR="00CE1564">
        <w:rPr>
          <w:lang w:val="en-GB"/>
        </w:rPr>
        <w:t>:</w:t>
      </w:r>
      <w:r w:rsidR="0037338B">
        <w:rPr>
          <w:lang w:val="en-GB"/>
        </w:rPr>
        <w:t xml:space="preserve"> </w:t>
      </w:r>
      <w:r w:rsidR="00CE1564">
        <w:rPr>
          <w:lang w:val="en-GB"/>
        </w:rPr>
        <w:t xml:space="preserve">Wright argues that it </w:t>
      </w:r>
      <w:r w:rsidR="00B30C75">
        <w:rPr>
          <w:lang w:val="en-GB"/>
        </w:rPr>
        <w:t>over-</w:t>
      </w:r>
      <w:r w:rsidR="00CE1564">
        <w:rPr>
          <w:lang w:val="en-GB"/>
        </w:rPr>
        <w:t>emphasises Paul’s subjective experienc</w:t>
      </w:r>
      <w:r w:rsidR="00B30C75">
        <w:rPr>
          <w:lang w:val="en-GB"/>
        </w:rPr>
        <w:t>e</w:t>
      </w:r>
      <w:r w:rsidR="0037338B">
        <w:rPr>
          <w:lang w:val="en-GB"/>
        </w:rPr>
        <w:t>.</w:t>
      </w:r>
      <w:r w:rsidR="00545DC0">
        <w:rPr>
          <w:rStyle w:val="FootnoteReference"/>
          <w:lang w:val="en-GB"/>
        </w:rPr>
        <w:footnoteReference w:id="35"/>
      </w:r>
      <w:r w:rsidR="00545DC0">
        <w:rPr>
          <w:lang w:val="en-GB"/>
        </w:rPr>
        <w:t xml:space="preserve"> </w:t>
      </w:r>
      <w:proofErr w:type="spellStart"/>
      <w:r w:rsidR="00CE1564">
        <w:rPr>
          <w:lang w:val="en-GB"/>
        </w:rPr>
        <w:lastRenderedPageBreak/>
        <w:t>Eisenbaum</w:t>
      </w:r>
      <w:proofErr w:type="spellEnd"/>
      <w:r w:rsidR="00CE1564">
        <w:rPr>
          <w:lang w:val="en-GB"/>
        </w:rPr>
        <w:t xml:space="preserve"> is concerned that, Segal’s careful phenomenology of conversion notwithstanding, talk of conversion still perpetuates the idea that Paul changed from ‘a bad form of a religion to a good one’, thus bringing anti-Judaism connotations with it.</w:t>
      </w:r>
      <w:r w:rsidR="00CE1564">
        <w:rPr>
          <w:rStyle w:val="FootnoteReference"/>
          <w:lang w:val="en-GB"/>
        </w:rPr>
        <w:footnoteReference w:id="36"/>
      </w:r>
      <w:r w:rsidR="00CE1564">
        <w:rPr>
          <w:lang w:val="en-GB"/>
        </w:rPr>
        <w:t xml:space="preserve"> </w:t>
      </w:r>
      <w:r w:rsidR="00D438CD">
        <w:rPr>
          <w:lang w:val="en-GB"/>
        </w:rPr>
        <w:t>Nevertheless</w:t>
      </w:r>
      <w:r w:rsidR="00CE1564">
        <w:rPr>
          <w:lang w:val="en-GB"/>
        </w:rPr>
        <w:t>, Segal’s</w:t>
      </w:r>
      <w:r w:rsidR="006E6A91">
        <w:rPr>
          <w:lang w:val="en-GB"/>
        </w:rPr>
        <w:t xml:space="preserve"> nuanced reading of the phenomenon of conversion </w:t>
      </w:r>
      <w:r w:rsidR="005952C0">
        <w:rPr>
          <w:lang w:val="en-GB"/>
        </w:rPr>
        <w:t>influenced</w:t>
      </w:r>
      <w:r w:rsidR="006E6A91">
        <w:rPr>
          <w:lang w:val="en-GB"/>
        </w:rPr>
        <w:t xml:space="preserve"> subsequent scholarship</w:t>
      </w:r>
      <w:r w:rsidR="00F15145">
        <w:rPr>
          <w:lang w:val="en-GB"/>
        </w:rPr>
        <w:t>.</w:t>
      </w:r>
      <w:r w:rsidR="008753AD">
        <w:rPr>
          <w:rStyle w:val="FootnoteReference"/>
          <w:lang w:val="en-GB"/>
        </w:rPr>
        <w:footnoteReference w:id="37"/>
      </w:r>
      <w:r w:rsidR="00ED7B25">
        <w:rPr>
          <w:lang w:val="en-GB"/>
        </w:rPr>
        <w:t xml:space="preserve"> </w:t>
      </w:r>
      <w:r w:rsidR="00F15145">
        <w:rPr>
          <w:lang w:val="en-GB"/>
        </w:rPr>
        <w:t>It</w:t>
      </w:r>
      <w:r w:rsidR="005673C2">
        <w:rPr>
          <w:lang w:val="en-GB"/>
        </w:rPr>
        <w:t xml:space="preserve"> also open</w:t>
      </w:r>
      <w:r w:rsidR="00F15145">
        <w:rPr>
          <w:lang w:val="en-GB"/>
        </w:rPr>
        <w:t>s</w:t>
      </w:r>
      <w:r w:rsidR="00ED7B25">
        <w:rPr>
          <w:lang w:val="en-GB"/>
        </w:rPr>
        <w:t xml:space="preserve"> up other important avenues of enquiry. </w:t>
      </w:r>
      <w:r w:rsidR="00417B55">
        <w:rPr>
          <w:lang w:val="en-GB"/>
        </w:rPr>
        <w:t>Firstly,</w:t>
      </w:r>
      <w:r w:rsidR="00ED7B25">
        <w:rPr>
          <w:lang w:val="en-GB"/>
        </w:rPr>
        <w:t xml:space="preserve"> he draw</w:t>
      </w:r>
      <w:r w:rsidR="00417B55">
        <w:rPr>
          <w:lang w:val="en-GB"/>
        </w:rPr>
        <w:t>s</w:t>
      </w:r>
      <w:r w:rsidR="00ED7B25">
        <w:rPr>
          <w:lang w:val="en-GB"/>
        </w:rPr>
        <w:t xml:space="preserve"> attention to the importance of the Jewish mystical tradition in understanding various aspects of Paul’s theology (e.g. 2 Cor. 3-5; 2 Cor. 12), a line of exegesis which is often undervalued in many accounts</w:t>
      </w:r>
      <w:r w:rsidR="00B601B5">
        <w:rPr>
          <w:lang w:val="en-GB"/>
        </w:rPr>
        <w:t xml:space="preserve"> and which may well change </w:t>
      </w:r>
      <w:r w:rsidR="00357804">
        <w:rPr>
          <w:lang w:val="en-GB"/>
        </w:rPr>
        <w:t xml:space="preserve">perceptions of </w:t>
      </w:r>
      <w:r w:rsidR="00B601B5">
        <w:rPr>
          <w:lang w:val="en-GB"/>
        </w:rPr>
        <w:t>the typology of Paul’s thought</w:t>
      </w:r>
      <w:r w:rsidR="00417B55">
        <w:rPr>
          <w:lang w:val="en-GB"/>
        </w:rPr>
        <w:t xml:space="preserve">. Secondly, Segal </w:t>
      </w:r>
      <w:r w:rsidR="00ED7B25">
        <w:rPr>
          <w:lang w:val="en-GB"/>
        </w:rPr>
        <w:t xml:space="preserve">notes the importance of Paul as a historical source both in understanding the early roots of the rise of Rabbinical Judaism and in giving us first century </w:t>
      </w:r>
      <w:r w:rsidR="00A5489A">
        <w:rPr>
          <w:lang w:val="en-GB"/>
        </w:rPr>
        <w:t>autobiographical</w:t>
      </w:r>
      <w:r w:rsidR="00E62DBB">
        <w:rPr>
          <w:lang w:val="en-GB"/>
        </w:rPr>
        <w:t xml:space="preserve"> </w:t>
      </w:r>
      <w:r w:rsidR="00ED7B25">
        <w:rPr>
          <w:lang w:val="en-GB"/>
        </w:rPr>
        <w:t>accounts of Jewish mystical experiences</w:t>
      </w:r>
      <w:r w:rsidR="00A5489A">
        <w:rPr>
          <w:lang w:val="en-GB"/>
        </w:rPr>
        <w:t>, a phenomenon which otherwise does not occur until the third century and following.</w:t>
      </w:r>
      <w:r w:rsidR="00CE2912">
        <w:rPr>
          <w:rStyle w:val="FootnoteReference"/>
          <w:lang w:val="en-GB"/>
        </w:rPr>
        <w:footnoteReference w:id="38"/>
      </w:r>
    </w:p>
    <w:p w14:paraId="6CE1378A" w14:textId="171C9A94" w:rsidR="00CA396C" w:rsidRDefault="00CA396C" w:rsidP="00974876">
      <w:pPr>
        <w:rPr>
          <w:lang w:val="en-GB"/>
        </w:rPr>
      </w:pPr>
    </w:p>
    <w:p w14:paraId="4D5A42AD" w14:textId="77777777" w:rsidR="00CA396C" w:rsidRDefault="00CA396C" w:rsidP="00CA396C">
      <w:pPr>
        <w:pStyle w:val="Heading2"/>
        <w:rPr>
          <w:lang w:val="en-GB"/>
        </w:rPr>
      </w:pPr>
      <w:r>
        <w:rPr>
          <w:lang w:val="en-GB"/>
        </w:rPr>
        <w:t>The Radical Jew</w:t>
      </w:r>
    </w:p>
    <w:p w14:paraId="1ABCD61E" w14:textId="2BAC8E64" w:rsidR="00CA396C" w:rsidRPr="005C2E6C" w:rsidRDefault="00CA396C" w:rsidP="00CA396C">
      <w:proofErr w:type="spellStart"/>
      <w:r>
        <w:rPr>
          <w:lang w:val="en-GB"/>
        </w:rPr>
        <w:t>Boyarin</w:t>
      </w:r>
      <w:proofErr w:type="spellEnd"/>
      <w:r>
        <w:rPr>
          <w:lang w:val="en-GB"/>
        </w:rPr>
        <w:t xml:space="preserve"> is a Talmudic scholar and cultural critic who</w:t>
      </w:r>
      <w:r w:rsidR="006B0FE3">
        <w:rPr>
          <w:lang w:val="en-GB"/>
        </w:rPr>
        <w:t xml:space="preserve">se </w:t>
      </w:r>
      <w:r w:rsidR="006B0FE3">
        <w:rPr>
          <w:lang w:val="en-GB"/>
        </w:rPr>
        <w:t xml:space="preserve">1997 book </w:t>
      </w:r>
      <w:r w:rsidR="006B0FE3">
        <w:rPr>
          <w:i/>
          <w:iCs/>
          <w:lang w:val="en-GB"/>
        </w:rPr>
        <w:t>A Radical Jew</w:t>
      </w:r>
      <w:r w:rsidR="006B0FE3">
        <w:rPr>
          <w:lang w:val="en-GB"/>
        </w:rPr>
        <w:t xml:space="preserve"> proposes a postmodern reading of the Apostle Paul</w:t>
      </w:r>
      <w:r>
        <w:rPr>
          <w:lang w:val="en-GB"/>
        </w:rPr>
        <w:t xml:space="preserve">. In addition to </w:t>
      </w:r>
      <w:r w:rsidR="007C610D">
        <w:rPr>
          <w:lang w:val="en-GB"/>
        </w:rPr>
        <w:t xml:space="preserve">affirming </w:t>
      </w:r>
      <w:r>
        <w:rPr>
          <w:lang w:val="en-GB"/>
        </w:rPr>
        <w:t>the recovery of Paul’s Judaism by the NPP, he wishes to emphasise Paul’s Hellenistic context: ‘</w:t>
      </w:r>
      <w:r w:rsidRPr="005C2E6C">
        <w:rPr>
          <w:lang w:val="en-GB"/>
        </w:rPr>
        <w:t>Paul was impelled by a vision of human unity that was born of two parents: Hebrew monotheism and Greek longing for</w:t>
      </w:r>
      <w:r w:rsidR="00020702">
        <w:rPr>
          <w:lang w:val="en-GB"/>
        </w:rPr>
        <w:t xml:space="preserve"> the</w:t>
      </w:r>
      <w:r w:rsidRPr="005C2E6C">
        <w:rPr>
          <w:lang w:val="en-GB"/>
        </w:rPr>
        <w:t xml:space="preserve"> </w:t>
      </w:r>
      <w:r w:rsidR="00020702">
        <w:rPr>
          <w:lang w:val="en-GB"/>
        </w:rPr>
        <w:t>u</w:t>
      </w:r>
      <w:r w:rsidRPr="005C2E6C">
        <w:rPr>
          <w:lang w:val="en-GB"/>
        </w:rPr>
        <w:t>niversal</w:t>
      </w:r>
      <w:r>
        <w:rPr>
          <w:lang w:val="en-GB"/>
        </w:rPr>
        <w:t>’.</w:t>
      </w:r>
      <w:r>
        <w:rPr>
          <w:rStyle w:val="FootnoteReference"/>
          <w:lang w:val="en-GB"/>
        </w:rPr>
        <w:footnoteReference w:id="39"/>
      </w:r>
      <w:r>
        <w:rPr>
          <w:lang w:val="en-GB"/>
        </w:rPr>
        <w:t xml:space="preserve"> He</w:t>
      </w:r>
      <w:r w:rsidR="00A36F86">
        <w:rPr>
          <w:lang w:val="en-GB"/>
        </w:rPr>
        <w:t xml:space="preserve"> thus</w:t>
      </w:r>
      <w:r>
        <w:rPr>
          <w:lang w:val="en-GB"/>
        </w:rPr>
        <w:t xml:space="preserve"> proposes that Paul is to be read against a wider Hellenistic culture, drawing comparisons between Paul and his contemporary Philo.</w:t>
      </w:r>
      <w:r>
        <w:rPr>
          <w:rStyle w:val="FootnoteReference"/>
          <w:lang w:val="en-GB"/>
        </w:rPr>
        <w:footnoteReference w:id="40"/>
      </w:r>
      <w:r>
        <w:rPr>
          <w:lang w:val="en-GB"/>
        </w:rPr>
        <w:t xml:space="preserve"> In </w:t>
      </w:r>
      <w:proofErr w:type="spellStart"/>
      <w:r>
        <w:rPr>
          <w:lang w:val="en-GB"/>
        </w:rPr>
        <w:t>Boyarin’s</w:t>
      </w:r>
      <w:proofErr w:type="spellEnd"/>
      <w:r>
        <w:rPr>
          <w:lang w:val="en-GB"/>
        </w:rPr>
        <w:t xml:space="preserve"> provocative reading, Galatians 3:26-29 form</w:t>
      </w:r>
      <w:r w:rsidR="00223849">
        <w:rPr>
          <w:lang w:val="en-GB"/>
        </w:rPr>
        <w:t>s</w:t>
      </w:r>
      <w:r>
        <w:rPr>
          <w:lang w:val="en-GB"/>
        </w:rPr>
        <w:t xml:space="preserve"> the centre of Paul’s thought, where the embodied difference of gender and ethnicity</w:t>
      </w:r>
      <w:r w:rsidR="00291355">
        <w:rPr>
          <w:lang w:val="en-GB"/>
        </w:rPr>
        <w:t xml:space="preserve"> (namely, Jew and Gentile)</w:t>
      </w:r>
      <w:r>
        <w:rPr>
          <w:lang w:val="en-GB"/>
        </w:rPr>
        <w:t xml:space="preserve"> get universalised in their incorporation </w:t>
      </w:r>
      <w:r w:rsidR="00BF7CC4">
        <w:rPr>
          <w:lang w:val="en-GB"/>
        </w:rPr>
        <w:t>at</w:t>
      </w:r>
      <w:r>
        <w:rPr>
          <w:lang w:val="en-GB"/>
        </w:rPr>
        <w:t xml:space="preserve"> baptism (</w:t>
      </w:r>
      <w:proofErr w:type="spellStart"/>
      <w:r>
        <w:rPr>
          <w:lang w:val="en-GB"/>
        </w:rPr>
        <w:t>Boyarin</w:t>
      </w:r>
      <w:proofErr w:type="spellEnd"/>
      <w:r>
        <w:rPr>
          <w:lang w:val="en-GB"/>
        </w:rPr>
        <w:t xml:space="preserve"> sees Galatians 3:28 as the citation of a baptism formula) into the universal body of Christ: ‘</w:t>
      </w:r>
      <w:r w:rsidRPr="002434AA">
        <w:rPr>
          <w:lang w:val="en-GB"/>
        </w:rPr>
        <w:t>The individual body itself is replaced by its allegorical referent, the body of Christ of which all the baptized are part</w:t>
      </w:r>
      <w:r>
        <w:rPr>
          <w:lang w:val="en-GB"/>
        </w:rPr>
        <w:t>’.</w:t>
      </w:r>
      <w:r>
        <w:rPr>
          <w:rStyle w:val="FootnoteReference"/>
          <w:lang w:val="en-GB"/>
        </w:rPr>
        <w:footnoteReference w:id="41"/>
      </w:r>
      <w:r>
        <w:rPr>
          <w:lang w:val="en-GB"/>
        </w:rPr>
        <w:t xml:space="preserve"> Crucially for </w:t>
      </w:r>
      <w:proofErr w:type="spellStart"/>
      <w:r>
        <w:rPr>
          <w:lang w:val="en-GB"/>
        </w:rPr>
        <w:t>Boyarin</w:t>
      </w:r>
      <w:proofErr w:type="spellEnd"/>
      <w:r>
        <w:rPr>
          <w:lang w:val="en-GB"/>
        </w:rPr>
        <w:t xml:space="preserve">, </w:t>
      </w:r>
      <w:r w:rsidR="00BF7CC4">
        <w:rPr>
          <w:lang w:val="en-GB"/>
        </w:rPr>
        <w:t>incorporation does not</w:t>
      </w:r>
      <w:r>
        <w:rPr>
          <w:lang w:val="en-GB"/>
        </w:rPr>
        <w:t xml:space="preserve"> erase particularity at the expense of universalism</w:t>
      </w:r>
      <w:r w:rsidR="00BF7CC4">
        <w:rPr>
          <w:lang w:val="en-GB"/>
        </w:rPr>
        <w:t xml:space="preserve">. </w:t>
      </w:r>
      <w:r w:rsidR="00BF7CC4">
        <w:rPr>
          <w:lang w:val="en-GB"/>
        </w:rPr>
        <w:lastRenderedPageBreak/>
        <w:t>Instead, it</w:t>
      </w:r>
      <w:r>
        <w:rPr>
          <w:lang w:val="en-GB"/>
        </w:rPr>
        <w:t xml:space="preserve"> rightly order</w:t>
      </w:r>
      <w:r w:rsidR="00BF7CC4">
        <w:rPr>
          <w:lang w:val="en-GB"/>
        </w:rPr>
        <w:t>s</w:t>
      </w:r>
      <w:r>
        <w:rPr>
          <w:lang w:val="en-GB"/>
        </w:rPr>
        <w:t xml:space="preserve"> particularity (‘flesh’) under the universal (‘spirit’).</w:t>
      </w:r>
      <w:r>
        <w:rPr>
          <w:rStyle w:val="FootnoteReference"/>
          <w:lang w:val="en-GB"/>
        </w:rPr>
        <w:footnoteReference w:id="42"/>
      </w:r>
      <w:r>
        <w:rPr>
          <w:lang w:val="en-GB"/>
        </w:rPr>
        <w:t xml:space="preserve"> </w:t>
      </w:r>
      <w:r w:rsidR="00691CFD">
        <w:rPr>
          <w:lang w:val="en-GB"/>
        </w:rPr>
        <w:t>H</w:t>
      </w:r>
      <w:r>
        <w:rPr>
          <w:lang w:val="en-GB"/>
        </w:rPr>
        <w:t>e sees</w:t>
      </w:r>
      <w:r w:rsidR="00691CFD">
        <w:rPr>
          <w:lang w:val="en-GB"/>
        </w:rPr>
        <w:t xml:space="preserve"> this</w:t>
      </w:r>
      <w:r>
        <w:rPr>
          <w:lang w:val="en-GB"/>
        </w:rPr>
        <w:t xml:space="preserve"> in contrast to </w:t>
      </w:r>
      <w:r w:rsidR="000C1AEA">
        <w:rPr>
          <w:lang w:val="en-GB"/>
        </w:rPr>
        <w:t>M</w:t>
      </w:r>
      <w:r>
        <w:rPr>
          <w:lang w:val="en-GB"/>
        </w:rPr>
        <w:t>idrash</w:t>
      </w:r>
      <w:r w:rsidR="00682358">
        <w:rPr>
          <w:lang w:val="en-GB"/>
        </w:rPr>
        <w:t>ic</w:t>
      </w:r>
      <w:r>
        <w:rPr>
          <w:lang w:val="en-GB"/>
        </w:rPr>
        <w:t xml:space="preserve"> readings of circumcision which, in their ‘insistence’ on the physicality of the act, resist an ordering under the universal, instead demonstrating a ‘tenacious clinging’ to particularity.</w:t>
      </w:r>
      <w:r>
        <w:rPr>
          <w:rStyle w:val="FootnoteReference"/>
          <w:lang w:val="en-GB"/>
        </w:rPr>
        <w:footnoteReference w:id="43"/>
      </w:r>
      <w:r>
        <w:rPr>
          <w:lang w:val="en-GB"/>
        </w:rPr>
        <w:t xml:space="preserve"> Thi</w:t>
      </w:r>
      <w:r w:rsidR="007B5EF0">
        <w:rPr>
          <w:lang w:val="en-GB"/>
        </w:rPr>
        <w:t>s incorporation</w:t>
      </w:r>
      <w:r>
        <w:rPr>
          <w:lang w:val="en-GB"/>
        </w:rPr>
        <w:t xml:space="preserve"> is both Paul’s genius and Paul’s fault: in emphasising the universal, Paul devalued the particular</w:t>
      </w:r>
      <w:r w:rsidR="007B5EF0">
        <w:rPr>
          <w:lang w:val="en-GB"/>
        </w:rPr>
        <w:t xml:space="preserve">, </w:t>
      </w:r>
      <w:r>
        <w:rPr>
          <w:lang w:val="en-GB"/>
        </w:rPr>
        <w:t>making ‘the Universal Subject male and Christian’.</w:t>
      </w:r>
      <w:r>
        <w:rPr>
          <w:rStyle w:val="FootnoteReference"/>
          <w:lang w:val="en-GB"/>
        </w:rPr>
        <w:footnoteReference w:id="44"/>
      </w:r>
      <w:r>
        <w:rPr>
          <w:lang w:val="en-GB"/>
        </w:rPr>
        <w:t xml:space="preserve"> It is this </w:t>
      </w:r>
      <w:r w:rsidR="00981829">
        <w:rPr>
          <w:lang w:val="en-GB"/>
        </w:rPr>
        <w:t xml:space="preserve">dialectic </w:t>
      </w:r>
      <w:r>
        <w:rPr>
          <w:lang w:val="en-GB"/>
        </w:rPr>
        <w:t xml:space="preserve">tension that </w:t>
      </w:r>
      <w:proofErr w:type="spellStart"/>
      <w:r>
        <w:rPr>
          <w:lang w:val="en-GB"/>
        </w:rPr>
        <w:t>Boyarin</w:t>
      </w:r>
      <w:proofErr w:type="spellEnd"/>
      <w:r>
        <w:rPr>
          <w:lang w:val="en-GB"/>
        </w:rPr>
        <w:t xml:space="preserve"> is interested in. He </w:t>
      </w:r>
      <w:r w:rsidR="004073C1">
        <w:rPr>
          <w:lang w:val="en-GB"/>
        </w:rPr>
        <w:t>exegetes</w:t>
      </w:r>
      <w:r>
        <w:rPr>
          <w:lang w:val="en-GB"/>
        </w:rPr>
        <w:t xml:space="preserve"> his way through various Pauline passages (Rom. 2; 1 Cor 7; much of Galatians), interacting with contemporary Pauline scholarship as well as feminist theory as he goes. He is careful to emphasise that, whilst his Paul is heavily influenced</w:t>
      </w:r>
      <w:r w:rsidR="00200610">
        <w:rPr>
          <w:lang w:val="en-GB"/>
        </w:rPr>
        <w:t xml:space="preserve"> </w:t>
      </w:r>
      <w:r>
        <w:rPr>
          <w:lang w:val="en-GB"/>
        </w:rPr>
        <w:t>by</w:t>
      </w:r>
      <w:r w:rsidR="00200610">
        <w:rPr>
          <w:lang w:val="en-GB"/>
        </w:rPr>
        <w:t xml:space="preserve"> Hellenistic</w:t>
      </w:r>
      <w:r>
        <w:rPr>
          <w:lang w:val="en-GB"/>
        </w:rPr>
        <w:t xml:space="preserve"> middle Platonis</w:t>
      </w:r>
      <w:r w:rsidR="00200610">
        <w:rPr>
          <w:lang w:val="en-GB"/>
        </w:rPr>
        <w:t>m</w:t>
      </w:r>
      <w:r>
        <w:rPr>
          <w:lang w:val="en-GB"/>
        </w:rPr>
        <w:t>, he is in no sense a dualist and, indeed, many perceived contradictions can be explained by him deliberately trying to avoid the extremes of the body/spirit duality: ‘</w:t>
      </w:r>
      <w:r w:rsidRPr="005C2E6C">
        <w:rPr>
          <w:lang w:val="en-GB"/>
        </w:rPr>
        <w:t>Paul's is a dualism that makes room for the body, however much the spirit is more highly valued</w:t>
      </w:r>
      <w:r>
        <w:rPr>
          <w:lang w:val="en-GB"/>
        </w:rPr>
        <w:t>’.</w:t>
      </w:r>
      <w:r>
        <w:rPr>
          <w:rStyle w:val="FootnoteReference"/>
          <w:lang w:val="en-GB"/>
        </w:rPr>
        <w:footnoteReference w:id="45"/>
      </w:r>
      <w:r w:rsidR="003E5DB8">
        <w:rPr>
          <w:lang w:val="en-GB"/>
        </w:rPr>
        <w:t xml:space="preserve"> The incorporation that Paul assumes is no sublimation – at least on the level of theory, even if in practice Paul’s communities might not have lived up to his</w:t>
      </w:r>
      <w:r w:rsidR="005B67FE">
        <w:rPr>
          <w:lang w:val="en-GB"/>
        </w:rPr>
        <w:t xml:space="preserve"> own</w:t>
      </w:r>
      <w:r w:rsidR="003E5DB8">
        <w:rPr>
          <w:lang w:val="en-GB"/>
        </w:rPr>
        <w:t xml:space="preserve"> vision. </w:t>
      </w:r>
    </w:p>
    <w:p w14:paraId="596F0C9F" w14:textId="77777777" w:rsidR="00CA396C" w:rsidRDefault="00CA396C" w:rsidP="00CA396C">
      <w:pPr>
        <w:rPr>
          <w:lang w:val="en-GB"/>
        </w:rPr>
      </w:pPr>
    </w:p>
    <w:p w14:paraId="3F62D38B" w14:textId="0FBB7462" w:rsidR="00CA396C" w:rsidRPr="00C30B77" w:rsidRDefault="00CA396C" w:rsidP="00974876">
      <w:pPr>
        <w:rPr>
          <w:lang w:val="en-GB"/>
        </w:rPr>
      </w:pPr>
      <w:proofErr w:type="spellStart"/>
      <w:r>
        <w:rPr>
          <w:lang w:val="en-GB"/>
        </w:rPr>
        <w:t>Boyarin’s</w:t>
      </w:r>
      <w:proofErr w:type="spellEnd"/>
      <w:r>
        <w:rPr>
          <w:lang w:val="en-GB"/>
        </w:rPr>
        <w:t xml:space="preserve"> </w:t>
      </w:r>
      <w:r w:rsidR="00710673">
        <w:rPr>
          <w:lang w:val="en-GB"/>
        </w:rPr>
        <w:t>book</w:t>
      </w:r>
      <w:r>
        <w:rPr>
          <w:lang w:val="en-GB"/>
        </w:rPr>
        <w:t xml:space="preserve"> is an intriguing contribution to Pauline studies for several reasons. He writes from a self-consciously Jewish perspective, and with a view to the immediacy of Paul’s writings (‘</w:t>
      </w:r>
      <w:r w:rsidRPr="005B3684">
        <w:rPr>
          <w:lang w:val="en-GB"/>
        </w:rPr>
        <w:t>I claim that Paul's letters are letters addressed to us—to me, as a (post)modern Jew</w:t>
      </w:r>
      <w:r>
        <w:rPr>
          <w:lang w:val="en-GB"/>
        </w:rPr>
        <w:t>’)</w:t>
      </w:r>
      <w:r>
        <w:rPr>
          <w:rStyle w:val="FootnoteReference"/>
          <w:lang w:val="en-GB"/>
        </w:rPr>
        <w:footnoteReference w:id="46"/>
      </w:r>
      <w:r>
        <w:rPr>
          <w:lang w:val="en-GB"/>
        </w:rPr>
        <w:t xml:space="preserve"> that runs </w:t>
      </w:r>
      <w:r w:rsidR="00710673">
        <w:rPr>
          <w:lang w:val="en-GB"/>
        </w:rPr>
        <w:t>contrary</w:t>
      </w:r>
      <w:r>
        <w:rPr>
          <w:lang w:val="en-GB"/>
        </w:rPr>
        <w:t xml:space="preserve"> to the historical-critical projects of many other Pauline scholars, both Jewish and Christian. The concerns he brings to the Pauline corpus – the politics of identity, not least around the contemporary state of Israel – </w:t>
      </w:r>
      <w:r w:rsidR="003404FB">
        <w:rPr>
          <w:lang w:val="en-GB"/>
        </w:rPr>
        <w:t>are largely</w:t>
      </w:r>
      <w:r>
        <w:rPr>
          <w:lang w:val="en-GB"/>
        </w:rPr>
        <w:t xml:space="preserve"> foreign to Paul’s own concerns. It is on </w:t>
      </w:r>
      <w:r w:rsidR="009560B2">
        <w:rPr>
          <w:lang w:val="en-GB"/>
        </w:rPr>
        <w:t>historical detail</w:t>
      </w:r>
      <w:r>
        <w:rPr>
          <w:lang w:val="en-GB"/>
        </w:rPr>
        <w:t xml:space="preserve"> that his project seem</w:t>
      </w:r>
      <w:r w:rsidR="00D35CC5">
        <w:rPr>
          <w:lang w:val="en-GB"/>
        </w:rPr>
        <w:t>s</w:t>
      </w:r>
      <w:r>
        <w:rPr>
          <w:lang w:val="en-GB"/>
        </w:rPr>
        <w:t xml:space="preserve"> particularly</w:t>
      </w:r>
      <w:r w:rsidR="00AE6AB6">
        <w:rPr>
          <w:lang w:val="en-GB"/>
        </w:rPr>
        <w:t xml:space="preserve"> vulnerable to criticism</w:t>
      </w:r>
      <w:r>
        <w:rPr>
          <w:lang w:val="en-GB"/>
        </w:rPr>
        <w:t>.</w:t>
      </w:r>
      <w:r w:rsidR="00CB1B3A">
        <w:rPr>
          <w:lang w:val="en-GB"/>
        </w:rPr>
        <w:t xml:space="preserve"> For instance,</w:t>
      </w:r>
      <w:r>
        <w:rPr>
          <w:lang w:val="en-GB"/>
        </w:rPr>
        <w:t xml:space="preserve"> </w:t>
      </w:r>
      <w:proofErr w:type="spellStart"/>
      <w:r>
        <w:rPr>
          <w:lang w:val="en-GB"/>
        </w:rPr>
        <w:t>Boyarin’s</w:t>
      </w:r>
      <w:proofErr w:type="spellEnd"/>
      <w:r>
        <w:rPr>
          <w:lang w:val="en-GB"/>
        </w:rPr>
        <w:t xml:space="preserve"> impressive use of the </w:t>
      </w:r>
      <w:r w:rsidR="006F194B">
        <w:rPr>
          <w:lang w:val="en-GB"/>
        </w:rPr>
        <w:t>M</w:t>
      </w:r>
      <w:r>
        <w:rPr>
          <w:lang w:val="en-GB"/>
        </w:rPr>
        <w:t>idrashic tradition</w:t>
      </w:r>
      <w:r w:rsidR="00D215BD">
        <w:rPr>
          <w:lang w:val="en-GB"/>
        </w:rPr>
        <w:t xml:space="preserve"> and the comparisons with Philo</w:t>
      </w:r>
      <w:r>
        <w:rPr>
          <w:lang w:val="en-GB"/>
        </w:rPr>
        <w:t>, one has to ask</w:t>
      </w:r>
      <w:r w:rsidR="008F4A97">
        <w:rPr>
          <w:lang w:val="en-GB"/>
        </w:rPr>
        <w:t>:</w:t>
      </w:r>
      <w:r>
        <w:rPr>
          <w:lang w:val="en-GB"/>
        </w:rPr>
        <w:t xml:space="preserve"> </w:t>
      </w:r>
      <w:r w:rsidR="008F4A97">
        <w:rPr>
          <w:lang w:val="en-GB"/>
        </w:rPr>
        <w:t>was Paul</w:t>
      </w:r>
      <w:r>
        <w:rPr>
          <w:lang w:val="en-GB"/>
        </w:rPr>
        <w:t xml:space="preserve"> such an acculturated Hellenist as</w:t>
      </w:r>
      <w:r w:rsidR="0056505C">
        <w:rPr>
          <w:lang w:val="en-GB"/>
        </w:rPr>
        <w:t xml:space="preserve"> required by</w:t>
      </w:r>
      <w:r>
        <w:rPr>
          <w:lang w:val="en-GB"/>
        </w:rPr>
        <w:t xml:space="preserve"> </w:t>
      </w:r>
      <w:proofErr w:type="spellStart"/>
      <w:r>
        <w:rPr>
          <w:lang w:val="en-GB"/>
        </w:rPr>
        <w:t>Boyarin’s</w:t>
      </w:r>
      <w:proofErr w:type="spellEnd"/>
      <w:r>
        <w:rPr>
          <w:lang w:val="en-GB"/>
        </w:rPr>
        <w:t xml:space="preserve"> argument</w:t>
      </w:r>
      <w:r w:rsidR="005266DD">
        <w:rPr>
          <w:lang w:val="en-GB"/>
        </w:rPr>
        <w:t>?</w:t>
      </w:r>
      <w:r w:rsidR="00CB1B3A">
        <w:rPr>
          <w:lang w:val="en-GB"/>
        </w:rPr>
        <w:t xml:space="preserve"> </w:t>
      </w:r>
      <w:r>
        <w:rPr>
          <w:lang w:val="en-GB"/>
        </w:rPr>
        <w:t>John Barclay suggests that, whil</w:t>
      </w:r>
      <w:r w:rsidR="004D73C4">
        <w:rPr>
          <w:lang w:val="en-GB"/>
        </w:rPr>
        <w:t>e</w:t>
      </w:r>
      <w:r>
        <w:rPr>
          <w:lang w:val="en-GB"/>
        </w:rPr>
        <w:t xml:space="preserve"> Paul certainly lived of the Greek</w:t>
      </w:r>
      <w:r w:rsidR="001445D9">
        <w:rPr>
          <w:lang w:val="en-GB"/>
        </w:rPr>
        <w:t>-</w:t>
      </w:r>
      <w:r>
        <w:rPr>
          <w:lang w:val="en-GB"/>
        </w:rPr>
        <w:t>Jewish Diaspora, his knowledge of Hellenistic philosophy remained second hand and certainly cannot be directly compared to that of Philo.</w:t>
      </w:r>
      <w:r>
        <w:rPr>
          <w:rStyle w:val="FootnoteReference"/>
          <w:lang w:val="en-GB"/>
        </w:rPr>
        <w:footnoteReference w:id="47"/>
      </w:r>
      <w:r>
        <w:rPr>
          <w:lang w:val="en-GB"/>
        </w:rPr>
        <w:t xml:space="preserve"> Wright suggests that a failure to </w:t>
      </w:r>
      <w:r>
        <w:rPr>
          <w:lang w:val="en-GB"/>
        </w:rPr>
        <w:lastRenderedPageBreak/>
        <w:t>give an account to the role of cross and resurrection in the totality of Paul’s thought leads ultimately to an ahistorical thinker, whereas for Wright ‘</w:t>
      </w:r>
      <w:r w:rsidRPr="007521B2">
        <w:rPr>
          <w:lang w:val="en-GB"/>
        </w:rPr>
        <w:t>the historical human being Jesus, not merely some abstract Christian idea, was what grasped the historical Paul and set him about an historical task</w:t>
      </w:r>
      <w:r>
        <w:rPr>
          <w:lang w:val="en-GB"/>
        </w:rPr>
        <w:t>’.</w:t>
      </w:r>
      <w:r>
        <w:rPr>
          <w:rStyle w:val="FootnoteReference"/>
          <w:lang w:val="en-GB"/>
        </w:rPr>
        <w:footnoteReference w:id="48"/>
      </w:r>
      <w:r>
        <w:rPr>
          <w:lang w:val="en-GB"/>
        </w:rPr>
        <w:t xml:space="preserve"> </w:t>
      </w:r>
      <w:proofErr w:type="spellStart"/>
      <w:r w:rsidR="004262FA">
        <w:rPr>
          <w:lang w:val="en-GB"/>
        </w:rPr>
        <w:t>Boyarin</w:t>
      </w:r>
      <w:proofErr w:type="spellEnd"/>
      <w:r w:rsidR="00E346FE">
        <w:rPr>
          <w:lang w:val="en-GB"/>
        </w:rPr>
        <w:t xml:space="preserve"> hermeneutical privileging of Galatians 3:28 seems, as Michael Bird and Preston Sprinkle argue, to be arbitrary.</w:t>
      </w:r>
      <w:r w:rsidR="00E346FE">
        <w:rPr>
          <w:rStyle w:val="FootnoteReference"/>
          <w:lang w:val="en-GB"/>
        </w:rPr>
        <w:footnoteReference w:id="49"/>
      </w:r>
      <w:r w:rsidR="00E346FE">
        <w:rPr>
          <w:lang w:val="en-GB"/>
        </w:rPr>
        <w:t xml:space="preserve"> </w:t>
      </w:r>
      <w:r w:rsidR="00CB4C34">
        <w:rPr>
          <w:lang w:val="en-GB"/>
        </w:rPr>
        <w:t xml:space="preserve">The juxtaposition between Hellenistic and Jewish thought that </w:t>
      </w:r>
      <w:proofErr w:type="spellStart"/>
      <w:r w:rsidR="00CB4C34">
        <w:rPr>
          <w:lang w:val="en-GB"/>
        </w:rPr>
        <w:t>Boyarin</w:t>
      </w:r>
      <w:proofErr w:type="spellEnd"/>
      <w:r w:rsidR="00CB4C34">
        <w:rPr>
          <w:lang w:val="en-GB"/>
        </w:rPr>
        <w:t xml:space="preserve"> presupposes arguably owes far more to nineteenth century German intellectual movements than it does to lived historical reality of the first century.</w:t>
      </w:r>
      <w:r w:rsidR="00CB4C34">
        <w:rPr>
          <w:rStyle w:val="FootnoteReference"/>
          <w:lang w:val="en-GB"/>
        </w:rPr>
        <w:footnoteReference w:id="50"/>
      </w:r>
      <w:r w:rsidR="00CB4C34">
        <w:rPr>
          <w:lang w:val="en-GB"/>
        </w:rPr>
        <w:t xml:space="preserve"> </w:t>
      </w:r>
      <w:r w:rsidR="004D60A4">
        <w:rPr>
          <w:lang w:val="en-GB"/>
        </w:rPr>
        <w:t xml:space="preserve">Indeed, reaction on historical grounds seems to be the dominant Christian response to </w:t>
      </w:r>
      <w:proofErr w:type="spellStart"/>
      <w:r w:rsidR="004D60A4">
        <w:rPr>
          <w:lang w:val="en-GB"/>
        </w:rPr>
        <w:t>Boyarin</w:t>
      </w:r>
      <w:proofErr w:type="spellEnd"/>
      <w:r w:rsidR="004D60A4">
        <w:rPr>
          <w:lang w:val="en-GB"/>
        </w:rPr>
        <w:t xml:space="preserve">. </w:t>
      </w:r>
      <w:r w:rsidR="00DD0876">
        <w:rPr>
          <w:lang w:val="en-GB"/>
        </w:rPr>
        <w:t>However, I propose that this reaction</w:t>
      </w:r>
      <w:r w:rsidR="00AB433C">
        <w:rPr>
          <w:lang w:val="en-GB"/>
        </w:rPr>
        <w:t xml:space="preserve"> dramatically</w:t>
      </w:r>
      <w:r w:rsidR="00DD0876">
        <w:rPr>
          <w:lang w:val="en-GB"/>
        </w:rPr>
        <w:t xml:space="preserve"> misreads </w:t>
      </w:r>
      <w:proofErr w:type="spellStart"/>
      <w:r w:rsidR="00DD0876">
        <w:rPr>
          <w:lang w:val="en-GB"/>
        </w:rPr>
        <w:t>Boyarin’s</w:t>
      </w:r>
      <w:proofErr w:type="spellEnd"/>
      <w:r w:rsidR="00DD0876">
        <w:rPr>
          <w:lang w:val="en-GB"/>
        </w:rPr>
        <w:t xml:space="preserve"> project</w:t>
      </w:r>
      <w:r w:rsidR="009F65AD">
        <w:rPr>
          <w:lang w:val="en-GB"/>
        </w:rPr>
        <w:t xml:space="preserve">, which is fundamentally </w:t>
      </w:r>
      <w:proofErr w:type="gramStart"/>
      <w:r w:rsidR="009F65AD">
        <w:rPr>
          <w:lang w:val="en-GB"/>
        </w:rPr>
        <w:t>reader-centred</w:t>
      </w:r>
      <w:proofErr w:type="gramEnd"/>
      <w:r w:rsidR="00DD0876">
        <w:rPr>
          <w:lang w:val="en-GB"/>
        </w:rPr>
        <w:t>.</w:t>
      </w:r>
      <w:r>
        <w:rPr>
          <w:lang w:val="en-GB"/>
        </w:rPr>
        <w:t xml:space="preserve"> I</w:t>
      </w:r>
      <w:r w:rsidR="00DD0876">
        <w:rPr>
          <w:lang w:val="en-GB"/>
        </w:rPr>
        <w:t>t</w:t>
      </w:r>
      <w:r>
        <w:rPr>
          <w:lang w:val="en-GB"/>
        </w:rPr>
        <w:t xml:space="preserve"> is precisely </w:t>
      </w:r>
      <w:r w:rsidR="009F65AD">
        <w:rPr>
          <w:lang w:val="en-GB"/>
        </w:rPr>
        <w:t xml:space="preserve">his </w:t>
      </w:r>
      <w:r w:rsidR="0027271D">
        <w:rPr>
          <w:lang w:val="en-GB"/>
        </w:rPr>
        <w:t xml:space="preserve">audacious </w:t>
      </w:r>
      <w:r>
        <w:rPr>
          <w:lang w:val="en-GB"/>
        </w:rPr>
        <w:t xml:space="preserve">claim of immediacy and partiality that give </w:t>
      </w:r>
      <w:r w:rsidR="00AD6F37">
        <w:rPr>
          <w:lang w:val="en-GB"/>
        </w:rPr>
        <w:t>his</w:t>
      </w:r>
      <w:r>
        <w:rPr>
          <w:lang w:val="en-GB"/>
        </w:rPr>
        <w:t xml:space="preserve"> argument its potency and significance.</w:t>
      </w:r>
      <w:r w:rsidR="00AC44A6">
        <w:rPr>
          <w:lang w:val="en-GB"/>
        </w:rPr>
        <w:t xml:space="preserve"> </w:t>
      </w:r>
      <w:r w:rsidR="00150224">
        <w:rPr>
          <w:lang w:val="en-GB"/>
        </w:rPr>
        <w:t xml:space="preserve">Although </w:t>
      </w:r>
      <w:r w:rsidR="00AC44A6">
        <w:rPr>
          <w:lang w:val="en-GB"/>
        </w:rPr>
        <w:t>t</w:t>
      </w:r>
      <w:r w:rsidR="00150224">
        <w:rPr>
          <w:lang w:val="en-GB"/>
        </w:rPr>
        <w:t>he</w:t>
      </w:r>
      <w:r>
        <w:rPr>
          <w:lang w:val="en-GB"/>
        </w:rPr>
        <w:t xml:space="preserve"> Apostle Paul is undoubtedly a figure to be historically reckoned with and researched</w:t>
      </w:r>
      <w:r w:rsidR="00AC44A6">
        <w:rPr>
          <w:lang w:val="en-GB"/>
        </w:rPr>
        <w:t>,</w:t>
      </w:r>
      <w:r>
        <w:rPr>
          <w:lang w:val="en-GB"/>
        </w:rPr>
        <w:t xml:space="preserve"> he </w:t>
      </w:r>
      <w:r w:rsidR="00066AB1">
        <w:rPr>
          <w:lang w:val="en-GB"/>
        </w:rPr>
        <w:t>also</w:t>
      </w:r>
      <w:r w:rsidR="00F06632">
        <w:rPr>
          <w:lang w:val="en-GB"/>
        </w:rPr>
        <w:t xml:space="preserve"> </w:t>
      </w:r>
      <w:r w:rsidR="00620B11">
        <w:rPr>
          <w:lang w:val="en-GB"/>
        </w:rPr>
        <w:t>provokes</w:t>
      </w:r>
      <w:r w:rsidR="00F06632">
        <w:rPr>
          <w:lang w:val="en-GB"/>
        </w:rPr>
        <w:t xml:space="preserve"> reactions in his contemporary readers. </w:t>
      </w:r>
      <w:r w:rsidR="00B1530C">
        <w:rPr>
          <w:lang w:val="en-GB"/>
        </w:rPr>
        <w:t>Whilst r</w:t>
      </w:r>
      <w:r w:rsidR="00F06632">
        <w:rPr>
          <w:lang w:val="en-GB"/>
        </w:rPr>
        <w:t xml:space="preserve">eader-centred </w:t>
      </w:r>
      <w:r w:rsidR="00B1530C">
        <w:rPr>
          <w:lang w:val="en-GB"/>
        </w:rPr>
        <w:t>interpretations</w:t>
      </w:r>
      <w:r w:rsidR="00F06632">
        <w:rPr>
          <w:lang w:val="en-GB"/>
        </w:rPr>
        <w:t xml:space="preserve"> of the Old Testament, especially the Prophets, have been </w:t>
      </w:r>
      <w:r w:rsidR="00B1530C">
        <w:rPr>
          <w:lang w:val="en-GB"/>
        </w:rPr>
        <w:t>common</w:t>
      </w:r>
      <w:r w:rsidR="00F06632">
        <w:rPr>
          <w:lang w:val="en-GB"/>
        </w:rPr>
        <w:t xml:space="preserve"> for decades, </w:t>
      </w:r>
      <w:r w:rsidR="00254F18">
        <w:rPr>
          <w:lang w:val="en-GB"/>
        </w:rPr>
        <w:t>they</w:t>
      </w:r>
      <w:r w:rsidR="00F06632">
        <w:rPr>
          <w:lang w:val="en-GB"/>
        </w:rPr>
        <w:t xml:space="preserve"> still play a minority role in Pauline studies</w:t>
      </w:r>
      <w:r w:rsidR="00C23F6D">
        <w:rPr>
          <w:lang w:val="en-GB"/>
        </w:rPr>
        <w:t>. P</w:t>
      </w:r>
      <w:r w:rsidR="00F06632">
        <w:rPr>
          <w:lang w:val="en-GB"/>
        </w:rPr>
        <w:t>erhaps because of the (comparative) wealth of historical data for the latter, perhaps because there is more at stake in an ‘accurate’ view of Paul.</w:t>
      </w:r>
      <w:r>
        <w:rPr>
          <w:lang w:val="en-GB"/>
        </w:rPr>
        <w:t xml:space="preserve"> </w:t>
      </w:r>
      <w:proofErr w:type="spellStart"/>
      <w:r>
        <w:rPr>
          <w:lang w:val="en-GB"/>
        </w:rPr>
        <w:t>Boyarin’s</w:t>
      </w:r>
      <w:proofErr w:type="spellEnd"/>
      <w:r>
        <w:rPr>
          <w:lang w:val="en-GB"/>
        </w:rPr>
        <w:t xml:space="preserve"> contribution, </w:t>
      </w:r>
      <w:r w:rsidR="008006BB">
        <w:rPr>
          <w:lang w:val="en-GB"/>
        </w:rPr>
        <w:t>precisely in his at times ahistorical</w:t>
      </w:r>
      <w:r>
        <w:rPr>
          <w:lang w:val="en-GB"/>
        </w:rPr>
        <w:t xml:space="preserve"> reader-centred partiality, make</w:t>
      </w:r>
      <w:r w:rsidR="008006BB">
        <w:rPr>
          <w:lang w:val="en-GB"/>
        </w:rPr>
        <w:t>s</w:t>
      </w:r>
      <w:r>
        <w:rPr>
          <w:lang w:val="en-GB"/>
        </w:rPr>
        <w:t xml:space="preserve"> this tension between history and on-going influence plain. </w:t>
      </w:r>
      <w:r w:rsidR="00E346FE">
        <w:rPr>
          <w:lang w:val="en-GB"/>
        </w:rPr>
        <w:t>For</w:t>
      </w:r>
      <w:r>
        <w:rPr>
          <w:lang w:val="en-GB"/>
        </w:rPr>
        <w:t>, as I shall proceed to argue in the final section, the claims of distanced historical accuracy and neutrality are perhaps not so methodologically impartial as they might appear to be.</w:t>
      </w:r>
    </w:p>
    <w:p w14:paraId="3A46611D" w14:textId="390871D9" w:rsidR="00B71583" w:rsidRDefault="00B71583" w:rsidP="00B71583">
      <w:pPr>
        <w:rPr>
          <w:lang w:val="en-GB"/>
        </w:rPr>
      </w:pPr>
    </w:p>
    <w:p w14:paraId="14046348" w14:textId="5BB72CE9" w:rsidR="00B71583" w:rsidRDefault="009B3D13" w:rsidP="00B71583">
      <w:pPr>
        <w:pStyle w:val="Heading2"/>
        <w:rPr>
          <w:lang w:val="en-GB"/>
        </w:rPr>
      </w:pPr>
      <w:r>
        <w:rPr>
          <w:lang w:val="en-GB"/>
        </w:rPr>
        <w:t>Radical New Perspective on Paul</w:t>
      </w:r>
    </w:p>
    <w:p w14:paraId="5973560B" w14:textId="22BAFA0F" w:rsidR="007251DC" w:rsidRDefault="00936836" w:rsidP="00E45771">
      <w:pPr>
        <w:rPr>
          <w:lang w:val="en-GB"/>
        </w:rPr>
      </w:pPr>
      <w:r>
        <w:rPr>
          <w:lang w:val="en-GB"/>
        </w:rPr>
        <w:t>The final area of discussion I examine is a</w:t>
      </w:r>
      <w:r w:rsidR="009B3D13">
        <w:rPr>
          <w:lang w:val="en-GB"/>
        </w:rPr>
        <w:t xml:space="preserve"> methodological </w:t>
      </w:r>
      <w:r w:rsidR="00235FF3">
        <w:rPr>
          <w:lang w:val="en-GB"/>
        </w:rPr>
        <w:t xml:space="preserve">reflection on </w:t>
      </w:r>
      <w:r>
        <w:rPr>
          <w:lang w:val="en-GB"/>
        </w:rPr>
        <w:t xml:space="preserve">questions raised by </w:t>
      </w:r>
      <w:r w:rsidR="00235FF3">
        <w:rPr>
          <w:lang w:val="en-GB"/>
        </w:rPr>
        <w:t>the Radical New Perspective on Paul</w:t>
      </w:r>
      <w:r w:rsidR="007C1050">
        <w:rPr>
          <w:lang w:val="en-GB"/>
        </w:rPr>
        <w:t xml:space="preserve"> (RNPP)</w:t>
      </w:r>
      <w:r w:rsidR="00235FF3">
        <w:rPr>
          <w:lang w:val="en-GB"/>
        </w:rPr>
        <w:t>.</w:t>
      </w:r>
      <w:r w:rsidR="00C76B05">
        <w:rPr>
          <w:rStyle w:val="FootnoteReference"/>
          <w:lang w:val="en-GB"/>
        </w:rPr>
        <w:footnoteReference w:id="51"/>
      </w:r>
      <w:r w:rsidR="00235FF3">
        <w:rPr>
          <w:lang w:val="en-GB"/>
        </w:rPr>
        <w:t xml:space="preserve"> </w:t>
      </w:r>
      <w:r w:rsidR="00822947">
        <w:rPr>
          <w:lang w:val="en-GB"/>
        </w:rPr>
        <w:t>T</w:t>
      </w:r>
      <w:r w:rsidR="00235FF3">
        <w:rPr>
          <w:lang w:val="en-GB"/>
        </w:rPr>
        <w:t xml:space="preserve">his movement of broadly, though not </w:t>
      </w:r>
      <w:r w:rsidR="00235FF3">
        <w:rPr>
          <w:lang w:val="en-GB"/>
        </w:rPr>
        <w:lastRenderedPageBreak/>
        <w:t>exclusively, Jewish scholars bring</w:t>
      </w:r>
      <w:r w:rsidR="00822947">
        <w:rPr>
          <w:lang w:val="en-GB"/>
        </w:rPr>
        <w:t>s</w:t>
      </w:r>
      <w:r w:rsidR="00235FF3">
        <w:rPr>
          <w:lang w:val="en-GB"/>
        </w:rPr>
        <w:t xml:space="preserve"> substantive material contributions to the task of Pauline exegesis</w:t>
      </w:r>
      <w:r w:rsidR="00E20423">
        <w:rPr>
          <w:lang w:val="en-GB"/>
        </w:rPr>
        <w:t xml:space="preserve">, not least </w:t>
      </w:r>
      <w:r w:rsidR="00DE4F0F">
        <w:rPr>
          <w:lang w:val="en-GB"/>
        </w:rPr>
        <w:t xml:space="preserve">as they argue that </w:t>
      </w:r>
      <w:r w:rsidR="00E20423">
        <w:rPr>
          <w:lang w:val="en-GB"/>
        </w:rPr>
        <w:t>Paul continued to be a Torah observant Jew. Firstly, the ‘Gentiles stand at the centre of Paul’s though</w:t>
      </w:r>
      <w:r w:rsidR="00DE4F0F">
        <w:rPr>
          <w:lang w:val="en-GB"/>
        </w:rPr>
        <w:t>t</w:t>
      </w:r>
      <w:r w:rsidR="00E20423">
        <w:rPr>
          <w:lang w:val="en-GB"/>
        </w:rPr>
        <w:t xml:space="preserve"> and activity’.</w:t>
      </w:r>
      <w:r w:rsidR="00E20423">
        <w:rPr>
          <w:rStyle w:val="FootnoteReference"/>
          <w:lang w:val="en-GB"/>
        </w:rPr>
        <w:footnoteReference w:id="52"/>
      </w:r>
      <w:r w:rsidR="00E20423">
        <w:rPr>
          <w:lang w:val="en-GB"/>
        </w:rPr>
        <w:t xml:space="preserve"> Secondly, Paul’s letters are addressed</w:t>
      </w:r>
      <w:r w:rsidR="00567D7E">
        <w:rPr>
          <w:lang w:val="en-GB"/>
        </w:rPr>
        <w:t xml:space="preserve"> </w:t>
      </w:r>
      <w:r w:rsidR="00E20423">
        <w:rPr>
          <w:lang w:val="en-GB"/>
        </w:rPr>
        <w:t xml:space="preserve">primarily to Gentile believers, and so arguments about the role of the law are to be viewed in this </w:t>
      </w:r>
      <w:r w:rsidR="006528B3">
        <w:rPr>
          <w:lang w:val="en-GB"/>
        </w:rPr>
        <w:t>context, having therefore neither universal nor Jewish application.</w:t>
      </w:r>
      <w:r w:rsidR="00E20423">
        <w:rPr>
          <w:lang w:val="en-GB"/>
        </w:rPr>
        <w:t xml:space="preserve"> Thirdly, the inclusion of Gentile believers represents an apocalyptic idea that, with Jesus, the ‘End of History’ has arrived</w:t>
      </w:r>
      <w:r w:rsidR="00AA5914">
        <w:rPr>
          <w:lang w:val="en-GB"/>
        </w:rPr>
        <w:t>, with the nations being incorporated into Israel</w:t>
      </w:r>
      <w:r w:rsidR="00E20423">
        <w:rPr>
          <w:lang w:val="en-GB"/>
        </w:rPr>
        <w:t>.</w:t>
      </w:r>
      <w:r w:rsidR="00E20423">
        <w:rPr>
          <w:rStyle w:val="FootnoteReference"/>
          <w:lang w:val="en-GB"/>
        </w:rPr>
        <w:footnoteReference w:id="53"/>
      </w:r>
      <w:r w:rsidR="00E20423">
        <w:rPr>
          <w:lang w:val="en-GB"/>
        </w:rPr>
        <w:t xml:space="preserve"> These central exegetical points</w:t>
      </w:r>
      <w:r w:rsidR="006C54CF">
        <w:rPr>
          <w:lang w:val="en-GB"/>
        </w:rPr>
        <w:t xml:space="preserve"> </w:t>
      </w:r>
      <w:r w:rsidR="006C54CF">
        <w:rPr>
          <w:lang w:val="en-GB"/>
        </w:rPr>
        <w:t>(allowing for differences in the  detailed readings)</w:t>
      </w:r>
      <w:r w:rsidR="006C54CF" w:rsidRPr="001076DF">
        <w:rPr>
          <w:lang w:val="en-GB"/>
        </w:rPr>
        <w:t xml:space="preserve"> </w:t>
      </w:r>
      <w:r w:rsidR="00E20423">
        <w:rPr>
          <w:lang w:val="en-GB"/>
        </w:rPr>
        <w:t>are broadly</w:t>
      </w:r>
      <w:r w:rsidR="006C54CF">
        <w:rPr>
          <w:lang w:val="en-GB"/>
        </w:rPr>
        <w:t xml:space="preserve"> represented throughout the</w:t>
      </w:r>
      <w:r w:rsidR="00E20423">
        <w:rPr>
          <w:lang w:val="en-GB"/>
        </w:rPr>
        <w:t xml:space="preserve"> RNPP.</w:t>
      </w:r>
      <w:r w:rsidR="00E20423">
        <w:rPr>
          <w:rStyle w:val="FootnoteReference"/>
          <w:lang w:val="en-GB"/>
        </w:rPr>
        <w:footnoteReference w:id="54"/>
      </w:r>
      <w:r w:rsidR="00500652">
        <w:rPr>
          <w:lang w:val="en-GB"/>
        </w:rPr>
        <w:t xml:space="preserve"> My interest here, however, is less </w:t>
      </w:r>
      <w:r w:rsidR="00C80890">
        <w:rPr>
          <w:lang w:val="en-GB"/>
        </w:rPr>
        <w:t xml:space="preserve">in </w:t>
      </w:r>
      <w:r w:rsidR="00500652">
        <w:rPr>
          <w:lang w:val="en-GB"/>
        </w:rPr>
        <w:t>the</w:t>
      </w:r>
      <w:r w:rsidR="00C80890">
        <w:rPr>
          <w:lang w:val="en-GB"/>
        </w:rPr>
        <w:t xml:space="preserve"> (substantial)</w:t>
      </w:r>
      <w:r w:rsidR="00500652">
        <w:rPr>
          <w:lang w:val="en-GB"/>
        </w:rPr>
        <w:t xml:space="preserve"> material and more</w:t>
      </w:r>
      <w:r w:rsidR="00C80890">
        <w:rPr>
          <w:lang w:val="en-GB"/>
        </w:rPr>
        <w:t xml:space="preserve"> in</w:t>
      </w:r>
      <w:r w:rsidR="00500652">
        <w:rPr>
          <w:lang w:val="en-GB"/>
        </w:rPr>
        <w:t xml:space="preserve"> the RNPP’s methodological critique of Christian scholars in the NPP. </w:t>
      </w:r>
    </w:p>
    <w:p w14:paraId="7E4B05D3" w14:textId="01072E30" w:rsidR="00AC2463" w:rsidRDefault="00AC2463" w:rsidP="00E45771">
      <w:pPr>
        <w:rPr>
          <w:lang w:val="en-GB"/>
        </w:rPr>
      </w:pPr>
    </w:p>
    <w:p w14:paraId="306C4870" w14:textId="3B292A8B" w:rsidR="007C1050" w:rsidRDefault="001B4459" w:rsidP="007C1050">
      <w:pPr>
        <w:rPr>
          <w:lang w:val="en-GB"/>
        </w:rPr>
      </w:pPr>
      <w:r>
        <w:rPr>
          <w:lang w:val="en-GB"/>
        </w:rPr>
        <w:t xml:space="preserve">We could begin by considering Sanders’ provocative statement, which comes towards the end of </w:t>
      </w:r>
      <w:r>
        <w:rPr>
          <w:i/>
          <w:iCs/>
          <w:lang w:val="en-GB"/>
        </w:rPr>
        <w:t>Paul and Palestinian Judaism</w:t>
      </w:r>
      <w:r>
        <w:rPr>
          <w:lang w:val="en-GB"/>
        </w:rPr>
        <w:t>: ‘</w:t>
      </w:r>
      <w:r w:rsidRPr="00E057B2">
        <w:t xml:space="preserve">this is what Paul finds wrong in Judaism: </w:t>
      </w:r>
      <w:r w:rsidRPr="001B4459">
        <w:rPr>
          <w:i/>
          <w:iCs/>
        </w:rPr>
        <w:t>it is not Christianity</w:t>
      </w:r>
      <w:r w:rsidRPr="001B4459">
        <w:rPr>
          <w:i/>
          <w:iCs/>
          <w:lang w:val="en-GB"/>
        </w:rPr>
        <w:t>’</w:t>
      </w:r>
      <w:r>
        <w:rPr>
          <w:lang w:val="en-GB"/>
        </w:rPr>
        <w:t>.</w:t>
      </w:r>
      <w:r>
        <w:rPr>
          <w:rStyle w:val="FootnoteReference"/>
          <w:lang w:val="en-GB"/>
        </w:rPr>
        <w:footnoteReference w:id="55"/>
      </w:r>
      <w:r w:rsidR="00AE3E19">
        <w:rPr>
          <w:lang w:val="en-GB"/>
        </w:rPr>
        <w:t xml:space="preserve"> </w:t>
      </w:r>
      <w:r>
        <w:rPr>
          <w:lang w:val="en-GB"/>
        </w:rPr>
        <w:t xml:space="preserve">Nanos is representative of many newer scholars </w:t>
      </w:r>
      <w:r w:rsidR="00190079">
        <w:rPr>
          <w:lang w:val="en-GB"/>
        </w:rPr>
        <w:t>who find</w:t>
      </w:r>
      <w:r>
        <w:rPr>
          <w:lang w:val="en-GB"/>
        </w:rPr>
        <w:t xml:space="preserve"> this statement problematic</w:t>
      </w:r>
      <w:r w:rsidR="002274FB">
        <w:rPr>
          <w:lang w:val="en-GB"/>
        </w:rPr>
        <w:t xml:space="preserve">. Not only does it </w:t>
      </w:r>
      <w:r>
        <w:rPr>
          <w:lang w:val="en-GB"/>
        </w:rPr>
        <w:t>anachronistically assume</w:t>
      </w:r>
      <w:r w:rsidR="002274FB">
        <w:rPr>
          <w:lang w:val="en-GB"/>
        </w:rPr>
        <w:t xml:space="preserve"> </w:t>
      </w:r>
      <w:r>
        <w:rPr>
          <w:lang w:val="en-GB"/>
        </w:rPr>
        <w:t xml:space="preserve">the later development of </w:t>
      </w:r>
      <w:r w:rsidR="00E67D57">
        <w:rPr>
          <w:lang w:val="en-GB"/>
        </w:rPr>
        <w:t xml:space="preserve">institutional Christianity; more troublingly, it </w:t>
      </w:r>
      <w:r w:rsidR="00D17A79">
        <w:rPr>
          <w:lang w:val="en-GB"/>
        </w:rPr>
        <w:t>views</w:t>
      </w:r>
      <w:r>
        <w:rPr>
          <w:lang w:val="en-GB"/>
        </w:rPr>
        <w:t xml:space="preserve"> Paul’s conflict </w:t>
      </w:r>
      <w:r w:rsidR="00E67D57">
        <w:rPr>
          <w:lang w:val="en-GB"/>
        </w:rPr>
        <w:t xml:space="preserve">as being </w:t>
      </w:r>
      <w:r>
        <w:rPr>
          <w:lang w:val="en-GB"/>
        </w:rPr>
        <w:t xml:space="preserve">within Judaism </w:t>
      </w:r>
      <w:r>
        <w:rPr>
          <w:i/>
          <w:iCs/>
          <w:lang w:val="en-GB"/>
        </w:rPr>
        <w:t xml:space="preserve">per se </w:t>
      </w:r>
      <w:r>
        <w:rPr>
          <w:lang w:val="en-GB"/>
        </w:rPr>
        <w:t>(Nanos sees E.P. Sanders as representative of this kind of view)</w:t>
      </w:r>
      <w:r w:rsidR="00E67D57">
        <w:rPr>
          <w:lang w:val="en-GB"/>
        </w:rPr>
        <w:t>,</w:t>
      </w:r>
      <w:r>
        <w:rPr>
          <w:rStyle w:val="FootnoteReference"/>
          <w:lang w:val="en-GB"/>
        </w:rPr>
        <w:footnoteReference w:id="56"/>
      </w:r>
      <w:r>
        <w:rPr>
          <w:lang w:val="en-GB"/>
        </w:rPr>
        <w:t xml:space="preserve"> or </w:t>
      </w:r>
      <w:r w:rsidR="00E67D57">
        <w:rPr>
          <w:lang w:val="en-GB"/>
        </w:rPr>
        <w:t>it suggests that</w:t>
      </w:r>
      <w:r>
        <w:rPr>
          <w:lang w:val="en-GB"/>
        </w:rPr>
        <w:t xml:space="preserve"> Paul has </w:t>
      </w:r>
      <w:r w:rsidR="00D61DB2">
        <w:rPr>
          <w:lang w:val="en-GB"/>
        </w:rPr>
        <w:t xml:space="preserve">somehow </w:t>
      </w:r>
      <w:r>
        <w:rPr>
          <w:lang w:val="en-GB"/>
        </w:rPr>
        <w:t>‘transcended Jewish particularism’ and has entered a new reality (here Nanos cites Dunn and Wright).</w:t>
      </w:r>
      <w:r>
        <w:rPr>
          <w:rStyle w:val="FootnoteReference"/>
          <w:lang w:val="en-GB"/>
        </w:rPr>
        <w:footnoteReference w:id="57"/>
      </w:r>
      <w:r w:rsidR="00604516">
        <w:rPr>
          <w:lang w:val="en-GB"/>
        </w:rPr>
        <w:t xml:space="preserve"> </w:t>
      </w:r>
      <w:r w:rsidR="0018217C">
        <w:rPr>
          <w:lang w:val="en-GB"/>
        </w:rPr>
        <w:t xml:space="preserve">Likewise </w:t>
      </w:r>
      <w:proofErr w:type="spellStart"/>
      <w:r w:rsidR="0018217C">
        <w:rPr>
          <w:lang w:val="en-GB"/>
        </w:rPr>
        <w:t>Gager</w:t>
      </w:r>
      <w:proofErr w:type="spellEnd"/>
      <w:r w:rsidR="0018217C">
        <w:rPr>
          <w:lang w:val="en-GB"/>
        </w:rPr>
        <w:t xml:space="preserve"> argues that</w:t>
      </w:r>
      <w:r w:rsidR="00604516">
        <w:rPr>
          <w:lang w:val="en-GB"/>
        </w:rPr>
        <w:t>, in this</w:t>
      </w:r>
      <w:r w:rsidR="009823C6">
        <w:rPr>
          <w:lang w:val="en-GB"/>
        </w:rPr>
        <w:t xml:space="preserve"> aspect</w:t>
      </w:r>
      <w:r w:rsidR="00604516">
        <w:rPr>
          <w:lang w:val="en-GB"/>
        </w:rPr>
        <w:t xml:space="preserve"> at least, Sanders has failed to break out of the old way of reading Paul</w:t>
      </w:r>
      <w:r w:rsidR="00962867">
        <w:rPr>
          <w:lang w:val="en-GB"/>
        </w:rPr>
        <w:t xml:space="preserve">, </w:t>
      </w:r>
      <w:r w:rsidR="00CD00C5">
        <w:rPr>
          <w:lang w:val="en-GB"/>
        </w:rPr>
        <w:t>a problem he finds in many</w:t>
      </w:r>
      <w:r w:rsidR="00CD00C5" w:rsidRPr="001076DF">
        <w:rPr>
          <w:lang w:val="en-GB"/>
        </w:rPr>
        <w:t xml:space="preserve"> </w:t>
      </w:r>
      <w:r w:rsidR="00CD00C5">
        <w:rPr>
          <w:lang w:val="en-GB"/>
        </w:rPr>
        <w:t xml:space="preserve">Post-Sanders </w:t>
      </w:r>
      <w:r w:rsidR="009C04BE">
        <w:rPr>
          <w:lang w:val="en-GB"/>
        </w:rPr>
        <w:t>scholars</w:t>
      </w:r>
      <w:r w:rsidR="00962867">
        <w:rPr>
          <w:lang w:val="en-GB"/>
        </w:rPr>
        <w:t>.</w:t>
      </w:r>
      <w:r w:rsidR="0018217C">
        <w:rPr>
          <w:rStyle w:val="FootnoteReference"/>
          <w:lang w:val="en-GB"/>
        </w:rPr>
        <w:footnoteReference w:id="58"/>
      </w:r>
      <w:r w:rsidR="00962867">
        <w:rPr>
          <w:lang w:val="en-GB"/>
        </w:rPr>
        <w:t xml:space="preserve"> </w:t>
      </w:r>
    </w:p>
    <w:p w14:paraId="7DFA47A2" w14:textId="77777777" w:rsidR="00CD00C5" w:rsidRDefault="00CD00C5" w:rsidP="007C1050">
      <w:pPr>
        <w:rPr>
          <w:lang w:val="en-GB"/>
        </w:rPr>
      </w:pPr>
    </w:p>
    <w:p w14:paraId="629F7D29" w14:textId="7E8D6F8D" w:rsidR="00AC2463" w:rsidRPr="002072E9" w:rsidRDefault="00C110A9" w:rsidP="007C1050">
      <w:pPr>
        <w:rPr>
          <w:lang w:val="en-GB"/>
        </w:rPr>
      </w:pPr>
      <w:r>
        <w:rPr>
          <w:lang w:val="en-GB"/>
        </w:rPr>
        <w:t xml:space="preserve">What are we to make of the methodological concerns of the RNPP? On one hand, every academic movement to some degree needs a foil against which it can define itself, and we could neutrally read the critiques of Nanos and </w:t>
      </w:r>
      <w:proofErr w:type="spellStart"/>
      <w:r>
        <w:rPr>
          <w:lang w:val="en-GB"/>
        </w:rPr>
        <w:t>Gager</w:t>
      </w:r>
      <w:proofErr w:type="spellEnd"/>
      <w:r>
        <w:rPr>
          <w:lang w:val="en-GB"/>
        </w:rPr>
        <w:t xml:space="preserve"> </w:t>
      </w:r>
      <w:r w:rsidR="001F6865">
        <w:rPr>
          <w:lang w:val="en-GB"/>
        </w:rPr>
        <w:t>in this sense</w:t>
      </w:r>
      <w:r>
        <w:rPr>
          <w:lang w:val="en-GB"/>
        </w:rPr>
        <w:t>. On the other hand</w:t>
      </w:r>
      <w:r w:rsidR="007C1050">
        <w:rPr>
          <w:lang w:val="en-GB"/>
        </w:rPr>
        <w:t xml:space="preserve">, when a senior Pauline scholar </w:t>
      </w:r>
      <w:r w:rsidR="004E7757">
        <w:rPr>
          <w:lang w:val="en-GB"/>
        </w:rPr>
        <w:t xml:space="preserve">like Wright </w:t>
      </w:r>
      <w:r w:rsidR="007C1050">
        <w:rPr>
          <w:lang w:val="en-GB"/>
        </w:rPr>
        <w:t xml:space="preserve">can assert that the concerns of RNPP scholars, </w:t>
      </w:r>
      <w:r w:rsidR="007C1050">
        <w:rPr>
          <w:lang w:val="en-GB"/>
        </w:rPr>
        <w:lastRenderedPageBreak/>
        <w:t>including Nanos</w:t>
      </w:r>
      <w:r w:rsidR="000263CC">
        <w:rPr>
          <w:lang w:val="en-GB"/>
        </w:rPr>
        <w:t>, result from viewing</w:t>
      </w:r>
      <w:r w:rsidR="007C1050">
        <w:rPr>
          <w:lang w:val="en-GB"/>
        </w:rPr>
        <w:t xml:space="preserve"> the subject ‘through the tearful misted-up spectacles of post-holocaust western thinkers’,</w:t>
      </w:r>
      <w:r w:rsidR="007C1050">
        <w:rPr>
          <w:rStyle w:val="FootnoteReference"/>
          <w:lang w:val="en-GB"/>
        </w:rPr>
        <w:footnoteReference w:id="59"/>
      </w:r>
      <w:r w:rsidR="00A03220">
        <w:rPr>
          <w:lang w:val="en-GB"/>
        </w:rPr>
        <w:t xml:space="preserve"> then the RNPP’s</w:t>
      </w:r>
      <w:r>
        <w:rPr>
          <w:lang w:val="en-GB"/>
        </w:rPr>
        <w:t xml:space="preserve"> methodological</w:t>
      </w:r>
      <w:r w:rsidR="00A03220">
        <w:rPr>
          <w:lang w:val="en-GB"/>
        </w:rPr>
        <w:t xml:space="preserve"> criticism </w:t>
      </w:r>
      <w:r w:rsidR="00A61CBC">
        <w:rPr>
          <w:lang w:val="en-GB"/>
        </w:rPr>
        <w:t>(</w:t>
      </w:r>
      <w:r>
        <w:rPr>
          <w:lang w:val="en-GB"/>
        </w:rPr>
        <w:t>that</w:t>
      </w:r>
      <w:r w:rsidR="00A03220">
        <w:rPr>
          <w:lang w:val="en-GB"/>
        </w:rPr>
        <w:t xml:space="preserve"> Pauline research post-Sanders and </w:t>
      </w:r>
      <w:proofErr w:type="spellStart"/>
      <w:r w:rsidR="00A03220">
        <w:rPr>
          <w:lang w:val="en-GB"/>
        </w:rPr>
        <w:t>Stendahl</w:t>
      </w:r>
      <w:proofErr w:type="spellEnd"/>
      <w:r w:rsidR="00A03220">
        <w:rPr>
          <w:lang w:val="en-GB"/>
        </w:rPr>
        <w:t xml:space="preserve"> has not entirely rid</w:t>
      </w:r>
      <w:r w:rsidR="00B86888">
        <w:rPr>
          <w:lang w:val="en-GB"/>
        </w:rPr>
        <w:t>den</w:t>
      </w:r>
      <w:r w:rsidR="00A03220">
        <w:rPr>
          <w:lang w:val="en-GB"/>
        </w:rPr>
        <w:t xml:space="preserve"> itself of its old structures and, indeed, anti-Semitic undertones</w:t>
      </w:r>
      <w:r w:rsidR="00A61CBC">
        <w:rPr>
          <w:lang w:val="en-GB"/>
        </w:rPr>
        <w:t>)</w:t>
      </w:r>
      <w:r>
        <w:rPr>
          <w:lang w:val="en-GB"/>
        </w:rPr>
        <w:t xml:space="preserve"> takes on a much more serious tenor</w:t>
      </w:r>
      <w:r w:rsidR="00A03220">
        <w:rPr>
          <w:lang w:val="en-GB"/>
        </w:rPr>
        <w:t>.</w:t>
      </w:r>
      <w:r w:rsidR="00162CC0">
        <w:rPr>
          <w:lang w:val="en-GB"/>
        </w:rPr>
        <w:t xml:space="preserve"> </w:t>
      </w:r>
      <w:r w:rsidR="0091521E">
        <w:rPr>
          <w:lang w:val="en-GB"/>
        </w:rPr>
        <w:t>Wright’s words are</w:t>
      </w:r>
      <w:r w:rsidR="00162CC0">
        <w:rPr>
          <w:lang w:val="en-GB"/>
        </w:rPr>
        <w:t xml:space="preserve"> perhaps even more eyebrow</w:t>
      </w:r>
      <w:r w:rsidR="00B86888">
        <w:rPr>
          <w:lang w:val="en-GB"/>
        </w:rPr>
        <w:t>-</w:t>
      </w:r>
      <w:r w:rsidR="00162CC0">
        <w:rPr>
          <w:lang w:val="en-GB"/>
        </w:rPr>
        <w:t xml:space="preserve">raising when the wider context </w:t>
      </w:r>
      <w:r w:rsidR="00C90CF8">
        <w:rPr>
          <w:lang w:val="en-GB"/>
        </w:rPr>
        <w:t xml:space="preserve">repeatedly </w:t>
      </w:r>
      <w:r w:rsidR="00162CC0">
        <w:rPr>
          <w:lang w:val="en-GB"/>
        </w:rPr>
        <w:t>points out how ‘Jewish’ Wright’s own insights are,</w:t>
      </w:r>
      <w:r w:rsidR="00162CC0">
        <w:rPr>
          <w:rStyle w:val="FootnoteReference"/>
          <w:lang w:val="en-GB"/>
        </w:rPr>
        <w:footnoteReference w:id="60"/>
      </w:r>
      <w:r w:rsidR="00162CC0">
        <w:rPr>
          <w:lang w:val="en-GB"/>
        </w:rPr>
        <w:t xml:space="preserve"> </w:t>
      </w:r>
      <w:r w:rsidR="00CE2A9B">
        <w:rPr>
          <w:lang w:val="en-GB"/>
        </w:rPr>
        <w:t>implying thereby</w:t>
      </w:r>
      <w:r w:rsidR="00162CC0">
        <w:rPr>
          <w:lang w:val="en-GB"/>
        </w:rPr>
        <w:t xml:space="preserve"> that his Jewish interlocutors could maybe learn something from him.</w:t>
      </w:r>
      <w:r w:rsidR="00A03220">
        <w:rPr>
          <w:lang w:val="en-GB"/>
        </w:rPr>
        <w:t xml:space="preserve"> </w:t>
      </w:r>
      <w:r w:rsidR="001F47C9">
        <w:rPr>
          <w:lang w:val="en-GB"/>
        </w:rPr>
        <w:t xml:space="preserve">Wright’s apparent ability </w:t>
      </w:r>
      <w:r w:rsidR="00D20D6D">
        <w:rPr>
          <w:lang w:val="en-GB"/>
        </w:rPr>
        <w:t xml:space="preserve">to </w:t>
      </w:r>
      <w:r w:rsidR="00381AA4">
        <w:rPr>
          <w:lang w:val="en-GB"/>
        </w:rPr>
        <w:t>excel his Jewish interlocutors in</w:t>
      </w:r>
      <w:r w:rsidR="00381AA4" w:rsidRPr="007A6651">
        <w:rPr>
          <w:lang w:val="en-GB"/>
        </w:rPr>
        <w:t xml:space="preserve"> distil</w:t>
      </w:r>
      <w:r w:rsidR="00381AA4">
        <w:rPr>
          <w:lang w:val="en-GB"/>
        </w:rPr>
        <w:t>ling</w:t>
      </w:r>
      <w:r w:rsidR="00381AA4" w:rsidRPr="007A6651">
        <w:rPr>
          <w:lang w:val="en-GB"/>
        </w:rPr>
        <w:t xml:space="preserve"> the</w:t>
      </w:r>
      <w:r w:rsidR="001F47C9">
        <w:rPr>
          <w:lang w:val="en-GB"/>
        </w:rPr>
        <w:t xml:space="preserve"> </w:t>
      </w:r>
      <w:r w:rsidR="00B4463D">
        <w:rPr>
          <w:lang w:val="en-GB"/>
        </w:rPr>
        <w:t xml:space="preserve">univocal </w:t>
      </w:r>
      <w:r w:rsidR="00AE4F03">
        <w:rPr>
          <w:lang w:val="en-GB"/>
        </w:rPr>
        <w:t xml:space="preserve">essence </w:t>
      </w:r>
      <w:r w:rsidR="001F47C9">
        <w:rPr>
          <w:lang w:val="en-GB"/>
        </w:rPr>
        <w:t>of ‘Jewishness’</w:t>
      </w:r>
      <w:r w:rsidR="00D069C3">
        <w:rPr>
          <w:lang w:val="en-GB"/>
        </w:rPr>
        <w:t xml:space="preserve"> </w:t>
      </w:r>
      <w:r w:rsidR="001F47C9">
        <w:rPr>
          <w:lang w:val="en-GB"/>
        </w:rPr>
        <w:t>may say more about Protestant self-understanding than it does about the Apostle Paul</w:t>
      </w:r>
      <w:r w:rsidR="00B31136">
        <w:rPr>
          <w:lang w:val="en-GB"/>
        </w:rPr>
        <w:t xml:space="preserve"> (the </w:t>
      </w:r>
      <w:r w:rsidR="00A4075E">
        <w:rPr>
          <w:lang w:val="en-GB"/>
        </w:rPr>
        <w:t>parallels to Edward</w:t>
      </w:r>
      <w:r w:rsidR="00B31136">
        <w:rPr>
          <w:lang w:val="en-GB"/>
        </w:rPr>
        <w:t xml:space="preserve"> Said’s </w:t>
      </w:r>
      <w:r w:rsidR="00FA5949">
        <w:rPr>
          <w:lang w:val="en-GB"/>
        </w:rPr>
        <w:t>argument</w:t>
      </w:r>
      <w:r w:rsidR="00B31136">
        <w:rPr>
          <w:lang w:val="en-GB"/>
        </w:rPr>
        <w:t xml:space="preserve"> in </w:t>
      </w:r>
      <w:r w:rsidR="00B31136">
        <w:rPr>
          <w:i/>
          <w:iCs/>
          <w:lang w:val="en-GB"/>
        </w:rPr>
        <w:t>Orientalism</w:t>
      </w:r>
      <w:r w:rsidR="00B31136">
        <w:rPr>
          <w:lang w:val="en-GB"/>
        </w:rPr>
        <w:t xml:space="preserve"> are strong here)</w:t>
      </w:r>
      <w:r w:rsidR="001F47C9">
        <w:rPr>
          <w:lang w:val="en-GB"/>
        </w:rPr>
        <w:t>.</w:t>
      </w:r>
      <w:r w:rsidR="00CE413D">
        <w:rPr>
          <w:rStyle w:val="FootnoteReference"/>
          <w:lang w:val="en-GB"/>
        </w:rPr>
        <w:footnoteReference w:id="61"/>
      </w:r>
      <w:r w:rsidR="001F47C9">
        <w:rPr>
          <w:lang w:val="en-GB"/>
        </w:rPr>
        <w:t xml:space="preserve"> </w:t>
      </w:r>
      <w:r w:rsidR="0076237A">
        <w:rPr>
          <w:lang w:val="en-GB"/>
        </w:rPr>
        <w:t>Indeed</w:t>
      </w:r>
      <w:r w:rsidR="001F47C9">
        <w:rPr>
          <w:lang w:val="en-GB"/>
        </w:rPr>
        <w:t xml:space="preserve">, </w:t>
      </w:r>
      <w:r w:rsidR="008249B3">
        <w:rPr>
          <w:lang w:val="en-GB"/>
        </w:rPr>
        <w:t xml:space="preserve">James Crossley </w:t>
      </w:r>
      <w:r w:rsidR="00EE41CA">
        <w:rPr>
          <w:lang w:val="en-GB"/>
        </w:rPr>
        <w:t>argues</w:t>
      </w:r>
      <w:r w:rsidR="001F47C9">
        <w:rPr>
          <w:lang w:val="en-GB"/>
        </w:rPr>
        <w:t xml:space="preserve"> </w:t>
      </w:r>
      <w:r w:rsidR="008249B3">
        <w:rPr>
          <w:lang w:val="en-GB"/>
        </w:rPr>
        <w:t>that</w:t>
      </w:r>
      <w:r w:rsidR="006C5656">
        <w:rPr>
          <w:lang w:val="en-GB"/>
        </w:rPr>
        <w:t xml:space="preserve"> many Christian contributions to the New Perspectives on Paul perpetuate</w:t>
      </w:r>
      <w:r w:rsidR="008249B3">
        <w:rPr>
          <w:lang w:val="en-GB"/>
        </w:rPr>
        <w:t xml:space="preserve"> the idea of Christian superiority over Judaism ‘</w:t>
      </w:r>
      <w:r w:rsidR="008249B3" w:rsidRPr="008249B3">
        <w:rPr>
          <w:lang w:val="en-GB"/>
        </w:rPr>
        <w:t>implicitly and with a liberalizing credible overlay</w:t>
      </w:r>
      <w:r w:rsidR="006C5656">
        <w:rPr>
          <w:lang w:val="en-GB"/>
        </w:rPr>
        <w:t>’</w:t>
      </w:r>
      <w:r w:rsidR="008249B3">
        <w:rPr>
          <w:lang w:val="en-GB"/>
        </w:rPr>
        <w:t>.</w:t>
      </w:r>
      <w:r w:rsidR="008249B3">
        <w:rPr>
          <w:rStyle w:val="FootnoteReference"/>
          <w:lang w:val="en-GB"/>
        </w:rPr>
        <w:footnoteReference w:id="62"/>
      </w:r>
      <w:r w:rsidR="008249B3">
        <w:rPr>
          <w:lang w:val="en-GB"/>
        </w:rPr>
        <w:t xml:space="preserve"> </w:t>
      </w:r>
      <w:r w:rsidR="00162CC0">
        <w:rPr>
          <w:lang w:val="en-GB"/>
        </w:rPr>
        <w:t xml:space="preserve">He continues that scholars from within the mainstream of the NPP (he explicitly draws from Wright) use ‘secular’ academic language to ‘mask’ their own theological interests under the </w:t>
      </w:r>
      <w:r w:rsidR="0003560E">
        <w:rPr>
          <w:lang w:val="en-GB"/>
        </w:rPr>
        <w:t>premise of</w:t>
      </w:r>
      <w:r w:rsidR="00162CC0">
        <w:rPr>
          <w:lang w:val="en-GB"/>
        </w:rPr>
        <w:t xml:space="preserve"> neutral histor</w:t>
      </w:r>
      <w:r w:rsidR="0003560E">
        <w:rPr>
          <w:lang w:val="en-GB"/>
        </w:rPr>
        <w:t>iography</w:t>
      </w:r>
      <w:r w:rsidR="00162CC0">
        <w:rPr>
          <w:lang w:val="en-GB"/>
        </w:rPr>
        <w:t>.</w:t>
      </w:r>
      <w:r w:rsidR="00162CC0">
        <w:rPr>
          <w:rStyle w:val="FootnoteReference"/>
          <w:lang w:val="en-GB"/>
        </w:rPr>
        <w:footnoteReference w:id="63"/>
      </w:r>
      <w:r w:rsidR="001E6984">
        <w:rPr>
          <w:lang w:val="en-GB"/>
        </w:rPr>
        <w:t xml:space="preserve"> </w:t>
      </w:r>
    </w:p>
    <w:p w14:paraId="5B5DE62B" w14:textId="3C53EFB7" w:rsidR="001E6984" w:rsidRDefault="001E6984" w:rsidP="007C1050">
      <w:pPr>
        <w:rPr>
          <w:lang w:val="en-GB"/>
        </w:rPr>
      </w:pPr>
    </w:p>
    <w:p w14:paraId="797E3525" w14:textId="14EED6DF" w:rsidR="00760BE3" w:rsidRDefault="00F16B9A" w:rsidP="00760BE3">
      <w:pPr>
        <w:rPr>
          <w:lang w:val="en-GB"/>
        </w:rPr>
      </w:pPr>
      <w:r>
        <w:rPr>
          <w:lang w:val="en-GB"/>
        </w:rPr>
        <w:t>A</w:t>
      </w:r>
      <w:r w:rsidR="00573C40">
        <w:rPr>
          <w:lang w:val="en-GB"/>
        </w:rPr>
        <w:t xml:space="preserve"> key contribution of the RNPP has been in its explicit naming of assumptions that are present within (mostly) Christian readings of Paul in the aftermath of </w:t>
      </w:r>
      <w:proofErr w:type="spellStart"/>
      <w:r w:rsidR="00573C40">
        <w:rPr>
          <w:lang w:val="en-GB"/>
        </w:rPr>
        <w:t>Stendahl</w:t>
      </w:r>
      <w:proofErr w:type="spellEnd"/>
      <w:r w:rsidR="00573C40">
        <w:rPr>
          <w:lang w:val="en-GB"/>
        </w:rPr>
        <w:t xml:space="preserve"> and Sanders</w:t>
      </w:r>
      <w:r w:rsidR="008E39A6">
        <w:rPr>
          <w:lang w:val="en-GB"/>
        </w:rPr>
        <w:t>.</w:t>
      </w:r>
      <w:r w:rsidR="00573C40">
        <w:rPr>
          <w:lang w:val="en-GB"/>
        </w:rPr>
        <w:t xml:space="preserve"> </w:t>
      </w:r>
      <w:r w:rsidR="008E39A6">
        <w:rPr>
          <w:lang w:val="en-GB"/>
        </w:rPr>
        <w:t>They have demonstrated</w:t>
      </w:r>
      <w:r w:rsidR="00573C40">
        <w:rPr>
          <w:lang w:val="en-GB"/>
        </w:rPr>
        <w:t xml:space="preserve"> the ways in which anti-Semitic roots run deep and, at times, unexamined. </w:t>
      </w:r>
      <w:r w:rsidR="00907F0A">
        <w:rPr>
          <w:lang w:val="en-GB"/>
        </w:rPr>
        <w:t>T</w:t>
      </w:r>
      <w:r w:rsidR="00B25588">
        <w:rPr>
          <w:lang w:val="en-GB"/>
        </w:rPr>
        <w:t>he</w:t>
      </w:r>
      <w:r w:rsidR="00907F0A">
        <w:rPr>
          <w:lang w:val="en-GB"/>
        </w:rPr>
        <w:t xml:space="preserve"> claim</w:t>
      </w:r>
      <w:r w:rsidR="00B25588">
        <w:rPr>
          <w:lang w:val="en-GB"/>
        </w:rPr>
        <w:t xml:space="preserve"> of historic neutrality i</w:t>
      </w:r>
      <w:r w:rsidR="00907F0A">
        <w:rPr>
          <w:lang w:val="en-GB"/>
        </w:rPr>
        <w:t>s thrown into</w:t>
      </w:r>
      <w:r w:rsidR="00B25588">
        <w:rPr>
          <w:lang w:val="en-GB"/>
        </w:rPr>
        <w:t xml:space="preserve"> sharp relief</w:t>
      </w:r>
      <w:r w:rsidR="00907F0A">
        <w:rPr>
          <w:lang w:val="en-GB"/>
        </w:rPr>
        <w:t xml:space="preserve">. This is not a new problem in New Testament scholarship. As </w:t>
      </w:r>
      <w:r w:rsidR="00760BE3">
        <w:rPr>
          <w:lang w:val="en-GB"/>
        </w:rPr>
        <w:t>Todd Penner notes, primarily in regard to historical Jesus studies, there is a tendency to sanitize academic studies of first-century Judaism whilst not paying attention to</w:t>
      </w:r>
      <w:r w:rsidR="00760BE3" w:rsidRPr="007C3F93">
        <w:rPr>
          <w:lang w:val="en-GB"/>
        </w:rPr>
        <w:t xml:space="preserve"> </w:t>
      </w:r>
      <w:r w:rsidR="00760BE3">
        <w:rPr>
          <w:lang w:val="en-GB"/>
        </w:rPr>
        <w:t>‘</w:t>
      </w:r>
      <w:r w:rsidR="00760BE3" w:rsidRPr="007C3F93">
        <w:rPr>
          <w:lang w:val="en-GB"/>
        </w:rPr>
        <w:t xml:space="preserve">broader systemic problems in disciplinary methods, </w:t>
      </w:r>
      <w:r w:rsidR="00760BE3" w:rsidRPr="007C3F93">
        <w:rPr>
          <w:lang w:val="en-GB"/>
        </w:rPr>
        <w:lastRenderedPageBreak/>
        <w:t>history, and interpretations</w:t>
      </w:r>
      <w:r w:rsidR="00760BE3">
        <w:rPr>
          <w:lang w:val="en-GB"/>
        </w:rPr>
        <w:t>’</w:t>
      </w:r>
      <w:r w:rsidR="00760BE3" w:rsidRPr="007C3F93">
        <w:rPr>
          <w:lang w:val="en-GB"/>
        </w:rPr>
        <w:t>.</w:t>
      </w:r>
      <w:r w:rsidR="00760BE3">
        <w:rPr>
          <w:rStyle w:val="FootnoteReference"/>
          <w:lang w:val="en-GB"/>
        </w:rPr>
        <w:footnoteReference w:id="64"/>
      </w:r>
      <w:r w:rsidR="00760BE3">
        <w:rPr>
          <w:lang w:val="en-GB"/>
        </w:rPr>
        <w:t xml:space="preserve"> I posit that this tendency is perhaps even more pronounced in Pauline studies because it is only really in the last thirty years that there has been sustained critical discussion between Jewish and Christian readers of Paul. Furthermore, the rhetorical effort </w:t>
      </w:r>
      <w:r w:rsidR="00852343">
        <w:rPr>
          <w:lang w:val="en-GB"/>
        </w:rPr>
        <w:t>frequently</w:t>
      </w:r>
      <w:r w:rsidR="00760BE3">
        <w:rPr>
          <w:lang w:val="en-GB"/>
        </w:rPr>
        <w:t xml:space="preserve"> expended on making the case for the NPP over-against older Lutheran readings has often left little space </w:t>
      </w:r>
      <w:r w:rsidR="00573BEE">
        <w:rPr>
          <w:lang w:val="en-GB"/>
        </w:rPr>
        <w:t>or desire for</w:t>
      </w:r>
      <w:r w:rsidR="00760BE3">
        <w:rPr>
          <w:lang w:val="en-GB"/>
        </w:rPr>
        <w:t xml:space="preserve"> listening to corrective voices from Jewish readers (again, see Wright’s rhetoric above).</w:t>
      </w:r>
      <w:r w:rsidR="00571E9B">
        <w:rPr>
          <w:lang w:val="en-GB"/>
        </w:rPr>
        <w:t xml:space="preserve"> </w:t>
      </w:r>
      <w:r w:rsidR="002B05AD">
        <w:rPr>
          <w:lang w:val="en-GB"/>
        </w:rPr>
        <w:t>Beyond the obviously instructive material contributions of the RNPP, their methodological critiques should provoke the academy to re-examine ideological commitments that still remain within the field.</w:t>
      </w:r>
      <w:r w:rsidR="006E7001">
        <w:rPr>
          <w:lang w:val="en-GB"/>
        </w:rPr>
        <w:t xml:space="preserve"> Such provocations are necessarily painful. If the critiques of the RNPP are correct and the myth of academic historical neutrality is </w:t>
      </w:r>
      <w:r w:rsidR="00FE62A3">
        <w:rPr>
          <w:lang w:val="en-GB"/>
        </w:rPr>
        <w:t>called into question</w:t>
      </w:r>
      <w:r w:rsidR="006E7001">
        <w:rPr>
          <w:lang w:val="en-GB"/>
        </w:rPr>
        <w:t>, then a potentially difficult discussion about unexamined ideological commitments needs to occur.</w:t>
      </w:r>
      <w:r w:rsidR="00FE62A3">
        <w:rPr>
          <w:lang w:val="en-GB"/>
        </w:rPr>
        <w:t xml:space="preserve"> There needs to be a re-examination of what Penner terms ‘t</w:t>
      </w:r>
      <w:r w:rsidR="00FE62A3" w:rsidRPr="00FE62A3">
        <w:rPr>
          <w:lang w:val="en-GB"/>
        </w:rPr>
        <w:t>he connection of method to discursive structures in society</w:t>
      </w:r>
      <w:r w:rsidR="00FE62A3">
        <w:rPr>
          <w:lang w:val="en-GB"/>
        </w:rPr>
        <w:t>’.</w:t>
      </w:r>
      <w:r w:rsidR="00FE62A3">
        <w:rPr>
          <w:rStyle w:val="FootnoteReference"/>
          <w:lang w:val="en-GB"/>
        </w:rPr>
        <w:footnoteReference w:id="65"/>
      </w:r>
      <w:r w:rsidR="004D7FB3">
        <w:rPr>
          <w:lang w:val="en-GB"/>
        </w:rPr>
        <w:t xml:space="preserve"> The goal need not be to arrive at disinterested neutrality: it is far from clear whether this is possible or even desirable.</w:t>
      </w:r>
      <w:r w:rsidR="006E7001">
        <w:rPr>
          <w:lang w:val="en-GB"/>
        </w:rPr>
        <w:t xml:space="preserve"> Yet, if these voices are </w:t>
      </w:r>
      <w:r w:rsidR="00846402">
        <w:rPr>
          <w:lang w:val="en-GB"/>
        </w:rPr>
        <w:t xml:space="preserve">indeed </w:t>
      </w:r>
      <w:r w:rsidR="006E7001">
        <w:rPr>
          <w:lang w:val="en-GB"/>
        </w:rPr>
        <w:t xml:space="preserve">correct, it is only by having these difficult discussions </w:t>
      </w:r>
      <w:r w:rsidR="004E6F48">
        <w:rPr>
          <w:lang w:val="en-GB"/>
        </w:rPr>
        <w:t xml:space="preserve">and by being self-conscious about each readers’ own bias and implication in wider societal discourse that we can hope to arrive </w:t>
      </w:r>
      <w:r w:rsidR="00BF4E1F">
        <w:rPr>
          <w:lang w:val="en-GB"/>
        </w:rPr>
        <w:t>at</w:t>
      </w:r>
      <w:r w:rsidR="004E6F48">
        <w:rPr>
          <w:lang w:val="en-GB"/>
        </w:rPr>
        <w:t xml:space="preserve"> </w:t>
      </w:r>
      <w:r w:rsidR="006D03F2">
        <w:rPr>
          <w:lang w:val="en-GB"/>
        </w:rPr>
        <w:t>responsible</w:t>
      </w:r>
      <w:r w:rsidR="00D37FAC">
        <w:rPr>
          <w:lang w:val="en-GB"/>
        </w:rPr>
        <w:t xml:space="preserve"> (dare one say ethical?)</w:t>
      </w:r>
      <w:r w:rsidR="006D03F2">
        <w:rPr>
          <w:lang w:val="en-GB"/>
        </w:rPr>
        <w:t xml:space="preserve"> readings of Paul</w:t>
      </w:r>
      <w:r w:rsidR="00C200A4">
        <w:rPr>
          <w:lang w:val="en-GB"/>
        </w:rPr>
        <w:t xml:space="preserve">. </w:t>
      </w:r>
    </w:p>
    <w:p w14:paraId="29B5DD03" w14:textId="40EC982D" w:rsidR="006D53DD" w:rsidRDefault="006D53DD" w:rsidP="00760BE3">
      <w:pPr>
        <w:rPr>
          <w:lang w:val="en-GB"/>
        </w:rPr>
      </w:pPr>
    </w:p>
    <w:p w14:paraId="4F96D941" w14:textId="0AD4098D" w:rsidR="006D53DD" w:rsidRDefault="006D53DD" w:rsidP="006D53DD">
      <w:pPr>
        <w:pStyle w:val="Heading1"/>
        <w:rPr>
          <w:lang w:val="en-GB"/>
        </w:rPr>
      </w:pPr>
      <w:r>
        <w:rPr>
          <w:lang w:val="en-GB"/>
        </w:rPr>
        <w:t>Conclusion</w:t>
      </w:r>
    </w:p>
    <w:p w14:paraId="037F27F0" w14:textId="2B70C0D5" w:rsidR="006D53DD" w:rsidRDefault="00C30840" w:rsidP="006D53DD">
      <w:pPr>
        <w:rPr>
          <w:lang w:val="en-GB"/>
        </w:rPr>
      </w:pPr>
      <w:r>
        <w:rPr>
          <w:lang w:val="en-GB"/>
        </w:rPr>
        <w:t xml:space="preserve">What, then, has been the significance of interactions </w:t>
      </w:r>
      <w:proofErr w:type="spellStart"/>
      <w:r w:rsidR="006D53DD">
        <w:rPr>
          <w:lang w:val="en-GB"/>
        </w:rPr>
        <w:t>between Je</w:t>
      </w:r>
      <w:proofErr w:type="spellEnd"/>
      <w:r w:rsidR="006D53DD">
        <w:rPr>
          <w:lang w:val="en-GB"/>
        </w:rPr>
        <w:t xml:space="preserve">wish and Christian scholars </w:t>
      </w:r>
      <w:r>
        <w:rPr>
          <w:lang w:val="en-GB"/>
        </w:rPr>
        <w:t>when it comes to our</w:t>
      </w:r>
      <w:r w:rsidR="006D53DD">
        <w:rPr>
          <w:lang w:val="en-GB"/>
        </w:rPr>
        <w:t xml:space="preserve"> understanding </w:t>
      </w:r>
      <w:r>
        <w:rPr>
          <w:lang w:val="en-GB"/>
        </w:rPr>
        <w:t>of the Pauline texts? Materially, we have seen how</w:t>
      </w:r>
      <w:r w:rsidR="006D53DD">
        <w:rPr>
          <w:lang w:val="en-GB"/>
        </w:rPr>
        <w:t xml:space="preserve"> </w:t>
      </w:r>
      <w:r>
        <w:rPr>
          <w:lang w:val="en-GB"/>
        </w:rPr>
        <w:t>n</w:t>
      </w:r>
      <w:r w:rsidR="006D53DD">
        <w:rPr>
          <w:lang w:val="en-GB"/>
        </w:rPr>
        <w:t>ew light has been thrown on existing discussions, such as the nature of Paul’s ‘conversion</w:t>
      </w:r>
      <w:r>
        <w:rPr>
          <w:lang w:val="en-GB"/>
        </w:rPr>
        <w:t>’</w:t>
      </w:r>
      <w:r w:rsidR="006D53DD">
        <w:rPr>
          <w:lang w:val="en-GB"/>
        </w:rPr>
        <w:t>. Furthermore, the discussion has opened up intriguing new exegetical possibilities, whether that be an appreciation of</w:t>
      </w:r>
      <w:r w:rsidR="00A4075E">
        <w:rPr>
          <w:lang w:val="en-GB"/>
        </w:rPr>
        <w:t xml:space="preserve"> the role of</w:t>
      </w:r>
      <w:r w:rsidR="006D53DD">
        <w:rPr>
          <w:lang w:val="en-GB"/>
        </w:rPr>
        <w:t xml:space="preserve"> Jewish mysticism </w:t>
      </w:r>
      <w:r w:rsidR="00A4075E">
        <w:rPr>
          <w:lang w:val="en-GB"/>
        </w:rPr>
        <w:t>in Paul’s thought</w:t>
      </w:r>
      <w:r w:rsidR="006D53DD">
        <w:rPr>
          <w:lang w:val="en-GB"/>
        </w:rPr>
        <w:t xml:space="preserve">, or the fresh readings that might be generated through reader-centred approaches. </w:t>
      </w:r>
      <w:r w:rsidR="00117175">
        <w:rPr>
          <w:lang w:val="en-GB"/>
        </w:rPr>
        <w:t xml:space="preserve">This alone offers much of significance to the task of biblical interpretation. </w:t>
      </w:r>
      <w:r w:rsidR="006D53DD">
        <w:rPr>
          <w:lang w:val="en-GB"/>
        </w:rPr>
        <w:t>At the same time, though, the</w:t>
      </w:r>
      <w:r w:rsidR="00661E2E">
        <w:rPr>
          <w:lang w:val="en-GB"/>
        </w:rPr>
        <w:t>se</w:t>
      </w:r>
      <w:r w:rsidR="006D53DD">
        <w:rPr>
          <w:lang w:val="en-GB"/>
        </w:rPr>
        <w:t xml:space="preserve"> discussions present a serious challenge to </w:t>
      </w:r>
      <w:r w:rsidR="00661E2E">
        <w:rPr>
          <w:lang w:val="en-GB"/>
        </w:rPr>
        <w:t xml:space="preserve">mainstream of (mainly </w:t>
      </w:r>
      <w:r w:rsidR="00A36785">
        <w:rPr>
          <w:lang w:val="en-GB"/>
        </w:rPr>
        <w:t>Christian</w:t>
      </w:r>
      <w:r w:rsidR="00661E2E">
        <w:rPr>
          <w:lang w:val="en-GB"/>
        </w:rPr>
        <w:t>)</w:t>
      </w:r>
      <w:r w:rsidR="006D53DD">
        <w:rPr>
          <w:lang w:val="en-GB"/>
        </w:rPr>
        <w:t xml:space="preserve"> Pauline scholars </w:t>
      </w:r>
      <w:r w:rsidR="006D53DD">
        <w:rPr>
          <w:lang w:val="en-GB"/>
        </w:rPr>
        <w:lastRenderedPageBreak/>
        <w:t xml:space="preserve">to be aware of the implicit assumptions in the discipline, not least the negative caricatures of Judaism that often remain unexamined. </w:t>
      </w:r>
      <w:r w:rsidR="00B93745">
        <w:rPr>
          <w:lang w:val="en-GB"/>
        </w:rPr>
        <w:t>Where the discussion progresses from here is unclear</w:t>
      </w:r>
      <w:r w:rsidR="00661E2E">
        <w:rPr>
          <w:lang w:val="en-GB"/>
        </w:rPr>
        <w:t>.</w:t>
      </w:r>
      <w:r w:rsidR="00B93745">
        <w:rPr>
          <w:lang w:val="en-GB"/>
        </w:rPr>
        <w:t xml:space="preserve"> </w:t>
      </w:r>
      <w:r w:rsidR="00B06D5F">
        <w:rPr>
          <w:lang w:val="en-GB"/>
        </w:rPr>
        <w:t>I</w:t>
      </w:r>
      <w:r w:rsidR="00B93745">
        <w:rPr>
          <w:lang w:val="en-GB"/>
        </w:rPr>
        <w:t>f the challenge of the RNPP is taken seriously</w:t>
      </w:r>
      <w:r w:rsidR="00B06D5F">
        <w:rPr>
          <w:lang w:val="en-GB"/>
        </w:rPr>
        <w:t xml:space="preserve"> – and sadly, I think this remains a big if –</w:t>
      </w:r>
      <w:r w:rsidR="00B93745">
        <w:rPr>
          <w:lang w:val="en-GB"/>
        </w:rPr>
        <w:t xml:space="preserve"> perhaps</w:t>
      </w:r>
      <w:r w:rsidR="00B06D5F">
        <w:rPr>
          <w:lang w:val="en-GB"/>
        </w:rPr>
        <w:t xml:space="preserve"> the enduring significance of this process of interaction is in inspiring a</w:t>
      </w:r>
      <w:r w:rsidR="00B93745">
        <w:rPr>
          <w:lang w:val="en-GB"/>
        </w:rPr>
        <w:t xml:space="preserve"> ne</w:t>
      </w:r>
      <w:r w:rsidR="00B06D5F">
        <w:rPr>
          <w:lang w:val="en-GB"/>
        </w:rPr>
        <w:t xml:space="preserve">w </w:t>
      </w:r>
      <w:r w:rsidR="00B93745">
        <w:rPr>
          <w:lang w:val="en-GB"/>
        </w:rPr>
        <w:t>generation of work on Paul</w:t>
      </w:r>
      <w:r w:rsidR="00F17153">
        <w:rPr>
          <w:lang w:val="en-GB"/>
        </w:rPr>
        <w:t xml:space="preserve"> that</w:t>
      </w:r>
      <w:r w:rsidR="00B93745">
        <w:rPr>
          <w:lang w:val="en-GB"/>
        </w:rPr>
        <w:t xml:space="preserve"> is more contextualised</w:t>
      </w:r>
      <w:r w:rsidR="005F032B">
        <w:rPr>
          <w:lang w:val="en-GB"/>
        </w:rPr>
        <w:t>, more cautious</w:t>
      </w:r>
      <w:r w:rsidR="008A2F5C">
        <w:rPr>
          <w:lang w:val="en-GB"/>
        </w:rPr>
        <w:t>, more self-aware</w:t>
      </w:r>
      <w:r w:rsidR="005F032B">
        <w:rPr>
          <w:lang w:val="en-GB"/>
        </w:rPr>
        <w:t xml:space="preserve"> and less all-encompassing in what it tries to say about Paul’s thought</w:t>
      </w:r>
      <w:r w:rsidR="0049723A">
        <w:rPr>
          <w:lang w:val="en-GB"/>
        </w:rPr>
        <w:t>.</w:t>
      </w:r>
    </w:p>
    <w:p w14:paraId="1FA271BD" w14:textId="35F228A4" w:rsidR="004E79EB" w:rsidRPr="000B4DD1" w:rsidRDefault="004E79EB" w:rsidP="006D53DD">
      <w:pPr>
        <w:rPr>
          <w:lang w:val="de-AT"/>
        </w:rPr>
      </w:pPr>
    </w:p>
    <w:p w14:paraId="001420FB" w14:textId="27014296" w:rsidR="004E79EB" w:rsidRPr="003559B1" w:rsidRDefault="004E79EB" w:rsidP="004E79EB">
      <w:pPr>
        <w:rPr>
          <w:b/>
          <w:bCs/>
          <w:lang w:val="en-GB"/>
        </w:rPr>
      </w:pPr>
      <w:r>
        <w:rPr>
          <w:b/>
          <w:bCs/>
          <w:lang w:val="en-GB"/>
        </w:rPr>
        <w:t>Words (excluding footnotes and bibliography</w:t>
      </w:r>
      <w:r w:rsidR="00BE4510">
        <w:rPr>
          <w:b/>
          <w:bCs/>
          <w:lang w:val="en-GB"/>
        </w:rPr>
        <w:t>,</w:t>
      </w:r>
      <w:r>
        <w:rPr>
          <w:b/>
          <w:bCs/>
          <w:lang w:val="en-GB"/>
        </w:rPr>
        <w:t xml:space="preserve"> as in module task description): </w:t>
      </w:r>
      <w:r>
        <w:rPr>
          <w:b/>
          <w:bCs/>
          <w:lang w:val="en-GB"/>
        </w:rPr>
        <w:t>3763</w:t>
      </w:r>
    </w:p>
    <w:p w14:paraId="260DF246" w14:textId="77777777" w:rsidR="004E79EB" w:rsidRPr="006D53DD" w:rsidRDefault="004E79EB" w:rsidP="006D53DD">
      <w:pPr>
        <w:rPr>
          <w:lang w:val="en-GB"/>
        </w:rPr>
      </w:pPr>
    </w:p>
    <w:p w14:paraId="1BA73A8F" w14:textId="77777777" w:rsidR="00760BE3" w:rsidRDefault="00760BE3" w:rsidP="007C1050">
      <w:pPr>
        <w:rPr>
          <w:lang w:val="en-GB"/>
        </w:rPr>
      </w:pPr>
    </w:p>
    <w:p w14:paraId="58B844FF" w14:textId="76F194C5" w:rsidR="00162CC0" w:rsidRDefault="00162CC0" w:rsidP="00AC2463">
      <w:pPr>
        <w:pStyle w:val="Heading1"/>
        <w:rPr>
          <w:lang w:val="en-GB"/>
        </w:rPr>
      </w:pPr>
      <w:r>
        <w:rPr>
          <w:lang w:val="en-GB"/>
        </w:rPr>
        <w:br w:type="page"/>
      </w:r>
    </w:p>
    <w:p w14:paraId="36986E33" w14:textId="19C94066" w:rsidR="00AC2463" w:rsidRDefault="00AC2463" w:rsidP="00AC2463">
      <w:pPr>
        <w:pStyle w:val="Heading1"/>
        <w:rPr>
          <w:lang w:val="en-GB"/>
        </w:rPr>
      </w:pPr>
      <w:r>
        <w:rPr>
          <w:lang w:val="en-GB"/>
        </w:rPr>
        <w:lastRenderedPageBreak/>
        <w:t>Bibliography</w:t>
      </w:r>
    </w:p>
    <w:p w14:paraId="24FDE520" w14:textId="77777777" w:rsidR="003649EF" w:rsidRPr="003649EF" w:rsidRDefault="00BC6A57" w:rsidP="003649EF">
      <w:pPr>
        <w:pStyle w:val="Bibliography"/>
        <w:spacing w:after="120"/>
        <w:rPr>
          <w:rFonts w:ascii="Calibri" w:cs="Calibri"/>
          <w:lang w:val="en-GB"/>
        </w:rPr>
      </w:pPr>
      <w:r>
        <w:rPr>
          <w:lang w:val="en-GB"/>
        </w:rPr>
        <w:fldChar w:fldCharType="begin"/>
      </w:r>
      <w:r w:rsidR="003649EF">
        <w:rPr>
          <w:lang w:val="en-GB"/>
        </w:rPr>
        <w:instrText xml:space="preserve"> ADDIN ZOTERO_BIBL {"uncited":[],"omitted":[],"custom":[]} CSL_BIBLIOGRAPHY </w:instrText>
      </w:r>
      <w:r>
        <w:rPr>
          <w:lang w:val="en-GB"/>
        </w:rPr>
        <w:fldChar w:fldCharType="separate"/>
      </w:r>
      <w:r w:rsidR="003649EF" w:rsidRPr="003649EF">
        <w:rPr>
          <w:rFonts w:ascii="Calibri" w:cs="Calibri"/>
          <w:lang w:val="en-GB"/>
        </w:rPr>
        <w:t xml:space="preserve">Barclay, John. ‘Paul among Diaspora Jews: Anomaly or Apostate’. </w:t>
      </w:r>
      <w:r w:rsidR="003649EF" w:rsidRPr="003649EF">
        <w:rPr>
          <w:rFonts w:ascii="Calibri" w:cs="Calibri"/>
          <w:i/>
          <w:iCs/>
          <w:lang w:val="en-GB"/>
        </w:rPr>
        <w:t>Journal for the Study of the New Testament</w:t>
      </w:r>
      <w:r w:rsidR="003649EF" w:rsidRPr="003649EF">
        <w:rPr>
          <w:rFonts w:ascii="Calibri" w:cs="Calibri"/>
          <w:lang w:val="en-GB"/>
        </w:rPr>
        <w:t xml:space="preserve"> 18, no. 60 (1995): 89–120.</w:t>
      </w:r>
    </w:p>
    <w:p w14:paraId="3B4BC8C1"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Bird, Michael F., and Preston M. Sprinkle. ‘Jewish Interpretation of Paul in the Last Thirty Years’. </w:t>
      </w:r>
      <w:r w:rsidRPr="003649EF">
        <w:rPr>
          <w:rFonts w:ascii="Calibri" w:cs="Calibri"/>
          <w:i/>
          <w:iCs/>
          <w:lang w:val="en-GB"/>
        </w:rPr>
        <w:t>Currents in Biblical Research</w:t>
      </w:r>
      <w:r w:rsidRPr="003649EF">
        <w:rPr>
          <w:rFonts w:ascii="Calibri" w:cs="Calibri"/>
          <w:lang w:val="en-GB"/>
        </w:rPr>
        <w:t xml:space="preserve"> 6, no. 3 (1 June 2008): 355–76. https://doi.org/10.1177/1476993X07084792.</w:t>
      </w:r>
    </w:p>
    <w:p w14:paraId="65615C91" w14:textId="77777777" w:rsidR="003649EF" w:rsidRPr="003649EF" w:rsidRDefault="003649EF" w:rsidP="003649EF">
      <w:pPr>
        <w:pStyle w:val="Bibliography"/>
        <w:spacing w:after="120"/>
        <w:rPr>
          <w:rFonts w:ascii="Calibri" w:cs="Calibri"/>
          <w:lang w:val="en-GB"/>
        </w:rPr>
      </w:pPr>
      <w:proofErr w:type="spellStart"/>
      <w:r w:rsidRPr="003649EF">
        <w:rPr>
          <w:rFonts w:ascii="Calibri" w:cs="Calibri"/>
          <w:lang w:val="en-GB"/>
        </w:rPr>
        <w:t>Boyarin</w:t>
      </w:r>
      <w:proofErr w:type="spellEnd"/>
      <w:r w:rsidRPr="003649EF">
        <w:rPr>
          <w:rFonts w:ascii="Calibri" w:cs="Calibri"/>
          <w:lang w:val="en-GB"/>
        </w:rPr>
        <w:t xml:space="preserve">, Daniel. </w:t>
      </w:r>
      <w:r w:rsidRPr="003649EF">
        <w:rPr>
          <w:rFonts w:ascii="Calibri" w:cs="Calibri"/>
          <w:i/>
          <w:iCs/>
          <w:lang w:val="en-GB"/>
        </w:rPr>
        <w:t>A Radical Jew</w:t>
      </w:r>
      <w:proofErr w:type="gramStart"/>
      <w:r w:rsidRPr="003649EF">
        <w:rPr>
          <w:rFonts w:ascii="Calibri" w:cs="Calibri"/>
          <w:i/>
          <w:iCs/>
          <w:lang w:val="en-GB"/>
        </w:rPr>
        <w:t>: :</w:t>
      </w:r>
      <w:proofErr w:type="gramEnd"/>
      <w:r w:rsidRPr="003649EF">
        <w:rPr>
          <w:rFonts w:ascii="Calibri" w:cs="Calibri"/>
          <w:i/>
          <w:iCs/>
          <w:lang w:val="en-GB"/>
        </w:rPr>
        <w:t xml:space="preserve"> Paul and the Politics of Identity</w:t>
      </w:r>
      <w:r w:rsidRPr="003649EF">
        <w:rPr>
          <w:rFonts w:ascii="Calibri" w:cs="Calibri"/>
          <w:lang w:val="en-GB"/>
        </w:rPr>
        <w:t xml:space="preserve">. </w:t>
      </w:r>
      <w:proofErr w:type="spellStart"/>
      <w:r w:rsidRPr="003649EF">
        <w:rPr>
          <w:rFonts w:ascii="Calibri" w:cs="Calibri"/>
          <w:lang w:val="en-GB"/>
        </w:rPr>
        <w:t>Contraversions</w:t>
      </w:r>
      <w:proofErr w:type="spellEnd"/>
      <w:r w:rsidRPr="003649EF">
        <w:rPr>
          <w:rFonts w:ascii="Calibri" w:cs="Calibri"/>
          <w:lang w:val="en-GB"/>
        </w:rPr>
        <w:t>. Berkeley, California: University of California Press, 1997.</w:t>
      </w:r>
    </w:p>
    <w:p w14:paraId="63291950"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Bruce, F.F. </w:t>
      </w:r>
      <w:r w:rsidRPr="003649EF">
        <w:rPr>
          <w:rFonts w:ascii="Calibri" w:cs="Calibri"/>
          <w:i/>
          <w:iCs/>
          <w:lang w:val="en-GB"/>
        </w:rPr>
        <w:t>Paul: Apostle of the Heart Set Free</w:t>
      </w:r>
      <w:r w:rsidRPr="003649EF">
        <w:rPr>
          <w:rFonts w:ascii="Calibri" w:cs="Calibri"/>
          <w:lang w:val="en-GB"/>
        </w:rPr>
        <w:t>. Cambridge, UK: Paternoster Press, 2000.</w:t>
      </w:r>
    </w:p>
    <w:p w14:paraId="3ABD0ED2"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Crossley, James G. ‘Other Problems from a British Perspective: “Jewishness”, Jesus, and the New Perspective on Paul’. In </w:t>
      </w:r>
      <w:r w:rsidRPr="003649EF">
        <w:rPr>
          <w:rFonts w:ascii="Calibri" w:cs="Calibri"/>
          <w:i/>
          <w:iCs/>
          <w:lang w:val="en-GB"/>
        </w:rPr>
        <w:t xml:space="preserve">Ethnicity, Race, </w:t>
      </w:r>
      <w:proofErr w:type="gramStart"/>
      <w:r w:rsidRPr="003649EF">
        <w:rPr>
          <w:rFonts w:ascii="Calibri" w:cs="Calibri"/>
          <w:i/>
          <w:iCs/>
          <w:lang w:val="en-GB"/>
        </w:rPr>
        <w:t>Religion :</w:t>
      </w:r>
      <w:proofErr w:type="gramEnd"/>
      <w:r w:rsidRPr="003649EF">
        <w:rPr>
          <w:rFonts w:ascii="Calibri" w:cs="Calibri"/>
          <w:i/>
          <w:iCs/>
          <w:lang w:val="en-GB"/>
        </w:rPr>
        <w:t xml:space="preserve"> Identities and Ideologies in Early Jewish and Christian Texts, and in Modern Biblical Interpretation</w:t>
      </w:r>
      <w:r w:rsidRPr="003649EF">
        <w:rPr>
          <w:rFonts w:ascii="Calibri" w:cs="Calibri"/>
          <w:lang w:val="en-GB"/>
        </w:rPr>
        <w:t>, 130–145. London, UK: T&amp;T Clark, 2018. https://doi.org/10.5040/9780567677334.</w:t>
      </w:r>
    </w:p>
    <w:p w14:paraId="01EE5254"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Dunn, James D. G. </w:t>
      </w:r>
      <w:r w:rsidRPr="003649EF">
        <w:rPr>
          <w:rFonts w:ascii="Calibri" w:cs="Calibri"/>
          <w:i/>
          <w:iCs/>
          <w:lang w:val="en-GB"/>
        </w:rPr>
        <w:t>The New Perspective on Paul</w:t>
      </w:r>
      <w:r w:rsidRPr="003649EF">
        <w:rPr>
          <w:rFonts w:ascii="Calibri" w:cs="Calibri"/>
          <w:lang w:val="en-GB"/>
        </w:rPr>
        <w:t>. Grand Rapids, Michigan: Eerdmans, 2008.</w:t>
      </w:r>
    </w:p>
    <w:p w14:paraId="2ED9114C"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w:t>
      </w:r>
      <w:r w:rsidRPr="003649EF">
        <w:rPr>
          <w:rFonts w:ascii="Calibri" w:cs="Calibri"/>
          <w:i/>
          <w:iCs/>
          <w:lang w:val="en-GB"/>
        </w:rPr>
        <w:t>The Theology of Paul the Apostle</w:t>
      </w:r>
      <w:r w:rsidRPr="003649EF">
        <w:rPr>
          <w:rFonts w:ascii="Calibri" w:cs="Calibri"/>
          <w:lang w:val="en-GB"/>
        </w:rPr>
        <w:t>. Edinburgh: Clark, 1998.</w:t>
      </w:r>
    </w:p>
    <w:p w14:paraId="58794D9A"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w:t>
      </w:r>
      <w:r w:rsidRPr="003649EF">
        <w:rPr>
          <w:rFonts w:ascii="Calibri" w:cs="Calibri"/>
          <w:i/>
          <w:iCs/>
          <w:lang w:val="en-GB"/>
        </w:rPr>
        <w:t>The Theology of Paul’s Letter to the Galatians</w:t>
      </w:r>
      <w:r w:rsidRPr="003649EF">
        <w:rPr>
          <w:rFonts w:ascii="Calibri" w:cs="Calibri"/>
          <w:lang w:val="en-GB"/>
        </w:rPr>
        <w:t>. New Testament Theology. Cambridge: Cambridge University Press, 1993. https://doi.org/10.1017/CBO9781139166201.</w:t>
      </w:r>
    </w:p>
    <w:p w14:paraId="40A2F83E" w14:textId="77777777" w:rsidR="003649EF" w:rsidRPr="003649EF" w:rsidRDefault="003649EF" w:rsidP="003649EF">
      <w:pPr>
        <w:pStyle w:val="Bibliography"/>
        <w:spacing w:after="120"/>
        <w:rPr>
          <w:rFonts w:ascii="Calibri" w:cs="Calibri"/>
          <w:lang w:val="en-GB"/>
        </w:rPr>
      </w:pPr>
      <w:proofErr w:type="spellStart"/>
      <w:r w:rsidRPr="003649EF">
        <w:rPr>
          <w:rFonts w:ascii="Calibri" w:cs="Calibri"/>
          <w:lang w:val="en-GB"/>
        </w:rPr>
        <w:t>Eisenbaum</w:t>
      </w:r>
      <w:proofErr w:type="spellEnd"/>
      <w:r w:rsidRPr="003649EF">
        <w:rPr>
          <w:rFonts w:ascii="Calibri" w:cs="Calibri"/>
          <w:lang w:val="en-GB"/>
        </w:rPr>
        <w:t xml:space="preserve">, Pamela. ‘Following in the Footnotes of the Apostle Paul’. In </w:t>
      </w:r>
      <w:r w:rsidRPr="003649EF">
        <w:rPr>
          <w:rFonts w:ascii="Calibri" w:cs="Calibri"/>
          <w:i/>
          <w:iCs/>
          <w:lang w:val="en-GB"/>
        </w:rPr>
        <w:t>Identity and the Politics of Scholarship in the Study of Religion</w:t>
      </w:r>
      <w:r w:rsidRPr="003649EF">
        <w:rPr>
          <w:rFonts w:ascii="Calibri" w:cs="Calibri"/>
          <w:lang w:val="en-GB"/>
        </w:rPr>
        <w:t xml:space="preserve">, edited by José Ignacio </w:t>
      </w:r>
      <w:proofErr w:type="spellStart"/>
      <w:r w:rsidRPr="003649EF">
        <w:rPr>
          <w:rFonts w:ascii="Calibri" w:cs="Calibri"/>
          <w:lang w:val="en-GB"/>
        </w:rPr>
        <w:t>Cabezón</w:t>
      </w:r>
      <w:proofErr w:type="spellEnd"/>
      <w:r w:rsidRPr="003649EF">
        <w:rPr>
          <w:rFonts w:ascii="Calibri" w:cs="Calibri"/>
          <w:lang w:val="en-GB"/>
        </w:rPr>
        <w:t xml:space="preserve"> and Sheila </w:t>
      </w:r>
      <w:proofErr w:type="spellStart"/>
      <w:r w:rsidRPr="003649EF">
        <w:rPr>
          <w:rFonts w:ascii="Calibri" w:cs="Calibri"/>
          <w:lang w:val="en-GB"/>
        </w:rPr>
        <w:t>Greeve</w:t>
      </w:r>
      <w:proofErr w:type="spellEnd"/>
      <w:r w:rsidRPr="003649EF">
        <w:rPr>
          <w:rFonts w:ascii="Calibri" w:cs="Calibri"/>
          <w:lang w:val="en-GB"/>
        </w:rPr>
        <w:t xml:space="preserve"> </w:t>
      </w:r>
      <w:proofErr w:type="spellStart"/>
      <w:r w:rsidRPr="003649EF">
        <w:rPr>
          <w:rFonts w:ascii="Calibri" w:cs="Calibri"/>
          <w:lang w:val="en-GB"/>
        </w:rPr>
        <w:t>Davaney</w:t>
      </w:r>
      <w:proofErr w:type="spellEnd"/>
      <w:r w:rsidRPr="003649EF">
        <w:rPr>
          <w:rFonts w:ascii="Calibri" w:cs="Calibri"/>
          <w:lang w:val="en-GB"/>
        </w:rPr>
        <w:t>. London: Routledge, 2004.</w:t>
      </w:r>
    </w:p>
    <w:p w14:paraId="471A408F"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w:t>
      </w:r>
      <w:r w:rsidRPr="003649EF">
        <w:rPr>
          <w:rFonts w:ascii="Calibri" w:cs="Calibri"/>
          <w:i/>
          <w:iCs/>
          <w:lang w:val="en-GB"/>
        </w:rPr>
        <w:t>Paul Was Not a Christian: The Original Message of a Misunderstood Apostle</w:t>
      </w:r>
      <w:r w:rsidRPr="003649EF">
        <w:rPr>
          <w:rFonts w:ascii="Calibri" w:cs="Calibri"/>
          <w:lang w:val="en-GB"/>
        </w:rPr>
        <w:t>. Reprint edition. New York: Bravo Ltd, 2010.</w:t>
      </w:r>
    </w:p>
    <w:p w14:paraId="552B8637" w14:textId="77777777" w:rsidR="003649EF" w:rsidRPr="003649EF" w:rsidRDefault="003649EF" w:rsidP="003649EF">
      <w:pPr>
        <w:pStyle w:val="Bibliography"/>
        <w:spacing w:after="120"/>
        <w:rPr>
          <w:rFonts w:ascii="Calibri" w:cs="Calibri"/>
          <w:lang w:val="en-GB"/>
        </w:rPr>
      </w:pPr>
      <w:proofErr w:type="spellStart"/>
      <w:r w:rsidRPr="003649EF">
        <w:rPr>
          <w:rFonts w:ascii="Calibri" w:cs="Calibri"/>
          <w:lang w:val="en-GB"/>
        </w:rPr>
        <w:t>Fredriksen</w:t>
      </w:r>
      <w:proofErr w:type="spellEnd"/>
      <w:r w:rsidRPr="003649EF">
        <w:rPr>
          <w:rFonts w:ascii="Calibri" w:cs="Calibri"/>
          <w:lang w:val="en-GB"/>
        </w:rPr>
        <w:t xml:space="preserve">, Paula. </w:t>
      </w:r>
      <w:r w:rsidRPr="003649EF">
        <w:rPr>
          <w:rFonts w:ascii="Calibri" w:cs="Calibri"/>
          <w:i/>
          <w:iCs/>
          <w:lang w:val="en-GB"/>
        </w:rPr>
        <w:t xml:space="preserve">Augustine and the Jews: A Christian </w:t>
      </w:r>
      <w:proofErr w:type="spellStart"/>
      <w:r w:rsidRPr="003649EF">
        <w:rPr>
          <w:rFonts w:ascii="Calibri" w:cs="Calibri"/>
          <w:i/>
          <w:iCs/>
          <w:lang w:val="en-GB"/>
        </w:rPr>
        <w:t>Defense</w:t>
      </w:r>
      <w:proofErr w:type="spellEnd"/>
      <w:r w:rsidRPr="003649EF">
        <w:rPr>
          <w:rFonts w:ascii="Calibri" w:cs="Calibri"/>
          <w:i/>
          <w:iCs/>
          <w:lang w:val="en-GB"/>
        </w:rPr>
        <w:t xml:space="preserve"> of Jews and </w:t>
      </w:r>
      <w:proofErr w:type="gramStart"/>
      <w:r w:rsidRPr="003649EF">
        <w:rPr>
          <w:rFonts w:ascii="Calibri" w:cs="Calibri"/>
          <w:i/>
          <w:iCs/>
          <w:lang w:val="en-GB"/>
        </w:rPr>
        <w:t>Judaism :</w:t>
      </w:r>
      <w:proofErr w:type="gramEnd"/>
      <w:r w:rsidRPr="003649EF">
        <w:rPr>
          <w:rFonts w:ascii="Calibri" w:cs="Calibri"/>
          <w:i/>
          <w:iCs/>
          <w:lang w:val="en-GB"/>
        </w:rPr>
        <w:t xml:space="preserve"> With a New Postscript</w:t>
      </w:r>
      <w:r w:rsidRPr="003649EF">
        <w:rPr>
          <w:rFonts w:ascii="Calibri" w:cs="Calibri"/>
          <w:lang w:val="en-GB"/>
        </w:rPr>
        <w:t>. 1st ed. New Haven, CT: Yale University Press, 2010.</w:t>
      </w:r>
    </w:p>
    <w:p w14:paraId="01C8C4C6"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‘Paul the Convert’. In </w:t>
      </w:r>
      <w:proofErr w:type="gramStart"/>
      <w:r w:rsidRPr="003649EF">
        <w:rPr>
          <w:rFonts w:ascii="Calibri" w:cs="Calibri"/>
          <w:i/>
          <w:iCs/>
          <w:lang w:val="en-GB"/>
        </w:rPr>
        <w:t>The</w:t>
      </w:r>
      <w:proofErr w:type="gramEnd"/>
      <w:r w:rsidRPr="003649EF">
        <w:rPr>
          <w:rFonts w:ascii="Calibri" w:cs="Calibri"/>
          <w:i/>
          <w:iCs/>
          <w:lang w:val="en-GB"/>
        </w:rPr>
        <w:t xml:space="preserve"> Oxford Handbook of Pauline Studies</w:t>
      </w:r>
      <w:r w:rsidRPr="003649EF">
        <w:rPr>
          <w:rFonts w:ascii="Calibri" w:cs="Calibri"/>
          <w:lang w:val="en-GB"/>
        </w:rPr>
        <w:t xml:space="preserve">, edited by Matthew V. </w:t>
      </w:r>
      <w:proofErr w:type="spellStart"/>
      <w:r w:rsidRPr="003649EF">
        <w:rPr>
          <w:rFonts w:ascii="Calibri" w:cs="Calibri"/>
          <w:lang w:val="en-GB"/>
        </w:rPr>
        <w:t>Novenson</w:t>
      </w:r>
      <w:proofErr w:type="spellEnd"/>
      <w:r w:rsidRPr="003649EF">
        <w:rPr>
          <w:rFonts w:ascii="Calibri" w:cs="Calibri"/>
          <w:lang w:val="en-GB"/>
        </w:rPr>
        <w:t xml:space="preserve"> and R. Barry Matlock. Oxford Handbooks Online. Oxford, UK: Oxford University Press, 2014. https://www.oxfordhandbooks.com/view/10.1093/oxfordhb/9780199600489.001.0001/oxfordhb-9780199600489-e-29.</w:t>
      </w:r>
    </w:p>
    <w:p w14:paraId="0E319CC6"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w:t>
      </w:r>
      <w:r w:rsidRPr="003649EF">
        <w:rPr>
          <w:rFonts w:ascii="Calibri" w:cs="Calibri"/>
          <w:i/>
          <w:iCs/>
          <w:lang w:val="en-GB"/>
        </w:rPr>
        <w:t>Paul, the Pagans’ Apostle</w:t>
      </w:r>
      <w:r w:rsidRPr="003649EF">
        <w:rPr>
          <w:rFonts w:ascii="Calibri" w:cs="Calibri"/>
          <w:lang w:val="en-GB"/>
        </w:rPr>
        <w:t>. New Haven, CT: Yale University Press, 2017.</w:t>
      </w:r>
    </w:p>
    <w:p w14:paraId="20581E4B"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Frey, </w:t>
      </w:r>
      <w:proofErr w:type="spellStart"/>
      <w:r w:rsidRPr="003649EF">
        <w:rPr>
          <w:rFonts w:ascii="Calibri" w:cs="Calibri"/>
          <w:lang w:val="en-GB"/>
        </w:rPr>
        <w:t>Jörg</w:t>
      </w:r>
      <w:proofErr w:type="spellEnd"/>
      <w:r w:rsidRPr="003649EF">
        <w:rPr>
          <w:rFonts w:ascii="Calibri" w:cs="Calibri"/>
          <w:lang w:val="en-GB"/>
        </w:rPr>
        <w:t xml:space="preserve">. ‘Paul’s Jewish Identity’. In </w:t>
      </w:r>
      <w:r w:rsidRPr="003649EF">
        <w:rPr>
          <w:rFonts w:ascii="Calibri" w:cs="Calibri"/>
          <w:i/>
          <w:iCs/>
          <w:lang w:val="en-GB"/>
        </w:rPr>
        <w:t>Jewish Identity in the Greco-Roman World</w:t>
      </w:r>
      <w:r w:rsidRPr="003649EF">
        <w:rPr>
          <w:rFonts w:ascii="Calibri" w:cs="Calibri"/>
          <w:lang w:val="en-GB"/>
        </w:rPr>
        <w:t xml:space="preserve">, edited by </w:t>
      </w:r>
      <w:proofErr w:type="spellStart"/>
      <w:r w:rsidRPr="003649EF">
        <w:rPr>
          <w:rFonts w:ascii="Calibri" w:cs="Calibri"/>
          <w:lang w:val="en-GB"/>
        </w:rPr>
        <w:t>Jörg</w:t>
      </w:r>
      <w:proofErr w:type="spellEnd"/>
      <w:r w:rsidRPr="003649EF">
        <w:rPr>
          <w:rFonts w:ascii="Calibri" w:cs="Calibri"/>
          <w:lang w:val="en-GB"/>
        </w:rPr>
        <w:t xml:space="preserve"> Frey, Daniel R. Schwartz, and Stephanie </w:t>
      </w:r>
      <w:proofErr w:type="spellStart"/>
      <w:r w:rsidRPr="003649EF">
        <w:rPr>
          <w:rFonts w:ascii="Calibri" w:cs="Calibri"/>
          <w:lang w:val="en-GB"/>
        </w:rPr>
        <w:t>Gripentrog</w:t>
      </w:r>
      <w:proofErr w:type="spellEnd"/>
      <w:r w:rsidRPr="003649EF">
        <w:rPr>
          <w:rFonts w:ascii="Calibri" w:cs="Calibri"/>
          <w:lang w:val="en-GB"/>
        </w:rPr>
        <w:t xml:space="preserve">, 283–321. Ancient Judaism and Early </w:t>
      </w:r>
      <w:proofErr w:type="gramStart"/>
      <w:r w:rsidRPr="003649EF">
        <w:rPr>
          <w:rFonts w:ascii="Calibri" w:cs="Calibri"/>
          <w:lang w:val="en-GB"/>
        </w:rPr>
        <w:t>Christianity ;</w:t>
      </w:r>
      <w:proofErr w:type="gramEnd"/>
      <w:r w:rsidRPr="003649EF">
        <w:rPr>
          <w:rFonts w:ascii="Calibri" w:cs="Calibri"/>
          <w:lang w:val="en-GB"/>
        </w:rPr>
        <w:t xml:space="preserve"> v. 71. </w:t>
      </w:r>
      <w:proofErr w:type="gramStart"/>
      <w:r w:rsidRPr="003649EF">
        <w:rPr>
          <w:rFonts w:ascii="Calibri" w:cs="Calibri"/>
          <w:lang w:val="en-GB"/>
        </w:rPr>
        <w:t>Leiden ;</w:t>
      </w:r>
      <w:proofErr w:type="gramEnd"/>
      <w:r w:rsidRPr="003649EF">
        <w:rPr>
          <w:rFonts w:ascii="Calibri" w:cs="Calibri"/>
          <w:lang w:val="en-GB"/>
        </w:rPr>
        <w:t xml:space="preserve"> Boston :, Boston : Brill, 2007.</w:t>
      </w:r>
    </w:p>
    <w:p w14:paraId="6F8EDCDD" w14:textId="77777777" w:rsidR="003649EF" w:rsidRPr="003649EF" w:rsidRDefault="003649EF" w:rsidP="003649EF">
      <w:pPr>
        <w:pStyle w:val="Bibliography"/>
        <w:spacing w:after="120"/>
        <w:rPr>
          <w:rFonts w:ascii="Calibri" w:cs="Calibri"/>
          <w:lang w:val="en-GB"/>
        </w:rPr>
      </w:pPr>
      <w:proofErr w:type="spellStart"/>
      <w:r w:rsidRPr="003649EF">
        <w:rPr>
          <w:rFonts w:ascii="Calibri" w:cs="Calibri"/>
          <w:lang w:val="en-GB"/>
        </w:rPr>
        <w:t>Gager</w:t>
      </w:r>
      <w:proofErr w:type="spellEnd"/>
      <w:r w:rsidRPr="003649EF">
        <w:rPr>
          <w:rFonts w:ascii="Calibri" w:cs="Calibri"/>
          <w:lang w:val="en-GB"/>
        </w:rPr>
        <w:t xml:space="preserve">, John G. </w:t>
      </w:r>
      <w:r w:rsidRPr="003649EF">
        <w:rPr>
          <w:rFonts w:ascii="Calibri" w:cs="Calibri"/>
          <w:i/>
          <w:iCs/>
          <w:lang w:val="en-GB"/>
        </w:rPr>
        <w:t>Reinventing Paul</w:t>
      </w:r>
      <w:r w:rsidRPr="003649EF">
        <w:rPr>
          <w:rFonts w:ascii="Calibri" w:cs="Calibri"/>
          <w:lang w:val="en-GB"/>
        </w:rPr>
        <w:t>. Oxford, UK: Oxford University Press, 2002. https://doi.org/10.1093/acprof:oso/9780195150858.001.0001.</w:t>
      </w:r>
    </w:p>
    <w:p w14:paraId="56BBFE46"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w:t>
      </w:r>
      <w:r w:rsidRPr="003649EF">
        <w:rPr>
          <w:rFonts w:ascii="Calibri" w:cs="Calibri"/>
          <w:i/>
          <w:iCs/>
          <w:lang w:val="en-GB"/>
        </w:rPr>
        <w:t>Who Made Early Christianity? The Jewish Lives of the Apostle Paul</w:t>
      </w:r>
      <w:r w:rsidRPr="003649EF">
        <w:rPr>
          <w:rFonts w:ascii="Calibri" w:cs="Calibri"/>
          <w:lang w:val="en-GB"/>
        </w:rPr>
        <w:t>. American Lectures on the History of Religions. New York: Columbia University Press, 2015.</w:t>
      </w:r>
    </w:p>
    <w:p w14:paraId="0516A42B" w14:textId="77777777" w:rsidR="003649EF" w:rsidRPr="003649EF" w:rsidRDefault="003649EF" w:rsidP="003649EF">
      <w:pPr>
        <w:pStyle w:val="Bibliography"/>
        <w:spacing w:after="120"/>
        <w:rPr>
          <w:rFonts w:ascii="Calibri" w:cs="Calibri"/>
          <w:lang w:val="en-GB"/>
        </w:rPr>
      </w:pPr>
      <w:r w:rsidRPr="003649EF">
        <w:rPr>
          <w:rFonts w:ascii="Calibri" w:cs="Calibri"/>
          <w:lang w:val="de-AT"/>
        </w:rPr>
        <w:t xml:space="preserve">Harnack, Adolf von. </w:t>
      </w:r>
      <w:r w:rsidRPr="003649EF">
        <w:rPr>
          <w:rFonts w:ascii="Calibri" w:cs="Calibri"/>
          <w:i/>
          <w:iCs/>
          <w:lang w:val="de-AT"/>
        </w:rPr>
        <w:t xml:space="preserve">Mission Und Ausbreitung </w:t>
      </w:r>
      <w:proofErr w:type="spellStart"/>
      <w:r w:rsidRPr="003649EF">
        <w:rPr>
          <w:rFonts w:ascii="Calibri" w:cs="Calibri"/>
          <w:i/>
          <w:iCs/>
          <w:lang w:val="de-AT"/>
        </w:rPr>
        <w:t>Des</w:t>
      </w:r>
      <w:proofErr w:type="spellEnd"/>
      <w:r w:rsidRPr="003649EF">
        <w:rPr>
          <w:rFonts w:ascii="Calibri" w:cs="Calibri"/>
          <w:i/>
          <w:iCs/>
          <w:lang w:val="de-AT"/>
        </w:rPr>
        <w:t xml:space="preserve"> Christentums</w:t>
      </w:r>
      <w:r w:rsidRPr="003649EF">
        <w:rPr>
          <w:rFonts w:ascii="Calibri" w:cs="Calibri"/>
          <w:lang w:val="de-AT"/>
        </w:rPr>
        <w:t xml:space="preserve">. </w:t>
      </w:r>
      <w:r w:rsidRPr="003649EF">
        <w:rPr>
          <w:rFonts w:ascii="Calibri" w:cs="Calibri"/>
          <w:lang w:val="en-GB"/>
        </w:rPr>
        <w:t>Vol. 1. 4 vols. Leipzig: Hinrichs, 1924.</w:t>
      </w:r>
    </w:p>
    <w:p w14:paraId="50A4A5D7" w14:textId="77777777" w:rsidR="003649EF" w:rsidRPr="003649EF" w:rsidRDefault="003649EF" w:rsidP="003649EF">
      <w:pPr>
        <w:pStyle w:val="Bibliography"/>
        <w:spacing w:after="120"/>
        <w:rPr>
          <w:rFonts w:ascii="Calibri" w:cs="Calibri"/>
          <w:lang w:val="en-GB"/>
        </w:rPr>
      </w:pPr>
      <w:r w:rsidRPr="003649EF">
        <w:rPr>
          <w:rFonts w:ascii="Calibri" w:cs="Calibri"/>
          <w:lang w:val="en-GB"/>
        </w:rPr>
        <w:lastRenderedPageBreak/>
        <w:t xml:space="preserve">Hays, Richard B. </w:t>
      </w:r>
      <w:r w:rsidRPr="003649EF">
        <w:rPr>
          <w:rFonts w:ascii="Calibri" w:cs="Calibri"/>
          <w:i/>
          <w:iCs/>
          <w:lang w:val="en-GB"/>
        </w:rPr>
        <w:t>The Faith of Jesus Christ: The Narrative Substructure of Galatians 3:1-4:11</w:t>
      </w:r>
      <w:r w:rsidRPr="003649EF">
        <w:rPr>
          <w:rFonts w:ascii="Calibri" w:cs="Calibri"/>
          <w:lang w:val="en-GB"/>
        </w:rPr>
        <w:t>. [2nd ed.]. The Biblical Resource Series. Grand Rapids, Michigan: Eerdmans, 2002.</w:t>
      </w:r>
    </w:p>
    <w:p w14:paraId="577B06FD"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Martin, Dave B. ‘Paul and the Judaism/ Hellenism Dichotomy: Toward a Social History of the Question’. In </w:t>
      </w:r>
      <w:r w:rsidRPr="003649EF">
        <w:rPr>
          <w:rFonts w:ascii="Calibri" w:cs="Calibri"/>
          <w:i/>
          <w:iCs/>
          <w:lang w:val="en-GB"/>
        </w:rPr>
        <w:t>Paul beyond the Judaism/Hellenism Divide</w:t>
      </w:r>
      <w:r w:rsidRPr="003649EF">
        <w:rPr>
          <w:rFonts w:ascii="Calibri" w:cs="Calibri"/>
          <w:lang w:val="en-GB"/>
        </w:rPr>
        <w:t>, edited by Troels Engberg-Pedersen, 29–62. Louisville, KY: Westminster John Knox Press, 2001.</w:t>
      </w:r>
    </w:p>
    <w:p w14:paraId="25C8089B"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Nanos, Mark D. </w:t>
      </w:r>
      <w:r w:rsidRPr="003649EF">
        <w:rPr>
          <w:rFonts w:ascii="Calibri" w:cs="Calibri"/>
          <w:i/>
          <w:iCs/>
          <w:lang w:val="en-GB"/>
        </w:rPr>
        <w:t>Reading Paul within Judaism</w:t>
      </w:r>
      <w:r w:rsidRPr="003649EF">
        <w:rPr>
          <w:rFonts w:ascii="Calibri" w:cs="Calibri"/>
          <w:lang w:val="en-GB"/>
        </w:rPr>
        <w:t xml:space="preserve">. Collected Essays of Mark D. </w:t>
      </w:r>
      <w:proofErr w:type="gramStart"/>
      <w:r w:rsidRPr="003649EF">
        <w:rPr>
          <w:rFonts w:ascii="Calibri" w:cs="Calibri"/>
          <w:lang w:val="en-GB"/>
        </w:rPr>
        <w:t>Nanos ;</w:t>
      </w:r>
      <w:proofErr w:type="gramEnd"/>
      <w:r w:rsidRPr="003649EF">
        <w:rPr>
          <w:rFonts w:ascii="Calibri" w:cs="Calibri"/>
          <w:lang w:val="en-GB"/>
        </w:rPr>
        <w:t xml:space="preserve"> ; Vol. 1. Eugene, </w:t>
      </w:r>
      <w:proofErr w:type="gramStart"/>
      <w:r w:rsidRPr="003649EF">
        <w:rPr>
          <w:rFonts w:ascii="Calibri" w:cs="Calibri"/>
          <w:lang w:val="en-GB"/>
        </w:rPr>
        <w:t>Oregon :</w:t>
      </w:r>
      <w:proofErr w:type="gramEnd"/>
      <w:r w:rsidRPr="003649EF">
        <w:rPr>
          <w:rFonts w:ascii="Calibri" w:cs="Calibri"/>
          <w:lang w:val="en-GB"/>
        </w:rPr>
        <w:t xml:space="preserve"> Cascade Books, 2017.</w:t>
      </w:r>
    </w:p>
    <w:p w14:paraId="05FEDCFB" w14:textId="77777777" w:rsidR="003649EF" w:rsidRPr="003649EF" w:rsidRDefault="003649EF" w:rsidP="003649EF">
      <w:pPr>
        <w:pStyle w:val="Bibliography"/>
        <w:spacing w:after="120"/>
        <w:rPr>
          <w:rFonts w:ascii="Calibri" w:cs="Calibri"/>
          <w:lang w:val="en-GB"/>
        </w:rPr>
      </w:pPr>
      <w:proofErr w:type="spellStart"/>
      <w:r w:rsidRPr="003649EF">
        <w:rPr>
          <w:rFonts w:ascii="Calibri" w:cs="Calibri"/>
          <w:lang w:val="en-GB"/>
        </w:rPr>
        <w:t>Novenson</w:t>
      </w:r>
      <w:proofErr w:type="spellEnd"/>
      <w:r w:rsidRPr="003649EF">
        <w:rPr>
          <w:rFonts w:ascii="Calibri" w:cs="Calibri"/>
          <w:lang w:val="en-GB"/>
        </w:rPr>
        <w:t xml:space="preserve">, Matthew V. ‘Whither the Paul within Judaism Schule?’ </w:t>
      </w:r>
      <w:r w:rsidRPr="003649EF">
        <w:rPr>
          <w:rFonts w:ascii="Calibri" w:cs="Calibri"/>
          <w:i/>
          <w:iCs/>
          <w:lang w:val="en-GB"/>
        </w:rPr>
        <w:t>Journal of the Jesus Movement in Its Jewish Setting</w:t>
      </w:r>
      <w:r w:rsidRPr="003649EF">
        <w:rPr>
          <w:rFonts w:ascii="Calibri" w:cs="Calibri"/>
          <w:lang w:val="en-GB"/>
        </w:rPr>
        <w:t>, no. 5 (2018): 79–88.</w:t>
      </w:r>
    </w:p>
    <w:p w14:paraId="1D704547"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Penner, Todd. ‘Die </w:t>
      </w:r>
      <w:proofErr w:type="spellStart"/>
      <w:r w:rsidRPr="003649EF">
        <w:rPr>
          <w:rFonts w:ascii="Calibri" w:cs="Calibri"/>
          <w:lang w:val="en-GB"/>
        </w:rPr>
        <w:t>Judenfrage</w:t>
      </w:r>
      <w:proofErr w:type="spellEnd"/>
      <w:r w:rsidRPr="003649EF">
        <w:rPr>
          <w:rFonts w:ascii="Calibri" w:cs="Calibri"/>
          <w:lang w:val="en-GB"/>
        </w:rPr>
        <w:t xml:space="preserve"> and the Construction of Ancient Judaism: Toward a Foregrounding of the Backgrounds Approach to Early Christianity’. In </w:t>
      </w:r>
      <w:r w:rsidRPr="003649EF">
        <w:rPr>
          <w:rFonts w:ascii="Calibri" w:cs="Calibri"/>
          <w:i/>
          <w:iCs/>
          <w:lang w:val="en-GB"/>
        </w:rPr>
        <w:t>Scripture and Traditions</w:t>
      </w:r>
      <w:r w:rsidRPr="003649EF">
        <w:rPr>
          <w:rFonts w:ascii="Calibri" w:cs="Calibri"/>
          <w:lang w:val="en-GB"/>
        </w:rPr>
        <w:t xml:space="preserve">, edited by Patrick Gray and Gail R </w:t>
      </w:r>
      <w:proofErr w:type="spellStart"/>
      <w:r w:rsidRPr="003649EF">
        <w:rPr>
          <w:rFonts w:ascii="Calibri" w:cs="Calibri"/>
          <w:lang w:val="en-GB"/>
        </w:rPr>
        <w:t>O’Dale</w:t>
      </w:r>
      <w:proofErr w:type="spellEnd"/>
      <w:r w:rsidRPr="003649EF">
        <w:rPr>
          <w:rFonts w:ascii="Calibri" w:cs="Calibri"/>
          <w:lang w:val="en-GB"/>
        </w:rPr>
        <w:t>, 429–56. Leiden: Brill, 2008.</w:t>
      </w:r>
    </w:p>
    <w:p w14:paraId="771E8231"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Said, Edward W. </w:t>
      </w:r>
      <w:proofErr w:type="spellStart"/>
      <w:r w:rsidRPr="003649EF">
        <w:rPr>
          <w:rFonts w:ascii="Calibri" w:cs="Calibri"/>
          <w:i/>
          <w:iCs/>
          <w:lang w:val="en-GB"/>
        </w:rPr>
        <w:t>Orientalismus</w:t>
      </w:r>
      <w:proofErr w:type="spellEnd"/>
      <w:r w:rsidRPr="003649EF">
        <w:rPr>
          <w:rFonts w:ascii="Calibri" w:cs="Calibri"/>
          <w:lang w:val="en-GB"/>
        </w:rPr>
        <w:t xml:space="preserve">. Translated by Hans Günter Holl. 5th Edition. S. Fischer </w:t>
      </w:r>
      <w:proofErr w:type="spellStart"/>
      <w:r w:rsidRPr="003649EF">
        <w:rPr>
          <w:rFonts w:ascii="Calibri" w:cs="Calibri"/>
          <w:lang w:val="en-GB"/>
        </w:rPr>
        <w:t>Wissenschaft</w:t>
      </w:r>
      <w:proofErr w:type="spellEnd"/>
      <w:r w:rsidRPr="003649EF">
        <w:rPr>
          <w:rFonts w:ascii="Calibri" w:cs="Calibri"/>
          <w:lang w:val="en-GB"/>
        </w:rPr>
        <w:t xml:space="preserve">. Frankfurt am Main: </w:t>
      </w:r>
      <w:proofErr w:type="spellStart"/>
      <w:r w:rsidRPr="003649EF">
        <w:rPr>
          <w:rFonts w:ascii="Calibri" w:cs="Calibri"/>
          <w:lang w:val="en-GB"/>
        </w:rPr>
        <w:t>SFischer</w:t>
      </w:r>
      <w:proofErr w:type="spellEnd"/>
      <w:r w:rsidRPr="003649EF">
        <w:rPr>
          <w:rFonts w:ascii="Calibri" w:cs="Calibri"/>
          <w:lang w:val="en-GB"/>
        </w:rPr>
        <w:t>, 2017.</w:t>
      </w:r>
    </w:p>
    <w:p w14:paraId="687583FD" w14:textId="77777777" w:rsidR="003649EF" w:rsidRPr="009F5BBD" w:rsidRDefault="003649EF" w:rsidP="003649EF">
      <w:pPr>
        <w:pStyle w:val="Bibliography"/>
        <w:spacing w:after="120"/>
        <w:rPr>
          <w:rFonts w:ascii="Calibri" w:cs="Calibri"/>
          <w:lang w:val="de-AT"/>
        </w:rPr>
      </w:pPr>
      <w:r w:rsidRPr="003649EF">
        <w:rPr>
          <w:rFonts w:ascii="Calibri" w:cs="Calibri"/>
          <w:lang w:val="en-GB"/>
        </w:rPr>
        <w:t xml:space="preserve">Sanders, E. P. </w:t>
      </w:r>
      <w:r w:rsidRPr="003649EF">
        <w:rPr>
          <w:rFonts w:ascii="Calibri" w:cs="Calibri"/>
          <w:i/>
          <w:iCs/>
          <w:lang w:val="en-GB"/>
        </w:rPr>
        <w:t>Paul and Palestinian Judaism: A Comparison of Patterns of Religion</w:t>
      </w:r>
      <w:r w:rsidRPr="003649EF">
        <w:rPr>
          <w:rFonts w:ascii="Calibri" w:cs="Calibri"/>
          <w:lang w:val="en-GB"/>
        </w:rPr>
        <w:t xml:space="preserve">. </w:t>
      </w:r>
      <w:r w:rsidRPr="009F5BBD">
        <w:rPr>
          <w:rFonts w:ascii="Calibri" w:cs="Calibri"/>
          <w:lang w:val="de-AT"/>
        </w:rPr>
        <w:t>1st Edition. London: SCM Press, 1977.</w:t>
      </w:r>
    </w:p>
    <w:p w14:paraId="7F557A37" w14:textId="77777777" w:rsidR="003649EF" w:rsidRPr="003649EF" w:rsidRDefault="003649EF" w:rsidP="003649EF">
      <w:pPr>
        <w:pStyle w:val="Bibliography"/>
        <w:spacing w:after="120"/>
        <w:rPr>
          <w:rFonts w:ascii="Calibri" w:cs="Calibri"/>
          <w:lang w:val="en-GB"/>
        </w:rPr>
      </w:pPr>
      <w:r w:rsidRPr="009F5BBD">
        <w:rPr>
          <w:rFonts w:ascii="Calibri" w:cs="Calibri"/>
          <w:lang w:val="de-AT"/>
        </w:rPr>
        <w:t xml:space="preserve">Schnelle, Udo. </w:t>
      </w:r>
      <w:r w:rsidRPr="009F5BBD">
        <w:rPr>
          <w:rFonts w:ascii="Calibri" w:cs="Calibri"/>
          <w:i/>
          <w:iCs/>
          <w:lang w:val="de-AT"/>
        </w:rPr>
        <w:t>Paulus: Leben und Denken</w:t>
      </w:r>
      <w:r w:rsidRPr="009F5BBD">
        <w:rPr>
          <w:rFonts w:ascii="Calibri" w:cs="Calibri"/>
          <w:lang w:val="de-AT"/>
        </w:rPr>
        <w:t xml:space="preserve">. </w:t>
      </w:r>
      <w:r w:rsidRPr="003649EF">
        <w:rPr>
          <w:rFonts w:ascii="Calibri" w:cs="Calibri"/>
          <w:i/>
          <w:iCs/>
          <w:lang w:val="en-GB"/>
        </w:rPr>
        <w:t>Paulus</w:t>
      </w:r>
      <w:r w:rsidRPr="003649EF">
        <w:rPr>
          <w:rFonts w:ascii="Calibri" w:cs="Calibri"/>
          <w:lang w:val="en-GB"/>
        </w:rPr>
        <w:t>. Berlin: De Gruyter, 2014.</w:t>
      </w:r>
    </w:p>
    <w:p w14:paraId="0D3E931C"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Segal, Alan F. </w:t>
      </w:r>
      <w:r w:rsidRPr="003649EF">
        <w:rPr>
          <w:rFonts w:ascii="Calibri" w:cs="Calibri"/>
          <w:i/>
          <w:iCs/>
          <w:lang w:val="en-GB"/>
        </w:rPr>
        <w:t>Paul the Convert: The Apostolate and Apostasy of Saul the Pharisee</w:t>
      </w:r>
      <w:r w:rsidRPr="003649EF">
        <w:rPr>
          <w:rFonts w:ascii="Calibri" w:cs="Calibri"/>
          <w:lang w:val="en-GB"/>
        </w:rPr>
        <w:t>. New Haven: Yale University Press, 1990.</w:t>
      </w:r>
    </w:p>
    <w:p w14:paraId="349E47DA"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Smith, Jonathan Z. </w:t>
      </w:r>
      <w:r w:rsidRPr="003649EF">
        <w:rPr>
          <w:rFonts w:ascii="Calibri" w:cs="Calibri"/>
          <w:i/>
          <w:iCs/>
          <w:lang w:val="en-GB"/>
        </w:rPr>
        <w:t xml:space="preserve">Drudgery Divine: On the Comparison of Early </w:t>
      </w:r>
      <w:proofErr w:type="spellStart"/>
      <w:r w:rsidRPr="003649EF">
        <w:rPr>
          <w:rFonts w:ascii="Calibri" w:cs="Calibri"/>
          <w:i/>
          <w:iCs/>
          <w:lang w:val="en-GB"/>
        </w:rPr>
        <w:t>Christianities</w:t>
      </w:r>
      <w:proofErr w:type="spellEnd"/>
      <w:r w:rsidRPr="003649EF">
        <w:rPr>
          <w:rFonts w:ascii="Calibri" w:cs="Calibri"/>
          <w:i/>
          <w:iCs/>
          <w:lang w:val="en-GB"/>
        </w:rPr>
        <w:t xml:space="preserve"> and the Religions of Late Antiquity</w:t>
      </w:r>
      <w:r w:rsidRPr="003649EF">
        <w:rPr>
          <w:rFonts w:ascii="Calibri" w:cs="Calibri"/>
          <w:lang w:val="en-GB"/>
        </w:rPr>
        <w:t>. London: The University of Chicago Press, 1990.</w:t>
      </w:r>
    </w:p>
    <w:p w14:paraId="37375641" w14:textId="77777777" w:rsidR="003649EF" w:rsidRPr="003649EF" w:rsidRDefault="003649EF" w:rsidP="003649EF">
      <w:pPr>
        <w:pStyle w:val="Bibliography"/>
        <w:spacing w:after="120"/>
        <w:rPr>
          <w:rFonts w:ascii="Calibri" w:cs="Calibri"/>
          <w:lang w:val="en-GB"/>
        </w:rPr>
      </w:pPr>
      <w:proofErr w:type="spellStart"/>
      <w:r w:rsidRPr="003649EF">
        <w:rPr>
          <w:rFonts w:ascii="Calibri" w:cs="Calibri"/>
          <w:lang w:val="en-GB"/>
        </w:rPr>
        <w:t>Stendahl</w:t>
      </w:r>
      <w:proofErr w:type="spellEnd"/>
      <w:r w:rsidRPr="003649EF">
        <w:rPr>
          <w:rFonts w:ascii="Calibri" w:cs="Calibri"/>
          <w:lang w:val="en-GB"/>
        </w:rPr>
        <w:t xml:space="preserve">, </w:t>
      </w:r>
      <w:proofErr w:type="spellStart"/>
      <w:r w:rsidRPr="003649EF">
        <w:rPr>
          <w:rFonts w:ascii="Calibri" w:cs="Calibri"/>
          <w:lang w:val="en-GB"/>
        </w:rPr>
        <w:t>Krister</w:t>
      </w:r>
      <w:proofErr w:type="spellEnd"/>
      <w:r w:rsidRPr="003649EF">
        <w:rPr>
          <w:rFonts w:ascii="Calibri" w:cs="Calibri"/>
          <w:lang w:val="en-GB"/>
        </w:rPr>
        <w:t xml:space="preserve">. ‘Paul among Jews and Gentiles’. In </w:t>
      </w:r>
      <w:r w:rsidRPr="003649EF">
        <w:rPr>
          <w:rFonts w:ascii="Calibri" w:cs="Calibri"/>
          <w:i/>
          <w:iCs/>
          <w:lang w:val="en-GB"/>
        </w:rPr>
        <w:t>Paul among Jews and Gentiles and Other Essays</w:t>
      </w:r>
      <w:r w:rsidRPr="003649EF">
        <w:rPr>
          <w:rFonts w:ascii="Calibri" w:cs="Calibri"/>
          <w:lang w:val="en-GB"/>
        </w:rPr>
        <w:t>, 1–77. Philadelphia: Fortress Press, 1976.</w:t>
      </w:r>
    </w:p>
    <w:p w14:paraId="60F4D035"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 ‘The Apostle Paul and the Introspective Conscience of the West’. </w:t>
      </w:r>
      <w:r w:rsidRPr="003649EF">
        <w:rPr>
          <w:rFonts w:ascii="Calibri" w:cs="Calibri"/>
          <w:i/>
          <w:iCs/>
          <w:lang w:val="en-GB"/>
        </w:rPr>
        <w:t>The Harvard Theological Review</w:t>
      </w:r>
      <w:r w:rsidRPr="003649EF">
        <w:rPr>
          <w:rFonts w:ascii="Calibri" w:cs="Calibri"/>
          <w:lang w:val="en-GB"/>
        </w:rPr>
        <w:t xml:space="preserve"> 56, no. 3 (1963): 199–215.</w:t>
      </w:r>
    </w:p>
    <w:p w14:paraId="2AE45DDE"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Toit, Du, and Philip La Grange. ‘The Radical New Perspective on Paul, Messianic Judaism and Their Connection to Christian Zionism’. </w:t>
      </w:r>
      <w:r w:rsidRPr="003649EF">
        <w:rPr>
          <w:rFonts w:ascii="Calibri" w:cs="Calibri"/>
          <w:i/>
          <w:iCs/>
          <w:lang w:val="en-GB"/>
        </w:rPr>
        <w:t>HTS Theological Studies</w:t>
      </w:r>
      <w:r w:rsidRPr="003649EF">
        <w:rPr>
          <w:rFonts w:ascii="Calibri" w:cs="Calibri"/>
          <w:lang w:val="en-GB"/>
        </w:rPr>
        <w:t xml:space="preserve"> 73, no. 3 (2017): 1–8. https://doi.org/10.4102/hts.v73i3.4603.</w:t>
      </w:r>
    </w:p>
    <w:p w14:paraId="15F1D49C"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Watson, Francis. </w:t>
      </w:r>
      <w:r w:rsidRPr="003649EF">
        <w:rPr>
          <w:rFonts w:ascii="Calibri" w:cs="Calibri"/>
          <w:i/>
          <w:iCs/>
          <w:lang w:val="en-GB"/>
        </w:rPr>
        <w:t>Paul, Judaism, and the Gentiles</w:t>
      </w:r>
      <w:proofErr w:type="gramStart"/>
      <w:r w:rsidRPr="003649EF">
        <w:rPr>
          <w:rFonts w:ascii="Calibri" w:cs="Calibri"/>
          <w:i/>
          <w:iCs/>
          <w:lang w:val="en-GB"/>
        </w:rPr>
        <w:t>: :</w:t>
      </w:r>
      <w:proofErr w:type="gramEnd"/>
      <w:r w:rsidRPr="003649EF">
        <w:rPr>
          <w:rFonts w:ascii="Calibri" w:cs="Calibri"/>
          <w:i/>
          <w:iCs/>
          <w:lang w:val="en-GB"/>
        </w:rPr>
        <w:t xml:space="preserve"> A Sociological Approach</w:t>
      </w:r>
      <w:r w:rsidRPr="003649EF">
        <w:rPr>
          <w:rFonts w:ascii="Calibri" w:cs="Calibri"/>
          <w:lang w:val="en-GB"/>
        </w:rPr>
        <w:t xml:space="preserve">. Society for New Testament Studies Monograph Series 56. </w:t>
      </w:r>
      <w:proofErr w:type="gramStart"/>
      <w:r w:rsidRPr="003649EF">
        <w:rPr>
          <w:rFonts w:ascii="Calibri" w:cs="Calibri"/>
          <w:lang w:val="en-GB"/>
        </w:rPr>
        <w:t>Cambridge :</w:t>
      </w:r>
      <w:proofErr w:type="gramEnd"/>
      <w:r w:rsidRPr="003649EF">
        <w:rPr>
          <w:rFonts w:ascii="Calibri" w:cs="Calibri"/>
          <w:lang w:val="en-GB"/>
        </w:rPr>
        <w:t xml:space="preserve"> Cambridge University Press, 1986. https://doi.org/10.1017/CBO9780511555138.</w:t>
      </w:r>
    </w:p>
    <w:p w14:paraId="797618AB" w14:textId="77777777" w:rsidR="003649EF" w:rsidRPr="003649EF" w:rsidRDefault="003649EF" w:rsidP="003649EF">
      <w:pPr>
        <w:pStyle w:val="Bibliography"/>
        <w:spacing w:after="120"/>
        <w:rPr>
          <w:rFonts w:ascii="Calibri" w:cs="Calibri"/>
          <w:lang w:val="en-GB"/>
        </w:rPr>
      </w:pPr>
      <w:r w:rsidRPr="003649EF">
        <w:rPr>
          <w:rFonts w:ascii="Calibri" w:cs="Calibri"/>
          <w:lang w:val="de-AT"/>
        </w:rPr>
        <w:t xml:space="preserve">Wolter, Michael. </w:t>
      </w:r>
      <w:r w:rsidRPr="003649EF">
        <w:rPr>
          <w:rFonts w:ascii="Calibri" w:cs="Calibri"/>
          <w:i/>
          <w:iCs/>
          <w:lang w:val="de-AT"/>
        </w:rPr>
        <w:t>Paulus: ein Grundriss seiner Theologie</w:t>
      </w:r>
      <w:r w:rsidRPr="003649EF">
        <w:rPr>
          <w:rFonts w:ascii="Calibri" w:cs="Calibri"/>
          <w:lang w:val="de-AT"/>
        </w:rPr>
        <w:t xml:space="preserve">. </w:t>
      </w:r>
      <w:proofErr w:type="spellStart"/>
      <w:r w:rsidRPr="003649EF">
        <w:rPr>
          <w:rFonts w:ascii="Calibri" w:cs="Calibri"/>
          <w:lang w:val="en-GB"/>
        </w:rPr>
        <w:t>Neukirchen-Vluyn</w:t>
      </w:r>
      <w:proofErr w:type="spellEnd"/>
      <w:r w:rsidRPr="003649EF">
        <w:rPr>
          <w:rFonts w:ascii="Calibri" w:cs="Calibri"/>
          <w:lang w:val="en-GB"/>
        </w:rPr>
        <w:t xml:space="preserve">: </w:t>
      </w:r>
      <w:proofErr w:type="spellStart"/>
      <w:r w:rsidRPr="003649EF">
        <w:rPr>
          <w:rFonts w:ascii="Calibri" w:cs="Calibri"/>
          <w:lang w:val="en-GB"/>
        </w:rPr>
        <w:t>Neukirchener</w:t>
      </w:r>
      <w:proofErr w:type="spellEnd"/>
      <w:r w:rsidRPr="003649EF">
        <w:rPr>
          <w:rFonts w:ascii="Calibri" w:cs="Calibri"/>
          <w:lang w:val="en-GB"/>
        </w:rPr>
        <w:t xml:space="preserve"> </w:t>
      </w:r>
      <w:proofErr w:type="spellStart"/>
      <w:r w:rsidRPr="003649EF">
        <w:rPr>
          <w:rFonts w:ascii="Calibri" w:cs="Calibri"/>
          <w:lang w:val="en-GB"/>
        </w:rPr>
        <w:t>Theologie</w:t>
      </w:r>
      <w:proofErr w:type="spellEnd"/>
      <w:r w:rsidRPr="003649EF">
        <w:rPr>
          <w:rFonts w:ascii="Calibri" w:cs="Calibri"/>
          <w:lang w:val="en-GB"/>
        </w:rPr>
        <w:t>, 2011.</w:t>
      </w:r>
    </w:p>
    <w:p w14:paraId="429D5A92"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Wright, N. T. </w:t>
      </w:r>
      <w:r w:rsidRPr="003649EF">
        <w:rPr>
          <w:rFonts w:ascii="Calibri" w:cs="Calibri"/>
          <w:i/>
          <w:iCs/>
          <w:lang w:val="en-GB"/>
        </w:rPr>
        <w:t>Paul and the Faithfulness of God</w:t>
      </w:r>
      <w:r w:rsidRPr="003649EF">
        <w:rPr>
          <w:rFonts w:ascii="Calibri" w:cs="Calibri"/>
          <w:lang w:val="en-GB"/>
        </w:rPr>
        <w:t>. London: SPCK Publishing, 2013.</w:t>
      </w:r>
    </w:p>
    <w:p w14:paraId="29A87605"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‘Two Radical Jews’. Accessed 3 August 2020. https://ntwrightpage.com/2016/04/25/two-radical-jews/.</w:t>
      </w:r>
    </w:p>
    <w:p w14:paraId="3EC475A2" w14:textId="77777777" w:rsidR="003649EF" w:rsidRPr="003649EF" w:rsidRDefault="003649EF" w:rsidP="003649EF">
      <w:pPr>
        <w:pStyle w:val="Bibliography"/>
        <w:spacing w:after="120"/>
        <w:rPr>
          <w:rFonts w:ascii="Calibri" w:cs="Calibri"/>
          <w:lang w:val="en-GB"/>
        </w:rPr>
      </w:pPr>
      <w:r w:rsidRPr="003649EF">
        <w:rPr>
          <w:rFonts w:ascii="Calibri" w:cs="Calibri"/>
          <w:lang w:val="en-GB"/>
        </w:rPr>
        <w:t xml:space="preserve">Wright, N.T. </w:t>
      </w:r>
      <w:r w:rsidRPr="003649EF">
        <w:rPr>
          <w:rFonts w:ascii="Calibri" w:cs="Calibri"/>
          <w:i/>
          <w:iCs/>
          <w:lang w:val="en-GB"/>
        </w:rPr>
        <w:t>What St Paul Really Said</w:t>
      </w:r>
      <w:r w:rsidRPr="003649EF">
        <w:rPr>
          <w:rFonts w:ascii="Calibri" w:cs="Calibri"/>
          <w:lang w:val="en-GB"/>
        </w:rPr>
        <w:t xml:space="preserve">. </w:t>
      </w:r>
      <w:proofErr w:type="gramStart"/>
      <w:r w:rsidRPr="003649EF">
        <w:rPr>
          <w:rFonts w:ascii="Calibri" w:cs="Calibri"/>
          <w:lang w:val="en-GB"/>
        </w:rPr>
        <w:t>Oxford :</w:t>
      </w:r>
      <w:proofErr w:type="gramEnd"/>
      <w:r w:rsidRPr="003649EF">
        <w:rPr>
          <w:rFonts w:ascii="Calibri" w:cs="Calibri"/>
          <w:lang w:val="en-GB"/>
        </w:rPr>
        <w:t xml:space="preserve"> Lion Hudson, 1997.</w:t>
      </w:r>
    </w:p>
    <w:p w14:paraId="2732F40D" w14:textId="7D52F37A" w:rsidR="00AC2463" w:rsidRPr="00AC2463" w:rsidRDefault="00BC6A57" w:rsidP="003649EF">
      <w:pPr>
        <w:spacing w:before="120" w:after="120" w:line="240" w:lineRule="auto"/>
        <w:rPr>
          <w:lang w:val="en-GB"/>
        </w:rPr>
      </w:pPr>
      <w:r>
        <w:rPr>
          <w:lang w:val="en-GB"/>
        </w:rPr>
        <w:fldChar w:fldCharType="end"/>
      </w:r>
    </w:p>
    <w:sectPr w:rsidR="00AC2463" w:rsidRPr="00AC2463" w:rsidSect="00FE4DA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3B683" w14:textId="77777777" w:rsidR="00744565" w:rsidRDefault="00744565" w:rsidP="006B2B4E">
      <w:pPr>
        <w:spacing w:line="240" w:lineRule="auto"/>
      </w:pPr>
      <w:r>
        <w:separator/>
      </w:r>
    </w:p>
  </w:endnote>
  <w:endnote w:type="continuationSeparator" w:id="0">
    <w:p w14:paraId="118BC58E" w14:textId="77777777" w:rsidR="00744565" w:rsidRDefault="00744565" w:rsidP="006B2B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0A1D5" w14:textId="77777777" w:rsidR="00744565" w:rsidRDefault="00744565" w:rsidP="006B2B4E">
      <w:pPr>
        <w:spacing w:line="240" w:lineRule="auto"/>
      </w:pPr>
      <w:r>
        <w:separator/>
      </w:r>
    </w:p>
  </w:footnote>
  <w:footnote w:type="continuationSeparator" w:id="0">
    <w:p w14:paraId="2DA265EE" w14:textId="77777777" w:rsidR="00744565" w:rsidRDefault="00744565" w:rsidP="006B2B4E">
      <w:pPr>
        <w:spacing w:line="240" w:lineRule="auto"/>
      </w:pPr>
      <w:r>
        <w:continuationSeparator/>
      </w:r>
    </w:p>
  </w:footnote>
  <w:footnote w:id="1">
    <w:p w14:paraId="6A4ADF2A" w14:textId="4D3E7EAE" w:rsidR="00677217" w:rsidRPr="00677217" w:rsidRDefault="00677217">
      <w:pPr>
        <w:pStyle w:val="FootnoteText"/>
        <w:rPr>
          <w:lang w:val="en-GB"/>
        </w:rPr>
      </w:pPr>
      <w:r>
        <w:rPr>
          <w:rStyle w:val="FootnoteReference"/>
        </w:rPr>
        <w:footnoteRef/>
      </w:r>
      <w:r>
        <w:t xml:space="preserve"> </w:t>
      </w:r>
      <w:r>
        <w:fldChar w:fldCharType="begin"/>
      </w:r>
      <w:r>
        <w:instrText xml:space="preserve"> ADDIN ZOTERO_ITEM CSL_CITATION {"citationID":"fUsJNpLs","properties":{"formattedCitation":"Adolf von Harnack, {\\i{}Mission Und Ausbreitung Des Christentums}, vol. 1 (Leipzig: Hinrichs, 1924), 62.","plainCitation":"Adolf von Harnack, Mission Und Ausbreitung Des Christentums, vol. 1 (Leipzig: Hinrichs, 1924), 62.","noteIndex":1},"citationItems":[{"id":1212,"uris":["http://zotero.org/users/1120467/items/W96GNP3L"],"uri":["http://zotero.org/users/1120467/items/W96GNP3L"],"itemData":{"id":1212,"type":"book","event-place":"Leipzig","number-of-volumes":"4","publisher":"Hinrichs","publisher-place":"Leipzig","title":"Mission und Ausbreitung des Christentums","volume":"1","author":[{"family":"Harnack","given":"Adolf","dropping-particle":"von"}],"issued":{"date-parts":[["1924"]]}},"locator":"62"}],"schema":"https://github.com/citation-style-language/schema/raw/master/csl-citation.json"} </w:instrText>
      </w:r>
      <w:r>
        <w:fldChar w:fldCharType="separate"/>
      </w:r>
      <w:r w:rsidRPr="00677217">
        <w:rPr>
          <w:rFonts w:ascii="Calibri" w:cs="Calibri"/>
          <w:lang w:val="de-AT"/>
        </w:rPr>
        <w:t xml:space="preserve">Adolf von Harnack, </w:t>
      </w:r>
      <w:r w:rsidRPr="00677217">
        <w:rPr>
          <w:rFonts w:ascii="Calibri" w:cs="Calibri"/>
          <w:i/>
          <w:iCs/>
          <w:lang w:val="de-AT"/>
        </w:rPr>
        <w:t xml:space="preserve">Mission Und Ausbreitung </w:t>
      </w:r>
      <w:proofErr w:type="spellStart"/>
      <w:r w:rsidRPr="00677217">
        <w:rPr>
          <w:rFonts w:ascii="Calibri" w:cs="Calibri"/>
          <w:i/>
          <w:iCs/>
          <w:lang w:val="de-AT"/>
        </w:rPr>
        <w:t>Des</w:t>
      </w:r>
      <w:proofErr w:type="spellEnd"/>
      <w:r w:rsidRPr="00677217">
        <w:rPr>
          <w:rFonts w:ascii="Calibri" w:cs="Calibri"/>
          <w:i/>
          <w:iCs/>
          <w:lang w:val="de-AT"/>
        </w:rPr>
        <w:t xml:space="preserve"> Christentums</w:t>
      </w:r>
      <w:r w:rsidRPr="00677217">
        <w:rPr>
          <w:rFonts w:ascii="Calibri" w:cs="Calibri"/>
          <w:lang w:val="de-AT"/>
        </w:rPr>
        <w:t>, vol. 1 (Leipzig: Hinrichs, 1924), 62.</w:t>
      </w:r>
      <w:r>
        <w:fldChar w:fldCharType="end"/>
      </w:r>
      <w:r w:rsidRPr="00677217">
        <w:rPr>
          <w:lang w:val="de-AT"/>
        </w:rPr>
        <w:t xml:space="preserve"> </w:t>
      </w:r>
      <w:r>
        <w:rPr>
          <w:lang w:val="en-GB"/>
        </w:rPr>
        <w:t xml:space="preserve">Translation my own. </w:t>
      </w:r>
    </w:p>
  </w:footnote>
  <w:footnote w:id="2">
    <w:p w14:paraId="4A23EFFE" w14:textId="604196B6" w:rsidR="000F4028" w:rsidRPr="000F4028" w:rsidRDefault="000F4028">
      <w:pPr>
        <w:pStyle w:val="FootnoteText"/>
        <w:rPr>
          <w:lang w:val="en-GB"/>
        </w:rPr>
      </w:pPr>
      <w:r>
        <w:rPr>
          <w:rStyle w:val="FootnoteReference"/>
        </w:rPr>
        <w:footnoteRef/>
      </w:r>
      <w:r>
        <w:t xml:space="preserve"> </w:t>
      </w:r>
      <w:r>
        <w:fldChar w:fldCharType="begin"/>
      </w:r>
      <w:r w:rsidR="003649EF">
        <w:instrText xml:space="preserve"> ADDIN ZOTERO_ITEM CSL_CITATION {"citationID":"kAWiN1BD","properties":{"formattedCitation":"John G. Gager, {\\i{}Who Made Early Christianity? The Jewish Lives of the Apostle Paul}, American Lectures on the History of Religions (New York: Columbia University Press, 2015), 37\\uc0\\u8211{}51.","plainCitation":"John G. Gager, Who Made Early Christianity? The Jewish Lives of the Apostle Paul, American Lectures on the History of Religions (New York: Columbia University Press, 2015), 37–51.","noteIndex":2},"citationItems":[{"id":1127,"uris":["http://zotero.org/users/1120467/items/A3P57H25"],"uri":["http://zotero.org/users/1120467/items/A3P57H25"],"itemData":{"id":1127,"type":"book","abstract":"Enthält: Frontmatter --. CONTENTS --. ACKNOWLEDGMENTS --. INTRODUCTION --. 1. WAS THE APOSTLE TO THE GENTILES THE FATHER OF CHRISTIAN ANTI-JUDAISM? --. 2. THE APOSTLE PAUL IN JEWISH EYES Heretic or Hero? --. 3. LET'S MEET DOWNTOWN IN THE SYNAGOGUE Four Case Studies --. 4. TWO STORIES OF HOW EARLY CHRISTIANITY CAME TO BE --. 5. TURNING THE WORLD UPSIDE DOWN --. 6. EPILOGUE --. NOTES --. INDEX., In English.","collection-title":"American lectures on the history of religions","event-place":"New York","ISBN":"978-0-231-53937-1","language":"eng","publisher":"Columbia University Press","publisher-place":"New York","source":"usearch.univie.ac.at","title":"Who made early Christianity? The Jewish lives of the Apostle Paul","title-short":"Who made early Christianity?","author":[{"family":"Gager","given":"John G."}],"accessed":{"date-parts":[["2020",8,10]]},"issued":{"date-parts":[["2015"]]}},"locator":"37-51"}],"schema":"https://github.com/citation-style-language/schema/raw/master/csl-citation.json"} </w:instrText>
      </w:r>
      <w:r>
        <w:fldChar w:fldCharType="separate"/>
      </w:r>
      <w:r w:rsidR="003649EF" w:rsidRPr="003649EF">
        <w:rPr>
          <w:rFonts w:ascii="Calibri" w:cs="Calibri"/>
          <w:lang w:val="en-GB"/>
        </w:rPr>
        <w:t xml:space="preserve">John G. </w:t>
      </w:r>
      <w:proofErr w:type="spellStart"/>
      <w:r w:rsidR="003649EF" w:rsidRPr="003649EF">
        <w:rPr>
          <w:rFonts w:ascii="Calibri" w:cs="Calibri"/>
          <w:lang w:val="en-GB"/>
        </w:rPr>
        <w:t>Gager</w:t>
      </w:r>
      <w:proofErr w:type="spellEnd"/>
      <w:r w:rsidR="003649EF" w:rsidRPr="003649EF">
        <w:rPr>
          <w:rFonts w:ascii="Calibri" w:cs="Calibri"/>
          <w:lang w:val="en-GB"/>
        </w:rPr>
        <w:t xml:space="preserve">, </w:t>
      </w:r>
      <w:r w:rsidR="003649EF" w:rsidRPr="003649EF">
        <w:rPr>
          <w:rFonts w:ascii="Calibri" w:cs="Calibri"/>
          <w:i/>
          <w:iCs/>
          <w:lang w:val="en-GB"/>
        </w:rPr>
        <w:t>Who Made Early Christianity? The Jewish Lives of the Apostle Paul</w:t>
      </w:r>
      <w:r w:rsidR="003649EF" w:rsidRPr="003649EF">
        <w:rPr>
          <w:rFonts w:ascii="Calibri" w:cs="Calibri"/>
          <w:lang w:val="en-GB"/>
        </w:rPr>
        <w:t>, American Lectures on the History of Religions (New York: Columbia University Press, 2015), 37–51.</w:t>
      </w:r>
      <w:r>
        <w:fldChar w:fldCharType="end"/>
      </w:r>
    </w:p>
  </w:footnote>
  <w:footnote w:id="3">
    <w:p w14:paraId="4B1C0DC9" w14:textId="4F490E22" w:rsidR="002A10DF" w:rsidRPr="00CE2912" w:rsidRDefault="002A10DF" w:rsidP="002A10DF">
      <w:pPr>
        <w:pStyle w:val="FootnoteText"/>
        <w:rPr>
          <w:lang w:val="en-GB"/>
        </w:rPr>
      </w:pPr>
      <w:r>
        <w:rPr>
          <w:rStyle w:val="FootnoteReference"/>
        </w:rPr>
        <w:footnoteRef/>
      </w:r>
      <w:r>
        <w:t xml:space="preserve"> </w:t>
      </w:r>
      <w:r>
        <w:fldChar w:fldCharType="begin"/>
      </w:r>
      <w:r w:rsidR="003649EF">
        <w:instrText xml:space="preserve"> ADDIN ZOTERO_ITEM CSL_CITATION {"citationID":"5ezuDn0m","properties":{"formattedCitation":"Pamela Eisenbaum, \\uc0\\u8216{}Following in the Footnotes of the Apostle Paul\\uc0\\u8217{}, in {\\i{}Identity and the Politics of Scholarship in the Study of Religion}, ed. Jos\\uc0\\u233{} Ignacio Cabez\\uc0\\u243{}n and Sheila Greeve Davaney (London: Routledge, 2004), 83\\uc0\\u8211{}86.","plainCitation":"Pamela Eisenbaum, ‘Following in the Footnotes of the Apostle Paul’, in Identity and the Politics of Scholarship in the Study of Religion, ed. José Ignacio Cabezón and Sheila Greeve Davaney (London: Routledge, 2004), 83–86.","noteIndex":3},"citationItems":[{"id":1056,"uris":["http://zotero.org/users/1120467/items/IK77D2SG"],"uri":["http://zotero.org/users/1120467/items/IK77D2SG"],"itemData":{"id":1056,"type":"chapter","abstract":"Enthält: Between identity and footnotes / Sheila Greeve Davaney -- Identity and the work of the scholar of religion / José Ignacio Cabezón -- Religious identity and the study of Buddhism / Francisca Cho -- Following in the footnotes of the apostle Paul / Pamela Eisenbaum -- Neither here nor there : crossing boundaries, becoming insiders, remaining Catholic -- / Francis X. Clooney -- Religious identity, scholarship, and teaching religion / Rita Gross -- Balancing acts : navigating between the ethics of scholarship and identity / Tazim Kassam -- Post-holocaust Jewish identity and the academy : on traveling the diaspora and the experience of the double standard / Marc Ellis -- Being John Woodroffe : some mythical reflections on the postcolonial study of Hindu tantra / Jeffrey Kripal -- Identity as an intellectual problem / Kwasi Wiredu., English, Description based upon print version of record.","container-title":"Identity and the politics of scholarship in the study of religion","event-place":"London","ISBN":"978-1-135-87719-4","language":"eng","publisher":"Routledge","publisher-place":"London","source":"usearch.univie.ac.at","title":"Following in the footnotes of the apostle Paul","editor":[{"family":"Cabezón","given":"José Ignacio"},{"family":"Davaney","given":"Sheila Greeve"}],"author":[{"family":"Eisenbaum","given":"Pamela"}],"issued":{"date-parts":[["2004"]]}},"locator":"83-86"}],"schema":"https://github.com/citation-style-language/schema/raw/master/csl-citation.json"} </w:instrText>
      </w:r>
      <w:r>
        <w:fldChar w:fldCharType="separate"/>
      </w:r>
      <w:r w:rsidR="003649EF" w:rsidRPr="003649EF">
        <w:rPr>
          <w:rFonts w:ascii="Calibri" w:cs="Calibri"/>
          <w:lang w:val="en-GB"/>
        </w:rPr>
        <w:t xml:space="preserve">Pamela </w:t>
      </w:r>
      <w:proofErr w:type="spellStart"/>
      <w:r w:rsidR="003649EF" w:rsidRPr="003649EF">
        <w:rPr>
          <w:rFonts w:ascii="Calibri" w:cs="Calibri"/>
          <w:lang w:val="en-GB"/>
        </w:rPr>
        <w:t>Eisenbaum</w:t>
      </w:r>
      <w:proofErr w:type="spellEnd"/>
      <w:r w:rsidR="003649EF" w:rsidRPr="003649EF">
        <w:rPr>
          <w:rFonts w:ascii="Calibri" w:cs="Calibri"/>
          <w:lang w:val="en-GB"/>
        </w:rPr>
        <w:t xml:space="preserve">, ‘Following in the Footnotes of the Apostle Paul’, in </w:t>
      </w:r>
      <w:r w:rsidR="003649EF" w:rsidRPr="003649EF">
        <w:rPr>
          <w:rFonts w:ascii="Calibri" w:cs="Calibri"/>
          <w:i/>
          <w:iCs/>
          <w:lang w:val="en-GB"/>
        </w:rPr>
        <w:t>Identity and the Politics of Scholarship in the Study of Religion</w:t>
      </w:r>
      <w:r w:rsidR="003649EF" w:rsidRPr="003649EF">
        <w:rPr>
          <w:rFonts w:ascii="Calibri" w:cs="Calibri"/>
          <w:lang w:val="en-GB"/>
        </w:rPr>
        <w:t xml:space="preserve">, ed. José Ignacio </w:t>
      </w:r>
      <w:proofErr w:type="spellStart"/>
      <w:r w:rsidR="003649EF" w:rsidRPr="003649EF">
        <w:rPr>
          <w:rFonts w:ascii="Calibri" w:cs="Calibri"/>
          <w:lang w:val="en-GB"/>
        </w:rPr>
        <w:t>Cabezón</w:t>
      </w:r>
      <w:proofErr w:type="spellEnd"/>
      <w:r w:rsidR="003649EF" w:rsidRPr="003649EF">
        <w:rPr>
          <w:rFonts w:ascii="Calibri" w:cs="Calibri"/>
          <w:lang w:val="en-GB"/>
        </w:rPr>
        <w:t xml:space="preserve"> and Sheila </w:t>
      </w:r>
      <w:proofErr w:type="spellStart"/>
      <w:r w:rsidR="003649EF" w:rsidRPr="003649EF">
        <w:rPr>
          <w:rFonts w:ascii="Calibri" w:cs="Calibri"/>
          <w:lang w:val="en-GB"/>
        </w:rPr>
        <w:t>Greeve</w:t>
      </w:r>
      <w:proofErr w:type="spellEnd"/>
      <w:r w:rsidR="003649EF" w:rsidRPr="003649EF">
        <w:rPr>
          <w:rFonts w:ascii="Calibri" w:cs="Calibri"/>
          <w:lang w:val="en-GB"/>
        </w:rPr>
        <w:t xml:space="preserve"> </w:t>
      </w:r>
      <w:proofErr w:type="spellStart"/>
      <w:r w:rsidR="003649EF" w:rsidRPr="003649EF">
        <w:rPr>
          <w:rFonts w:ascii="Calibri" w:cs="Calibri"/>
          <w:lang w:val="en-GB"/>
        </w:rPr>
        <w:t>Davaney</w:t>
      </w:r>
      <w:proofErr w:type="spellEnd"/>
      <w:r w:rsidR="003649EF" w:rsidRPr="003649EF">
        <w:rPr>
          <w:rFonts w:ascii="Calibri" w:cs="Calibri"/>
          <w:lang w:val="en-GB"/>
        </w:rPr>
        <w:t xml:space="preserve"> (London: Routledge, 2004), 83–86.</w:t>
      </w:r>
      <w:r>
        <w:fldChar w:fldCharType="end"/>
      </w:r>
    </w:p>
  </w:footnote>
  <w:footnote w:id="4">
    <w:p w14:paraId="0E49C784" w14:textId="7FC40000" w:rsidR="002A10DF" w:rsidRPr="00CE2912" w:rsidRDefault="002A10DF" w:rsidP="002A10DF">
      <w:pPr>
        <w:pStyle w:val="FootnoteText"/>
        <w:rPr>
          <w:lang w:val="en-GB"/>
        </w:rPr>
      </w:pPr>
      <w:r>
        <w:rPr>
          <w:rStyle w:val="FootnoteReference"/>
        </w:rPr>
        <w:footnoteRef/>
      </w:r>
      <w:r>
        <w:t xml:space="preserve"> </w:t>
      </w:r>
      <w:r>
        <w:fldChar w:fldCharType="begin"/>
      </w:r>
      <w:r w:rsidR="003649EF">
        <w:instrText xml:space="preserve"> ADDIN ZOTERO_ITEM CSL_CITATION {"citationID":"LasY3FkT","properties":{"formattedCitation":"Ibid., 84.","plainCitation":"Ibid., 84.","noteIndex":4},"citationItems":[{"id":1056,"uris":["http://zotero.org/users/1120467/items/IK77D2SG"],"uri":["http://zotero.org/users/1120467/items/IK77D2SG"],"itemData":{"id":1056,"type":"chapter","abstract":"Enthält: Between identity and footnotes / Sheila Greeve Davaney -- Identity and the work of the scholar of religion / José Ignacio Cabezón -- Religious identity and the study of Buddhism / Francisca Cho -- Following in the footnotes of the apostle Paul / Pamela Eisenbaum -- Neither here nor there : crossing boundaries, becoming insiders, remaining Catholic -- / Francis X. Clooney -- Religious identity, scholarship, and teaching religion / Rita Gross -- Balancing acts : navigating between the ethics of scholarship and identity / Tazim Kassam -- Post-holocaust Jewish identity and the academy : on traveling the diaspora and the experience of the double standard / Marc Ellis -- Being John Woodroffe : some mythical reflections on the postcolonial study of Hindu tantra / Jeffrey Kripal -- Identity as an intellectual problem / Kwasi Wiredu., English, Description based upon print version of record.","container-title":"Identity and the politics of scholarship in the study of religion","event-place":"London","ISBN":"978-1-135-87719-4","language":"eng","publisher":"Routledge","publisher-place":"London","source":"usearch.univie.ac.at","title":"Following in the footnotes of the apostle Paul","editor":[{"family":"Cabezón","given":"José Ignacio"},{"family":"Davaney","given":"Sheila Greeve"}],"author":[{"family":"Eisenbaum","given":"Pamela"}],"issued":{"date-parts":[["2004"]]}},"locator":"84"}],"schema":"https://github.com/citation-style-language/schema/raw/master/csl-citation.json"} </w:instrText>
      </w:r>
      <w:r>
        <w:fldChar w:fldCharType="separate"/>
      </w:r>
      <w:r>
        <w:rPr>
          <w:noProof/>
        </w:rPr>
        <w:t>Ibid., 84.</w:t>
      </w:r>
      <w:r>
        <w:fldChar w:fldCharType="end"/>
      </w:r>
    </w:p>
  </w:footnote>
  <w:footnote w:id="5">
    <w:p w14:paraId="0DF6C020" w14:textId="5DD24624" w:rsidR="003A580F" w:rsidRPr="003A580F" w:rsidRDefault="003A580F">
      <w:pPr>
        <w:pStyle w:val="FootnoteText"/>
        <w:rPr>
          <w:lang w:val="en-GB"/>
        </w:rPr>
      </w:pPr>
      <w:r>
        <w:rPr>
          <w:rStyle w:val="FootnoteReference"/>
        </w:rPr>
        <w:footnoteRef/>
      </w:r>
      <w:r>
        <w:t xml:space="preserve"> </w:t>
      </w:r>
      <w:r>
        <w:fldChar w:fldCharType="begin"/>
      </w:r>
      <w:r w:rsidR="000F4028">
        <w:instrText xml:space="preserve"> ADDIN ZOTERO_ITEM CSL_CITATION {"citationID":"hyyWyYPf","properties":{"formattedCitation":"Dave B. Martin, \\uc0\\u8216{}Paul and the Judaism/ Hellenism Dichotomy: Toward a Social History of the Question\\uc0\\u8217{}, in {\\i{}Paul beyond the Judaism/Hellenism Divide}, ed. Troels Engberg-Pedersen (Louisville, KY: Westminster John Knox Press, 2001), 53; Du Toit and Philip La Grange, \\uc0\\u8216{}The Radical New Perspective on Paul, Messianic Judaism and Their Connection to Christian Zionism\\uc0\\u8217{}, {\\i{}HTS Theological Studies} 73, no. 3 (2017): 1\\uc0\\u8211{}2, https://doi.org/10.4102/hts.v73i3.4603.","plainCitation":"Dave B. Martin, ‘Paul and the Judaism/ Hellenism Dichotomy: Toward a Social History of the Question’, in Paul beyond the Judaism/Hellenism Divide, ed. Troels Engberg-Pedersen (Louisville, KY: Westminster John Knox Press, 2001), 53; Du Toit and Philip La Grange, ‘The Radical New Perspective on Paul, Messianic Judaism and Their Connection to Christian Zionism’, HTS Theological Studies 73, no. 3 (2017): 1–2, https://doi.org/10.4102/hts.v73i3.4603.","noteIndex":5},"citationItems":[{"id":1209,"uris":["http://zotero.org/users/1120467/items/TD8XRQMI"],"uri":["http://zotero.org/users/1120467/items/TD8XRQMI"],"itemData":{"id":1209,"type":"chapter","container-title":"Paul beyond the Judaism/Hellenism divide","event-place":"Louisville, KY","page":"29-62","publisher":"Westminster John Knox Press","publisher-place":"Louisville, KY","title":"Paul and the Judaism/ Hellenism Dichotomy: Toward a Social History of the Question","author":[{"family":"Martin","given":"Dave B."}],"editor":[{"family":"Engberg-Pedersen","given":"Troels"}],"issued":{"date-parts":[["2001"]]}},"locator":"53"},{"id":1058,"uris":["http://zotero.org/users/1120467/items/JGC3BXEG"],"uri":["http://zotero.org/users/1120467/items/JGC3BXEG"],"itemData":{"id":1058,"type":"article-journal","container-title":"HTS Theological Studies","DOI":"10.4102/hts.v73i3.4603","ISSN":"0259-9422","issue":"3","note":"publisher: AOSIS Publishing","page":"1-8","source":"SciELO","title":"The Radical New Perspective on Paul, Messianic Judaism and their connection to Christian Zionism","volume":"73","author":[{"family":"Toit","given":"Du"},{"family":"Grange","given":"Philip La"}],"issued":{"date-parts":[["2017"]]}},"locator":"1-2"}],"schema":"https://github.com/citation-style-language/schema/raw/master/csl-citation.json"} </w:instrText>
      </w:r>
      <w:r>
        <w:fldChar w:fldCharType="separate"/>
      </w:r>
      <w:r w:rsidRPr="003A580F">
        <w:rPr>
          <w:rFonts w:ascii="Calibri" w:cs="Calibri"/>
          <w:lang w:val="en-GB"/>
        </w:rPr>
        <w:t xml:space="preserve">Dave B. Martin, ‘Paul and the Judaism/ Hellenism Dichotomy: Toward a Social History of the Question’, in </w:t>
      </w:r>
      <w:r w:rsidRPr="003A580F">
        <w:rPr>
          <w:rFonts w:ascii="Calibri" w:cs="Calibri"/>
          <w:i/>
          <w:iCs/>
          <w:lang w:val="en-GB"/>
        </w:rPr>
        <w:t>Paul beyond the Judaism/Hellenism Divide</w:t>
      </w:r>
      <w:r w:rsidRPr="003A580F">
        <w:rPr>
          <w:rFonts w:ascii="Calibri" w:cs="Calibri"/>
          <w:lang w:val="en-GB"/>
        </w:rPr>
        <w:t xml:space="preserve">, ed. Troels Engberg-Pedersen (Louisville, KY: Westminster John Knox Press, 2001), 53; Du Toit and Philip La Grange, ‘The Radical New Perspective on Paul, Messianic Judaism and Their Connection to Christian Zionism’, </w:t>
      </w:r>
      <w:r w:rsidRPr="003A580F">
        <w:rPr>
          <w:rFonts w:ascii="Calibri" w:cs="Calibri"/>
          <w:i/>
          <w:iCs/>
          <w:lang w:val="en-GB"/>
        </w:rPr>
        <w:t>HTS Theological Studies</w:t>
      </w:r>
      <w:r w:rsidRPr="003A580F">
        <w:rPr>
          <w:rFonts w:ascii="Calibri" w:cs="Calibri"/>
          <w:lang w:val="en-GB"/>
        </w:rPr>
        <w:t xml:space="preserve"> 73, no. 3 (2017): 1–2, https://doi.org/10.4102/hts.v73i3.4603.</w:t>
      </w:r>
      <w:r>
        <w:fldChar w:fldCharType="end"/>
      </w:r>
    </w:p>
  </w:footnote>
  <w:footnote w:id="6">
    <w:p w14:paraId="1FA076FF" w14:textId="3C74DD9F" w:rsidR="001656BC" w:rsidRPr="001656BC" w:rsidRDefault="001656BC">
      <w:pPr>
        <w:pStyle w:val="FootnoteText"/>
        <w:rPr>
          <w:lang w:val="en-GB"/>
        </w:rPr>
      </w:pPr>
      <w:r>
        <w:rPr>
          <w:rStyle w:val="FootnoteReference"/>
        </w:rPr>
        <w:footnoteRef/>
      </w:r>
      <w:r>
        <w:t xml:space="preserve"> </w:t>
      </w:r>
      <w:r>
        <w:rPr>
          <w:lang w:val="en-GB"/>
        </w:rPr>
        <w:t xml:space="preserve">On this, see: </w:t>
      </w:r>
      <w:r>
        <w:fldChar w:fldCharType="begin"/>
      </w:r>
      <w:r w:rsidR="003649EF">
        <w:instrText xml:space="preserve"> ADDIN ZOTERO_ITEM CSL_CITATION {"citationID":"FogXYtBL","properties":{"formattedCitation":"Paula Fredriksen, {\\i{}Augustine and the Jews: A Christian Defense of Jews and Judaism\\uc0\\u8239{}: With a New Postscript}, 1st ed. (New Haven, CT: Yale University Press, 2010).","plainCitation":"Paula Fredriksen, Augustine and the Jews: A Christian Defense of Jews and Judaism : With a New Postscript, 1st ed. (New Haven, CT: Yale University Press, 2010).","noteIndex":6},"citationItems":[{"id":1213,"uris":["http://zotero.org/users/1120467/items/VM3TIC9Y"],"uri":["http://zotero.org/users/1120467/items/VM3TIC9Y"],"itemData":{"id":1213,"type":"book","abstract":"Enthält: The legacy of Alexander -- Gods and their humans -- Gods and the one God -- Paideia : pagan, Jewish, Christian -- Pagans, Jews, and Christians in the Mediterranean City -- The Prodigal Son -- The heretic -- The sojourner -- The convert -- The biblical theologian -- God and Israel -- The war of words -- The redemption of the flesh -- The mark of Cain -- \"Slay them not ... .\", English, Maps on endpapers.","edition":"1st ed.","event-place":"New Haven, CT","ISBN":"978-0-385-50270-2","language":"eng","number-of-pages":"529","publisher":"Yale University Press","publisher-place":"New Haven, CT","source":"usearch.univie.ac.at","title":"Augustine and the Jews: a Christian defense of Jews and Judaism : with a new postscript","title-short":"Augustine and the Jews","author":[{"family":"Fredriksen","given":"Paula"}],"issued":{"date-parts":[["2010"]]}}}],"schema":"https://github.com/citation-style-language/schema/raw/master/csl-citation.json"} </w:instrText>
      </w:r>
      <w:r>
        <w:fldChar w:fldCharType="separate"/>
      </w:r>
      <w:r w:rsidR="003649EF" w:rsidRPr="003649EF">
        <w:rPr>
          <w:rFonts w:ascii="Calibri" w:cs="Calibri"/>
          <w:lang w:val="en-GB"/>
        </w:rPr>
        <w:t xml:space="preserve">Paula </w:t>
      </w:r>
      <w:proofErr w:type="spellStart"/>
      <w:r w:rsidR="003649EF" w:rsidRPr="003649EF">
        <w:rPr>
          <w:rFonts w:ascii="Calibri" w:cs="Calibri"/>
          <w:lang w:val="en-GB"/>
        </w:rPr>
        <w:t>Fredriksen</w:t>
      </w:r>
      <w:proofErr w:type="spellEnd"/>
      <w:r w:rsidR="003649EF" w:rsidRPr="003649EF">
        <w:rPr>
          <w:rFonts w:ascii="Calibri" w:cs="Calibri"/>
          <w:lang w:val="en-GB"/>
        </w:rPr>
        <w:t xml:space="preserve">, </w:t>
      </w:r>
      <w:r w:rsidR="003649EF" w:rsidRPr="003649EF">
        <w:rPr>
          <w:rFonts w:ascii="Calibri" w:cs="Calibri"/>
          <w:i/>
          <w:iCs/>
          <w:lang w:val="en-GB"/>
        </w:rPr>
        <w:t xml:space="preserve">Augustine and the Jews: A Christian </w:t>
      </w:r>
      <w:proofErr w:type="spellStart"/>
      <w:r w:rsidR="003649EF" w:rsidRPr="003649EF">
        <w:rPr>
          <w:rFonts w:ascii="Calibri" w:cs="Calibri"/>
          <w:i/>
          <w:iCs/>
          <w:lang w:val="en-GB"/>
        </w:rPr>
        <w:t>Defense</w:t>
      </w:r>
      <w:proofErr w:type="spellEnd"/>
      <w:r w:rsidR="003649EF" w:rsidRPr="003649EF">
        <w:rPr>
          <w:rFonts w:ascii="Calibri" w:cs="Calibri"/>
          <w:i/>
          <w:iCs/>
          <w:lang w:val="en-GB"/>
        </w:rPr>
        <w:t xml:space="preserve"> of Jews and Judaism : With a New Postscript</w:t>
      </w:r>
      <w:r w:rsidR="003649EF" w:rsidRPr="003649EF">
        <w:rPr>
          <w:rFonts w:ascii="Calibri" w:cs="Calibri"/>
          <w:lang w:val="en-GB"/>
        </w:rPr>
        <w:t>, 1st ed. (New Haven, CT: Yale University Press, 2010).</w:t>
      </w:r>
      <w:r>
        <w:fldChar w:fldCharType="end"/>
      </w:r>
    </w:p>
  </w:footnote>
  <w:footnote w:id="7">
    <w:p w14:paraId="39D26579" w14:textId="271A61EE" w:rsidR="00963E39" w:rsidRPr="00490032" w:rsidRDefault="00963E39" w:rsidP="00963E39">
      <w:pPr>
        <w:pStyle w:val="FootnoteText"/>
        <w:rPr>
          <w:lang w:val="en-US"/>
        </w:rPr>
      </w:pPr>
      <w:r>
        <w:rPr>
          <w:rStyle w:val="FootnoteReference"/>
        </w:rPr>
        <w:footnoteRef/>
      </w:r>
      <w:r>
        <w:t xml:space="preserve"> </w:t>
      </w:r>
      <w:r w:rsidRPr="00490032">
        <w:rPr>
          <w:lang w:val="en-US"/>
        </w:rPr>
        <w:t xml:space="preserve">See for example </w:t>
      </w:r>
      <w:r>
        <w:rPr>
          <w:lang w:val="en-US"/>
        </w:rPr>
        <w:t xml:space="preserve">Udo </w:t>
      </w:r>
      <w:proofErr w:type="spellStart"/>
      <w:r>
        <w:rPr>
          <w:lang w:val="en-US"/>
        </w:rPr>
        <w:t>Schnelle’s</w:t>
      </w:r>
      <w:proofErr w:type="spellEnd"/>
      <w:r w:rsidRPr="00490032">
        <w:rPr>
          <w:lang w:val="en-US"/>
        </w:rPr>
        <w:t xml:space="preserve"> nearly </w:t>
      </w:r>
      <w:r>
        <w:rPr>
          <w:lang w:val="en-US"/>
        </w:rPr>
        <w:t>eight hundred</w:t>
      </w:r>
      <w:r w:rsidRPr="00490032">
        <w:rPr>
          <w:lang w:val="en-US"/>
        </w:rPr>
        <w:t xml:space="preserve"> page introduction to Paul</w:t>
      </w:r>
      <w:r>
        <w:rPr>
          <w:lang w:val="en-US"/>
        </w:rPr>
        <w:t xml:space="preserve">, published in 2014 and drawing together the last few decades of German scholarship, and which still reads Paul in broadly Lutheran terms. </w:t>
      </w:r>
      <w:r>
        <w:fldChar w:fldCharType="begin"/>
      </w:r>
      <w:r w:rsidR="003649EF">
        <w:instrText xml:space="preserve"> ADDIN ZOTERO_ITEM CSL_CITATION {"citationID":"Vm1jlbu8","properties":{"formattedCitation":"Udo Schnelle, {\\i{}Paulus: Leben und Denken}, {\\i{}Paulus} (Berlin: De Gruyter, 2014).","plainCitation":"Udo Schnelle, Paulus: Leben und Denken, Paulus (Berlin: De Gruyter, 2014).","noteIndex":7},"citationItems":[{"id":1104,"uris":["http://zotero.org/users/1120467/items/FRVSFXDK"],"uri":["http://zotero.org/users/1120467/items/FRVSFXDK"],"itemData":{"id":1104,"type":"book","abstract":"&lt;p&gt;This second, thoroughly revised edition presents the development of Paul’s thinking in the context of his life, taking into account recent discussion in historical theory and the sociology of knowledge. The first section examines the life of St. Paul and the Epistles, while the second section is a thematically structured presentation of the core themes in Pauline thought, illuminating their historical genesis and systematic quality.&lt;/p&gt;","event-place":"Berlin","ISBN":"978-3-11-030158-8","language":"de","note":"container-title: Paulus","publisher":"De Gruyter","publisher-place":"Berlin","title":"Paulus: Leben und Denken","author":[{"family":"Schnelle","given":"Udo"}],"accessed":{"date-parts":[["2020",8,7]]},"issued":{"date-parts":[["2014",4,14]]}}}],"schema":"https://github.com/citation-style-language/schema/raw/master/csl-citation.json"} </w:instrText>
      </w:r>
      <w:r>
        <w:fldChar w:fldCharType="separate"/>
      </w:r>
      <w:r w:rsidR="003649EF" w:rsidRPr="009F5BBD">
        <w:rPr>
          <w:rFonts w:ascii="Calibri" w:cs="Calibri"/>
          <w:lang w:val="de-AT"/>
        </w:rPr>
        <w:t xml:space="preserve">Udo Schnelle, </w:t>
      </w:r>
      <w:r w:rsidR="003649EF" w:rsidRPr="009F5BBD">
        <w:rPr>
          <w:rFonts w:ascii="Calibri" w:cs="Calibri"/>
          <w:i/>
          <w:iCs/>
          <w:lang w:val="de-AT"/>
        </w:rPr>
        <w:t>Paulus: Leben und Denken</w:t>
      </w:r>
      <w:r w:rsidR="003649EF" w:rsidRPr="009F5BBD">
        <w:rPr>
          <w:rFonts w:ascii="Calibri" w:cs="Calibri"/>
          <w:lang w:val="de-AT"/>
        </w:rPr>
        <w:t xml:space="preserve">, </w:t>
      </w:r>
      <w:r w:rsidR="003649EF" w:rsidRPr="009F5BBD">
        <w:rPr>
          <w:rFonts w:ascii="Calibri" w:cs="Calibri"/>
          <w:i/>
          <w:iCs/>
          <w:lang w:val="de-AT"/>
        </w:rPr>
        <w:t>Paulus</w:t>
      </w:r>
      <w:r w:rsidR="003649EF" w:rsidRPr="009F5BBD">
        <w:rPr>
          <w:rFonts w:ascii="Calibri" w:cs="Calibri"/>
          <w:lang w:val="de-AT"/>
        </w:rPr>
        <w:t xml:space="preserve"> (Berlin: De </w:t>
      </w:r>
      <w:proofErr w:type="spellStart"/>
      <w:r w:rsidR="003649EF" w:rsidRPr="009F5BBD">
        <w:rPr>
          <w:rFonts w:ascii="Calibri" w:cs="Calibri"/>
          <w:lang w:val="de-AT"/>
        </w:rPr>
        <w:t>Gruyter</w:t>
      </w:r>
      <w:proofErr w:type="spellEnd"/>
      <w:r w:rsidR="003649EF" w:rsidRPr="009F5BBD">
        <w:rPr>
          <w:rFonts w:ascii="Calibri" w:cs="Calibri"/>
          <w:lang w:val="de-AT"/>
        </w:rPr>
        <w:t>, 2014).</w:t>
      </w:r>
      <w:r>
        <w:fldChar w:fldCharType="end"/>
      </w:r>
      <w:r w:rsidRPr="009F5BBD">
        <w:rPr>
          <w:lang w:val="de-AT"/>
        </w:rPr>
        <w:t xml:space="preserve"> </w:t>
      </w:r>
      <w:r w:rsidRPr="00490032">
        <w:rPr>
          <w:lang w:val="en-US"/>
        </w:rPr>
        <w:t>The New Perspective</w:t>
      </w:r>
      <w:r>
        <w:rPr>
          <w:lang w:val="en-US"/>
        </w:rPr>
        <w:t xml:space="preserve"> on Paul</w:t>
      </w:r>
      <w:r w:rsidRPr="00490032">
        <w:rPr>
          <w:lang w:val="en-US"/>
        </w:rPr>
        <w:t xml:space="preserve"> is covered in ju</w:t>
      </w:r>
      <w:r>
        <w:rPr>
          <w:lang w:val="en-US"/>
        </w:rPr>
        <w:t>st one and a quarter pages (59-60).</w:t>
      </w:r>
    </w:p>
  </w:footnote>
  <w:footnote w:id="8">
    <w:p w14:paraId="366CDF2E" w14:textId="5AAE7B23" w:rsidR="007E220A" w:rsidRPr="004B1D28" w:rsidRDefault="007E220A">
      <w:pPr>
        <w:pStyle w:val="FootnoteText"/>
        <w:rPr>
          <w:lang w:val="en-GB"/>
        </w:rPr>
      </w:pPr>
      <w:r>
        <w:rPr>
          <w:rStyle w:val="FootnoteReference"/>
        </w:rPr>
        <w:footnoteRef/>
      </w:r>
      <w:r>
        <w:t xml:space="preserve"> </w:t>
      </w:r>
      <w:r>
        <w:rPr>
          <w:lang w:val="en-GB"/>
        </w:rPr>
        <w:t xml:space="preserve">One cannot fail to mention the personal influence and role of </w:t>
      </w:r>
      <w:proofErr w:type="spellStart"/>
      <w:r>
        <w:rPr>
          <w:lang w:val="en-GB"/>
        </w:rPr>
        <w:t>Stendahl</w:t>
      </w:r>
      <w:proofErr w:type="spellEnd"/>
      <w:r>
        <w:rPr>
          <w:lang w:val="en-GB"/>
        </w:rPr>
        <w:t xml:space="preserve"> in supporting Christian/Jewish dialogue on the Apostle Paul. He has been personally thanked in the acknowledgements of many books, including: </w:t>
      </w:r>
      <w:r>
        <w:fldChar w:fldCharType="begin"/>
      </w:r>
      <w:r w:rsidR="003649EF">
        <w:instrText xml:space="preserve"> ADDIN ZOTERO_ITEM CSL_CITATION {"citationID":"GDLV5hNX","properties":{"formattedCitation":"Paula Fredriksen, {\\i{}Paul, the Pagans\\uc0\\u8217{} Apostle} (New Haven, CT: Yale University Press, 2017), 178.","plainCitation":"Paula Fredriksen, Paul, the Pagans’ Apostle (New Haven, CT: Yale University Press, 2017), 178.","noteIndex":8},"citationItems":[{"id":1049,"uris":["http://zotero.org/users/1120467/items/627CYLMJ"],"uri":["http://zotero.org/users/1120467/items/627CYLMJ"],"itemData":{"id":1049,"type":"book","abstract":"Previously issued in print: 2017.","event-place":"New Haven, CT","ISBN":"978-0-300-23136-6","language":"eng","publisher":"Yale University Press","publisher-place":"New Haven, CT","source":"usearch.univie.ac.at","title":"Paul, the pagans' apostle","author":[{"family":"Fredriksen","given":"Paula"}],"issued":{"date-parts":[["2017"]]}},"locator":"178"}],"schema":"https://github.com/citation-style-language/schema/raw/master/csl-citation.json"} </w:instrText>
      </w:r>
      <w:r>
        <w:fldChar w:fldCharType="separate"/>
      </w:r>
      <w:r w:rsidR="003649EF" w:rsidRPr="003649EF">
        <w:rPr>
          <w:rFonts w:ascii="Calibri" w:cs="Calibri"/>
          <w:lang w:val="en-GB"/>
        </w:rPr>
        <w:t xml:space="preserve">Paula </w:t>
      </w:r>
      <w:proofErr w:type="spellStart"/>
      <w:r w:rsidR="003649EF" w:rsidRPr="003649EF">
        <w:rPr>
          <w:rFonts w:ascii="Calibri" w:cs="Calibri"/>
          <w:lang w:val="en-GB"/>
        </w:rPr>
        <w:t>Fredriksen</w:t>
      </w:r>
      <w:proofErr w:type="spellEnd"/>
      <w:r w:rsidR="003649EF" w:rsidRPr="003649EF">
        <w:rPr>
          <w:rFonts w:ascii="Calibri" w:cs="Calibri"/>
          <w:lang w:val="en-GB"/>
        </w:rPr>
        <w:t xml:space="preserve">, </w:t>
      </w:r>
      <w:r w:rsidR="003649EF" w:rsidRPr="003649EF">
        <w:rPr>
          <w:rFonts w:ascii="Calibri" w:cs="Calibri"/>
          <w:i/>
          <w:iCs/>
          <w:lang w:val="en-GB"/>
        </w:rPr>
        <w:t>Paul, the Pagans’ Apostle</w:t>
      </w:r>
      <w:r w:rsidR="003649EF" w:rsidRPr="003649EF">
        <w:rPr>
          <w:rFonts w:ascii="Calibri" w:cs="Calibri"/>
          <w:lang w:val="en-GB"/>
        </w:rPr>
        <w:t xml:space="preserve"> (New Haven, CT: Yale University Press, 2017), 178.</w:t>
      </w:r>
      <w:r>
        <w:fldChar w:fldCharType="end"/>
      </w:r>
      <w:r>
        <w:rPr>
          <w:lang w:val="en-GB"/>
        </w:rPr>
        <w:t xml:space="preserve"> </w:t>
      </w:r>
    </w:p>
  </w:footnote>
  <w:footnote w:id="9">
    <w:p w14:paraId="41AC9483" w14:textId="54BDF063" w:rsidR="007E220A" w:rsidRPr="00CE2912" w:rsidRDefault="007E220A">
      <w:pPr>
        <w:pStyle w:val="FootnoteText"/>
        <w:rPr>
          <w:lang w:val="en-US"/>
        </w:rPr>
      </w:pPr>
      <w:r>
        <w:rPr>
          <w:rStyle w:val="FootnoteReference"/>
        </w:rPr>
        <w:footnoteRef/>
      </w:r>
      <w:r>
        <w:t xml:space="preserve"> </w:t>
      </w:r>
      <w:r>
        <w:fldChar w:fldCharType="begin"/>
      </w:r>
      <w:r w:rsidR="000F4028">
        <w:instrText xml:space="preserve"> ADDIN ZOTERO_ITEM CSL_CITATION {"citationID":"OofaG7IT","properties":{"formattedCitation":"Krister Stendahl, \\uc0\\u8216{}The Apostle Paul and the Introspective Conscience of the West\\uc0\\u8217{}, {\\i{}The Harvard Theological Review} 56, no. 3 (1963): 200.","plainCitation":"Krister Stendahl, ‘The Apostle Paul and the Introspective Conscience of the West’, The Harvard Theological Review 56, no. 3 (1963): 200.","noteIndex":9},"citationItems":[{"id":831,"uris":["http://zotero.org/users/1120467/items/TF3QQM9W"],"uri":["http://zotero.org/users/1120467/items/TF3QQM9W"],"itemData":{"id":831,"type":"article-journal","archive":"JSTOR","container-title":"The Harvard Theological Review","ISSN":"0017-8160","issue":"3","note":"publisher: [Cambridge University Press, Harvard Divinity School]","page":"199-215","source":"JSTOR","title":"The Apostle Paul and the Introspective Conscience of the West","volume":"56","author":[{"family":"Stendahl","given":"Krister"}],"issued":{"date-parts":[["1963"]]}},"locator":"200"}],"schema":"https://github.com/citation-style-language/schema/raw/master/csl-citation.json"} </w:instrText>
      </w:r>
      <w:r>
        <w:fldChar w:fldCharType="separate"/>
      </w:r>
      <w:proofErr w:type="spellStart"/>
      <w:r w:rsidRPr="00CE2912">
        <w:rPr>
          <w:rFonts w:ascii="Calibri" w:cs="Calibri"/>
          <w:lang w:val="en-GB"/>
        </w:rPr>
        <w:t>Krister</w:t>
      </w:r>
      <w:proofErr w:type="spellEnd"/>
      <w:r w:rsidRPr="00CE2912">
        <w:rPr>
          <w:rFonts w:ascii="Calibri" w:cs="Calibri"/>
          <w:lang w:val="en-GB"/>
        </w:rPr>
        <w:t xml:space="preserve"> </w:t>
      </w:r>
      <w:proofErr w:type="spellStart"/>
      <w:r w:rsidRPr="00CE2912">
        <w:rPr>
          <w:rFonts w:ascii="Calibri" w:cs="Calibri"/>
          <w:lang w:val="en-GB"/>
        </w:rPr>
        <w:t>Stendahl</w:t>
      </w:r>
      <w:proofErr w:type="spellEnd"/>
      <w:r w:rsidRPr="00CE2912">
        <w:rPr>
          <w:rFonts w:ascii="Calibri" w:cs="Calibri"/>
          <w:lang w:val="en-GB"/>
        </w:rPr>
        <w:t xml:space="preserve">, ‘The Apostle Paul and the Introspective Conscience of the West’, </w:t>
      </w:r>
      <w:r w:rsidRPr="00CE2912">
        <w:rPr>
          <w:rFonts w:ascii="Calibri" w:cs="Calibri"/>
          <w:i/>
          <w:iCs/>
          <w:lang w:val="en-GB"/>
        </w:rPr>
        <w:t>The Harvard Theological Review</w:t>
      </w:r>
      <w:r w:rsidRPr="00CE2912">
        <w:rPr>
          <w:rFonts w:ascii="Calibri" w:cs="Calibri"/>
          <w:lang w:val="en-GB"/>
        </w:rPr>
        <w:t xml:space="preserve"> 56, no. 3 (1963): 200.</w:t>
      </w:r>
      <w:r>
        <w:fldChar w:fldCharType="end"/>
      </w:r>
    </w:p>
  </w:footnote>
  <w:footnote w:id="10">
    <w:p w14:paraId="0AF43304" w14:textId="59A4ED9C" w:rsidR="007E220A" w:rsidRPr="00CE2912" w:rsidRDefault="007E220A">
      <w:pPr>
        <w:pStyle w:val="FootnoteText"/>
        <w:rPr>
          <w:lang w:val="en-US"/>
        </w:rPr>
      </w:pPr>
      <w:r>
        <w:rPr>
          <w:rStyle w:val="FootnoteReference"/>
        </w:rPr>
        <w:footnoteRef/>
      </w:r>
      <w:r>
        <w:t xml:space="preserve"> </w:t>
      </w:r>
      <w:r>
        <w:fldChar w:fldCharType="begin"/>
      </w:r>
      <w:r w:rsidR="000F4028">
        <w:instrText xml:space="preserve"> ADDIN ZOTERO_ITEM CSL_CITATION {"citationID":"o6tgJ0b6","properties":{"formattedCitation":"Ibid., 202.","plainCitation":"Ibid., 202.","noteIndex":10},"citationItems":[{"id":831,"uris":["http://zotero.org/users/1120467/items/TF3QQM9W"],"uri":["http://zotero.org/users/1120467/items/TF3QQM9W"],"itemData":{"id":831,"type":"article-journal","archive":"JSTOR","container-title":"The Harvard Theological Review","ISSN":"0017-8160","issue":"3","note":"publisher: [Cambridge University Press, Harvard Divinity School]","page":"199-215","source":"JSTOR","title":"The Apostle Paul and the Introspective Conscience of the West","volume":"56","author":[{"family":"Stendahl","given":"Krister"}],"issued":{"date-parts":[["1963"]]}},"locator":"202"}],"schema":"https://github.com/citation-style-language/schema/raw/master/csl-citation.json"} </w:instrText>
      </w:r>
      <w:r>
        <w:fldChar w:fldCharType="separate"/>
      </w:r>
      <w:r>
        <w:rPr>
          <w:noProof/>
        </w:rPr>
        <w:t>Ibid., 202.</w:t>
      </w:r>
      <w:r>
        <w:fldChar w:fldCharType="end"/>
      </w:r>
    </w:p>
  </w:footnote>
  <w:footnote w:id="11">
    <w:p w14:paraId="222CB556" w14:textId="5C023D19" w:rsidR="007E220A" w:rsidRPr="00CE2912" w:rsidRDefault="007E220A">
      <w:pPr>
        <w:pStyle w:val="FootnoteText"/>
        <w:rPr>
          <w:lang w:val="en-US"/>
        </w:rPr>
      </w:pPr>
      <w:r>
        <w:rPr>
          <w:rStyle w:val="FootnoteReference"/>
        </w:rPr>
        <w:footnoteRef/>
      </w:r>
      <w:r>
        <w:t xml:space="preserve"> </w:t>
      </w:r>
      <w:r>
        <w:fldChar w:fldCharType="begin"/>
      </w:r>
      <w:r w:rsidR="000F4028">
        <w:instrText xml:space="preserve"> ADDIN ZOTERO_ITEM CSL_CITATION {"citationID":"6vVD7Q4u","properties":{"formattedCitation":"Ibid., 202\\uc0\\u8211{}7.","plainCitation":"Ibid., 202–7.","noteIndex":11},"citationItems":[{"id":831,"uris":["http://zotero.org/users/1120467/items/TF3QQM9W"],"uri":["http://zotero.org/users/1120467/items/TF3QQM9W"],"itemData":{"id":831,"type":"article-journal","archive":"JSTOR","container-title":"The Harvard Theological Review","ISSN":"0017-8160","issue":"3","note":"publisher: [Cambridge University Press, Harvard Divinity School]","page":"199-215","source":"JSTOR","title":"The Apostle Paul and the Introspective Conscience of the West","volume":"56","author":[{"family":"Stendahl","given":"Krister"}],"issued":{"date-parts":[["1963"]]}},"locator":"202-207"}],"schema":"https://github.com/citation-style-language/schema/raw/master/csl-citation.json"} </w:instrText>
      </w:r>
      <w:r>
        <w:fldChar w:fldCharType="separate"/>
      </w:r>
      <w:r w:rsidRPr="00CE2912">
        <w:rPr>
          <w:rFonts w:ascii="Calibri" w:cs="Calibri"/>
          <w:lang w:val="en-GB"/>
        </w:rPr>
        <w:t>Ibid., 202–7.</w:t>
      </w:r>
      <w:r>
        <w:fldChar w:fldCharType="end"/>
      </w:r>
    </w:p>
  </w:footnote>
  <w:footnote w:id="12">
    <w:p w14:paraId="536CED5E" w14:textId="3B6B3154" w:rsidR="007E220A" w:rsidRPr="001A5A19" w:rsidRDefault="007E220A">
      <w:pPr>
        <w:pStyle w:val="FootnoteText"/>
        <w:rPr>
          <w:lang w:val="en-GB"/>
        </w:rPr>
      </w:pPr>
      <w:r>
        <w:rPr>
          <w:rStyle w:val="FootnoteReference"/>
        </w:rPr>
        <w:footnoteRef/>
      </w:r>
      <w:r>
        <w:rPr>
          <w:lang w:val="en-GB"/>
        </w:rPr>
        <w:t xml:space="preserve"> Sanders also noted that he is making arguments that many Jewish scholars had been making for a few decades and which had failed to get a hearing in (Protestant) theology faculties. See:</w:t>
      </w:r>
      <w:r>
        <w:t xml:space="preserve"> </w:t>
      </w:r>
      <w:r>
        <w:fldChar w:fldCharType="begin"/>
      </w:r>
      <w:r w:rsidR="003649EF">
        <w:instrText xml:space="preserve"> ADDIN ZOTERO_ITEM CSL_CITATION {"citationID":"3Cn3GFsj","properties":{"formattedCitation":"E. P. Sanders, {\\i{}Paul and Palestinian Judaism: A Comparison of Patterns of Religion}, 1st Edition (London: SCM Press, 1977), 33\\uc0\\u8211{}59.","plainCitation":"E. P. Sanders, Paul and Palestinian Judaism: A Comparison of Patterns of Religion, 1st Edition (London: SCM Press, 1977), 33–59.","noteIndex":12},"citationItems":[{"id":1154,"uris":["http://zotero.org/users/1120467/items/NH8NJ4ZX"],"uri":["http://zotero.org/users/1120467/items/NH8NJ4ZX"],"itemData":{"id":1154,"type":"book","abstract":"Literaturverz. S. [557] - 582","call-number":"NT-67, Ne 3.78","edition":"1st Edition","event-place":"London","language":"eng","number-of-pages":"xviii+627","publisher":"SCM Press","publisher-place":"London","source":"usearch.univie.ac.at","title":"Paul and Palestinian Judaism: a comparison of patterns of religion","title-short":"Paul and Palestinian Judaism","author":[{"family":"Sanders","given":"E. P."}],"issued":{"date-parts":[["1977"]]}},"locator":"33-59"}],"schema":"https://github.com/citation-style-language/schema/raw/master/csl-citation.json"} </w:instrText>
      </w:r>
      <w:r>
        <w:fldChar w:fldCharType="separate"/>
      </w:r>
      <w:r w:rsidR="003649EF" w:rsidRPr="003649EF">
        <w:rPr>
          <w:rFonts w:ascii="Calibri" w:cs="Calibri"/>
          <w:lang w:val="en-GB"/>
        </w:rPr>
        <w:t xml:space="preserve">E. P. Sanders, </w:t>
      </w:r>
      <w:r w:rsidR="003649EF" w:rsidRPr="003649EF">
        <w:rPr>
          <w:rFonts w:ascii="Calibri" w:cs="Calibri"/>
          <w:i/>
          <w:iCs/>
          <w:lang w:val="en-GB"/>
        </w:rPr>
        <w:t>Paul and Palestinian Judaism: A Comparison of Patterns of Religion</w:t>
      </w:r>
      <w:r w:rsidR="003649EF" w:rsidRPr="003649EF">
        <w:rPr>
          <w:rFonts w:ascii="Calibri" w:cs="Calibri"/>
          <w:lang w:val="en-GB"/>
        </w:rPr>
        <w:t>, 1st Edition (London: SCM Press, 1977), 33–59.</w:t>
      </w:r>
      <w:r>
        <w:fldChar w:fldCharType="end"/>
      </w:r>
    </w:p>
  </w:footnote>
  <w:footnote w:id="13">
    <w:p w14:paraId="3FDD160B" w14:textId="212290F6" w:rsidR="007E220A" w:rsidRPr="00E1782E"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{"citationID":"4z6zGhO8","properties":{"formattedCitation":"Ibid., 75\\uc0\\u8211{}85.","plainCitation":"Ibid., 75–85.","noteIndex":13},"citationItems":[{"id":1154,"uris":["http://zotero.org/users/1120467/items/NH8NJ4ZX"],"uri":["http://zotero.org/users/1120467/items/NH8NJ4ZX"],"itemData":{"id":1154,"type":"book","abstract":"Literaturverz. S. [557] - 582","call-number":"NT-67, Ne 3.78","edition":"1st Edition","event-place":"London","language":"eng","number-of-pages":"xviii+627","publisher":"SCM Press","publisher-place":"London","source":"usearch.univie.ac.at","title":"Paul and Palestinian Judaism: a comparison of patterns of religion","title-short":"Paul and Palestinian Judaism","author":[{"family":"Sanders","given":"E. P."}],"issued":{"date-parts":[["1977"]]}},"locator":"75-85"}],"schema":"https://github.com/citation-style-language/schema/raw/master/csl-citation.json"} </w:instrText>
      </w:r>
      <w:r>
        <w:fldChar w:fldCharType="separate"/>
      </w:r>
      <w:r w:rsidRPr="001A5A19">
        <w:rPr>
          <w:rFonts w:ascii="Calibri" w:cs="Calibri"/>
          <w:lang w:val="en-GB"/>
        </w:rPr>
        <w:t>Ibid., 75–85.</w:t>
      </w:r>
      <w:r>
        <w:fldChar w:fldCharType="end"/>
      </w:r>
    </w:p>
  </w:footnote>
  <w:footnote w:id="14">
    <w:p w14:paraId="10B32FE0" w14:textId="5EDFB957" w:rsidR="009E378C" w:rsidRPr="0018217C" w:rsidRDefault="009E378C">
      <w:pPr>
        <w:pStyle w:val="FootnoteText"/>
        <w:rPr>
          <w:lang w:val="en-US"/>
        </w:rPr>
      </w:pPr>
      <w:r>
        <w:rPr>
          <w:rStyle w:val="FootnoteReference"/>
        </w:rPr>
        <w:footnoteRef/>
      </w:r>
      <w:r>
        <w:t xml:space="preserve"> </w:t>
      </w:r>
      <w:proofErr w:type="spellStart"/>
      <w:r w:rsidRPr="009E378C">
        <w:rPr>
          <w:lang w:val="de-AT"/>
        </w:rPr>
        <w:t>Eg</w:t>
      </w:r>
      <w:proofErr w:type="spellEnd"/>
      <w:r w:rsidRPr="009E378C">
        <w:rPr>
          <w:lang w:val="de-AT"/>
        </w:rPr>
        <w:t xml:space="preserve">. </w:t>
      </w:r>
      <w:r>
        <w:fldChar w:fldCharType="begin"/>
      </w:r>
      <w:r w:rsidR="003649EF">
        <w:instrText xml:space="preserve"> ADDIN ZOTERO_ITEM CSL_CITATION {"citationID":"CNe5Bzk6","properties":{"formattedCitation":"N.T. Wright, {\\i{}What St Paul Really Said} (Oxford\\uc0\\u8239{}: Lion Hudson, 1997); N. T. Wright, {\\i{}Paul and the Faithfulness of God} (London: SPCK Publishing, 2013); Francis Watson, {\\i{}Paul, Judaism, and the Gentiles:\\uc0\\u8239{}: A Sociological Approach}, Society for New Testament Studies Monograph Series 56 (Cambridge\\uc0\\u8239{}: Cambridge University Press, 1986), https://doi.org/10.1017/CBO9780511555138; Richard B. Hays, {\\i{}The Faith of Jesus Christ: The Narrative Substructure of Galatians 3:1-4:11}, [2nd ed.]., The Biblical Resource Series (Grand Rapids, Michigan: Eerdmans, 2002); James D. G. Dunn, {\\i{}The Theology of Paul\\uc0\\u8217{}s Letter to the Galatians}, New Testament Theology (Cambridge: Cambridge University Press, 1993), https://doi.org/10.1017/CBO9781139166201; James D. G. Dunn, {\\i{}The New Perspective on Paul} (Grand Rapids, Michigan: Eerdmans, 2008); James D. G. Dunn, {\\i{}The Theology of Paul the Apostle} (Edinburgh: Clark, 1998).","plainCitation":"N.T. Wright, What St Paul Really Said (Oxford : Lion Hudson, 1997); N. T. Wright, Paul and the Faithfulness of God (London: SPCK Publishing, 2013); Francis Watson, Paul, Judaism, and the Gentiles: : A Sociological Approach, Society for New Testament Studies Monograph Series 56 (Cambridge : Cambridge University Press, 1986), https://doi.org/10.1017/CBO9780511555138; Richard B. Hays, The Faith of Jesus Christ: The Narrative Substructure of Galatians 3:1-4:11, [2nd ed.]., The Biblical Resource Series (Grand Rapids, Michigan: Eerdmans, 2002); James D. G. Dunn, The Theology of Paul’s Letter to the Galatians, New Testament Theology (Cambridge: Cambridge University Press, 1993), https://doi.org/10.1017/CBO9781139166201; James D. G. Dunn, The New Perspective on Paul (Grand Rapids, Michigan: Eerdmans, 2008); James D. G. Dunn, The Theology of Paul the Apostle (Edinburgh: Clark, 1998).","noteIndex":14},"citationItems":[{"id":1233,"uris":["http://zotero.org/users/1120467/items/AJF3YPIK"],"uri":["http://zotero.org/users/1120467/items/AJF3YPIK"],"itemData":{"id":1233,"type":"book","abstract":"Enthält: Contents Preface Chapter 1 - Puzzling Over Paul Chapter 2 - Saul the Persecutor, Paul the Convert Chapter 3 - Herald of the King Chapter 4 - Paul and Jesus Chapter 5 - Good News for the Pagans Chapter 6 - Good News for Israel Chapter 7 - Justification and the Church Chapter 8 - God's Renewed Humanity Chapter 9 - Paul's Gospel Then and Now Chapter 10 - Paul, Jesus and Christian Origins Annotated Bibliography, Paul has provoked people as much in recent times as he did when he was alive. Some regard him as a pestilent and dangerous fellow. Others think of him as the greatest teacher of Christianity after Jesus himself. In this book, leading theologian Tom Wright focuses on key areas of Paul's teaching,helping us to understand what he was doing and saying. He sweeps away the confusion of much modern theology to uncover the real man and his message. What St Paul Really Said is a book for all who want to weigh the evidence before making up their minds on the vital questions surrounding Paul. Equally it is for those who want to know what his message might mean for us today., English, Bibliographic Level Mode of Issuance: Monograph, Electronic reproduction.: Askews and Holts.. - Mode of access: World Wide Web.","event-place":"Oxford :","ISBN":"978-0-7459-5867-5","language":"eng","number-of-pages":"192","publisher":"Lion Hudson,","publisher-place":"Oxford :","source":"usearch.univie.ac.at","title":"What St Paul really said","author":[{"family":"Wright","given":"N.T."}],"issued":{"date-parts":[["1997"]]}}},{"id":1113,"uris":["http://zotero.org/users/1120467/items/E64VDI5E"],"uri":["http://zotero.org/users/1120467/items/E64VDI5E"],"itemData":{"id":1113,"type":"book","abstract":"A masterly exposition of Paul's thought by one of his leading contemporary interpreters. The summation of a lifetime's study, this landmark book offers an unparalleled wealth of detailed insights into Paul's life, times and enduring impact. Destined to become the point of reference in Pauline studies for the next decade, and beyond. 'Tom Wright's long-awaited full-length study of St Paul will not in any way disappoint the high expectations that surround it. From the very first sentence, it holds the attention, arguing a strong, persuasive, coherent and fresh case, supported by immense scholarship and comprehensive theological intelligence. It is a worthy successor to his earlier magisterial studies of the themes of the Kingdom and the Resurrection: lively, passionate and deeply constructive, laying out very plainly the ways in which the faith of the New Testament is focused on God's purpose to re-create, through the fact of Jesus crucified and risen, our entire understanding of authority and social identity.' Rowan Williams, Master of Magdalene College, Cambridge","event-place":"London","ISBN":"978-0-281-05554-8","language":"English","number-of-pages":"1680","publisher":"SPCK Publishing","publisher-place":"London","source":"Amazon","title":"Paul and the Faithfulness of God","author":[{"family":"Wright","given":"N. T."}],"issued":{"date-parts":[["2013",10,24]]}}},{"id":1085,"uris":["http://zotero.org/users/1120467/items/FL9S5SHD"],"uri":["http://zotero.org/users/1120467/items/FL9S5SHD"],"itemData":{"id":1085,"type":"book","abstract":"Enthält: 1. Paul, the Reformation and modern scholarship -- 2. The origins of Paul's view of the law -- 3. The Galatian crisis -- 4. Philippi, Corinth and the Judaizers -- 5. The situation in Rome -- 6. The social function of Romans: Rom. 2 -- 7. The social function of Romans: Rom. 3-4 -- 8. The social function of Romans: Rom. 5-8 -- 9. The social function of Romans: Rom. 9-11 -- 10. Conclusion -- Notes -- Bibliography -- Index., Title from publisher's bibliographic system (viewed on 05 Oct 2015).","collection-number":"56","collection-title":"Society for New Testament Studies monograph series","event-place":"Cambridge :","ISBN":"978-0-511-55513-8","language":"eng","publisher":"Cambridge University Press,","publisher-place":"Cambridge :","source":"usearch.univie.ac.at","title":"Paul, Judaism, and the gentiles: : a sociological approach","title-short":"Paul, Judaism, and the gentiles","URL":"https://doi.org/10.1017/CBO9780511555138","author":[{"family":"Watson","given":"Francis"}],"accessed":{"date-parts":[["2020",8,6]]},"issued":{"date-parts":[["1986"]]}}},{"id":1215,"uris":["http://zotero.org/users/1120467/items/VMNZH7VG"],"uri":["http://zotero.org/users/1120467/items/VMNZH7VG"],"itemData":{"id":1215,"type":"book","abstract":"Literaturverz. S. 231 - 248","call-number":"NT-5047","collection-title":"The biblical resource series","edition":"[2nd ed.].","event-place":"Grand Rapids, Michigan","ISBN":"978-0-8028-4957-1","language":"eng","number-of-pages":"lii+308","publisher":"Eerdmans","publisher-place":"Grand Rapids, Michigan","source":"usearch.univie.ac.at","title":"The faith of Jesus Christ: the narrative substructure of Galatians 3:1-4:11","title-short":"The faith of Jesus Christ","author":[{"family":"Hays","given":"Richard B."}],"issued":{"date-parts":[["2002"]]}}},{"id":1214,"uris":["http://zotero.org/users/1120467/items/BKLY8PE5"],"uri":["http://zotero.org/users/1120467/items/BKLY8PE5"],"itemData":{"id":1214,"type":"book","abstract":"Enthält: Editor's preface -- Preface -- List of abbreviations -- 1. Introduction -- 2. The make or break issues -- 3. The fundamental agreements -- 4. The heritage of Abraham -- 5. How should the heirs of Abraham live? -- 6. Lesser issues -- 7. The influence of Galatians in Christian thought -- List of further reading -- Indexes., Title from publisher's bibliographic system (viewed on 05 Oct 2015).","collection-title":"New Testament theology","event-place":"Cambridge","ISBN":"978-1-139-16620-1","language":"eng","publisher":"Cambridge University Press","publisher-place":"Cambridge","source":"usearch.univie.ac.at","title":"The theology of Paul's letter to the Galatians","URL":"https://doi.org/10.1017/CBO9781139166201","author":[{"family":"Dunn","given":"James D. G."}],"accessed":{"date-parts":[["2020",8,12]]},"issued":{"date-parts":[["1993"]]}}},{"id":1231,"uris":["http://zotero.org/users/1120467/items/6GHNHVV8"],"uri":["http://zotero.org/users/1120467/items/6GHNHVV8"],"itemData":{"id":1231,"type":"book","abstract":"Literaturverz. S. [493] - 506","call-number":"NT-5076","event-place":"Grand Rapids, Michigan","ISBN":"978-0-8028-4562-7","language":"eng","number-of-pages":"xi+539","publisher":"Eerdmans","publisher-place":"Grand Rapids, Michigan","source":"usearch.univie.ac.at","title":"The new perspective on Paul","author":[{"family":"Dunn","given":"James D. G."}],"issued":{"date-parts":[["2008"]]}}},{"id":1232,"uris":["http://zotero.org/users/1120467/items/HFMIXSKK"],"uri":["http://zotero.org/users/1120467/items/HFMIXSKK"],"itemData":{"id":1232,"type":"book","abstract":"Literaturverz. S. XIX - XXVIII","call-number":"NT-4231","event-place":"Edinburgh","ISBN":"978-0-567-08598-6","language":"eng","number-of-pages":"xxxvi+808","publisher":"Clark","publisher-place":"Edinburgh","title":"The theology of Paul the apostle","author":[{"family":"Dunn","given":"James D. G."}],"issued":{"date-parts":[["1998"]]}}}],"schema":"https://github.com/citation-style-language/schema/raw/master/csl-citation.json"} </w:instrText>
      </w:r>
      <w:r>
        <w:fldChar w:fldCharType="separate"/>
      </w:r>
      <w:r w:rsidR="003649EF" w:rsidRPr="003649EF">
        <w:rPr>
          <w:rFonts w:ascii="Calibri" w:cs="Calibri"/>
          <w:lang w:val="en-GB"/>
        </w:rPr>
        <w:t xml:space="preserve">N.T. Wright, </w:t>
      </w:r>
      <w:r w:rsidR="003649EF" w:rsidRPr="003649EF">
        <w:rPr>
          <w:rFonts w:ascii="Calibri" w:cs="Calibri"/>
          <w:i/>
          <w:iCs/>
          <w:lang w:val="en-GB"/>
        </w:rPr>
        <w:t>What St Paul Really Said</w:t>
      </w:r>
      <w:r w:rsidR="003649EF" w:rsidRPr="003649EF">
        <w:rPr>
          <w:rFonts w:ascii="Calibri" w:cs="Calibri"/>
          <w:lang w:val="en-GB"/>
        </w:rPr>
        <w:t xml:space="preserve"> (Oxford : Lion Hudson, 1997); N. T. Wright, </w:t>
      </w:r>
      <w:r w:rsidR="003649EF" w:rsidRPr="003649EF">
        <w:rPr>
          <w:rFonts w:ascii="Calibri" w:cs="Calibri"/>
          <w:i/>
          <w:iCs/>
          <w:lang w:val="en-GB"/>
        </w:rPr>
        <w:t>Paul and the Faithfulness of God</w:t>
      </w:r>
      <w:r w:rsidR="003649EF" w:rsidRPr="003649EF">
        <w:rPr>
          <w:rFonts w:ascii="Calibri" w:cs="Calibri"/>
          <w:lang w:val="en-GB"/>
        </w:rPr>
        <w:t xml:space="preserve"> (London: SPCK Publishing, 2013); Francis Watson, </w:t>
      </w:r>
      <w:r w:rsidR="003649EF" w:rsidRPr="003649EF">
        <w:rPr>
          <w:rFonts w:ascii="Calibri" w:cs="Calibri"/>
          <w:i/>
          <w:iCs/>
          <w:lang w:val="en-GB"/>
        </w:rPr>
        <w:t>Paul, Judaism, and the Gentiles: : A Sociological Approach</w:t>
      </w:r>
      <w:r w:rsidR="003649EF" w:rsidRPr="003649EF">
        <w:rPr>
          <w:rFonts w:ascii="Calibri" w:cs="Calibri"/>
          <w:lang w:val="en-GB"/>
        </w:rPr>
        <w:t xml:space="preserve">, Society for New Testament Studies Monograph Series 56 (Cambridge : Cambridge University Press, 1986), https://doi.org/10.1017/CBO9780511555138; Richard B. Hays, </w:t>
      </w:r>
      <w:r w:rsidR="003649EF" w:rsidRPr="003649EF">
        <w:rPr>
          <w:rFonts w:ascii="Calibri" w:cs="Calibri"/>
          <w:i/>
          <w:iCs/>
          <w:lang w:val="en-GB"/>
        </w:rPr>
        <w:t>The Faith of Jesus Christ: The Narrative Substructure of Galatians 3:1-4:11</w:t>
      </w:r>
      <w:r w:rsidR="003649EF" w:rsidRPr="003649EF">
        <w:rPr>
          <w:rFonts w:ascii="Calibri" w:cs="Calibri"/>
          <w:lang w:val="en-GB"/>
        </w:rPr>
        <w:t xml:space="preserve">, [2nd ed.]., The Biblical Resource Series (Grand Rapids, Michigan: Eerdmans, 2002); James D. G. Dunn, </w:t>
      </w:r>
      <w:r w:rsidR="003649EF" w:rsidRPr="003649EF">
        <w:rPr>
          <w:rFonts w:ascii="Calibri" w:cs="Calibri"/>
          <w:i/>
          <w:iCs/>
          <w:lang w:val="en-GB"/>
        </w:rPr>
        <w:t>The Theology of Paul’s Letter to the Galatians</w:t>
      </w:r>
      <w:r w:rsidR="003649EF" w:rsidRPr="003649EF">
        <w:rPr>
          <w:rFonts w:ascii="Calibri" w:cs="Calibri"/>
          <w:lang w:val="en-GB"/>
        </w:rPr>
        <w:t xml:space="preserve">, New Testament Theology (Cambridge: Cambridge University Press, 1993), https://doi.org/10.1017/CBO9781139166201; James D. G. Dunn, </w:t>
      </w:r>
      <w:r w:rsidR="003649EF" w:rsidRPr="003649EF">
        <w:rPr>
          <w:rFonts w:ascii="Calibri" w:cs="Calibri"/>
          <w:i/>
          <w:iCs/>
          <w:lang w:val="en-GB"/>
        </w:rPr>
        <w:t>The New Perspective on Paul</w:t>
      </w:r>
      <w:r w:rsidR="003649EF" w:rsidRPr="003649EF">
        <w:rPr>
          <w:rFonts w:ascii="Calibri" w:cs="Calibri"/>
          <w:lang w:val="en-GB"/>
        </w:rPr>
        <w:t xml:space="preserve"> (Grand Rapids, Michigan: Eerdmans, 2008); James D. G. Dunn, </w:t>
      </w:r>
      <w:r w:rsidR="003649EF" w:rsidRPr="003649EF">
        <w:rPr>
          <w:rFonts w:ascii="Calibri" w:cs="Calibri"/>
          <w:i/>
          <w:iCs/>
          <w:lang w:val="en-GB"/>
        </w:rPr>
        <w:t>The Theology of Paul the Apostle</w:t>
      </w:r>
      <w:r w:rsidR="003649EF" w:rsidRPr="003649EF">
        <w:rPr>
          <w:rFonts w:ascii="Calibri" w:cs="Calibri"/>
          <w:lang w:val="en-GB"/>
        </w:rPr>
        <w:t xml:space="preserve"> (Edinburgh: Clark, 1998).</w:t>
      </w:r>
      <w:r>
        <w:fldChar w:fldCharType="end"/>
      </w:r>
    </w:p>
  </w:footnote>
  <w:footnote w:id="15">
    <w:p w14:paraId="0D5F3895" w14:textId="3A29455A" w:rsidR="007E220A" w:rsidRPr="00E15791" w:rsidRDefault="007E220A">
      <w:pPr>
        <w:pStyle w:val="FootnoteText"/>
        <w:rPr>
          <w:lang w:val="en-GB"/>
        </w:rPr>
      </w:pPr>
      <w:r>
        <w:rPr>
          <w:rStyle w:val="FootnoteReference"/>
        </w:rPr>
        <w:footnoteRef/>
      </w:r>
      <w:r>
        <w:t xml:space="preserve"> </w:t>
      </w:r>
      <w:r>
        <w:rPr>
          <w:lang w:val="en-GB"/>
        </w:rPr>
        <w:t xml:space="preserve">For a more detailed overview of recent Jewish studies on Paul than this essay is able to provide see: </w:t>
      </w:r>
      <w:r w:rsidRPr="001A5DE2">
        <w:rPr>
          <w:rFonts w:ascii="Calibri" w:cs="Calibri"/>
          <w:lang w:val="en-GB"/>
        </w:rPr>
        <w:t xml:space="preserve">Michael F. Bird and Preston M. Sprinkle, ‘Jewish Interpretation of Paul in the Last Thirty Years’, </w:t>
      </w:r>
      <w:r w:rsidRPr="001A5DE2">
        <w:rPr>
          <w:rFonts w:ascii="Calibri" w:cs="Calibri"/>
          <w:i/>
          <w:iCs/>
          <w:lang w:val="en-GB"/>
        </w:rPr>
        <w:t>Currents in Biblical Research</w:t>
      </w:r>
      <w:r w:rsidRPr="001A5DE2">
        <w:rPr>
          <w:rFonts w:ascii="Calibri" w:cs="Calibri"/>
          <w:lang w:val="en-GB"/>
        </w:rPr>
        <w:t xml:space="preserve"> 6, no. 3 (1 June 2008): 355–76, </w:t>
      </w:r>
      <w:hyperlink r:id="rId1" w:history="1">
        <w:r w:rsidRPr="00C07D11">
          <w:rPr>
            <w:rStyle w:val="Hyperlink"/>
            <w:rFonts w:ascii="Calibri" w:cs="Calibri"/>
            <w:lang w:val="en-GB"/>
          </w:rPr>
          <w:t>https://doi.org/10.1177/1476993X07084792</w:t>
        </w:r>
      </w:hyperlink>
      <w:r>
        <w:rPr>
          <w:rFonts w:ascii="Calibri" w:cs="Calibri"/>
          <w:lang w:val="en-GB"/>
        </w:rPr>
        <w:t xml:space="preserve">.; </w:t>
      </w:r>
      <w:r>
        <w:fldChar w:fldCharType="begin"/>
      </w:r>
      <w:r w:rsidR="003649EF">
        <w:instrText xml:space="preserve"> ADDIN ZOTERO_ITEM CSL_CITATION {"citationID":"3fpbaDZB","properties":{"formattedCitation":"Eisenbaum, \\uc0\\u8216{}Following in the Footnotes of the Apostle Paul\\uc0\\u8217{}.","plainCitation":"Eisenbaum, ‘Following in the Footnotes of the Apostle Paul’.","noteIndex":15},"citationItems":[{"id":1056,"uris":["http://zotero.org/users/1120467/items/IK77D2SG"],"uri":["http://zotero.org/users/1120467/items/IK77D2SG"],"itemData":{"id":1056,"type":"chapter","abstract":"Enthält: Between identity and footnotes / Sheila Greeve Davaney -- Identity and the work of the scholar of religion / José Ignacio Cabezón -- Religious identity and the study of Buddhism / Francisca Cho -- Following in the footnotes of the apostle Paul / Pamela Eisenbaum -- Neither here nor there : crossing boundaries, becoming insiders, remaining Catholic -- / Francis X. Clooney -- Religious identity, scholarship, and teaching religion / Rita Gross -- Balancing acts : navigating between the ethics of scholarship and identity / Tazim Kassam -- Post-holocaust Jewish identity and the academy : on traveling the diaspora and the experience of the double standard / Marc Ellis -- Being John Woodroffe : some mythical reflections on the postcolonial study of Hindu tantra / Jeffrey Kripal -- Identity as an intellectual problem / Kwasi Wiredu., English, Description based upon print version of record.","container-title":"Identity and the politics of scholarship in the study of religion","event-place":"London","ISBN":"978-1-135-87719-4","language":"eng","publisher":"Routledge","publisher-place":"London","source":"usearch.univie.ac.at","title":"Following in the footnotes of the apostle Paul","editor":[{"family":"Cabezón","given":"José Ignacio"},{"family":"Davaney","given":"Sheila Greeve"}],"author":[{"family":"Eisenbaum","given":"Pamela"}],"issued":{"date-parts":[["2004"]]}}}],"schema":"https://github.com/citation-style-language/schema/raw/master/csl-citation.json"} </w:instrText>
      </w:r>
      <w:r>
        <w:fldChar w:fldCharType="separate"/>
      </w:r>
      <w:proofErr w:type="spellStart"/>
      <w:r w:rsidRPr="001A5DE2">
        <w:rPr>
          <w:rFonts w:ascii="Calibri" w:cs="Calibri"/>
          <w:lang w:val="en-GB"/>
        </w:rPr>
        <w:t>Eisenbaum</w:t>
      </w:r>
      <w:proofErr w:type="spellEnd"/>
      <w:r w:rsidRPr="001A5DE2">
        <w:rPr>
          <w:rFonts w:ascii="Calibri" w:cs="Calibri"/>
          <w:lang w:val="en-GB"/>
        </w:rPr>
        <w:t>, ‘Following in the Footnotes of the Apostle Paul’.</w:t>
      </w:r>
      <w:r>
        <w:fldChar w:fldCharType="end"/>
      </w:r>
      <w:r>
        <w:rPr>
          <w:lang w:val="en-GB"/>
        </w:rPr>
        <w:t xml:space="preserve">; </w:t>
      </w:r>
      <w:r>
        <w:fldChar w:fldCharType="begin"/>
      </w:r>
      <w:r w:rsidR="000F4028">
        <w:instrText xml:space="preserve"> ADDIN ZOTERO_ITEM CSL_CITATION {"citationID":"BNCTXntX","properties":{"formattedCitation":"Matthew V. Novenson, \\uc0\\u8216{}Whither the Paul within Judaism Schule?\\uc0\\u8217{}, {\\i{}Journal of the Jesus Movement in Its Jewish Setting}, no. 5 (2018): 79\\uc0\\u8211{}88.","plainCitation":"Matthew V. Novenson, ‘Whither the Paul within Judaism Schule?’, Journal of the Jesus Movement in Its Jewish Setting, no. 5 (2018): 79–88.","noteIndex":15},"citationItems":[{"id":1125,"uris":["http://zotero.org/users/1120467/items/6X5CQVGZ"],"uri":["http://zotero.org/users/1120467/items/6X5CQVGZ"],"itemData":{"id":1125,"type":"article-journal","container-title":"Journal of the Jesus Movement in its Jewish Setting","issue":"5","journalAbbreviation":"JJMJS","page":"79-88","title":"Whither the Paul within Judaism Schule?","author":[{"family":"Novenson","given":"Matthew V."}],"issued":{"date-parts":[["2018"]]}}}],"schema":"https://github.com/citation-style-language/schema/raw/master/csl-citation.json"} </w:instrText>
      </w:r>
      <w:r>
        <w:fldChar w:fldCharType="separate"/>
      </w:r>
      <w:r w:rsidRPr="00E15791">
        <w:rPr>
          <w:rFonts w:ascii="Calibri" w:cs="Calibri"/>
          <w:lang w:val="en-GB"/>
        </w:rPr>
        <w:t xml:space="preserve">Matthew V. </w:t>
      </w:r>
      <w:proofErr w:type="spellStart"/>
      <w:r w:rsidRPr="00E15791">
        <w:rPr>
          <w:rFonts w:ascii="Calibri" w:cs="Calibri"/>
          <w:lang w:val="en-GB"/>
        </w:rPr>
        <w:t>Novenson</w:t>
      </w:r>
      <w:proofErr w:type="spellEnd"/>
      <w:r w:rsidRPr="00E15791">
        <w:rPr>
          <w:rFonts w:ascii="Calibri" w:cs="Calibri"/>
          <w:lang w:val="en-GB"/>
        </w:rPr>
        <w:t xml:space="preserve">, ‘Whither the Paul within Judaism Schule?’, </w:t>
      </w:r>
      <w:r w:rsidRPr="00E15791">
        <w:rPr>
          <w:rFonts w:ascii="Calibri" w:cs="Calibri"/>
          <w:i/>
          <w:iCs/>
          <w:lang w:val="en-GB"/>
        </w:rPr>
        <w:t>Journal of the Jesus Movement in Its Jewish Setting</w:t>
      </w:r>
      <w:r w:rsidRPr="00E15791">
        <w:rPr>
          <w:rFonts w:ascii="Calibri" w:cs="Calibri"/>
          <w:lang w:val="en-GB"/>
        </w:rPr>
        <w:t>, no. 5 (2018): 79–88.</w:t>
      </w:r>
      <w:r>
        <w:fldChar w:fldCharType="end"/>
      </w:r>
    </w:p>
  </w:footnote>
  <w:footnote w:id="16">
    <w:p w14:paraId="64FFC764" w14:textId="3167C023" w:rsidR="007E220A" w:rsidRPr="001847C0" w:rsidRDefault="007E220A">
      <w:pPr>
        <w:pStyle w:val="FootnoteText"/>
        <w:rPr>
          <w:lang w:val="en-GB"/>
        </w:rPr>
      </w:pPr>
      <w:r>
        <w:rPr>
          <w:rStyle w:val="FootnoteReference"/>
        </w:rPr>
        <w:footnoteRef/>
      </w:r>
      <w:r>
        <w:t xml:space="preserve"> </w:t>
      </w:r>
      <w:r>
        <w:rPr>
          <w:lang w:val="en-GB"/>
        </w:rPr>
        <w:t xml:space="preserve">E.g. </w:t>
      </w:r>
      <w:r>
        <w:fldChar w:fldCharType="begin"/>
      </w:r>
      <w:r w:rsidR="003649EF">
        <w:instrText xml:space="preserve"> ADDIN ZOTERO_ITEM CSL_CITATION {"citationID":"Rru81YoX","properties":{"formattedCitation":"Alan F. Segal, {\\i{}Paul the Convert: The Apostolate and Apostasy of Saul the Pharisee} (New Haven: Yale University Press, 1990), xiv\\uc0\\u8211{}xvi.","plainCitation":"Alan F. Segal, Paul the Convert: The Apostolate and Apostasy of Saul the Pharisee (New Haven: Yale University Press, 1990), xiv–xvi.","noteIndex":16},"citationItems":[{"id":1053,"uris":["http://zotero.org/users/1120467/items/UBAZG72P"],"uri":["http://zotero.org/users/1120467/items/UBAZG72P"],"itemData":{"id":1053,"type":"book","call-number":"NT-3496","event-place":"New Haven","ISBN":"978-0-300-04527-7","language":"eng","publisher":"Yale University Press","publisher-place":"New Haven","source":"usearch.univie.ac.at","title":"Paul the convert: the apostolate and apostasy of Saul the Pharisee","title-short":"Paul the convert","author":[{"family":"Segal","given":"Alan F."}],"issued":{"date-parts":[["1990"]]}},"locator":"xiv-xvi"}],"schema":"https://github.com/citation-style-language/schema/raw/master/csl-citation.json"} </w:instrText>
      </w:r>
      <w:r>
        <w:fldChar w:fldCharType="separate"/>
      </w:r>
      <w:r w:rsidR="003649EF" w:rsidRPr="003649EF">
        <w:rPr>
          <w:rFonts w:ascii="Calibri" w:cs="Calibri"/>
          <w:lang w:val="en-GB"/>
        </w:rPr>
        <w:t xml:space="preserve">Alan F. Segal, </w:t>
      </w:r>
      <w:r w:rsidR="003649EF" w:rsidRPr="003649EF">
        <w:rPr>
          <w:rFonts w:ascii="Calibri" w:cs="Calibri"/>
          <w:i/>
          <w:iCs/>
          <w:lang w:val="en-GB"/>
        </w:rPr>
        <w:t>Paul the Convert: The Apostolate and Apostasy of Saul the Pharisee</w:t>
      </w:r>
      <w:r w:rsidR="003649EF" w:rsidRPr="003649EF">
        <w:rPr>
          <w:rFonts w:ascii="Calibri" w:cs="Calibri"/>
          <w:lang w:val="en-GB"/>
        </w:rPr>
        <w:t xml:space="preserve"> (New Haven: Yale University Press, 1990), xiv–xvi.</w:t>
      </w:r>
      <w:r>
        <w:fldChar w:fldCharType="end"/>
      </w:r>
      <w:r>
        <w:rPr>
          <w:lang w:val="en-GB"/>
        </w:rPr>
        <w:t xml:space="preserve">; </w:t>
      </w:r>
      <w:r>
        <w:fldChar w:fldCharType="begin"/>
      </w:r>
      <w:r w:rsidR="003649EF">
        <w:instrText xml:space="preserve"> ADDIN ZOTERO_ITEM CSL_CITATION {"citationID":"k6fDzJUJ","properties":{"formattedCitation":"Daniel Boyarin, {\\i{}A Radical Jew:\\uc0\\u8239{}: Paul and the Politics of Identity}, Contraversions (Berkeley, California: University of California Press, 1997), 1\\uc0\\u8211{}2.","plainCitation":"Daniel Boyarin, A Radical Jew: : Paul and the Politics of Identity, Contraversions (Berkeley, California: University of California Press, 1997), 1–2.","noteIndex":16},"citationItems":[{"id":1083,"uris":["http://zotero.org/users/1120467/items/9QZCE66Y"],"uri":["http://zotero.org/users/1120467/items/9QZCE66Y"],"itemData":{"id":1083,"type":"book","abstract":"Enthält: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Jew","author":[{"family":"Boyarin","given":"Daniel"}],"accessed":{"date-parts":[["2020",8,6]]},"issued":{"date-parts":[["1997"]]}},"locator":"1-2"}],"schema":"https://github.com/citation-style-language/schema/raw/master/csl-citation.json"} </w:instrText>
      </w:r>
      <w:r>
        <w:fldChar w:fldCharType="separate"/>
      </w:r>
      <w:r w:rsidR="003649EF" w:rsidRPr="003649EF">
        <w:rPr>
          <w:rFonts w:ascii="Calibri" w:cs="Calibri"/>
          <w:lang w:val="en-GB"/>
        </w:rPr>
        <w:t xml:space="preserve">Daniel </w:t>
      </w:r>
      <w:proofErr w:type="spellStart"/>
      <w:r w:rsidR="003649EF" w:rsidRPr="003649EF">
        <w:rPr>
          <w:rFonts w:ascii="Calibri" w:cs="Calibri"/>
          <w:lang w:val="en-GB"/>
        </w:rPr>
        <w:t>Boyarin</w:t>
      </w:r>
      <w:proofErr w:type="spellEnd"/>
      <w:r w:rsidR="003649EF" w:rsidRPr="003649EF">
        <w:rPr>
          <w:rFonts w:ascii="Calibri" w:cs="Calibri"/>
          <w:lang w:val="en-GB"/>
        </w:rPr>
        <w:t xml:space="preserve">, </w:t>
      </w:r>
      <w:r w:rsidR="003649EF" w:rsidRPr="003649EF">
        <w:rPr>
          <w:rFonts w:ascii="Calibri" w:cs="Calibri"/>
          <w:i/>
          <w:iCs/>
          <w:lang w:val="en-GB"/>
        </w:rPr>
        <w:t>A Radical Jew: : Paul and the Politics of Identity</w:t>
      </w:r>
      <w:r w:rsidR="003649EF" w:rsidRPr="003649EF">
        <w:rPr>
          <w:rFonts w:ascii="Calibri" w:cs="Calibri"/>
          <w:lang w:val="en-GB"/>
        </w:rPr>
        <w:t xml:space="preserve">, </w:t>
      </w:r>
      <w:proofErr w:type="spellStart"/>
      <w:r w:rsidR="003649EF" w:rsidRPr="003649EF">
        <w:rPr>
          <w:rFonts w:ascii="Calibri" w:cs="Calibri"/>
          <w:lang w:val="en-GB"/>
        </w:rPr>
        <w:t>Contraversions</w:t>
      </w:r>
      <w:proofErr w:type="spellEnd"/>
      <w:r w:rsidR="003649EF" w:rsidRPr="003649EF">
        <w:rPr>
          <w:rFonts w:ascii="Calibri" w:cs="Calibri"/>
          <w:lang w:val="en-GB"/>
        </w:rPr>
        <w:t xml:space="preserve"> (Berkeley, California: University of California Press, 1997), 1–2.</w:t>
      </w:r>
      <w:r>
        <w:fldChar w:fldCharType="end"/>
      </w:r>
    </w:p>
  </w:footnote>
  <w:footnote w:id="17">
    <w:p w14:paraId="3D33E147" w14:textId="5994680C" w:rsidR="007E220A" w:rsidRPr="002C1F85" w:rsidRDefault="007E220A">
      <w:pPr>
        <w:pStyle w:val="FootnoteText"/>
        <w:rPr>
          <w:lang w:val="en-GB"/>
        </w:rPr>
      </w:pPr>
      <w:r>
        <w:rPr>
          <w:rStyle w:val="FootnoteReference"/>
        </w:rPr>
        <w:footnoteRef/>
      </w:r>
      <w:r>
        <w:t xml:space="preserve"> </w:t>
      </w:r>
      <w:proofErr w:type="gramStart"/>
      <w:r>
        <w:rPr>
          <w:lang w:val="en-GB"/>
        </w:rPr>
        <w:t>E.g. P</w:t>
      </w:r>
      <w:r w:rsidRPr="005C3FEC">
        <w:rPr>
          <w:rFonts w:ascii="Calibri" w:cs="Calibri"/>
          <w:lang w:val="en-GB"/>
        </w:rPr>
        <w:t xml:space="preserve">amela </w:t>
      </w:r>
      <w:proofErr w:type="spellStart"/>
      <w:r w:rsidRPr="005C3FEC">
        <w:rPr>
          <w:rFonts w:ascii="Calibri" w:cs="Calibri"/>
          <w:lang w:val="en-GB"/>
        </w:rPr>
        <w:t>Eisenbaum</w:t>
      </w:r>
      <w:proofErr w:type="spellEnd"/>
      <w:r w:rsidRPr="005C3FEC">
        <w:rPr>
          <w:rFonts w:ascii="Calibri" w:cs="Calibri"/>
          <w:lang w:val="en-GB"/>
        </w:rPr>
        <w:t>,</w:t>
      </w:r>
      <w:proofErr w:type="gramEnd"/>
      <w:r w:rsidRPr="005C3FEC">
        <w:rPr>
          <w:rFonts w:ascii="Calibri" w:cs="Calibri"/>
          <w:lang w:val="en-GB"/>
        </w:rPr>
        <w:t xml:space="preserve"> </w:t>
      </w:r>
      <w:r w:rsidRPr="005C3FEC">
        <w:rPr>
          <w:rFonts w:ascii="Calibri" w:cs="Calibri"/>
          <w:i/>
          <w:iCs/>
          <w:lang w:val="en-GB"/>
        </w:rPr>
        <w:t>Paul Was Not a Christian: The Original Message of a Misunderstood Apostle</w:t>
      </w:r>
      <w:r w:rsidRPr="005C3FEC">
        <w:rPr>
          <w:rFonts w:ascii="Calibri" w:cs="Calibri"/>
          <w:lang w:val="en-GB"/>
        </w:rPr>
        <w:t>, Reprint edition (New York: Bravo Ltd, 2010).</w:t>
      </w:r>
    </w:p>
  </w:footnote>
  <w:footnote w:id="18">
    <w:p w14:paraId="714531F7" w14:textId="40609D9E" w:rsidR="007E220A" w:rsidRPr="008E684C" w:rsidRDefault="007E220A">
      <w:pPr>
        <w:pStyle w:val="FootnoteText"/>
      </w:pPr>
      <w:r>
        <w:rPr>
          <w:rStyle w:val="FootnoteReference"/>
        </w:rPr>
        <w:footnoteRef/>
      </w:r>
      <w:r>
        <w:t xml:space="preserve"> </w:t>
      </w:r>
      <w:r>
        <w:rPr>
          <w:lang w:val="en-GB"/>
        </w:rPr>
        <w:t xml:space="preserve">Textually, the issue is complicated by the fact that Luke reports the same scene in different ways three times in Acts (Acts </w:t>
      </w:r>
      <w:r w:rsidRPr="008E684C">
        <w:rPr>
          <w:lang w:val="en-GB"/>
        </w:rPr>
        <w:t>9:1‒19; 22:3‒16; 26:4‒18</w:t>
      </w:r>
      <w:r>
        <w:rPr>
          <w:lang w:val="en-GB"/>
        </w:rPr>
        <w:t xml:space="preserve">). Moreover, Paul himself never gives us this information, but instead speaks in more general terms about his calling and his ecstatic experiences (e.g. Gal. 1:13-17; 2 Cor. 12:1-5). The discussion of how to read Luke as a historian and how to account for the differences between Paul’s account of his life and that which we see in Luke is a notoriously complicated one and will not be addressed here. </w:t>
      </w:r>
    </w:p>
  </w:footnote>
  <w:footnote w:id="19">
    <w:p w14:paraId="2FCEE01D" w14:textId="6C8AC02C" w:rsidR="007E220A" w:rsidRPr="00B0249B" w:rsidRDefault="007E220A">
      <w:pPr>
        <w:pStyle w:val="FootnoteText"/>
        <w:rPr>
          <w:lang w:val="en-GB"/>
        </w:rPr>
      </w:pPr>
      <w:r>
        <w:rPr>
          <w:rStyle w:val="FootnoteReference"/>
        </w:rPr>
        <w:footnoteRef/>
      </w:r>
      <w:r>
        <w:t xml:space="preserve"> </w:t>
      </w:r>
      <w:r>
        <w:rPr>
          <w:lang w:val="en-GB"/>
        </w:rPr>
        <w:t xml:space="preserve">A particularly striking example of this is found in </w:t>
      </w:r>
      <w:r>
        <w:fldChar w:fldCharType="begin"/>
      </w:r>
      <w:r w:rsidR="00A7525C">
        <w:instrText xml:space="preserve"> ADDIN ZOTERO_ITEM CSL_CITATION {"citationID":"TtjEAsx5","properties":{"formattedCitation":"F.F. Bruce, {\\i{}Paul: Apostle of the Heart Set Free} (Cambridge, UK: Paternoster Press, 2000), 74\\uc0\\u8211{}82.","plainCitation":"F.F. Bruce, Paul: Apostle of the Heart Set Free (Cambridge, UK: Paternoster Press, 2000), 74–82.","noteIndex":19},"citationItems":[{"id":1108,"uris":["http://zotero.org/users/1120467/items/L2RFYFWL"],"uri":["http://zotero.org/users/1120467/items/L2RFYFWL"],"itemData":{"id":1108,"type":"book","event-place":"Cambridge, UK","publisher":"Paternoster Press","publisher-place":"Cambridge, UK","title":"Paul: Apostle of the Heart Set Free","author":[{"family":"Bruce","given":"F.F."}],"issued":{"date-parts":[["2000"]]}},"locator":"74-82"}],"schema":"https://github.com/citation-style-language/schema/raw/master/csl-citation.json"} </w:instrText>
      </w:r>
      <w:r>
        <w:fldChar w:fldCharType="separate"/>
      </w:r>
      <w:r w:rsidRPr="00CE2912">
        <w:rPr>
          <w:rFonts w:ascii="Calibri" w:cs="Calibri"/>
          <w:lang w:val="en-GB"/>
        </w:rPr>
        <w:t xml:space="preserve">F.F. Bruce, </w:t>
      </w:r>
      <w:r w:rsidRPr="00CE2912">
        <w:rPr>
          <w:rFonts w:ascii="Calibri" w:cs="Calibri"/>
          <w:i/>
          <w:iCs/>
          <w:lang w:val="en-GB"/>
        </w:rPr>
        <w:t>Paul: Apostle of the Heart Set Free</w:t>
      </w:r>
      <w:r w:rsidRPr="00CE2912">
        <w:rPr>
          <w:rFonts w:ascii="Calibri" w:cs="Calibri"/>
          <w:lang w:val="en-GB"/>
        </w:rPr>
        <w:t xml:space="preserve"> (Cambridge, UK: Paternoster Press, 2000), 74–82.</w:t>
      </w:r>
      <w:r>
        <w:fldChar w:fldCharType="end"/>
      </w:r>
      <w:r>
        <w:rPr>
          <w:lang w:val="en-GB"/>
        </w:rPr>
        <w:t xml:space="preserve"> The chapter (first published in 1978) is simply called ‘Paul becomes a Christian’. </w:t>
      </w:r>
    </w:p>
  </w:footnote>
  <w:footnote w:id="20">
    <w:p w14:paraId="47C99955" w14:textId="3C1C6338" w:rsidR="002A4772" w:rsidRPr="00B3388D" w:rsidRDefault="002A4772" w:rsidP="002A4772">
      <w:pPr>
        <w:pStyle w:val="FootnoteText"/>
        <w:rPr>
          <w:lang w:val="en-GB"/>
        </w:rPr>
      </w:pPr>
      <w:r>
        <w:rPr>
          <w:rStyle w:val="FootnoteReference"/>
        </w:rPr>
        <w:footnoteRef/>
      </w:r>
      <w:r>
        <w:t xml:space="preserve"> </w:t>
      </w:r>
      <w:r>
        <w:fldChar w:fldCharType="begin"/>
      </w:r>
      <w:r w:rsidR="003649EF">
        <w:instrText xml:space="preserve"> ADDIN ZOTERO_ITEM CSL_CITATION {"citationID":"lsGorji0","properties":{"formattedCitation":"Paula Fredriksen, \\uc0\\u8216{}Paul the Convert\\uc0\\u8217{}, in {\\i{}The Oxford Handbook of Pauline Studies}, ed. Matthew V. Novenson and R. Barry Matlock, Oxford Handbooks Online (Oxford, UK: Oxford University Press, 2014), 1, https://www.oxfordhandbooks.com/view/10.1093/oxfordhb/9780199600489.001.0001/oxfordhb-9780199600489-e-29.","plainCitation":"Paula Fredriksen, ‘Paul the Convert’, in The Oxford Handbook of Pauline Studies, ed. Matthew V. Novenson and R. Barry Matlock, Oxford Handbooks Online (Oxford, UK: Oxford University Press, 2014), 1, https://www.oxfordhandbooks.com/view/10.1093/oxfordhb/9780199600489.001.0001/oxfordhb-9780199600489-e-29.","noteIndex":20},"citationItems":[{"id":1122,"uris":["http://zotero.org/users/1120467/items/3TFQAW6P"],"uri":["http://zotero.org/users/1120467/items/3TFQAW6P"],"itemData":{"id":1122,"type":"chapter","collection-title":"Oxford Handbooks Online","container-title":"The Oxford Handbook of Pauline Studies","event-place":"Oxford, UK","publisher":"Oxford University Press","publisher-place":"Oxford, UK","title":"Paul the Convert","URL":"https://www.oxfordhandbooks.com/view/10.1093/oxfordhb/9780199600489.001.0001/oxfordhb-9780199600489-e-29","author":[{"family":"Fredriksen","given":"Paula"}],"editor":[{"family":"Novenson","given":"Matthew V."},{"family":"Matlock","given":"R. Barry"}],"accessed":{"date-parts":[["2020",10,8]]},"issued":{"date-parts":[["2014"]]}},"locator":"1"}],"schema":"https://github.com/citation-style-language/schema/raw/master/csl-citation.json"} </w:instrText>
      </w:r>
      <w:r>
        <w:fldChar w:fldCharType="separate"/>
      </w:r>
      <w:r w:rsidR="003649EF" w:rsidRPr="003649EF">
        <w:rPr>
          <w:rFonts w:ascii="Calibri" w:cs="Calibri"/>
          <w:lang w:val="en-GB"/>
        </w:rPr>
        <w:t xml:space="preserve">Paula </w:t>
      </w:r>
      <w:proofErr w:type="spellStart"/>
      <w:r w:rsidR="003649EF" w:rsidRPr="003649EF">
        <w:rPr>
          <w:rFonts w:ascii="Calibri" w:cs="Calibri"/>
          <w:lang w:val="en-GB"/>
        </w:rPr>
        <w:t>Fredriksen</w:t>
      </w:r>
      <w:proofErr w:type="spellEnd"/>
      <w:r w:rsidR="003649EF" w:rsidRPr="003649EF">
        <w:rPr>
          <w:rFonts w:ascii="Calibri" w:cs="Calibri"/>
          <w:lang w:val="en-GB"/>
        </w:rPr>
        <w:t xml:space="preserve">, ‘Paul the Convert’, in </w:t>
      </w:r>
      <w:r w:rsidR="003649EF" w:rsidRPr="003649EF">
        <w:rPr>
          <w:rFonts w:ascii="Calibri" w:cs="Calibri"/>
          <w:i/>
          <w:iCs/>
          <w:lang w:val="en-GB"/>
        </w:rPr>
        <w:t>The Oxford Handbook of Pauline Studies</w:t>
      </w:r>
      <w:r w:rsidR="003649EF" w:rsidRPr="003649EF">
        <w:rPr>
          <w:rFonts w:ascii="Calibri" w:cs="Calibri"/>
          <w:lang w:val="en-GB"/>
        </w:rPr>
        <w:t xml:space="preserve">, ed. Matthew V. </w:t>
      </w:r>
      <w:proofErr w:type="spellStart"/>
      <w:r w:rsidR="003649EF" w:rsidRPr="003649EF">
        <w:rPr>
          <w:rFonts w:ascii="Calibri" w:cs="Calibri"/>
          <w:lang w:val="en-GB"/>
        </w:rPr>
        <w:t>Novenson</w:t>
      </w:r>
      <w:proofErr w:type="spellEnd"/>
      <w:r w:rsidR="003649EF" w:rsidRPr="003649EF">
        <w:rPr>
          <w:rFonts w:ascii="Calibri" w:cs="Calibri"/>
          <w:lang w:val="en-GB"/>
        </w:rPr>
        <w:t xml:space="preserve"> and R. Barry Matlock, Oxford Handbooks Online (Oxford, UK: Oxford University Press, 2014), 1, https://www.oxfordhandbooks.com/view/10.1093/oxfordhb/9780199600489.001.0001/oxfordhb-9780199600489-e-29.</w:t>
      </w:r>
      <w:r>
        <w:fldChar w:fldCharType="end"/>
      </w:r>
    </w:p>
  </w:footnote>
  <w:footnote w:id="21">
    <w:p w14:paraId="1779D6A3" w14:textId="2DEC6988" w:rsidR="007E220A" w:rsidRPr="00265BD7" w:rsidRDefault="007E220A" w:rsidP="00265BD7">
      <w:pPr>
        <w:pStyle w:val="FootnoteText"/>
        <w:rPr>
          <w:lang w:val="en-GB"/>
        </w:rPr>
      </w:pPr>
      <w:r>
        <w:rPr>
          <w:rStyle w:val="FootnoteReference"/>
        </w:rPr>
        <w:footnoteRef/>
      </w:r>
      <w:r>
        <w:t xml:space="preserve"> </w:t>
      </w:r>
      <w:r>
        <w:rPr>
          <w:lang w:val="en-GB"/>
        </w:rPr>
        <w:t>‘</w:t>
      </w:r>
      <w:r w:rsidRPr="00265BD7">
        <w:rPr>
          <w:lang w:val="en-GB"/>
        </w:rPr>
        <w:t>﻿Paul’s conversion is to Pauline scholarship what the Big Bang is to physics: the thing itself is an enigma, but somehow it is supposedly the explanation for everything else.</w:t>
      </w:r>
      <w:r>
        <w:rPr>
          <w:lang w:val="en-GB"/>
        </w:rPr>
        <w:t xml:space="preserve">’ </w:t>
      </w:r>
      <w:r>
        <w:fldChar w:fldCharType="begin"/>
      </w:r>
      <w:r w:rsidR="000F4028">
        <w:instrText xml:space="preserve"> ADDIN ZOTERO_ITEM CSL_CITATION {"citationID":"18YkpABO","properties":{"formattedCitation":"Pamela Eisenbaum, {\\i{}Paul Was Not a Christian: The Original Message of a Misunderstood Apostle}, Reprint edition (New York: Bravo Ltd, 2010), 133.","plainCitation":"Pamela Eisenbaum, Paul Was Not a Christian: The Original Message of a Misunderstood Apostle, Reprint edition (New York: Bravo Ltd, 2010), 133.","noteIndex":21},"citationItems":[{"id":1054,"uris":["http://zotero.org/users/1120467/items/A4WL9B4X"],"uri":["http://zotero.org/users/1120467/items/A4WL9B4X"],"itemData":{"id":1054,"type":"book","abstract":"Pamela Eisenbaum, an expert on early Christianity, reveals the true nature of the historical Paul in Paul Was Not a Christian. She explores the idea of Paul not as the founder of a new Christian religion, but as a devout Jew who believed Jesus was the Christ who would unite Jews and Gentiles and fulfill God s universal plan for humanity. Eisenbaum s work in Paul Was Not a Christian will have a profound impact on the way many Christians approach evangelism and how to better follow Jesus s and Paul s teachings on how to live faithfully today. Paul is not the founder of Christianity or a zealous convert from Judaism, as is often claimed. Nor did he contend that Jesus superseded the Torah. Paul, Eisenbaum persuasively argues, remained a devout Jew who believed Jesus would unite Jews and Gentiles and fulfill God's universal plan for humanity. Meticulously researched and far-reaching in its implications, this is a much-needed corrective to misconceptions held by Christians and Jews, liberals and conservatives, alike.","edition":"Reprint edition","event-place":"New York","ISBN":"978-0-06-134991-1","language":"English","number-of-pages":"336","publisher":"Bravo Ltd","publisher-place":"New York","source":"Amazon","title":"Paul Was Not a Christian: The Original Message of a Misunderstood Apostle","title-short":"Paul Was Not a Christian","author":[{"family":"Eisenbaum","given":"Pamela"}],"issued":{"date-parts":[["2010",9,7]]}},"locator":"133"}],"schema":"https://github.com/citation-style-language/schema/raw/master/csl-citation.json"} </w:instrText>
      </w:r>
      <w:r>
        <w:fldChar w:fldCharType="separate"/>
      </w:r>
      <w:r w:rsidRPr="001B4459">
        <w:rPr>
          <w:rFonts w:ascii="Calibri" w:cs="Calibri"/>
          <w:lang w:val="en-GB"/>
        </w:rPr>
        <w:t xml:space="preserve">Pamela </w:t>
      </w:r>
      <w:proofErr w:type="spellStart"/>
      <w:r w:rsidRPr="001B4459">
        <w:rPr>
          <w:rFonts w:ascii="Calibri" w:cs="Calibri"/>
          <w:lang w:val="en-GB"/>
        </w:rPr>
        <w:t>Eisenbaum</w:t>
      </w:r>
      <w:proofErr w:type="spellEnd"/>
      <w:r w:rsidRPr="001B4459">
        <w:rPr>
          <w:rFonts w:ascii="Calibri" w:cs="Calibri"/>
          <w:lang w:val="en-GB"/>
        </w:rPr>
        <w:t xml:space="preserve">, </w:t>
      </w:r>
      <w:r w:rsidRPr="001B4459">
        <w:rPr>
          <w:rFonts w:ascii="Calibri" w:cs="Calibri"/>
          <w:i/>
          <w:iCs/>
          <w:lang w:val="en-GB"/>
        </w:rPr>
        <w:t>Paul Was Not a Christian: The Original Message of a Misunderstood Apostle</w:t>
      </w:r>
      <w:r w:rsidRPr="001B4459">
        <w:rPr>
          <w:rFonts w:ascii="Calibri" w:cs="Calibri"/>
          <w:lang w:val="en-GB"/>
        </w:rPr>
        <w:t>, Reprint edition (New York: Bravo Ltd, 2010), 133.</w:t>
      </w:r>
      <w:r>
        <w:fldChar w:fldCharType="end"/>
      </w:r>
    </w:p>
  </w:footnote>
  <w:footnote w:id="22">
    <w:p w14:paraId="23994219" w14:textId="267256F0" w:rsidR="00DA61E7" w:rsidRPr="007E5FC4" w:rsidRDefault="00DA61E7" w:rsidP="00DA61E7">
      <w:pPr>
        <w:pStyle w:val="FootnoteText"/>
        <w:rPr>
          <w:lang w:val="en-GB"/>
        </w:rPr>
      </w:pPr>
      <w:r>
        <w:rPr>
          <w:rStyle w:val="FootnoteReference"/>
        </w:rPr>
        <w:footnoteRef/>
      </w:r>
      <w:r>
        <w:t xml:space="preserve"> </w:t>
      </w:r>
      <w:r>
        <w:rPr>
          <w:lang w:val="en-GB"/>
        </w:rPr>
        <w:t xml:space="preserve">Frederiksen also points to the influence of fellow </w:t>
      </w:r>
      <w:proofErr w:type="spellStart"/>
      <w:r>
        <w:rPr>
          <w:lang w:val="en-GB"/>
        </w:rPr>
        <w:t>Scandanvian</w:t>
      </w:r>
      <w:proofErr w:type="spellEnd"/>
      <w:r>
        <w:rPr>
          <w:lang w:val="en-GB"/>
        </w:rPr>
        <w:t xml:space="preserve"> scholars Johannes </w:t>
      </w:r>
      <w:proofErr w:type="spellStart"/>
      <w:r>
        <w:rPr>
          <w:lang w:val="en-GB"/>
        </w:rPr>
        <w:t>Munck</w:t>
      </w:r>
      <w:proofErr w:type="spellEnd"/>
      <w:r>
        <w:rPr>
          <w:lang w:val="en-GB"/>
        </w:rPr>
        <w:t xml:space="preserve"> and Nils Dahl in putting forward similar arguments (</w:t>
      </w:r>
      <w:proofErr w:type="spellStart"/>
      <w:r>
        <w:fldChar w:fldCharType="begin"/>
      </w:r>
      <w:r w:rsidR="003649EF">
        <w:instrText xml:space="preserve"> ADDIN ZOTERO_ITEM CSL_CITATION {"citationID":"S5Ykao7M","properties":{"formattedCitation":"Fredriksen, \\uc0\\u8216{}Paul the Convert\\uc0\\u8217{}, 3.","plainCitation":"Fredriksen, ‘Paul the Convert’, 3.","noteIndex":22},"citationItems":[{"id":1122,"uris":["http://zotero.org/users/1120467/items/3TFQAW6P"],"uri":["http://zotero.org/users/1120467/items/3TFQAW6P"],"itemData":{"id":1122,"type":"chapter","collection-title":"Oxford Handbooks Online","container-title":"The Oxford Handbook of Pauline Studies","event-place":"Oxford, UK","publisher":"Oxford University Press","publisher-place":"Oxford, UK","title":"Paul the Convert","URL":"https://www.oxfordhandbooks.com/view/10.1093/oxfordhb/9780199600489.001.0001/oxfordhb-9780199600489-e-29","author":[{"family":"Fredriksen","given":"Paula"}],"editor":[{"family":"Novenson","given":"Matthew V."},{"family":"Matlock","given":"R. Barry"}],"accessed":{"date-parts":[["2020",10,8]]},"issued":{"date-parts":[["2014"]]}},"locator":"3"}],"schema":"https://github.com/citation-style-language/schema/raw/master/csl-citation.json"} </w:instrText>
      </w:r>
      <w:r>
        <w:fldChar w:fldCharType="separate"/>
      </w:r>
      <w:r w:rsidRPr="007E5FC4">
        <w:rPr>
          <w:rFonts w:ascii="Calibri" w:cs="Calibri"/>
          <w:lang w:val="en-GB"/>
        </w:rPr>
        <w:t>Fredriksen</w:t>
      </w:r>
      <w:proofErr w:type="spellEnd"/>
      <w:r w:rsidRPr="007E5FC4">
        <w:rPr>
          <w:rFonts w:ascii="Calibri" w:cs="Calibri"/>
          <w:lang w:val="en-GB"/>
        </w:rPr>
        <w:t>, ‘Paul the Convert’, 3.</w:t>
      </w:r>
      <w:r>
        <w:fldChar w:fldCharType="end"/>
      </w:r>
      <w:r>
        <w:rPr>
          <w:lang w:val="en-GB"/>
        </w:rPr>
        <w:t xml:space="preserve">). However, it is </w:t>
      </w:r>
      <w:proofErr w:type="spellStart"/>
      <w:r>
        <w:rPr>
          <w:lang w:val="en-GB"/>
        </w:rPr>
        <w:t>Stendahl’s</w:t>
      </w:r>
      <w:proofErr w:type="spellEnd"/>
      <w:r>
        <w:rPr>
          <w:lang w:val="en-GB"/>
        </w:rPr>
        <w:t xml:space="preserve"> name which is frequently attached to this argument in secondary literature, and thus </w:t>
      </w:r>
      <w:proofErr w:type="spellStart"/>
      <w:r>
        <w:rPr>
          <w:lang w:val="en-GB"/>
        </w:rPr>
        <w:t>Stendahl</w:t>
      </w:r>
      <w:proofErr w:type="spellEnd"/>
      <w:r>
        <w:rPr>
          <w:lang w:val="en-GB"/>
        </w:rPr>
        <w:t xml:space="preserve"> this essay shall examine. </w:t>
      </w:r>
    </w:p>
  </w:footnote>
  <w:footnote w:id="23">
    <w:p w14:paraId="7A47B094" w14:textId="6E2D34C9" w:rsidR="007E220A" w:rsidRPr="002D17F7" w:rsidRDefault="007E220A">
      <w:pPr>
        <w:pStyle w:val="FootnoteText"/>
        <w:rPr>
          <w:lang w:val="en-GB"/>
        </w:rPr>
      </w:pPr>
      <w:r>
        <w:rPr>
          <w:rStyle w:val="FootnoteReference"/>
        </w:rPr>
        <w:footnoteRef/>
      </w:r>
      <w:r>
        <w:rPr>
          <w:lang w:val="en-GB"/>
        </w:rPr>
        <w:t xml:space="preserve"> </w:t>
      </w:r>
      <w:proofErr w:type="spellStart"/>
      <w:r>
        <w:rPr>
          <w:lang w:val="en-GB"/>
        </w:rPr>
        <w:t>Schnelle</w:t>
      </w:r>
      <w:proofErr w:type="spellEnd"/>
      <w:r>
        <w:rPr>
          <w:lang w:val="en-GB"/>
        </w:rPr>
        <w:t xml:space="preserve"> also talks exclusively in terms of Paul’s calling at the expense of the language of conversion; however, this is coming from a theological conviction of wanting to privilege divine action over a subjective human experience of change.</w:t>
      </w:r>
      <w:r>
        <w:t xml:space="preserve"> </w:t>
      </w:r>
      <w:r>
        <w:fldChar w:fldCharType="begin"/>
      </w:r>
      <w:r w:rsidR="003649EF">
        <w:instrText xml:space="preserve"> ADDIN ZOTERO_ITEM CSL_CITATION {"citationID":"Glmn02nb","properties":{"formattedCitation":"Schnelle, {\\i{}Paulus: Leben und Denken}, 88 fn. 8.","plainCitation":"Schnelle, Paulus: Leben und Denken, 88 fn. 8.","noteIndex":23},"citationItems":[{"id":1104,"uris":["http://zotero.org/users/1120467/items/FRVSFXDK"],"uri":["http://zotero.org/users/1120467/items/FRVSFXDK"],"itemData":{"id":1104,"type":"book","abstract":"&lt;p&gt;This second, thoroughly revised edition presents the development of Paul’s thinking in the context of his life, taking into account recent discussion in historical theory and the sociology of knowledge. The first section examines the life of St. Paul and the Epistles, while the second section is a thematically structured presentation of the core themes in Pauline thought, illuminating their historical genesis and systematic quality.&lt;/p&gt;","event-place":"Berlin","ISBN":"978-3-11-030158-8","language":"de","note":"container-title: Paulus","publisher":"De Gruyter","publisher-place":"Berlin","title":"Paulus: Leben und Denken","author":[{"family":"Schnelle","given":"Udo"}],"accessed":{"date-parts":[["2020",8,7]]},"issued":{"date-parts":[["2014",4,14]]}},"locator":"88 fn. 8"}],"schema":"https://github.com/citation-style-language/schema/raw/master/csl-citation.json"} </w:instrText>
      </w:r>
      <w:r>
        <w:fldChar w:fldCharType="separate"/>
      </w:r>
      <w:proofErr w:type="spellStart"/>
      <w:r w:rsidR="003649EF" w:rsidRPr="003649EF">
        <w:rPr>
          <w:rFonts w:ascii="Calibri" w:cs="Calibri"/>
          <w:lang w:val="en-GB"/>
        </w:rPr>
        <w:t>Schnelle</w:t>
      </w:r>
      <w:proofErr w:type="spellEnd"/>
      <w:r w:rsidR="003649EF" w:rsidRPr="003649EF">
        <w:rPr>
          <w:rFonts w:ascii="Calibri" w:cs="Calibri"/>
          <w:lang w:val="en-GB"/>
        </w:rPr>
        <w:t xml:space="preserve">, </w:t>
      </w:r>
      <w:r w:rsidR="003649EF" w:rsidRPr="003649EF">
        <w:rPr>
          <w:rFonts w:ascii="Calibri" w:cs="Calibri"/>
          <w:i/>
          <w:iCs/>
          <w:lang w:val="en-GB"/>
        </w:rPr>
        <w:t xml:space="preserve">Paulus: Leben und </w:t>
      </w:r>
      <w:proofErr w:type="spellStart"/>
      <w:r w:rsidR="003649EF" w:rsidRPr="003649EF">
        <w:rPr>
          <w:rFonts w:ascii="Calibri" w:cs="Calibri"/>
          <w:i/>
          <w:iCs/>
          <w:lang w:val="en-GB"/>
        </w:rPr>
        <w:t>Denken</w:t>
      </w:r>
      <w:proofErr w:type="spellEnd"/>
      <w:r w:rsidR="003649EF" w:rsidRPr="003649EF">
        <w:rPr>
          <w:rFonts w:ascii="Calibri" w:cs="Calibri"/>
          <w:lang w:val="en-GB"/>
        </w:rPr>
        <w:t>, 88 fn. 8.</w:t>
      </w:r>
      <w:r>
        <w:fldChar w:fldCharType="end"/>
      </w:r>
    </w:p>
  </w:footnote>
  <w:footnote w:id="24">
    <w:p w14:paraId="3778514B" w14:textId="575F7500"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{"citationID":"TtqXnhLK","properties":{"formattedCitation":"Krister Stendahl, \\uc0\\u8216{}Paul among Jews and Gentiles\\uc0\\u8217{}, in {\\i{}Paul among Jews and Gentiles and Other Essays} (Philadelphia: Fortress Press, 1976), 7\\uc0\\u8211{}9.","plainCitation":"Krister Stendahl, ‘Paul among Jews and Gentiles’, in Paul among Jews and Gentiles and Other Essays (Philadelphia: Fortress Press, 1976), 7–9.","noteIndex":24},"citationItems":[{"id":1112,"uris":["http://zotero.org/users/1120467/items/59A7URTW"],"uri":["http://zotero.org/users/1120467/items/59A7URTW"],"itemData":{"id":1112,"type":"chapter","call-number":"Ne 3.70","container-title":"Paul among Jews and gentiles and other essays","event-place":"Philadelphia","ISBN":"978-0-8006-1224-5","language":"eng","page":"1-77","publisher":"Fortress Press","publisher-place":"Philadelphia","source":"usearch.univie.ac.at","title":"Paul among Jews and Gentiles","title-short":"Paul","author":[{"family":"Stendahl","given":"Krister"}],"issued":{"date-parts":[["1976"]]}},"locator":"7-9"}],"schema":"https://github.com/citation-style-language/schema/raw/master/csl-citation.json"} </w:instrText>
      </w:r>
      <w:r>
        <w:fldChar w:fldCharType="separate"/>
      </w:r>
      <w:proofErr w:type="spellStart"/>
      <w:r w:rsidR="003649EF" w:rsidRPr="003649EF">
        <w:rPr>
          <w:rFonts w:ascii="Calibri" w:cs="Calibri"/>
          <w:lang w:val="en-GB"/>
        </w:rPr>
        <w:t>Krister</w:t>
      </w:r>
      <w:proofErr w:type="spellEnd"/>
      <w:r w:rsidR="003649EF" w:rsidRPr="003649EF">
        <w:rPr>
          <w:rFonts w:ascii="Calibri" w:cs="Calibri"/>
          <w:lang w:val="en-GB"/>
        </w:rPr>
        <w:t xml:space="preserve"> </w:t>
      </w:r>
      <w:proofErr w:type="spellStart"/>
      <w:r w:rsidR="003649EF" w:rsidRPr="003649EF">
        <w:rPr>
          <w:rFonts w:ascii="Calibri" w:cs="Calibri"/>
          <w:lang w:val="en-GB"/>
        </w:rPr>
        <w:t>Stendahl</w:t>
      </w:r>
      <w:proofErr w:type="spellEnd"/>
      <w:r w:rsidR="003649EF" w:rsidRPr="003649EF">
        <w:rPr>
          <w:rFonts w:ascii="Calibri" w:cs="Calibri"/>
          <w:lang w:val="en-GB"/>
        </w:rPr>
        <w:t xml:space="preserve">, ‘Paul among Jews and Gentiles’, in </w:t>
      </w:r>
      <w:r w:rsidR="003649EF" w:rsidRPr="003649EF">
        <w:rPr>
          <w:rFonts w:ascii="Calibri" w:cs="Calibri"/>
          <w:i/>
          <w:iCs/>
          <w:lang w:val="en-GB"/>
        </w:rPr>
        <w:t>Paul among Jews and Gentiles and Other Essays</w:t>
      </w:r>
      <w:r w:rsidR="003649EF" w:rsidRPr="003649EF">
        <w:rPr>
          <w:rFonts w:ascii="Calibri" w:cs="Calibri"/>
          <w:lang w:val="en-GB"/>
        </w:rPr>
        <w:t xml:space="preserve"> (Philadelphia: Fortress Press, 1976), 7–9.</w:t>
      </w:r>
      <w:r>
        <w:fldChar w:fldCharType="end"/>
      </w:r>
    </w:p>
  </w:footnote>
  <w:footnote w:id="25">
    <w:p w14:paraId="2EEBE9D8" w14:textId="1F8CA550"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{"citationID":"TOU3E6zZ","properties":{"formattedCitation":"Ibid., 12.","plainCitation":"Ibid., 12.","noteIndex":25},"citationItems":[{"id":1112,"uris":["http://zotero.org/users/1120467/items/59A7URTW"],"uri":["http://zotero.org/users/1120467/items/59A7URTW"],"itemData":{"id":1112,"type":"chapter","call-number":"Ne 3.70","container-title":"Paul among Jews and gentiles and other essays","event-place":"Philadelphia","ISBN":"978-0-8006-1224-5","language":"eng","page":"1-77","publisher":"Fortress Press","publisher-place":"Philadelphia","source":"usearch.univie.ac.at","title":"Paul among Jews and Gentiles","title-short":"Paul","author":[{"family":"Stendahl","given":"Krister"}],"issued":{"date-parts":[["1976"]]}},"locator":"12"}],"schema":"https://github.com/citation-style-language/schema/raw/master/csl-citation.json"} </w:instrText>
      </w:r>
      <w:r>
        <w:fldChar w:fldCharType="separate"/>
      </w:r>
      <w:r>
        <w:rPr>
          <w:noProof/>
        </w:rPr>
        <w:t>Ibid., 12.</w:t>
      </w:r>
      <w:r>
        <w:fldChar w:fldCharType="end"/>
      </w:r>
    </w:p>
  </w:footnote>
  <w:footnote w:id="26">
    <w:p w14:paraId="4AAB2962" w14:textId="47354CFA" w:rsidR="007E220A" w:rsidRPr="00A65F67"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{"citationID":"720b7Qtl","properties":{"formattedCitation":"Fredriksen, \\uc0\\u8216{}Paul the Convert\\uc0\\u8217{}, 2.","plainCitation":"Fredriksen, ‘Paul the Convert’, 2.","noteIndex":26},"citationItems":[{"id":1122,"uris":["http://zotero.org/users/1120467/items/3TFQAW6P"],"uri":["http://zotero.org/users/1120467/items/3TFQAW6P"],"itemData":{"id":1122,"type":"chapter","collection-title":"Oxford Handbooks Online","container-title":"The Oxford Handbook of Pauline Studies","event-place":"Oxford, UK","publisher":"Oxford University Press","publisher-place":"Oxford, UK","title":"Paul the Convert","URL":"https://www.oxfordhandbooks.com/view/10.1093/oxfordhb/9780199600489.001.0001/oxfordhb-9780199600489-e-29","author":[{"family":"Fredriksen","given":"Paula"}],"editor":[{"family":"Novenson","given":"Matthew V."},{"family":"Matlock","given":"R. Barry"}],"accessed":{"date-parts":[["2020",10,8]]},"issued":{"date-parts":[["2014"]]}},"locator":"2"}],"schema":"https://github.com/citation-style-language/schema/raw/master/csl-citation.json"} </w:instrText>
      </w:r>
      <w:r>
        <w:fldChar w:fldCharType="separate"/>
      </w:r>
      <w:proofErr w:type="spellStart"/>
      <w:r w:rsidRPr="00A65F67">
        <w:rPr>
          <w:rFonts w:ascii="Calibri" w:cs="Calibri"/>
          <w:lang w:val="en-GB"/>
        </w:rPr>
        <w:t>Fredriksen</w:t>
      </w:r>
      <w:proofErr w:type="spellEnd"/>
      <w:r w:rsidRPr="00A65F67">
        <w:rPr>
          <w:rFonts w:ascii="Calibri" w:cs="Calibri"/>
          <w:lang w:val="en-GB"/>
        </w:rPr>
        <w:t>, ‘Paul the Convert’, 2.</w:t>
      </w:r>
      <w:r>
        <w:fldChar w:fldCharType="end"/>
      </w:r>
    </w:p>
  </w:footnote>
  <w:footnote w:id="27">
    <w:p w14:paraId="18DBA1B0" w14:textId="76F92414"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{"citationID":"u1GWvnhg","properties":{"formattedCitation":"Stendahl, \\uc0\\u8216{}Paul\\uc0\\u8217{}, 17.","plainCitation":"Stendahl, ‘Paul’, 17.","noteIndex":27},"citationItems":[{"id":1112,"uris":["http://zotero.org/users/1120467/items/59A7URTW"],"uri":["http://zotero.org/users/1120467/items/59A7URTW"],"itemData":{"id":1112,"type":"chapter","call-number":"Ne 3.70","container-title":"Paul among Jews and gentiles and other essays","event-place":"Philadelphia","ISBN":"978-0-8006-1224-5","language":"eng","page":"1-77","publisher":"Fortress Press","publisher-place":"Philadelphia","source":"usearch.univie.ac.at","title":"Paul among Jews and Gentiles","title-short":"Paul","author":[{"family":"Stendahl","given":"Krister"}],"issued":{"date-parts":[["1976"]]}},"locator":"17"}],"schema":"https://github.com/citation-style-language/schema/raw/master/csl-citation.json"} </w:instrText>
      </w:r>
      <w:r>
        <w:fldChar w:fldCharType="separate"/>
      </w:r>
      <w:proofErr w:type="spellStart"/>
      <w:r w:rsidRPr="00A65F67">
        <w:rPr>
          <w:rFonts w:ascii="Calibri" w:cs="Calibri"/>
          <w:lang w:val="en-GB"/>
        </w:rPr>
        <w:t>Stendahl</w:t>
      </w:r>
      <w:proofErr w:type="spellEnd"/>
      <w:r w:rsidRPr="00A65F67">
        <w:rPr>
          <w:rFonts w:ascii="Calibri" w:cs="Calibri"/>
          <w:lang w:val="en-GB"/>
        </w:rPr>
        <w:t>, ‘Paul’, 17.</w:t>
      </w:r>
      <w:r>
        <w:fldChar w:fldCharType="end"/>
      </w:r>
    </w:p>
  </w:footnote>
  <w:footnote w:id="28">
    <w:p w14:paraId="42715CD8" w14:textId="24519B74"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{"citationID":"q9dlVEfK","properties":{"formattedCitation":"Ibid., 8.","plainCitation":"Ibid., 8.","noteIndex":28},"citationItems":[{"id":1112,"uris":["http://zotero.org/users/1120467/items/59A7URTW"],"uri":["http://zotero.org/users/1120467/items/59A7URTW"],"itemData":{"id":1112,"type":"chapter","call-number":"Ne 3.70","container-title":"Paul among Jews and gentiles and other essays","event-place":"Philadelphia","ISBN":"978-0-8006-1224-5","language":"eng","page":"1-77","publisher":"Fortress Press","publisher-place":"Philadelphia","source":"usearch.univie.ac.at","title":"Paul among Jews and Gentiles","title-short":"Paul","author":[{"family":"Stendahl","given":"Krister"}],"issued":{"date-parts":[["1976"]]}},"locator":"8"}],"schema":"https://github.com/citation-style-language/schema/raw/master/csl-citation.json"} </w:instrText>
      </w:r>
      <w:r>
        <w:fldChar w:fldCharType="separate"/>
      </w:r>
      <w:r>
        <w:rPr>
          <w:noProof/>
        </w:rPr>
        <w:t>Ibid., 8.</w:t>
      </w:r>
      <w:r>
        <w:fldChar w:fldCharType="end"/>
      </w:r>
    </w:p>
  </w:footnote>
  <w:footnote w:id="29">
    <w:p w14:paraId="11DB0229" w14:textId="4E118C07"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{"citationID":"9fFEHoC7","properties":{"formattedCitation":"Fredriksen, {\\i{}Paul, the Pagans\\uc0\\u8217{} Apostle}, 54.","plainCitation":"Fredriksen, Paul, the Pagans’ Apostle, 54.","noteIndex":29},"citationItems":[{"id":1049,"uris":["http://zotero.org/users/1120467/items/627CYLMJ"],"uri":["http://zotero.org/users/1120467/items/627CYLMJ"],"itemData":{"id":1049,"type":"book","abstract":"Previously issued in print: 2017.","event-place":"New Haven, CT","ISBN":"978-0-300-23136-6","language":"eng","publisher":"Yale University Press","publisher-place":"New Haven, CT","source":"usearch.univie.ac.at","title":"Paul, the pagans' apostle","author":[{"family":"Fredriksen","given":"Paula"}],"issued":{"date-parts":[["2017"]]}},"locator":"54"}],"schema":"https://github.com/citation-style-language/schema/raw/master/csl-citation.json"} </w:instrText>
      </w:r>
      <w:r>
        <w:fldChar w:fldCharType="separate"/>
      </w:r>
      <w:proofErr w:type="spellStart"/>
      <w:r w:rsidRPr="00CE2912">
        <w:rPr>
          <w:rFonts w:ascii="Calibri" w:cs="Calibri"/>
          <w:lang w:val="en-GB"/>
        </w:rPr>
        <w:t>Fredriksen</w:t>
      </w:r>
      <w:proofErr w:type="spellEnd"/>
      <w:r w:rsidRPr="00CE2912">
        <w:rPr>
          <w:rFonts w:ascii="Calibri" w:cs="Calibri"/>
          <w:lang w:val="en-GB"/>
        </w:rPr>
        <w:t xml:space="preserve">, </w:t>
      </w:r>
      <w:r w:rsidRPr="00CE2912">
        <w:rPr>
          <w:rFonts w:ascii="Calibri" w:cs="Calibri"/>
          <w:i/>
          <w:iCs/>
          <w:lang w:val="en-GB"/>
        </w:rPr>
        <w:t>Paul, the Pagans’ Apostle</w:t>
      </w:r>
      <w:r w:rsidRPr="00CE2912">
        <w:rPr>
          <w:rFonts w:ascii="Calibri" w:cs="Calibri"/>
          <w:lang w:val="en-GB"/>
        </w:rPr>
        <w:t>, 54.</w:t>
      </w:r>
      <w:r>
        <w:fldChar w:fldCharType="end"/>
      </w:r>
    </w:p>
  </w:footnote>
  <w:footnote w:id="30">
    <w:p w14:paraId="05A97F3B" w14:textId="2EB53EB8"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{"citationID":"OVInvteq","properties":{"formattedCitation":"Segal, {\\i{}Paul the Convert}, 82\\uc0\\u8211{}86.","plainCitation":"Segal, Paul the Convert, 82–86.","noteIndex":30},"citationItems":[{"id":1053,"uris":["http://zotero.org/users/1120467/items/UBAZG72P"],"uri":["http://zotero.org/users/1120467/items/UBAZG72P"],"itemData":{"id":1053,"type":"book","call-number":"NT-3496","event-place":"New Haven","ISBN":"978-0-300-04527-7","language":"eng","publisher":"Yale University Press","publisher-place":"New Haven","source":"usearch.univie.ac.at","title":"Paul the convert: the apostolate and apostasy of Saul the Pharisee","title-short":"Paul the convert","author":[{"family":"Segal","given":"Alan F."}],"issued":{"date-parts":[["1990"]]}},"locator":"82-86"}],"schema":"https://github.com/citation-style-language/schema/raw/master/csl-citation.json"} </w:instrText>
      </w:r>
      <w:r>
        <w:fldChar w:fldCharType="separate"/>
      </w:r>
      <w:r w:rsidRPr="00CE2912">
        <w:rPr>
          <w:rFonts w:ascii="Calibri" w:cs="Calibri"/>
          <w:lang w:val="en-GB"/>
        </w:rPr>
        <w:t xml:space="preserve">Segal, </w:t>
      </w:r>
      <w:r w:rsidRPr="00CE2912">
        <w:rPr>
          <w:rFonts w:ascii="Calibri" w:cs="Calibri"/>
          <w:i/>
          <w:iCs/>
          <w:lang w:val="en-GB"/>
        </w:rPr>
        <w:t>Paul the Convert</w:t>
      </w:r>
      <w:r w:rsidRPr="00CE2912">
        <w:rPr>
          <w:rFonts w:ascii="Calibri" w:cs="Calibri"/>
          <w:lang w:val="en-GB"/>
        </w:rPr>
        <w:t>, 82–86.</w:t>
      </w:r>
      <w:r>
        <w:fldChar w:fldCharType="end"/>
      </w:r>
    </w:p>
  </w:footnote>
  <w:footnote w:id="31">
    <w:p w14:paraId="3A022980" w14:textId="757AD853"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{"citationID":"UDnL2sUK","properties":{"formattedCitation":"Ibid., 12.","plainCitation":"Ibid., 12.","noteIndex":31},"citationItems":[{"id":1053,"uris":["http://zotero.org/users/1120467/items/UBAZG72P"],"uri":["http://zotero.org/users/1120467/items/UBAZG72P"],"itemData":{"id":1053,"type":"book","call-number":"NT-3496","event-place":"New Haven","ISBN":"978-0-300-04527-7","language":"eng","publisher":"Yale University Press","publisher-place":"New Haven","source":"usearch.univie.ac.at","title":"Paul the convert: the apostolate and apostasy of Saul the Pharisee","title-short":"Paul the convert","author":[{"family":"Segal","given":"Alan F."}],"issued":{"date-parts":[["1990"]]}},"locator":"12"}],"schema":"https://github.com/citation-style-language/schema/raw/master/csl-citation.json"} </w:instrText>
      </w:r>
      <w:r>
        <w:fldChar w:fldCharType="separate"/>
      </w:r>
      <w:r>
        <w:rPr>
          <w:noProof/>
        </w:rPr>
        <w:t>Ibid., 12.</w:t>
      </w:r>
      <w:r>
        <w:fldChar w:fldCharType="end"/>
      </w:r>
    </w:p>
  </w:footnote>
  <w:footnote w:id="32">
    <w:p w14:paraId="12EC8826" w14:textId="117533B2"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{"citationID":"C421Q3jH","properties":{"formattedCitation":"Ibid., 57\\uc0\\u8211{}71.","plainCitation":"Ibid., 57–71.","noteIndex":32},"citationItems":[{"id":1053,"uris":["http://zotero.org/users/1120467/items/UBAZG72P"],"uri":["http://zotero.org/users/1120467/items/UBAZG72P"],"itemData":{"id":1053,"type":"book","call-number":"NT-3496","event-place":"New Haven","ISBN":"978-0-300-04527-7","language":"eng","publisher":"Yale University Press","publisher-place":"New Haven","source":"usearch.univie.ac.at","title":"Paul the convert: the apostolate and apostasy of Saul the Pharisee","title-short":"Paul the convert","author":[{"family":"Segal","given":"Alan F."}],"issued":{"date-parts":[["1990"]]}},"locator":"57-71"}],"schema":"https://github.com/citation-style-language/schema/raw/master/csl-citation.json"} </w:instrText>
      </w:r>
      <w:r>
        <w:fldChar w:fldCharType="separate"/>
      </w:r>
      <w:r w:rsidRPr="00CE2912">
        <w:rPr>
          <w:rFonts w:ascii="Calibri" w:cs="Calibri"/>
          <w:lang w:val="en-GB"/>
        </w:rPr>
        <w:t>Ibid., 57–71.</w:t>
      </w:r>
      <w:r>
        <w:fldChar w:fldCharType="end"/>
      </w:r>
    </w:p>
  </w:footnote>
  <w:footnote w:id="33">
    <w:p w14:paraId="23FA4B34" w14:textId="52B2D434" w:rsidR="007E220A" w:rsidRPr="007669E5" w:rsidRDefault="007E220A" w:rsidP="00DB15C3">
      <w:pPr>
        <w:pStyle w:val="FootnoteText"/>
        <w:rPr>
          <w:lang w:val="en-GB"/>
        </w:rPr>
      </w:pPr>
      <w:r>
        <w:rPr>
          <w:rStyle w:val="FootnoteReference"/>
        </w:rPr>
        <w:footnoteRef/>
      </w:r>
      <w:r>
        <w:t xml:space="preserve"> </w:t>
      </w:r>
      <w:r>
        <w:fldChar w:fldCharType="begin"/>
      </w:r>
      <w:r w:rsidR="003649EF">
        <w:instrText xml:space="preserve"> ADDIN ZOTERO_ITEM CSL_CITATION {"citationID":"eUzXYVUG","properties":{"formattedCitation":"Ibid., 76\\uc0\\u8211{}79.","plainCitation":"Ibid., 76–79.","noteIndex":33},"citationItems":[{"id":1053,"uris":["http://zotero.org/users/1120467/items/UBAZG72P"],"uri":["http://zotero.org/users/1120467/items/UBAZG72P"],"itemData":{"id":1053,"type":"book","call-number":"NT-3496","event-place":"New Haven","ISBN":"978-0-300-04527-7","language":"eng","publisher":"Yale University Press","publisher-place":"New Haven","source":"usearch.univie.ac.at","title":"Paul the convert: the apostolate and apostasy of Saul the Pharisee","title-short":"Paul the convert","author":[{"family":"Segal","given":"Alan F."}],"issued":{"date-parts":[["1990"]]}},"locator":"76-79"}],"schema":"https://github.com/citation-style-language/schema/raw/master/csl-citation.json"} </w:instrText>
      </w:r>
      <w:r>
        <w:fldChar w:fldCharType="separate"/>
      </w:r>
      <w:r w:rsidRPr="00CE2912">
        <w:rPr>
          <w:rFonts w:ascii="Calibri" w:cs="Calibri"/>
          <w:lang w:val="en-GB"/>
        </w:rPr>
        <w:t>Ibid., 76–79.</w:t>
      </w:r>
      <w:r>
        <w:fldChar w:fldCharType="end"/>
      </w:r>
      <w:r>
        <w:rPr>
          <w:lang w:val="en-GB"/>
        </w:rPr>
        <w:t xml:space="preserve"> Segal focuses particularly on the idea that conversion causes a re-narration in one’s ‘life-biography’, something that he sees in Paul’s own writings in the passages listed above. It’s worth noting that </w:t>
      </w:r>
      <w:proofErr w:type="spellStart"/>
      <w:r>
        <w:rPr>
          <w:lang w:val="en-GB"/>
        </w:rPr>
        <w:t>Stendahl</w:t>
      </w:r>
      <w:proofErr w:type="spellEnd"/>
      <w:r>
        <w:rPr>
          <w:lang w:val="en-GB"/>
        </w:rPr>
        <w:t xml:space="preserve"> begins to answer this line of thought in his own article, where he talks about Saul’s name change (</w:t>
      </w:r>
      <w:proofErr w:type="spellStart"/>
      <w:r>
        <w:rPr>
          <w:lang w:val="en-GB"/>
        </w:rPr>
        <w:t>Stendahl</w:t>
      </w:r>
      <w:proofErr w:type="spellEnd"/>
      <w:r>
        <w:rPr>
          <w:lang w:val="en-GB"/>
        </w:rPr>
        <w:t xml:space="preserve">, ‘Paul among Jews and Gentiles’, 11), but he doesn’t grapple with the wider aspects of biographical re-narration that Segal brings to the table.  </w:t>
      </w:r>
    </w:p>
  </w:footnote>
  <w:footnote w:id="34">
    <w:p w14:paraId="66B5CEAC" w14:textId="6DC63CD8" w:rsidR="00746DBA" w:rsidRPr="005E2662" w:rsidRDefault="00746DBA">
      <w:pPr>
        <w:pStyle w:val="FootnoteText"/>
        <w:rPr>
          <w:lang w:val="de-AT"/>
        </w:rPr>
      </w:pPr>
      <w:r>
        <w:rPr>
          <w:rStyle w:val="FootnoteReference"/>
        </w:rPr>
        <w:footnoteRef/>
      </w:r>
      <w:r>
        <w:t xml:space="preserve"> </w:t>
      </w:r>
      <w:r w:rsidR="005E2662" w:rsidRPr="005E2662">
        <w:rPr>
          <w:lang w:val="de-AT"/>
        </w:rPr>
        <w:t xml:space="preserve">Michael Wolter </w:t>
      </w:r>
      <w:proofErr w:type="spellStart"/>
      <w:r w:rsidR="005E2662" w:rsidRPr="005E2662">
        <w:rPr>
          <w:lang w:val="de-AT"/>
        </w:rPr>
        <w:t>makes</w:t>
      </w:r>
      <w:proofErr w:type="spellEnd"/>
      <w:r w:rsidR="005E2662" w:rsidRPr="005E2662">
        <w:rPr>
          <w:lang w:val="de-AT"/>
        </w:rPr>
        <w:t xml:space="preserve"> a </w:t>
      </w:r>
      <w:proofErr w:type="spellStart"/>
      <w:r w:rsidR="005E2662" w:rsidRPr="005E2662">
        <w:rPr>
          <w:lang w:val="de-AT"/>
        </w:rPr>
        <w:t>similar</w:t>
      </w:r>
      <w:proofErr w:type="spellEnd"/>
      <w:r w:rsidR="005E2662" w:rsidRPr="005E2662">
        <w:rPr>
          <w:lang w:val="de-AT"/>
        </w:rPr>
        <w:t xml:space="preserve"> </w:t>
      </w:r>
      <w:proofErr w:type="spellStart"/>
      <w:r w:rsidR="005E2662" w:rsidRPr="005E2662">
        <w:rPr>
          <w:lang w:val="de-AT"/>
        </w:rPr>
        <w:t>point</w:t>
      </w:r>
      <w:proofErr w:type="spellEnd"/>
      <w:r w:rsidR="005E2662" w:rsidRPr="005E2662">
        <w:rPr>
          <w:lang w:val="de-AT"/>
        </w:rPr>
        <w:t xml:space="preserve"> in </w:t>
      </w:r>
      <w:proofErr w:type="spellStart"/>
      <w:r w:rsidR="005E2662" w:rsidRPr="005E2662">
        <w:rPr>
          <w:lang w:val="de-AT"/>
        </w:rPr>
        <w:t>his</w:t>
      </w:r>
      <w:proofErr w:type="spellEnd"/>
      <w:r w:rsidR="005E2662" w:rsidRPr="005E2662">
        <w:rPr>
          <w:lang w:val="de-AT"/>
        </w:rPr>
        <w:t xml:space="preserve"> </w:t>
      </w:r>
      <w:r w:rsidR="005E2662" w:rsidRPr="005E2662">
        <w:rPr>
          <w:i/>
          <w:iCs/>
          <w:lang w:val="de-AT"/>
        </w:rPr>
        <w:t>Grundriss</w:t>
      </w:r>
      <w:r w:rsidR="005E2662" w:rsidRPr="005E2662">
        <w:rPr>
          <w:lang w:val="de-AT"/>
        </w:rPr>
        <w:t>: ‘</w:t>
      </w:r>
      <w:r w:rsidR="005E2662" w:rsidRPr="005E2662">
        <w:rPr>
          <w:lang w:val="de-AT"/>
        </w:rPr>
        <w:t>Der Begriff</w:t>
      </w:r>
      <w:r w:rsidR="005E2662">
        <w:rPr>
          <w:lang w:val="de-AT"/>
        </w:rPr>
        <w:t xml:space="preserve"> [</w:t>
      </w:r>
      <w:r w:rsidR="006B6132">
        <w:rPr>
          <w:lang w:val="de-AT"/>
        </w:rPr>
        <w:t>Bekehrung</w:t>
      </w:r>
      <w:r w:rsidR="005E2662">
        <w:rPr>
          <w:lang w:val="de-AT"/>
        </w:rPr>
        <w:t>]</w:t>
      </w:r>
      <w:r w:rsidR="005E2662" w:rsidRPr="005E2662">
        <w:rPr>
          <w:lang w:val="de-AT"/>
        </w:rPr>
        <w:t xml:space="preserve"> soll hier vielmehr lediglich einen Vorgang bezeichnen, bei dem eine bestehende Existenzgewissheit von einer anderen abgelöst wird. Damit ist dasselbe gemeint, wie wenn in der neueren Literatur von einer ‚Lebenswende‘ oder von einem ‚Umbruch‘ gesprochen wird</w:t>
      </w:r>
      <w:proofErr w:type="gramStart"/>
      <w:r w:rsidR="005E2662">
        <w:rPr>
          <w:lang w:val="de-AT"/>
        </w:rPr>
        <w:t>...[</w:t>
      </w:r>
      <w:proofErr w:type="gramEnd"/>
      <w:r w:rsidR="005E2662">
        <w:rPr>
          <w:lang w:val="de-AT"/>
        </w:rPr>
        <w:t>Er wurde]</w:t>
      </w:r>
      <w:r w:rsidR="005E2662" w:rsidRPr="005E2662">
        <w:t xml:space="preserve"> </w:t>
      </w:r>
      <w:r w:rsidR="005E2662" w:rsidRPr="00726774">
        <w:t>mitten in seinem von uneingeschränkter theologischer Überzeugung  getragenen Einsatz für die Heiligkeit Israels ‚umgedreht‘. Dieses Verständnis der paulinischen Bekehrung entspricht auch den Darstellungen in Gal 1,23 (‚einst‘ und ‚jetzt‘) … sowie den paulinischen Aussagen über sein Selbstverständnis als Pharisäer vor der Bekehrung in Gal 1,13-14 und Phil 3,5-6.</w:t>
      </w:r>
      <w:r w:rsidR="005E2662" w:rsidRPr="005E2662">
        <w:rPr>
          <w:lang w:val="de-AT"/>
        </w:rPr>
        <w:t xml:space="preserve">’ </w:t>
      </w:r>
      <w:r w:rsidR="005E2662">
        <w:fldChar w:fldCharType="begin"/>
      </w:r>
      <w:r w:rsidR="005E2662">
        <w:instrText xml:space="preserve"> ADDIN ZOTERO_ITEM CSL_CITATION {"citationID":"AYXsPJyG","properties":{"formattedCitation":"Michael Wolter, {\\i{}Paulus: ein Grundriss seiner Theologie} (Neukirchen-Vluyn: Neukirchener Theologie, 2011), 23\\uc0\\u8211{}24.","plainCitation":"Michael Wolter, Paulus: ein Grundriss seiner Theologie (Neukirchen-Vluyn: Neukirchener Theologie, 2011), 23–24.","noteIndex":34},"citationItems":[{"id":1234,"uris":["http://zotero.org/users/1120467/items/3SUQRUSI"],"uri":["http://zotero.org/users/1120467/items/3SUQRUSI"],"itemData":{"id":1234,"type":"book","abstract":"Literaturverz. S. [457] - 466","call-number":"Ne 3.137","event-place":"Neukirchen-Vluyn","ISBN":"978-3-7887-2489-4","language":"ger","number-of-pages":"xi+481","publisher":"Neukirchener Theologie","publisher-place":"Neukirchen-Vluyn","source":"usearch.univie.ac.at","title":"Paulus: ein Grundriss seiner Theologie","title-short":"Paulus","author":[{"family":"Wolter","given":"Michael"}],"issued":{"date-parts":[["2011"]]}},"locator":"23-24"}],"schema":"https://github.com/citation-style-language/schema/raw/master/csl-citation.json"} </w:instrText>
      </w:r>
      <w:r w:rsidR="005E2662">
        <w:fldChar w:fldCharType="separate"/>
      </w:r>
      <w:r w:rsidR="005E2662" w:rsidRPr="005E2662">
        <w:rPr>
          <w:rFonts w:ascii="Calibri" w:cs="Calibri"/>
          <w:lang w:val="de-AT"/>
        </w:rPr>
        <w:t xml:space="preserve">Michael Wolter, </w:t>
      </w:r>
      <w:r w:rsidR="005E2662" w:rsidRPr="005E2662">
        <w:rPr>
          <w:rFonts w:ascii="Calibri" w:cs="Calibri"/>
          <w:i/>
          <w:iCs/>
          <w:lang w:val="de-AT"/>
        </w:rPr>
        <w:t>Paulus: ein Grundriss seiner Theologie</w:t>
      </w:r>
      <w:r w:rsidR="005E2662" w:rsidRPr="005E2662">
        <w:rPr>
          <w:rFonts w:ascii="Calibri" w:cs="Calibri"/>
          <w:lang w:val="de-AT"/>
        </w:rPr>
        <w:t xml:space="preserve"> (Neukirchen-Vluyn: </w:t>
      </w:r>
      <w:proofErr w:type="spellStart"/>
      <w:r w:rsidR="005E2662" w:rsidRPr="005E2662">
        <w:rPr>
          <w:rFonts w:ascii="Calibri" w:cs="Calibri"/>
          <w:lang w:val="de-AT"/>
        </w:rPr>
        <w:t>Neukirchener</w:t>
      </w:r>
      <w:proofErr w:type="spellEnd"/>
      <w:r w:rsidR="005E2662" w:rsidRPr="005E2662">
        <w:rPr>
          <w:rFonts w:ascii="Calibri" w:cs="Calibri"/>
          <w:lang w:val="de-AT"/>
        </w:rPr>
        <w:t xml:space="preserve"> Theologie, 2011), 23–24.</w:t>
      </w:r>
      <w:r w:rsidR="005E2662">
        <w:fldChar w:fldCharType="end"/>
      </w:r>
    </w:p>
  </w:footnote>
  <w:footnote w:id="35">
    <w:p w14:paraId="559026D9" w14:textId="500B7097" w:rsidR="007E220A" w:rsidRPr="00545DC0" w:rsidRDefault="007E220A">
      <w:pPr>
        <w:pStyle w:val="FootnoteText"/>
        <w:rPr>
          <w:lang w:val="en-GB"/>
        </w:rPr>
      </w:pPr>
      <w:r>
        <w:rPr>
          <w:rStyle w:val="FootnoteReference"/>
        </w:rPr>
        <w:footnoteRef/>
      </w:r>
      <w:r>
        <w:t xml:space="preserve"> </w:t>
      </w:r>
      <w:r>
        <w:rPr>
          <w:lang w:val="en-GB"/>
        </w:rPr>
        <w:t xml:space="preserve">‘There is more than a grain of truth in [Segal’s argument for conversion], but also I believe a mistake. For Paul what mattered was not that he, Paul, had had a particular kind of “experience” but that </w:t>
      </w:r>
      <w:r>
        <w:rPr>
          <w:i/>
          <w:iCs/>
          <w:lang w:val="en-GB"/>
        </w:rPr>
        <w:t>Israel’s Messiah had been crucified and been raised</w:t>
      </w:r>
      <w:r>
        <w:rPr>
          <w:lang w:val="en-GB"/>
        </w:rPr>
        <w:t xml:space="preserve">’ </w:t>
      </w:r>
      <w:r>
        <w:fldChar w:fldCharType="begin"/>
      </w:r>
      <w:r w:rsidR="000F4028">
        <w:instrText xml:space="preserve"> ADDIN ZOTERO_ITEM CSL_CITATION {"citationID":"JJ5IvFqL","properties":{"formattedCitation":"Wright, {\\i{}Paul and the Faithfulness of God}, 1424.","plainCitation":"Wright, Paul and the Faithfulness of God, 1424.","noteIndex":35},"citationItems":[{"id":1113,"uris":["http://zotero.org/users/1120467/items/E64VDI5E"],"uri":["http://zotero.org/users/1120467/items/E64VDI5E"],"itemData":{"id":1113,"type":"book","abstract":"A masterly exposition of Paul's thought by one of his leading contemporary interpreters. The summation of a lifetime's study, this landmark book offers an unparalleled wealth of detailed insights into Paul's life, times and enduring impact. Destined to become the point of reference in Pauline studies for the next decade, and beyond. 'Tom Wright's long-awaited full-length study of St Paul will not in any way disappoint the high expectations that surround it. From the very first sentence, it holds the attention, arguing a strong, persuasive, coherent and fresh case, supported by immense scholarship and comprehensive theological intelligence. It is a worthy successor to his earlier magisterial studies of the themes of the Kingdom and the Resurrection: lively, passionate and deeply constructive, laying out very plainly the ways in which the faith of the New Testament is focused on God's purpose to re-create, through the fact of Jesus crucified and risen, our entire understanding of authority and social identity.' Rowan Williams, Master of Magdalene College, Cambridge","event-place":"London","ISBN":"978-0-281-05554-8","language":"English","number-of-pages":"1680","publisher":"SPCK Publishing","publisher-place":"London","source":"Amazon","title":"Paul and the Faithfulness of God","author":[{"family":"Wright","given":"N. T."}],"issued":{"date-parts":[["2013",10,24]]}},"locator":"1424"}],"schema":"https://github.com/citation-style-language/schema/raw/master/csl-citation.json"} </w:instrText>
      </w:r>
      <w:r>
        <w:fldChar w:fldCharType="separate"/>
      </w:r>
      <w:r w:rsidR="009E378C" w:rsidRPr="009E378C">
        <w:rPr>
          <w:rFonts w:ascii="Calibri" w:cs="Calibri"/>
          <w:lang w:val="en-GB"/>
        </w:rPr>
        <w:t xml:space="preserve">Wright, </w:t>
      </w:r>
      <w:r w:rsidR="009E378C" w:rsidRPr="009E378C">
        <w:rPr>
          <w:rFonts w:ascii="Calibri" w:cs="Calibri"/>
          <w:i/>
          <w:iCs/>
          <w:lang w:val="en-GB"/>
        </w:rPr>
        <w:t>Paul and the Faithfulness of God</w:t>
      </w:r>
      <w:r w:rsidR="009E378C" w:rsidRPr="009E378C">
        <w:rPr>
          <w:rFonts w:ascii="Calibri" w:cs="Calibri"/>
          <w:lang w:val="en-GB"/>
        </w:rPr>
        <w:t>, 1424.</w:t>
      </w:r>
      <w:r>
        <w:fldChar w:fldCharType="end"/>
      </w:r>
      <w:r>
        <w:rPr>
          <w:lang w:val="en-GB"/>
        </w:rPr>
        <w:t xml:space="preserve"> Emphasis original. Wright’s point here seems to be more apologetic for his own argument about the objective centrality of God’s action than a substantive engagement with Segal, not least around the importance of mystical experiences within Second Temple Judaism. Surely one can affirm the objective action of God whilst also noting the importance of Paul’s subjective experience both for his own theology and later Christian tradition. </w:t>
      </w:r>
    </w:p>
  </w:footnote>
  <w:footnote w:id="36">
    <w:p w14:paraId="437602A6" w14:textId="2C9C0A1B" w:rsidR="007E220A" w:rsidRPr="00CE1564" w:rsidRDefault="007E220A">
      <w:pPr>
        <w:pStyle w:val="FootnoteText"/>
        <w:rPr>
          <w:lang w:val="en-GB"/>
        </w:rPr>
      </w:pPr>
      <w:r>
        <w:rPr>
          <w:rStyle w:val="FootnoteReference"/>
        </w:rPr>
        <w:footnoteRef/>
      </w:r>
      <w:r>
        <w:t xml:space="preserve"> </w:t>
      </w:r>
      <w:r>
        <w:fldChar w:fldCharType="begin"/>
      </w:r>
      <w:r w:rsidR="000F4028">
        <w:instrText xml:space="preserve"> ADDIN ZOTERO_ITEM CSL_CITATION {"citationID":"WH52l09j","properties":{"formattedCitation":"Eisenbaum, {\\i{}Paul Was Not a Christian}, 134.","plainCitation":"Eisenbaum, Paul Was Not a Christian, 134.","noteIndex":36},"citationItems":[{"id":1054,"uris":["http://zotero.org/users/1120467/items/A4WL9B4X"],"uri":["http://zotero.org/users/1120467/items/A4WL9B4X"],"itemData":{"id":1054,"type":"book","abstract":"Pamela Eisenbaum, an expert on early Christianity, reveals the true nature of the historical Paul in Paul Was Not a Christian. She explores the idea of Paul not as the founder of a new Christian religion, but as a devout Jew who believed Jesus was the Christ who would unite Jews and Gentiles and fulfill God s universal plan for humanity. Eisenbaum s work in Paul Was Not a Christian will have a profound impact on the way many Christians approach evangelism and how to better follow Jesus s and Paul s teachings on how to live faithfully today. Paul is not the founder of Christianity or a zealous convert from Judaism, as is often claimed. Nor did he contend that Jesus superseded the Torah. Paul, Eisenbaum persuasively argues, remained a devout Jew who believed Jesus would unite Jews and Gentiles and fulfill God's universal plan for humanity. Meticulously researched and far-reaching in its implications, this is a much-needed corrective to misconceptions held by Christians and Jews, liberals and conservatives, alike.","edition":"Reprint edition","event-place":"New York","ISBN":"978-0-06-134991-1","language":"English","number-of-pages":"336","publisher":"Bravo Ltd","publisher-place":"New York","source":"Amazon","title":"Paul Was Not a Christian: The Original Message of a Misunderstood Apostle","title-short":"Paul Was Not a Christian","author":[{"family":"Eisenbaum","given":"Pamela"}],"issued":{"date-parts":[["2010",9,7]]}},"locator":"134"}],"schema":"https://github.com/citation-style-language/schema/raw/master/csl-citation.json"} </w:instrText>
      </w:r>
      <w:r>
        <w:fldChar w:fldCharType="separate"/>
      </w:r>
      <w:proofErr w:type="spellStart"/>
      <w:r w:rsidRPr="00CE1564">
        <w:rPr>
          <w:rFonts w:ascii="Calibri" w:cs="Calibri"/>
          <w:lang w:val="en-GB"/>
        </w:rPr>
        <w:t>Eisenbaum</w:t>
      </w:r>
      <w:proofErr w:type="spellEnd"/>
      <w:r w:rsidRPr="00CE1564">
        <w:rPr>
          <w:rFonts w:ascii="Calibri" w:cs="Calibri"/>
          <w:lang w:val="en-GB"/>
        </w:rPr>
        <w:t xml:space="preserve">, </w:t>
      </w:r>
      <w:r w:rsidRPr="00CE1564">
        <w:rPr>
          <w:rFonts w:ascii="Calibri" w:cs="Calibri"/>
          <w:i/>
          <w:iCs/>
          <w:lang w:val="en-GB"/>
        </w:rPr>
        <w:t>Paul Was Not a Christian</w:t>
      </w:r>
      <w:r w:rsidRPr="00CE1564">
        <w:rPr>
          <w:rFonts w:ascii="Calibri" w:cs="Calibri"/>
          <w:lang w:val="en-GB"/>
        </w:rPr>
        <w:t>, 134.</w:t>
      </w:r>
      <w:r>
        <w:fldChar w:fldCharType="end"/>
      </w:r>
    </w:p>
  </w:footnote>
  <w:footnote w:id="37">
    <w:p w14:paraId="1A20DAD0" w14:textId="6A0D793B" w:rsidR="007E220A" w:rsidRPr="008753AD" w:rsidRDefault="007E220A">
      <w:pPr>
        <w:pStyle w:val="FootnoteText"/>
        <w:rPr>
          <w:lang w:val="en-GB"/>
        </w:rPr>
      </w:pPr>
      <w:r>
        <w:rPr>
          <w:rStyle w:val="FootnoteReference"/>
        </w:rPr>
        <w:footnoteRef/>
      </w:r>
      <w:r>
        <w:rPr>
          <w:lang w:val="en-GB"/>
        </w:rPr>
        <w:t xml:space="preserve"> E.g.</w:t>
      </w:r>
      <w:r>
        <w:t xml:space="preserve"> </w:t>
      </w:r>
      <w:r>
        <w:fldChar w:fldCharType="begin"/>
      </w:r>
      <w:r w:rsidR="003649EF">
        <w:instrText xml:space="preserve"> ADDIN ZOTERO_ITEM CSL_CITATION {"citationID":"B0gk7CMy","properties":{"formattedCitation":"J\\uc0\\u246{}rg Frey, \\uc0\\u8216{}Paul\\uc0\\u8217{}s Jewish Identity\\uc0\\u8217{}, in {\\i{}Jewish Identity in the Greco-Roman World}, ed. J\\uc0\\u246{}rg Frey, Daniel R. Schwartz, and Stephanie Gripentrog, Ancient Judaism and Early Christianity\\uc0\\u8239{}; v. 71 (Leiden\\uc0\\u8239{}; Boston\\uc0\\u8239{}:, Boston\\uc0\\u8239{}: Brill, 2007), 321.","plainCitation":"Jörg Frey, ‘Paul’s Jewish Identity’, in Jewish Identity in the Greco-Roman World, ed. Jörg Frey, Daniel R. Schwartz, and Stephanie Gripentrog, Ancient Judaism and Early Christianity ; v. 71 (Leiden ; Boston :, Boston : Brill, 2007), 321.","noteIndex":37},"citationItems":[{"id":1116,"uris":["http://zotero.org/users/1120467/items/26I2QMDW"],"uri":["http://zotero.org/users/1120467/items/26I2QMDW"],"itemData":{"id":1116,"type":"chapter","abstract":"Enthält: \"Judean\" or \"Jew\"? : how should we translate ioudaios in Josephus? / Daniel R. Schwartz -- Jewish worship and universal identity in Philo of Alexandria / Jutta Leonhardt-Balzer -- Die Beteiligung von Nichtjuden am Jerusalemer Tempelkult / Stefan Krauter --The woman as \"other\" in rabbinic literature / Tal Ilan -- Doing like Jews or becoming a Jew? : Josephus on women converts to Judaism / Daniel R. Schwartz -- Die Jüdische Integration in die Oberschicht Alexandriens und die angebliche Apostasie des Tiberius Julius Alexander / Gottfried Schimanowski -- Philo on the Nile / Sarah K. Pearce -- Die Gemeinderegel von Qumran und das antike Vereinswesen / Randolf Herrmann -- Der Kaiserkult in Judäa unter herodischer und römischer Herrschaft : zu Herausbildung und Herausforderung neuer Konzepte Jüdische Herrschaftslegitimation / Monika Bernett -- Die Jüdische Diaspora Kleinasiens und der \"epigraphic habit\" / Walter Ameling -- Paul's Jewish identity / Jörg Frey -- Das Aposteldekret : Halacha für Heidenchristen oder christliche Rücksichtnahme auf jüdische Tabus? / Roland Deines., Text in English and German., Electronic reproduction.: [S.l.] : : HathiTrust Digital Library,","collection-title":"Ancient Judaism and early Christianity ; v. 71","container-title":"Jewish identity in the Greco-Roman World","event-place":"Leiden ; Boston :, Boston :","ISBN":"978-90-474-2155-9","language":"eng;ger","page":"283–321","publisher":"Brill,","publisher-place":"Leiden ; Boston :, Boston :","source":"usearch.univie.ac.at","title":"Paul’s Jewish identity","editor":[{"family":"Frey","given":"Jörg"},{"family":"Schwartz","given":"Daniel R."},{"family":"Gripentrog","given":"Stephanie"}],"author":[{"family":"Frey","given":"Jörg"}],"accessed":{"date-parts":[["2020",8,9]]},"issued":{"date-parts":[["2007"]]}},"locator":"321"}],"schema":"https://github.com/citation-style-language/schema/raw/master/csl-citation.json"} </w:instrText>
      </w:r>
      <w:r>
        <w:fldChar w:fldCharType="separate"/>
      </w:r>
      <w:proofErr w:type="spellStart"/>
      <w:r w:rsidR="003649EF" w:rsidRPr="003649EF">
        <w:rPr>
          <w:rFonts w:ascii="Calibri" w:cs="Calibri"/>
          <w:lang w:val="en-GB"/>
        </w:rPr>
        <w:t>Jörg</w:t>
      </w:r>
      <w:proofErr w:type="spellEnd"/>
      <w:r w:rsidR="003649EF" w:rsidRPr="003649EF">
        <w:rPr>
          <w:rFonts w:ascii="Calibri" w:cs="Calibri"/>
          <w:lang w:val="en-GB"/>
        </w:rPr>
        <w:t xml:space="preserve"> Frey, ‘Paul’s Jewish Identity’, in </w:t>
      </w:r>
      <w:r w:rsidR="003649EF" w:rsidRPr="003649EF">
        <w:rPr>
          <w:rFonts w:ascii="Calibri" w:cs="Calibri"/>
          <w:i/>
          <w:iCs/>
          <w:lang w:val="en-GB"/>
        </w:rPr>
        <w:t>Jewish Identity in the Greco-Roman World</w:t>
      </w:r>
      <w:r w:rsidR="003649EF" w:rsidRPr="003649EF">
        <w:rPr>
          <w:rFonts w:ascii="Calibri" w:cs="Calibri"/>
          <w:lang w:val="en-GB"/>
        </w:rPr>
        <w:t xml:space="preserve">, ed. </w:t>
      </w:r>
      <w:proofErr w:type="spellStart"/>
      <w:r w:rsidR="003649EF" w:rsidRPr="003649EF">
        <w:rPr>
          <w:rFonts w:ascii="Calibri" w:cs="Calibri"/>
          <w:lang w:val="en-GB"/>
        </w:rPr>
        <w:t>Jörg</w:t>
      </w:r>
      <w:proofErr w:type="spellEnd"/>
      <w:r w:rsidR="003649EF" w:rsidRPr="003649EF">
        <w:rPr>
          <w:rFonts w:ascii="Calibri" w:cs="Calibri"/>
          <w:lang w:val="en-GB"/>
        </w:rPr>
        <w:t xml:space="preserve"> Frey, Daniel R. Schwartz, and Stephanie </w:t>
      </w:r>
      <w:proofErr w:type="spellStart"/>
      <w:r w:rsidR="003649EF" w:rsidRPr="003649EF">
        <w:rPr>
          <w:rFonts w:ascii="Calibri" w:cs="Calibri"/>
          <w:lang w:val="en-GB"/>
        </w:rPr>
        <w:t>Gripentrog</w:t>
      </w:r>
      <w:proofErr w:type="spellEnd"/>
      <w:r w:rsidR="003649EF" w:rsidRPr="003649EF">
        <w:rPr>
          <w:rFonts w:ascii="Calibri" w:cs="Calibri"/>
          <w:lang w:val="en-GB"/>
        </w:rPr>
        <w:t>, Ancient Judaism and Early Christianity ; v. 71 (Leiden ; Boston :, Boston : Brill, 2007), 321.</w:t>
      </w:r>
      <w:r>
        <w:fldChar w:fldCharType="end"/>
      </w:r>
    </w:p>
  </w:footnote>
  <w:footnote w:id="38">
    <w:p w14:paraId="18493A4A" w14:textId="6EEE182A" w:rsidR="007E220A" w:rsidRPr="00CE2912"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{"citationID":"OVAXBoz9","properties":{"formattedCitation":"Segal, {\\i{}Paul the Convert}, 22;48;56-8.","plainCitation":"Segal, Paul the Convert, 22;48;56-8.","noteIndex":38},"citationItems":[{"id":1053,"uris":["http://zotero.org/users/1120467/items/UBAZG72P"],"uri":["http://zotero.org/users/1120467/items/UBAZG72P"],"itemData":{"id":1053,"type":"book","call-number":"NT-3496","event-place":"New Haven","ISBN":"978-0-300-04527-7","language":"eng","publisher":"Yale University Press","publisher-place":"New Haven","source":"usearch.univie.ac.at","title":"Paul the convert: the apostolate and apostasy of Saul the Pharisee","title-short":"Paul the convert","author":[{"family":"Segal","given":"Alan F."}],"issued":{"date-parts":[["1990"]]}},"locator":"22;48;56-8"}],"schema":"https://github.com/citation-style-language/schema/raw/master/csl-citation.json"} </w:instrText>
      </w:r>
      <w:r>
        <w:fldChar w:fldCharType="separate"/>
      </w:r>
      <w:r w:rsidRPr="00CE2912">
        <w:rPr>
          <w:rFonts w:ascii="Calibri" w:cs="Calibri"/>
          <w:lang w:val="en-GB"/>
        </w:rPr>
        <w:t xml:space="preserve">Segal, </w:t>
      </w:r>
      <w:r w:rsidRPr="00CE2912">
        <w:rPr>
          <w:rFonts w:ascii="Calibri" w:cs="Calibri"/>
          <w:i/>
          <w:iCs/>
          <w:lang w:val="en-GB"/>
        </w:rPr>
        <w:t>Paul the Convert</w:t>
      </w:r>
      <w:r w:rsidRPr="00CE2912">
        <w:rPr>
          <w:rFonts w:ascii="Calibri" w:cs="Calibri"/>
          <w:lang w:val="en-GB"/>
        </w:rPr>
        <w:t>, 22;48;56-8.</w:t>
      </w:r>
      <w:r>
        <w:fldChar w:fldCharType="end"/>
      </w:r>
    </w:p>
  </w:footnote>
  <w:footnote w:id="39">
    <w:p w14:paraId="12B81908" w14:textId="69D20905" w:rsidR="00CA396C" w:rsidRPr="005C2E6C"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{"citationID":"hoUrNRBl","properties":{"formattedCitation":"Boyarin, {\\i{}A Radical Jew}, 228.","plainCitation":"Boyarin, A Radical Jew, 228.","noteIndex":39},"citationItems":[{"id":1083,"uris":["http://zotero.org/users/1120467/items/9QZCE66Y"],"uri":["http://zotero.org/users/1120467/items/9QZCE66Y"],"itemData":{"id":1083,"type":"book","abstract":"Enthält: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Jew","author":[{"family":"Boyarin","given":"Daniel"}],"accessed":{"date-parts":[["2020",8,6]]},"issued":{"date-parts":[["1997"]]}},"locator":"228"}],"schema":"https://github.com/citation-style-language/schema/raw/master/csl-citation.json"} </w:instrText>
      </w:r>
      <w:r>
        <w:fldChar w:fldCharType="separate"/>
      </w:r>
      <w:proofErr w:type="spellStart"/>
      <w:r w:rsidRPr="005C2E6C">
        <w:rPr>
          <w:rFonts w:ascii="Calibri" w:cs="Calibri"/>
          <w:lang w:val="en-GB"/>
        </w:rPr>
        <w:t>Boyarin</w:t>
      </w:r>
      <w:proofErr w:type="spellEnd"/>
      <w:r w:rsidRPr="005C2E6C">
        <w:rPr>
          <w:rFonts w:ascii="Calibri" w:cs="Calibri"/>
          <w:lang w:val="en-GB"/>
        </w:rPr>
        <w:t xml:space="preserve">, </w:t>
      </w:r>
      <w:r w:rsidRPr="005C2E6C">
        <w:rPr>
          <w:rFonts w:ascii="Calibri" w:cs="Calibri"/>
          <w:i/>
          <w:iCs/>
          <w:lang w:val="en-GB"/>
        </w:rPr>
        <w:t>A Radical Jew</w:t>
      </w:r>
      <w:r w:rsidRPr="005C2E6C">
        <w:rPr>
          <w:rFonts w:ascii="Calibri" w:cs="Calibri"/>
          <w:lang w:val="en-GB"/>
        </w:rPr>
        <w:t>, 228.</w:t>
      </w:r>
      <w:r>
        <w:fldChar w:fldCharType="end"/>
      </w:r>
    </w:p>
  </w:footnote>
  <w:footnote w:id="40">
    <w:p w14:paraId="3BA509EB" w14:textId="1C871A1E" w:rsidR="00CA396C" w:rsidRPr="001D2D26"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{"citationID":"KK9O6PjO","properties":{"formattedCitation":"Ibid., 25.","plainCitation":"Ibid., 25.","noteIndex":40},"citationItems":[{"id":1083,"uris":["http://zotero.org/users/1120467/items/9QZCE66Y"],"uri":["http://zotero.org/users/1120467/items/9QZCE66Y"],"itemData":{"id":1083,"type":"book","abstract":"Enthält: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Jew","author":[{"family":"Boyarin","given":"Daniel"}],"accessed":{"date-parts":[["2020",8,6]]},"issued":{"date-parts":[["1997"]]}},"locator":"25"}],"schema":"https://github.com/citation-style-language/schema/raw/master/csl-citation.json"} </w:instrText>
      </w:r>
      <w:r>
        <w:fldChar w:fldCharType="separate"/>
      </w:r>
      <w:r>
        <w:rPr>
          <w:rFonts w:ascii="Calibri" w:cs="Calibri"/>
          <w:lang w:val="en-GB"/>
        </w:rPr>
        <w:t>Ibid., 25.</w:t>
      </w:r>
      <w:r>
        <w:fldChar w:fldCharType="end"/>
      </w:r>
    </w:p>
  </w:footnote>
  <w:footnote w:id="41">
    <w:p w14:paraId="457A572F" w14:textId="14C7180C" w:rsidR="00CA396C" w:rsidRPr="002434AA"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{"citationID":"kuPIlhum","properties":{"formattedCitation":"Ibid., 24.","plainCitation":"Ibid., 24.","noteIndex":41},"citationItems":[{"id":1083,"uris":["http://zotero.org/users/1120467/items/9QZCE66Y"],"uri":["http://zotero.org/users/1120467/items/9QZCE66Y"],"itemData":{"id":1083,"type":"book","abstract":"Enthält: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Jew","author":[{"family":"Boyarin","given":"Daniel"}],"accessed":{"date-parts":[["2020",8,6]]},"issued":{"date-parts":[["1997"]]}},"locator":"24"}],"schema":"https://github.com/citation-style-language/schema/raw/master/csl-citation.json"} </w:instrText>
      </w:r>
      <w:r>
        <w:fldChar w:fldCharType="separate"/>
      </w:r>
      <w:r>
        <w:rPr>
          <w:rFonts w:ascii="Calibri" w:cs="Calibri"/>
          <w:lang w:val="en-GB"/>
        </w:rPr>
        <w:t>Ibid., 24.</w:t>
      </w:r>
      <w:r>
        <w:fldChar w:fldCharType="end"/>
      </w:r>
    </w:p>
  </w:footnote>
  <w:footnote w:id="42">
    <w:p w14:paraId="016F859D" w14:textId="65A49F74" w:rsidR="00CA396C" w:rsidRPr="006F54BC"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{"citationID":"QJyM0T5G","properties":{"formattedCitation":"Ibid., 26\\uc0\\u8211{}31.","plainCitation":"Ibid., 26–31.","noteIndex":42},"citationItems":[{"id":1083,"uris":["http://zotero.org/users/1120467/items/9QZCE66Y"],"uri":["http://zotero.org/users/1120467/items/9QZCE66Y"],"itemData":{"id":1083,"type":"book","abstract":"Enthält: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Jew","author":[{"family":"Boyarin","given":"Daniel"}],"accessed":{"date-parts":[["2020",8,6]]},"issued":{"date-parts":[["1997"]]}},"locator":"26-31"}],"schema":"https://github.com/citation-style-language/schema/raw/master/csl-citation.json"} </w:instrText>
      </w:r>
      <w:r>
        <w:fldChar w:fldCharType="separate"/>
      </w:r>
      <w:r w:rsidRPr="006F54BC">
        <w:rPr>
          <w:rFonts w:ascii="Calibri" w:cs="Calibri"/>
          <w:lang w:val="en-GB"/>
        </w:rPr>
        <w:t>Ibid., 26–31.</w:t>
      </w:r>
      <w:r>
        <w:fldChar w:fldCharType="end"/>
      </w:r>
    </w:p>
  </w:footnote>
  <w:footnote w:id="43">
    <w:p w14:paraId="2E657BDA" w14:textId="45AD05D7" w:rsidR="00CA396C" w:rsidRPr="001A69B6"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{"citationID":"HV6VXqtR","properties":{"formattedCitation":"Ibid., 37.","plainCitation":"Ibid., 37.","noteIndex":43},"citationItems":[{"id":1083,"uris":["http://zotero.org/users/1120467/items/9QZCE66Y"],"uri":["http://zotero.org/users/1120467/items/9QZCE66Y"],"itemData":{"id":1083,"type":"book","abstract":"Enthält: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Jew","author":[{"family":"Boyarin","given":"Daniel"}],"accessed":{"date-parts":[["2020",8,6]]},"issued":{"date-parts":[["1997"]]}},"locator":"37"}],"schema":"https://github.com/citation-style-language/schema/raw/master/csl-citation.json"} </w:instrText>
      </w:r>
      <w:r>
        <w:fldChar w:fldCharType="separate"/>
      </w:r>
      <w:r>
        <w:rPr>
          <w:noProof/>
        </w:rPr>
        <w:t>Ibid., 37.</w:t>
      </w:r>
      <w:r>
        <w:fldChar w:fldCharType="end"/>
      </w:r>
    </w:p>
  </w:footnote>
  <w:footnote w:id="44">
    <w:p w14:paraId="064D2D4C" w14:textId="1396ECDB" w:rsidR="00CA396C" w:rsidRPr="001E5E63"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{"citationID":"FPwUDMED","properties":{"formattedCitation":"Ibid., 38.","plainCitation":"Ibid., 38.","noteIndex":44},"citationItems":[{"id":1083,"uris":["http://zotero.org/users/1120467/items/9QZCE66Y"],"uri":["http://zotero.org/users/1120467/items/9QZCE66Y"],"itemData":{"id":1083,"type":"book","abstract":"Enthält: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Jew","author":[{"family":"Boyarin","given":"Daniel"}],"accessed":{"date-parts":[["2020",8,6]]},"issued":{"date-parts":[["1997"]]}},"locator":"38"}],"schema":"https://github.com/citation-style-language/schema/raw/master/csl-citation.json"} </w:instrText>
      </w:r>
      <w:r>
        <w:fldChar w:fldCharType="separate"/>
      </w:r>
      <w:r>
        <w:rPr>
          <w:noProof/>
        </w:rPr>
        <w:t>Ibid., 38.</w:t>
      </w:r>
      <w:r>
        <w:fldChar w:fldCharType="end"/>
      </w:r>
    </w:p>
  </w:footnote>
  <w:footnote w:id="45">
    <w:p w14:paraId="59CF6615" w14:textId="69CA238B" w:rsidR="00CA396C" w:rsidRPr="005C2E6C"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{"citationID":"NEr6pV4N","properties":{"formattedCitation":"Ibid., 185.","plainCitation":"Ibid., 185.","noteIndex":45},"citationItems":[{"id":1083,"uris":["http://zotero.org/users/1120467/items/9QZCE66Y"],"uri":["http://zotero.org/users/1120467/items/9QZCE66Y"],"itemData":{"id":1083,"type":"book","abstract":"Enthält: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Jew","author":[{"family":"Boyarin","given":"Daniel"}],"accessed":{"date-parts":[["2020",8,6]]},"issued":{"date-parts":[["1997"]]}},"locator":"185"}],"schema":"https://github.com/citation-style-language/schema/raw/master/csl-citation.json"} </w:instrText>
      </w:r>
      <w:r>
        <w:fldChar w:fldCharType="separate"/>
      </w:r>
      <w:r>
        <w:rPr>
          <w:noProof/>
        </w:rPr>
        <w:t>Ibid., 185.</w:t>
      </w:r>
      <w:r>
        <w:fldChar w:fldCharType="end"/>
      </w:r>
    </w:p>
  </w:footnote>
  <w:footnote w:id="46">
    <w:p w14:paraId="048C0EEF" w14:textId="7FADE57F" w:rsidR="00CA396C" w:rsidRPr="005B3684" w:rsidRDefault="00CA396C" w:rsidP="00CA396C">
      <w:pPr>
        <w:pStyle w:val="FootnoteText"/>
        <w:rPr>
          <w:lang w:val="en-GB"/>
        </w:rPr>
      </w:pPr>
      <w:r>
        <w:rPr>
          <w:rStyle w:val="FootnoteReference"/>
        </w:rPr>
        <w:footnoteRef/>
      </w:r>
      <w:r>
        <w:t xml:space="preserve"> </w:t>
      </w:r>
      <w:r>
        <w:fldChar w:fldCharType="begin"/>
      </w:r>
      <w:r w:rsidR="003649EF">
        <w:instrText xml:space="preserve"> ADDIN ZOTERO_ITEM CSL_CITATION {"citationID":"rJWbO3qA","properties":{"formattedCitation":"Ibid., 228.","plainCitation":"Ibid., 228.","noteIndex":46},"citationItems":[{"id":1083,"uris":["http://zotero.org/users/1120467/items/9QZCE66Y"],"uri":["http://zotero.org/users/1120467/items/9QZCE66Y"],"itemData":{"id":1083,"type":"book","abstract":"Enthält: Introduction: Wrestling with Paul -- 1. Circumcision, Allegory, and Universal \"Man\" -- 2. What Was Wrong with Judaism? The Cultural Politics of Pauline Scholarship -- 3. The Spirit and the Flesh: Paul's Political Anthropology -- 4. Moses' Veil; or, The Jewish Letter, the Christian Spirit -- 5. Circumcision and Revelation; or, The Politics of the Spirit -- 6. Was Paul an \"Anti-Semite\"? -- 7. Brides of Christ: Jewishness and the Pauline Origins of Christian Sexual Renunciation -- 8. \"There Is No Male and Female\": Galatians and Gender Trouble -- 9. Paul, the \"Jewish Problem,\" and the \"Woman Question\" -- 10. Answering the Mail: Toward a Radical Jewishness., \"First paperback printing 1997\"--Title page verso.","collection-title":"Contraversions","event-place":"Berkeley, California","ISBN":"978-0-520-92036-1","language":"eng","publisher":"University of California Press","publisher-place":"Berkeley, California","source":"usearch.univie.ac.at","title":"A radical Jew: : Paul and the politics of identity","title-short":"A radical Jew","author":[{"family":"Boyarin","given":"Daniel"}],"accessed":{"date-parts":[["2020",8,6]]},"issued":{"date-parts":[["1997"]]}},"locator":"228"}],"schema":"https://github.com/citation-style-language/schema/raw/master/csl-citation.json"} </w:instrText>
      </w:r>
      <w:r>
        <w:fldChar w:fldCharType="separate"/>
      </w:r>
      <w:r>
        <w:rPr>
          <w:noProof/>
        </w:rPr>
        <w:t>Ibid., 228.</w:t>
      </w:r>
      <w:r>
        <w:fldChar w:fldCharType="end"/>
      </w:r>
    </w:p>
  </w:footnote>
  <w:footnote w:id="47">
    <w:p w14:paraId="0C2593C9" w14:textId="2A3E5452" w:rsidR="00CA396C" w:rsidRPr="00682ACB" w:rsidRDefault="00CA396C" w:rsidP="00CA396C">
      <w:pPr>
        <w:pStyle w:val="FootnoteText"/>
        <w:rPr>
          <w:lang w:val="en-GB"/>
        </w:rPr>
      </w:pPr>
      <w:r>
        <w:rPr>
          <w:rStyle w:val="FootnoteReference"/>
        </w:rPr>
        <w:footnoteRef/>
      </w:r>
      <w:r>
        <w:t xml:space="preserve"> </w:t>
      </w:r>
      <w:r>
        <w:fldChar w:fldCharType="begin"/>
      </w:r>
      <w:r w:rsidR="000F4028">
        <w:instrText xml:space="preserve"> ADDIN ZOTERO_ITEM CSL_CITATION {"citationID":"i6QR58Ap","properties":{"formattedCitation":"John Barclay, \\uc0\\u8216{}Paul among Diaspora Jews: Anomaly or Apostate\\uc0\\u8217{}, {\\i{}Journal for the Study of the New Testament} 18, no. 60 (1995): 89\\uc0\\u8211{}120.","plainCitation":"John Barclay, ‘Paul among Diaspora Jews: Anomaly or Apostate’, Journal for the Study of the New Testament 18, no. 60 (1995): 89–120.","noteIndex":47},"citationItems":[{"id":1063,"uris":["http://zotero.org/users/1120467/items/QV8WQR4N"],"uri":["http://zotero.org/users/1120467/items/QV8WQR4N"],"itemData":{"id":1063,"type":"article-journal","container-title":"Journal for the Study of the New Testament","issue":"60","journalAbbreviation":"JSNT","page":"89-120","title":"Paul among Diaspora Jews: Anomaly or Apostate","volume":"18","author":[{"family":"Barclay","given":"John"}],"issued":{"date-parts":[["1995"]]}}}],"schema":"https://github.com/citation-style-language/schema/raw/master/csl-citation.json"} </w:instrText>
      </w:r>
      <w:r>
        <w:fldChar w:fldCharType="separate"/>
      </w:r>
      <w:r w:rsidRPr="00682ACB">
        <w:rPr>
          <w:rFonts w:ascii="Calibri" w:cs="Calibri"/>
          <w:lang w:val="en-GB"/>
        </w:rPr>
        <w:t xml:space="preserve">John Barclay, ‘Paul among Diaspora Jews: Anomaly or Apostate’, </w:t>
      </w:r>
      <w:r w:rsidRPr="00682ACB">
        <w:rPr>
          <w:rFonts w:ascii="Calibri" w:cs="Calibri"/>
          <w:i/>
          <w:iCs/>
          <w:lang w:val="en-GB"/>
        </w:rPr>
        <w:t>Journal for the Study of the New Testament</w:t>
      </w:r>
      <w:r w:rsidRPr="00682ACB">
        <w:rPr>
          <w:rFonts w:ascii="Calibri" w:cs="Calibri"/>
          <w:lang w:val="en-GB"/>
        </w:rPr>
        <w:t xml:space="preserve"> 18, no. 60 (1995): 89–120.</w:t>
      </w:r>
      <w:r>
        <w:fldChar w:fldCharType="end"/>
      </w:r>
    </w:p>
  </w:footnote>
  <w:footnote w:id="48">
    <w:p w14:paraId="18A338E6" w14:textId="127FB436" w:rsidR="00CA396C" w:rsidRPr="007521B2" w:rsidRDefault="00CA396C" w:rsidP="00CA396C">
      <w:pPr>
        <w:pStyle w:val="FootnoteText"/>
        <w:rPr>
          <w:lang w:val="en-GB"/>
        </w:rPr>
      </w:pPr>
      <w:r>
        <w:rPr>
          <w:rStyle w:val="FootnoteReference"/>
        </w:rPr>
        <w:footnoteRef/>
      </w:r>
      <w:r>
        <w:t xml:space="preserve"> </w:t>
      </w:r>
      <w:r>
        <w:fldChar w:fldCharType="begin"/>
      </w:r>
      <w:r w:rsidR="00A7525C">
        <w:instrText xml:space="preserve"> ADDIN ZOTERO_ITEM CSL_CITATION {"citationID":"vzZi11IQ","properties":{"formattedCitation":"N. T. Wright, \\uc0\\u8216{}Two Radical Jews\\uc0\\u8217{}, accessed 3 August 2020, https://ntwrightpage.com/2016/04/25/two-radical-jews/.","plainCitation":"N. T. Wright, ‘Two Radical Jews’, accessed 3 August 2020, https://ntwrightpage.com/2016/04/25/two-radical-jews/.","noteIndex":48},"citationItems":[{"id":1061,"uris":["http://zotero.org/users/1120467/items/U6FEBWVA"],"uri":["http://zotero.org/users/1120467/items/U6FEBWVA"],"itemData":{"id":1061,"type":"webpage","title":"Two Radical Jews","URL":"https://ntwrightpage.com/2016/04/25/two-radical-jews/","author":[{"family":"Wright","given":"N. T."}],"accessed":{"date-parts":[["2020",8,3]]}}}],"schema":"https://github.com/citation-style-language/schema/raw/master/csl-citation.json"} </w:instrText>
      </w:r>
      <w:r>
        <w:fldChar w:fldCharType="separate"/>
      </w:r>
      <w:r w:rsidRPr="007521B2">
        <w:rPr>
          <w:rFonts w:ascii="Calibri" w:cs="Calibri"/>
          <w:lang w:val="en-GB"/>
        </w:rPr>
        <w:t>N. T. Wright, ‘Two Radical Jews’, accessed 3 August 2020, https://ntwrightpage.com/2016/04/25/two-radical-jews/.</w:t>
      </w:r>
      <w:r>
        <w:fldChar w:fldCharType="end"/>
      </w:r>
    </w:p>
  </w:footnote>
  <w:footnote w:id="49">
    <w:p w14:paraId="7E914B18" w14:textId="198DFDCA" w:rsidR="00E346FE" w:rsidRPr="00E346FE" w:rsidRDefault="00E346FE">
      <w:pPr>
        <w:pStyle w:val="FootnoteText"/>
        <w:rPr>
          <w:lang w:val="en-GB"/>
        </w:rPr>
      </w:pPr>
      <w:r>
        <w:rPr>
          <w:rStyle w:val="FootnoteReference"/>
        </w:rPr>
        <w:footnoteRef/>
      </w:r>
      <w:r>
        <w:t xml:space="preserve"> </w:t>
      </w:r>
      <w:r>
        <w:fldChar w:fldCharType="begin"/>
      </w:r>
      <w:r w:rsidR="00A7525C">
        <w:instrText xml:space="preserve"> ADDIN ZOTERO_ITEM CSL_CITATION {"citationID":"SGty6m0E","properties":{"formattedCitation":"Michael F. Bird and Preston M. Sprinkle, \\uc0\\u8216{}Jewish Interpretation of Paul in the Last Thirty Years\\uc0\\u8217{}, {\\i{}Currents in Biblical Research} 6, no. 3 (1 June 2008): 364\\uc0\\u8211{}65, https://doi.org/10.1177/1476993X07084792.","plainCitation":"Michael F. Bird and Preston M. Sprinkle, ‘Jewish Interpretation of Paul in the Last Thirty Years’, Currents in Biblical Research 6, no. 3 (1 June 2008): 364–65, https://doi.org/10.1177/1476993X07084792.","noteIndex":49},"citationItems":[{"id":1051,"uris":["http://zotero.org/users/1120467/items/4H2CS7MP"],"uri":["http://zotero.org/users/1120467/items/4H2CS7MP"],"itemData":{"id":1051,"type":"article-journal","abstract":"This essay offers a sampling of recent Jewish interpretations of the Apostle Paul in the last thirty years. Attention is given to the works of Pinchas Lapide, Hyam Maccoby, Alan F. Segal, Daniel Boyarin, Mark D. Nanos and Pamela M. Eisenbaum including a survey of their scholarship and an assessment of their contribution and significance for Pauline studies. This study concludes that Jewish interpretation of Paul remains highly diverse and there is not likely to be a Jewish `reclamation' of Paul in the foreseeable future.","container-title":"Currents in Biblical Research","DOI":"10.1177/1476993X07084792","ISSN":"1476-993X","issue":"3","journalAbbreviation":"Currents in Biblical Research","language":"en","note":"publisher: SAGE Publications","page":"355-376","source":"SAGE Journals","title":"Jewish Interpretation of Paul in the Last Thirty Years","volume":"6","author":[{"family":"Bird","given":"Michael F."},{"family":"Sprinkle","given":"Preston M."}],"issued":{"date-parts":[["2008",6,1]]}},"locator":"364-365"}],"schema":"https://github.com/citation-style-language/schema/raw/master/csl-citation.json"} </w:instrText>
      </w:r>
      <w:r>
        <w:fldChar w:fldCharType="separate"/>
      </w:r>
      <w:r w:rsidRPr="00E346FE">
        <w:rPr>
          <w:rFonts w:ascii="Calibri" w:cs="Calibri"/>
          <w:lang w:val="en-GB"/>
        </w:rPr>
        <w:t xml:space="preserve">Michael F. Bird and Preston M. Sprinkle, ‘Jewish Interpretation of Paul in the Last Thirty Years’, </w:t>
      </w:r>
      <w:r w:rsidRPr="00E346FE">
        <w:rPr>
          <w:rFonts w:ascii="Calibri" w:cs="Calibri"/>
          <w:i/>
          <w:iCs/>
          <w:lang w:val="en-GB"/>
        </w:rPr>
        <w:t>Currents in Biblical Research</w:t>
      </w:r>
      <w:r w:rsidRPr="00E346FE">
        <w:rPr>
          <w:rFonts w:ascii="Calibri" w:cs="Calibri"/>
          <w:lang w:val="en-GB"/>
        </w:rPr>
        <w:t xml:space="preserve"> 6, no. 3 (1 June 2008): 364–65, https://doi.org/10.1177/1476993X07084792.</w:t>
      </w:r>
      <w:r>
        <w:fldChar w:fldCharType="end"/>
      </w:r>
    </w:p>
  </w:footnote>
  <w:footnote w:id="50">
    <w:p w14:paraId="3F0EEF71" w14:textId="0595448B" w:rsidR="00CB4C34" w:rsidRPr="00CB4C34" w:rsidRDefault="00CB4C34">
      <w:pPr>
        <w:pStyle w:val="FootnoteText"/>
        <w:rPr>
          <w:lang w:val="en-GB"/>
        </w:rPr>
      </w:pPr>
      <w:r>
        <w:rPr>
          <w:rStyle w:val="FootnoteReference"/>
        </w:rPr>
        <w:footnoteRef/>
      </w:r>
      <w:r>
        <w:t xml:space="preserve"> </w:t>
      </w:r>
      <w:r w:rsidR="003A655F">
        <w:rPr>
          <w:lang w:val="en-GB"/>
        </w:rPr>
        <w:t xml:space="preserve">On this see: </w:t>
      </w:r>
      <w:r>
        <w:fldChar w:fldCharType="begin"/>
      </w:r>
      <w:r w:rsidR="000F4028">
        <w:instrText xml:space="preserve"> ADDIN ZOTERO_ITEM CSL_CITATION {"citationID":"HT0JM29w","properties":{"formattedCitation":"Martin, \\uc0\\u8216{}Paul and the Judaism/ Hellenism Dichotomy: Toward a Social History of the Question\\uc0\\u8217{}, 32-44;55-57.","plainCitation":"Martin, ‘Paul and the Judaism/ Hellenism Dichotomy: Toward a Social History of the Question’, 32-44;55-57.","noteIndex":50},"citationItems":[{"id":1209,"uris":["http://zotero.org/users/1120467/items/TD8XRQMI"],"uri":["http://zotero.org/users/1120467/items/TD8XRQMI"],"itemData":{"id":1209,"type":"chapter","container-title":"Paul beyond the Judaism/Hellenism divide","event-place":"Louisville, KY","page":"29-62","publisher":"Westminster John Knox Press","publisher-place":"Louisville, KY","title":"Paul and the Judaism/ Hellenism Dichotomy: Toward a Social History of the Question","author":[{"family":"Martin","given":"Dave B."}],"editor":[{"family":"Engberg-Pedersen","given":"Troels"}],"issued":{"date-parts":[["2001"]]}},"locator":"32-44;55-57"}],"schema":"https://github.com/citation-style-language/schema/raw/master/csl-citation.json"} </w:instrText>
      </w:r>
      <w:r>
        <w:fldChar w:fldCharType="separate"/>
      </w:r>
      <w:r w:rsidR="003A580F" w:rsidRPr="003A580F">
        <w:rPr>
          <w:rFonts w:ascii="Calibri" w:cs="Calibri"/>
          <w:lang w:val="en-GB"/>
        </w:rPr>
        <w:t>Martin, ‘Paul and the Judaism/ Hellenism Dichotomy: Toward a Social History of the Question’, 32-44;55-57.</w:t>
      </w:r>
      <w:r>
        <w:fldChar w:fldCharType="end"/>
      </w:r>
    </w:p>
  </w:footnote>
  <w:footnote w:id="51">
    <w:p w14:paraId="0BA33771" w14:textId="0529D64F" w:rsidR="007E220A" w:rsidRPr="00C76B05" w:rsidRDefault="007E220A">
      <w:pPr>
        <w:pStyle w:val="FootnoteText"/>
        <w:rPr>
          <w:lang w:val="en-GB"/>
        </w:rPr>
      </w:pPr>
      <w:r>
        <w:rPr>
          <w:rStyle w:val="FootnoteReference"/>
        </w:rPr>
        <w:footnoteRef/>
      </w:r>
      <w:r>
        <w:t xml:space="preserve"> </w:t>
      </w:r>
      <w:proofErr w:type="spellStart"/>
      <w:r>
        <w:rPr>
          <w:lang w:val="en-GB"/>
        </w:rPr>
        <w:t>Novenson</w:t>
      </w:r>
      <w:proofErr w:type="spellEnd"/>
      <w:r>
        <w:rPr>
          <w:lang w:val="en-GB"/>
        </w:rPr>
        <w:t xml:space="preserve"> notes that the movement has struggled to find a unified name and identity (he prefers the term ‘</w:t>
      </w:r>
      <w:r>
        <w:rPr>
          <w:i/>
          <w:iCs/>
          <w:lang w:val="en-GB"/>
        </w:rPr>
        <w:t>Schule</w:t>
      </w:r>
      <w:r>
        <w:rPr>
          <w:lang w:val="en-GB"/>
        </w:rPr>
        <w:t xml:space="preserve">’), but broadly it includes scholars such as John </w:t>
      </w:r>
      <w:proofErr w:type="spellStart"/>
      <w:r>
        <w:rPr>
          <w:lang w:val="en-GB"/>
        </w:rPr>
        <w:t>Gager</w:t>
      </w:r>
      <w:proofErr w:type="spellEnd"/>
      <w:r>
        <w:rPr>
          <w:lang w:val="en-GB"/>
        </w:rPr>
        <w:t xml:space="preserve">, Pamela </w:t>
      </w:r>
      <w:proofErr w:type="spellStart"/>
      <w:r>
        <w:rPr>
          <w:lang w:val="en-GB"/>
        </w:rPr>
        <w:t>Eisenbaum</w:t>
      </w:r>
      <w:proofErr w:type="spellEnd"/>
      <w:r>
        <w:rPr>
          <w:lang w:val="en-GB"/>
        </w:rPr>
        <w:t xml:space="preserve">, Mark Nanos, Paula Frederiksen and Magnus </w:t>
      </w:r>
      <w:proofErr w:type="spellStart"/>
      <w:r>
        <w:rPr>
          <w:lang w:val="en-GB"/>
        </w:rPr>
        <w:t>Zetterholm</w:t>
      </w:r>
      <w:proofErr w:type="spellEnd"/>
      <w:r>
        <w:rPr>
          <w:lang w:val="en-GB"/>
        </w:rPr>
        <w:t xml:space="preserve">. With the exception of John </w:t>
      </w:r>
      <w:proofErr w:type="spellStart"/>
      <w:r>
        <w:rPr>
          <w:lang w:val="en-GB"/>
        </w:rPr>
        <w:t>Gager</w:t>
      </w:r>
      <w:proofErr w:type="spellEnd"/>
      <w:r>
        <w:rPr>
          <w:lang w:val="en-GB"/>
        </w:rPr>
        <w:t>, who identifies himself as a cultural but non practicing Christian, all these scholars see themselves as being Jewish voices. (</w:t>
      </w:r>
      <w:proofErr w:type="spellStart"/>
      <w:r>
        <w:fldChar w:fldCharType="begin"/>
      </w:r>
      <w:r w:rsidR="000F4028">
        <w:instrText xml:space="preserve"> ADDIN ZOTERO_ITEM CSL_CITATION {"citationID":"EIs9SmKt","properties":{"formattedCitation":"Novenson, \\uc0\\u8216{}Whither the Paul within Judaism Schule?\\uc0\\u8217{}, 79.","plainCitation":"Novenson, ‘Whither the Paul within Judaism Schule?’, 79.","noteIndex":51},"citationItems":[{"id":1125,"uris":["http://zotero.org/users/1120467/items/6X5CQVGZ"],"uri":["http://zotero.org/users/1120467/items/6X5CQVGZ"],"itemData":{"id":1125,"type":"article-journal","container-title":"Journal of the Jesus Movement in its Jewish Setting","issue":"5","journalAbbreviation":"JJMJS","page":"79-88","title":"Whither the Paul within Judaism Schule?","author":[{"family":"Novenson","given":"Matthew V."}],"issued":{"date-parts":[["2018"]]}},"locator":"79"}],"schema":"https://github.com/citation-style-language/schema/raw/master/csl-citation.json"} </w:instrText>
      </w:r>
      <w:r>
        <w:fldChar w:fldCharType="separate"/>
      </w:r>
      <w:r w:rsidRPr="00C76B05">
        <w:rPr>
          <w:rFonts w:ascii="Calibri" w:cs="Calibri"/>
          <w:lang w:val="en-GB"/>
        </w:rPr>
        <w:t>Novenson</w:t>
      </w:r>
      <w:proofErr w:type="spellEnd"/>
      <w:r w:rsidRPr="00C76B05">
        <w:rPr>
          <w:rFonts w:ascii="Calibri" w:cs="Calibri"/>
          <w:lang w:val="en-GB"/>
        </w:rPr>
        <w:t>, ‘Whither the Paul within Judaism Schule?’, 79.</w:t>
      </w:r>
      <w:r>
        <w:fldChar w:fldCharType="end"/>
      </w:r>
      <w:r>
        <w:rPr>
          <w:lang w:val="en-GB"/>
        </w:rPr>
        <w:t>)</w:t>
      </w:r>
    </w:p>
  </w:footnote>
  <w:footnote w:id="52">
    <w:p w14:paraId="260327F0" w14:textId="4256B058" w:rsidR="00E20423" w:rsidRPr="007B627D" w:rsidRDefault="00E20423" w:rsidP="00E20423">
      <w:pPr>
        <w:pStyle w:val="FootnoteText"/>
        <w:rPr>
          <w:lang w:val="en-GB"/>
        </w:rPr>
      </w:pPr>
      <w:r>
        <w:rPr>
          <w:rStyle w:val="FootnoteReference"/>
        </w:rPr>
        <w:footnoteRef/>
      </w:r>
      <w:r>
        <w:t xml:space="preserve"> </w:t>
      </w:r>
      <w:r>
        <w:fldChar w:fldCharType="begin"/>
      </w:r>
      <w:r w:rsidR="003649EF">
        <w:instrText xml:space="preserve"> ADDIN ZOTERO_ITEM CSL_CITATION {"citationID":"9ITi9v09","properties":{"formattedCitation":"John G. Gager, {\\i{}Reinventing Paul} (Oxford, UK: Oxford University Press, 2002), 50, https://doi.org/10.1093/acprof:oso/9780195150858.001.0001.","plainCitation":"John G. Gager, Reinventing Paul (Oxford, UK: Oxford University Press, 2002), 50, https://doi.org/10.1093/acprof:oso/9780195150858.001.0001.","noteIndex":52},"citationItems":[{"id":1128,"uris":["http://zotero.org/users/1120467/items/NP2J9ABH"],"uri":["http://zotero.org/users/1120467/items/NP2J9ABH"],"itemData":{"id":1128,"type":"book","abstract":"Throughout the Christian era, Paul has stood at the center of controversy, accused of being the father of Christian anti-Semitism. This book challenges this entrenched view of Paul, arguing persuasively that Paul's words have been taken out of their original context, distorted, and generally misconstrued. Using Paul's own writings, the book sets forth a controversial interpretation of the apostle's teaching as he takes us in search of the “real” Paul. Through an analysis of Paul's letters to the Galatians and the Romans, he provides illuminating answers to the key questions: Did Paul repudiate the Law of Moses? Did he believe that Jews had been rejected by God and replaced as His chosen people by Gentiles? Did he consider circumcision to be necessary for salvation? And did he expect Jews to find salvation through Jesus? The book tells us that Paul was an apostle to the Gentiles, not the Jews. His most vehement arguments were directed not against Judaism but against competing apostles in the Jesus movement who demanded that Gentiles be circumcised and conform to Jewish law in order to be saved. Moreover, Paul relied on rhetorical devices that were familiar to his intended audience but opaque to later readers of the letters. As a result, his message has been misunderstood by succeeding generations.","event-place":"Oxford, UK","ISBN":"978-0-19-515085-8","language":"eng","note":"DOI: 10.1093/acprof:oso/9780195150858.001.0001","publisher":"Oxford University Press","publisher-place":"Oxford, UK","source":"whel-primo.com","title":"Reinventing Paul","author":[{"family":"Gager","given":"John G."}],"issued":{"date-parts":[["2002"]]}},"locator":"50"}],"schema":"https://github.com/citation-style-language/schema/raw/master/csl-citation.json"} </w:instrText>
      </w:r>
      <w:r>
        <w:fldChar w:fldCharType="separate"/>
      </w:r>
      <w:r w:rsidR="003649EF" w:rsidRPr="003649EF">
        <w:rPr>
          <w:rFonts w:ascii="Calibri" w:cs="Calibri"/>
          <w:lang w:val="en-GB"/>
        </w:rPr>
        <w:t xml:space="preserve">John G. </w:t>
      </w:r>
      <w:proofErr w:type="spellStart"/>
      <w:r w:rsidR="003649EF" w:rsidRPr="003649EF">
        <w:rPr>
          <w:rFonts w:ascii="Calibri" w:cs="Calibri"/>
          <w:lang w:val="en-GB"/>
        </w:rPr>
        <w:t>Gager</w:t>
      </w:r>
      <w:proofErr w:type="spellEnd"/>
      <w:r w:rsidR="003649EF" w:rsidRPr="003649EF">
        <w:rPr>
          <w:rFonts w:ascii="Calibri" w:cs="Calibri"/>
          <w:lang w:val="en-GB"/>
        </w:rPr>
        <w:t xml:space="preserve">, </w:t>
      </w:r>
      <w:r w:rsidR="003649EF" w:rsidRPr="003649EF">
        <w:rPr>
          <w:rFonts w:ascii="Calibri" w:cs="Calibri"/>
          <w:i/>
          <w:iCs/>
          <w:lang w:val="en-GB"/>
        </w:rPr>
        <w:t>Reinventing Paul</w:t>
      </w:r>
      <w:r w:rsidR="003649EF" w:rsidRPr="003649EF">
        <w:rPr>
          <w:rFonts w:ascii="Calibri" w:cs="Calibri"/>
          <w:lang w:val="en-GB"/>
        </w:rPr>
        <w:t xml:space="preserve"> (Oxford, UK: Oxford University Press, 2002), 50, https://doi.org/10.1093/acprof:oso/9780195150858.001.0001.</w:t>
      </w:r>
      <w:r>
        <w:fldChar w:fldCharType="end"/>
      </w:r>
    </w:p>
  </w:footnote>
  <w:footnote w:id="53">
    <w:p w14:paraId="621FEDF0" w14:textId="117F2CB6" w:rsidR="00E20423" w:rsidRPr="007B627D" w:rsidRDefault="00E20423" w:rsidP="00E20423">
      <w:pPr>
        <w:pStyle w:val="FootnoteText"/>
        <w:rPr>
          <w:lang w:val="en-GB"/>
        </w:rPr>
      </w:pPr>
      <w:r>
        <w:rPr>
          <w:rStyle w:val="FootnoteReference"/>
        </w:rPr>
        <w:footnoteRef/>
      </w:r>
      <w:r>
        <w:t xml:space="preserve"> </w:t>
      </w:r>
      <w:r>
        <w:fldChar w:fldCharType="begin"/>
      </w:r>
      <w:r w:rsidR="003649EF">
        <w:instrText xml:space="preserve"> ADDIN ZOTERO_ITEM CSL_CITATION {"citationID":"UXpXnmTZ","properties":{"formattedCitation":"Ibid., 61.","plainCitation":"Ibid., 61.","noteIndex":53},"citationItems":[{"id":1128,"uris":["http://zotero.org/users/1120467/items/NP2J9ABH"],"uri":["http://zotero.org/users/1120467/items/NP2J9ABH"],"itemData":{"id":1128,"type":"book","abstract":"Throughout the Christian era, Paul has stood at the center of controversy, accused of being the father of Christian anti-Semitism. This book challenges this entrenched view of Paul, arguing persuasively that Paul's words have been taken out of their original context, distorted, and generally misconstrued. Using Paul's own writings, the book sets forth a controversial interpretation of the apostle's teaching as he takes us in search of the “real” Paul. Through an analysis of Paul's letters to the Galatians and the Romans, he provides illuminating answers to the key questions: Did Paul repudiate the Law of Moses? Did he believe that Jews had been rejected by God and replaced as His chosen people by Gentiles? Did he consider circumcision to be necessary for salvation? And did he expect Jews to find salvation through Jesus? The book tells us that Paul was an apostle to the Gentiles, not the Jews. His most vehement arguments were directed not against Judaism but against competing apostles in the Jesus movement who demanded that Gentiles be circumcised and conform to Jewish law in order to be saved. Moreover, Paul relied on rhetorical devices that were familiar to his intended audience but opaque to later readers of the letters. As a result, his message has been misunderstood by succeeding generations.","event-place":"Oxford, UK","ISBN":"978-0-19-515085-8","language":"eng","note":"DOI: 10.1093/acprof:oso/9780195150858.001.0001","publisher":"Oxford University Press","publisher-place":"Oxford, UK","source":"whel-primo.com","title":"Reinventing Paul","author":[{"family":"Gager","given":"John G."}],"issued":{"date-parts":[["2002"]]}},"locator":"61"}],"schema":"https://github.com/citation-style-language/schema/raw/master/csl-citation.json"} </w:instrText>
      </w:r>
      <w:r>
        <w:fldChar w:fldCharType="separate"/>
      </w:r>
      <w:r>
        <w:rPr>
          <w:noProof/>
        </w:rPr>
        <w:t>Ibid., 61.</w:t>
      </w:r>
      <w:r>
        <w:fldChar w:fldCharType="end"/>
      </w:r>
    </w:p>
  </w:footnote>
  <w:footnote w:id="54">
    <w:p w14:paraId="7DF80286" w14:textId="70BBE591" w:rsidR="00E20423" w:rsidRPr="00C86B59" w:rsidRDefault="00E20423" w:rsidP="00E20423">
      <w:pPr>
        <w:pStyle w:val="FootnoteText"/>
        <w:rPr>
          <w:lang w:val="en-GB"/>
        </w:rPr>
      </w:pPr>
      <w:r>
        <w:rPr>
          <w:rStyle w:val="FootnoteReference"/>
        </w:rPr>
        <w:footnoteRef/>
      </w:r>
      <w:r>
        <w:t xml:space="preserve"> </w:t>
      </w:r>
      <w:r>
        <w:rPr>
          <w:lang w:val="en-GB"/>
        </w:rPr>
        <w:t xml:space="preserve">Compare, for example: </w:t>
      </w:r>
      <w:r>
        <w:fldChar w:fldCharType="begin"/>
      </w:r>
      <w:r w:rsidR="003649EF">
        <w:instrText xml:space="preserve"> ADDIN ZOTERO_ITEM CSL_CITATION {"citationID":"bBG6oF7Q","properties":{"formattedCitation":"Fredriksen, {\\i{}Paul, the Pagans\\uc0\\u8217{} Apostle}; Mark D. Nanos, {\\i{}Reading Paul within Judaism}, Collected Essays of Mark D. Nanos\\uc0\\u8239{};\\uc0\\u8239{}; Vol. 1 (Eugene, Oregon\\uc0\\u8239{}: Cascade Books, 2017).","plainCitation":"Fredriksen, Paul, the Pagans’ Apostle; Mark D. Nanos, Reading Paul within Judaism, Collected Essays of Mark D. Nanos ; ; Vol. 1 (Eugene, Oregon : Cascade Books, 2017).","noteIndex":54},"citationItems":[{"id":1049,"uris":["http://zotero.org/users/1120467/items/627CYLMJ"],"uri":["http://zotero.org/users/1120467/items/627CYLMJ"],"itemData":{"id":1049,"type":"book","abstract":"Previously issued in print: 2017.","event-place":"New Haven, CT","ISBN":"978-0-300-23136-6","language":"eng","publisher":"Yale University Press","publisher-place":"New Haven, CT","source":"usearch.univie.ac.at","title":"Paul, the pagans' apostle","author":[{"family":"Fredriksen","given":"Paula"}],"issued":{"date-parts":[["2017"]]}}},{"id":1030,"uris":["http://zotero.org/users/1120467/items/NGF88GQM"],"uri":["http://zotero.org/users/1120467/items/NGF88GQM"],"itemData":{"id":1030,"type":"book","collection-title":"Collected essays of Mark D. Nanos ; ; vol. 1","event-place":"Eugene, Oregon :","ISBN":"978-1-4982-4230-1","language":"eng","publisher":"Cascade Books,","publisher-place":"Eugene, Oregon :","source":"usearch.univie.ac.at","title":"Reading Paul within Judaism","author":[{"family":"Nanos","given":"Mark D."}],"accessed":{"date-parts":[["2020",7,30]]},"issued":{"date-parts":[["2017"]]}}}],"schema":"https://github.com/citation-style-language/schema/raw/master/csl-citation.json"} </w:instrText>
      </w:r>
      <w:r>
        <w:fldChar w:fldCharType="separate"/>
      </w:r>
      <w:proofErr w:type="spellStart"/>
      <w:r w:rsidR="003649EF" w:rsidRPr="003649EF">
        <w:rPr>
          <w:rFonts w:ascii="Calibri" w:cs="Calibri"/>
          <w:lang w:val="en-GB"/>
        </w:rPr>
        <w:t>Fredriksen</w:t>
      </w:r>
      <w:proofErr w:type="spellEnd"/>
      <w:r w:rsidR="003649EF" w:rsidRPr="003649EF">
        <w:rPr>
          <w:rFonts w:ascii="Calibri" w:cs="Calibri"/>
          <w:lang w:val="en-GB"/>
        </w:rPr>
        <w:t xml:space="preserve">, </w:t>
      </w:r>
      <w:r w:rsidR="003649EF" w:rsidRPr="003649EF">
        <w:rPr>
          <w:rFonts w:ascii="Calibri" w:cs="Calibri"/>
          <w:i/>
          <w:iCs/>
          <w:lang w:val="en-GB"/>
        </w:rPr>
        <w:t>Paul, the Pagans’ Apostle</w:t>
      </w:r>
      <w:r w:rsidR="003649EF" w:rsidRPr="003649EF">
        <w:rPr>
          <w:rFonts w:ascii="Calibri" w:cs="Calibri"/>
          <w:lang w:val="en-GB"/>
        </w:rPr>
        <w:t xml:space="preserve">; Mark D. Nanos, </w:t>
      </w:r>
      <w:r w:rsidR="003649EF" w:rsidRPr="003649EF">
        <w:rPr>
          <w:rFonts w:ascii="Calibri" w:cs="Calibri"/>
          <w:i/>
          <w:iCs/>
          <w:lang w:val="en-GB"/>
        </w:rPr>
        <w:t>Reading Paul within Judaism</w:t>
      </w:r>
      <w:r w:rsidR="003649EF" w:rsidRPr="003649EF">
        <w:rPr>
          <w:rFonts w:ascii="Calibri" w:cs="Calibri"/>
          <w:lang w:val="en-GB"/>
        </w:rPr>
        <w:t>, Collected Essays of Mark D. Nanos ; ; Vol. 1 (Eugene, Oregon : Cascade Books, 2017).</w:t>
      </w:r>
      <w:r>
        <w:fldChar w:fldCharType="end"/>
      </w:r>
    </w:p>
  </w:footnote>
  <w:footnote w:id="55">
    <w:p w14:paraId="49ABEEA5" w14:textId="3460258D" w:rsidR="007E220A" w:rsidRPr="001B4459"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{"citationID":"ce9BW7u3","properties":{"formattedCitation":"Sanders, {\\i{}Paul and Palestinian Judaism}, 552.","plainCitation":"Sanders, Paul and Palestinian Judaism, 552.","noteIndex":55},"citationItems":[{"id":1154,"uris":["http://zotero.org/users/1120467/items/NH8NJ4ZX"],"uri":["http://zotero.org/users/1120467/items/NH8NJ4ZX"],"itemData":{"id":1154,"type":"book","abstract":"Literaturverz. S. [557] - 582","call-number":"NT-67, Ne 3.78","edition":"1st Edition","event-place":"London","language":"eng","number-of-pages":"xviii+627","publisher":"SCM Press","publisher-place":"London","source":"usearch.univie.ac.at","title":"Paul and Palestinian Judaism: a comparison of patterns of religion","title-short":"Paul and Palestinian Judaism","author":[{"family":"Sanders","given":"E. P."}],"issued":{"date-parts":[["1977"]]}},"locator":"552"}],"schema":"https://github.com/citation-style-language/schema/raw/master/csl-citation.json"} </w:instrText>
      </w:r>
      <w:r>
        <w:fldChar w:fldCharType="separate"/>
      </w:r>
      <w:r w:rsidRPr="001B4459">
        <w:rPr>
          <w:rFonts w:ascii="Calibri" w:cs="Calibri"/>
          <w:lang w:val="en-GB"/>
        </w:rPr>
        <w:t xml:space="preserve">Sanders, </w:t>
      </w:r>
      <w:r w:rsidRPr="001B4459">
        <w:rPr>
          <w:rFonts w:ascii="Calibri" w:cs="Calibri"/>
          <w:i/>
          <w:iCs/>
          <w:lang w:val="en-GB"/>
        </w:rPr>
        <w:t>Paul and Palestinian Judaism</w:t>
      </w:r>
      <w:r w:rsidRPr="001B4459">
        <w:rPr>
          <w:rFonts w:ascii="Calibri" w:cs="Calibri"/>
          <w:lang w:val="en-GB"/>
        </w:rPr>
        <w:t>, 552.</w:t>
      </w:r>
      <w:r>
        <w:fldChar w:fldCharType="end"/>
      </w:r>
      <w:r>
        <w:rPr>
          <w:lang w:val="en-GB"/>
        </w:rPr>
        <w:t xml:space="preserve"> Emphasis original</w:t>
      </w:r>
    </w:p>
  </w:footnote>
  <w:footnote w:id="56">
    <w:p w14:paraId="6F87E163" w14:textId="6EF342FD" w:rsidR="007E220A" w:rsidRPr="00CE2912" w:rsidRDefault="007E220A" w:rsidP="001B4459">
      <w:pPr>
        <w:pStyle w:val="FootnoteText"/>
        <w:rPr>
          <w:lang w:val="en-GB"/>
        </w:rPr>
      </w:pPr>
      <w:r>
        <w:rPr>
          <w:rStyle w:val="FootnoteReference"/>
        </w:rPr>
        <w:footnoteRef/>
      </w:r>
      <w:r>
        <w:t xml:space="preserve"> </w:t>
      </w:r>
      <w:r>
        <w:fldChar w:fldCharType="begin"/>
      </w:r>
      <w:r w:rsidR="003649EF">
        <w:instrText xml:space="preserve"> ADDIN ZOTERO_ITEM CSL_CITATION {"citationID":"ugy4nh9N","properties":{"formattedCitation":"Nanos, {\\i{}Reading Paul within Judaism}, 19.","plainCitation":"Nanos, Reading Paul within Judaism, 19.","noteIndex":56},"citationItems":[{"id":1030,"uris":["http://zotero.org/users/1120467/items/NGF88GQM"],"uri":["http://zotero.org/users/1120467/items/NGF88GQM"],"itemData":{"id":1030,"type":"book","collection-title":"Collected essays of Mark D. Nanos ; ; vol. 1","event-place":"Eugene, Oregon :","ISBN":"978-1-4982-4230-1","language":"eng","publisher":"Cascade Books,","publisher-place":"Eugene, Oregon :","source":"usearch.univie.ac.at","title":"Reading Paul within Judaism","author":[{"family":"Nanos","given":"Mark D."}],"accessed":{"date-parts":[["2020",7,30]]},"issued":{"date-parts":[["2017"]]}},"locator":"19"}],"schema":"https://github.com/citation-style-language/schema/raw/master/csl-citation.json"} </w:instrText>
      </w:r>
      <w:r>
        <w:fldChar w:fldCharType="separate"/>
      </w:r>
      <w:r w:rsidR="000F4028" w:rsidRPr="000F4028">
        <w:rPr>
          <w:rFonts w:ascii="Calibri" w:cs="Calibri"/>
          <w:lang w:val="en-GB"/>
        </w:rPr>
        <w:t xml:space="preserve">Nanos, </w:t>
      </w:r>
      <w:r w:rsidR="000F4028" w:rsidRPr="000F4028">
        <w:rPr>
          <w:rFonts w:ascii="Calibri" w:cs="Calibri"/>
          <w:i/>
          <w:iCs/>
          <w:lang w:val="en-GB"/>
        </w:rPr>
        <w:t>Reading Paul within Judaism</w:t>
      </w:r>
      <w:r w:rsidR="000F4028" w:rsidRPr="000F4028">
        <w:rPr>
          <w:rFonts w:ascii="Calibri" w:cs="Calibri"/>
          <w:lang w:val="en-GB"/>
        </w:rPr>
        <w:t>, 19.</w:t>
      </w:r>
      <w:r>
        <w:fldChar w:fldCharType="end"/>
      </w:r>
    </w:p>
  </w:footnote>
  <w:footnote w:id="57">
    <w:p w14:paraId="4ADE9318" w14:textId="157CB37A" w:rsidR="007E220A" w:rsidRPr="00CE2912" w:rsidRDefault="007E220A" w:rsidP="001B4459">
      <w:pPr>
        <w:pStyle w:val="FootnoteText"/>
        <w:rPr>
          <w:lang w:val="en-GB"/>
        </w:rPr>
      </w:pPr>
      <w:r>
        <w:rPr>
          <w:rStyle w:val="FootnoteReference"/>
        </w:rPr>
        <w:footnoteRef/>
      </w:r>
      <w:r>
        <w:t xml:space="preserve"> </w:t>
      </w:r>
      <w:r>
        <w:fldChar w:fldCharType="begin"/>
      </w:r>
      <w:r w:rsidR="003649EF">
        <w:instrText xml:space="preserve"> ADDIN ZOTERO_ITEM CSL_CITATION {"citationID":"Fu2soZE6","properties":{"formattedCitation":"Ibid., 18.","plainCitation":"Ibid., 18.","noteIndex":57},"citationItems":[{"id":1030,"uris":["http://zotero.org/users/1120467/items/NGF88GQM"],"uri":["http://zotero.org/users/1120467/items/NGF88GQM"],"itemData":{"id":1030,"type":"book","collection-title":"Collected essays of Mark D. Nanos ; ; vol. 1","event-place":"Eugene, Oregon :","ISBN":"978-1-4982-4230-1","language":"eng","publisher":"Cascade Books,","publisher-place":"Eugene, Oregon :","source":"usearch.univie.ac.at","title":"Reading Paul within Judaism","author":[{"family":"Nanos","given":"Mark D."}],"accessed":{"date-parts":[["2020",7,30]]},"issued":{"date-parts":[["2017"]]}},"locator":"18"}],"schema":"https://github.com/citation-style-language/schema/raw/master/csl-citation.json"} </w:instrText>
      </w:r>
      <w:r>
        <w:fldChar w:fldCharType="separate"/>
      </w:r>
      <w:r>
        <w:rPr>
          <w:noProof/>
        </w:rPr>
        <w:t>Ibid., 18.</w:t>
      </w:r>
      <w:r>
        <w:fldChar w:fldCharType="end"/>
      </w:r>
    </w:p>
  </w:footnote>
  <w:footnote w:id="58">
    <w:p w14:paraId="543C6962" w14:textId="179DC032" w:rsidR="0018217C" w:rsidRPr="00604516" w:rsidRDefault="0018217C" w:rsidP="0018217C">
      <w:pPr>
        <w:pStyle w:val="FootnoteText"/>
        <w:rPr>
          <w:lang w:val="en-GB"/>
        </w:rPr>
      </w:pPr>
      <w:r>
        <w:rPr>
          <w:rStyle w:val="FootnoteReference"/>
        </w:rPr>
        <w:footnoteRef/>
      </w:r>
      <w:r>
        <w:t xml:space="preserve"> </w:t>
      </w:r>
      <w:r>
        <w:fldChar w:fldCharType="begin"/>
      </w:r>
      <w:r w:rsidR="003649EF">
        <w:instrText xml:space="preserve"> ADDIN ZOTERO_ITEM CSL_CITATION {"citationID":"KH8tnqwy","properties":{"formattedCitation":"Gager, {\\i{}Reinventing Paul}, 47.","plainCitation":"Gager, Reinventing Paul, 47.","noteIndex":58},"citationItems":[{"id":1128,"uris":["http://zotero.org/users/1120467/items/NP2J9ABH"],"uri":["http://zotero.org/users/1120467/items/NP2J9ABH"],"itemData":{"id":1128,"type":"book","abstract":"Throughout the Christian era, Paul has stood at the center of controversy, accused of being the father of Christian anti-Semitism. This book challenges this entrenched view of Paul, arguing persuasively that Paul's words have been taken out of their original context, distorted, and generally misconstrued. Using Paul's own writings, the book sets forth a controversial interpretation of the apostle's teaching as he takes us in search of the “real” Paul. Through an analysis of Paul's letters to the Galatians and the Romans, he provides illuminating answers to the key questions: Did Paul repudiate the Law of Moses? Did he believe that Jews had been rejected by God and replaced as His chosen people by Gentiles? Did he consider circumcision to be necessary for salvation? And did he expect Jews to find salvation through Jesus? The book tells us that Paul was an apostle to the Gentiles, not the Jews. His most vehement arguments were directed not against Judaism but against competing apostles in the Jesus movement who demanded that Gentiles be circumcised and conform to Jewish law in order to be saved. Moreover, Paul relied on rhetorical devices that were familiar to his intended audience but opaque to later readers of the letters. As a result, his message has been misunderstood by succeeding generations.","event-place":"Oxford, UK","ISBN":"978-0-19-515085-8","language":"eng","note":"DOI: 10.1093/acprof:oso/9780195150858.001.0001","publisher":"Oxford University Press","publisher-place":"Oxford, UK","source":"whel-primo.com","title":"Reinventing Paul","author":[{"family":"Gager","given":"John G."}],"issued":{"date-parts":[["2002"]]}},"locator":"47"}],"schema":"https://github.com/citation-style-language/schema/raw/master/csl-citation.json"} </w:instrText>
      </w:r>
      <w:r>
        <w:fldChar w:fldCharType="separate"/>
      </w:r>
      <w:proofErr w:type="spellStart"/>
      <w:r w:rsidR="000F4028" w:rsidRPr="000F4028">
        <w:rPr>
          <w:rFonts w:ascii="Calibri" w:cs="Calibri"/>
          <w:lang w:val="en-GB"/>
        </w:rPr>
        <w:t>Gager</w:t>
      </w:r>
      <w:proofErr w:type="spellEnd"/>
      <w:r w:rsidR="000F4028" w:rsidRPr="000F4028">
        <w:rPr>
          <w:rFonts w:ascii="Calibri" w:cs="Calibri"/>
          <w:lang w:val="en-GB"/>
        </w:rPr>
        <w:t xml:space="preserve">, </w:t>
      </w:r>
      <w:r w:rsidR="000F4028" w:rsidRPr="000F4028">
        <w:rPr>
          <w:rFonts w:ascii="Calibri" w:cs="Calibri"/>
          <w:i/>
          <w:iCs/>
          <w:lang w:val="en-GB"/>
        </w:rPr>
        <w:t>Reinventing Paul</w:t>
      </w:r>
      <w:r w:rsidR="000F4028" w:rsidRPr="000F4028">
        <w:rPr>
          <w:rFonts w:ascii="Calibri" w:cs="Calibri"/>
          <w:lang w:val="en-GB"/>
        </w:rPr>
        <w:t>, 47.</w:t>
      </w:r>
      <w:r>
        <w:fldChar w:fldCharType="end"/>
      </w:r>
    </w:p>
  </w:footnote>
  <w:footnote w:id="59">
    <w:p w14:paraId="188DC205" w14:textId="57ACB482" w:rsidR="007E220A" w:rsidRPr="007C1050" w:rsidRDefault="007E220A">
      <w:pPr>
        <w:pStyle w:val="FootnoteText"/>
        <w:rPr>
          <w:lang w:val="en-GB"/>
        </w:rPr>
      </w:pPr>
      <w:r>
        <w:rPr>
          <w:rStyle w:val="FootnoteReference"/>
        </w:rPr>
        <w:footnoteRef/>
      </w:r>
      <w:r>
        <w:t xml:space="preserve"> </w:t>
      </w:r>
      <w:r>
        <w:fldChar w:fldCharType="begin"/>
      </w:r>
      <w:r w:rsidR="009E378C">
        <w:instrText xml:space="preserve"> ADDIN ZOTERO_ITEM CSL_CITATION {"citationID":"UV1cYwB6","properties":{"formattedCitation":"Wright, {\\i{}Paul and the Faithfulness of God}, 1413.","plainCitation":"Wright, Paul and the Faithfulness of God, 1413.","noteIndex":59},"citationItems":[{"id":1113,"uris":["http://zotero.org/users/1120467/items/E64VDI5E"],"uri":["http://zotero.org/users/1120467/items/E64VDI5E"],"itemData":{"id":1113,"type":"book","abstract":"A masterly exposition of Paul's thought by one of his leading contemporary interpreters. The summation of a lifetime's study, this landmark book offers an unparalleled wealth of detailed insights into Paul's life, times and enduring impact. Destined to become the point of reference in Pauline studies for the next decade, and beyond. 'Tom Wright's long-awaited full-length study of St Paul will not in any way disappoint the high expectations that surround it. From the very first sentence, it holds the attention, arguing a strong, persuasive, coherent and fresh case, supported by immense scholarship and comprehensive theological intelligence. It is a worthy successor to his earlier magisterial studies of the themes of the Kingdom and the Resurrection: lively, passionate and deeply constructive, laying out very plainly the ways in which the faith of the New Testament is focused on God's purpose to re-create, through the fact of Jesus crucified and risen, our entire understanding of authority and social identity.' Rowan Williams, Master of Magdalene College, Cambridge","event-place":"London","ISBN":"978-0-281-05554-8","language":"English","number-of-pages":"1680","publisher":"SPCK Publishing","publisher-place":"London","source":"Amazon","title":"Paul and the Faithfulness of God","author":[{"family":"Wright","given":"N. T."}],"issued":{"date-parts":[["2013",10,24]]}},"locator":"1413"}],"schema":"https://github.com/citation-style-language/schema/raw/master/csl-citation.json"} </w:instrText>
      </w:r>
      <w:r>
        <w:fldChar w:fldCharType="separate"/>
      </w:r>
      <w:r w:rsidRPr="007C1050">
        <w:rPr>
          <w:rFonts w:ascii="Calibri" w:cs="Calibri"/>
          <w:lang w:val="en-GB"/>
        </w:rPr>
        <w:t xml:space="preserve">Wright, </w:t>
      </w:r>
      <w:r w:rsidRPr="007C1050">
        <w:rPr>
          <w:rFonts w:ascii="Calibri" w:cs="Calibri"/>
          <w:i/>
          <w:iCs/>
          <w:lang w:val="en-GB"/>
        </w:rPr>
        <w:t>Paul and the Faithfulness of God</w:t>
      </w:r>
      <w:r w:rsidRPr="007C1050">
        <w:rPr>
          <w:rFonts w:ascii="Calibri" w:cs="Calibri"/>
          <w:lang w:val="en-GB"/>
        </w:rPr>
        <w:t>, 1413.</w:t>
      </w:r>
      <w:r>
        <w:fldChar w:fldCharType="end"/>
      </w:r>
      <w:r>
        <w:rPr>
          <w:lang w:val="en-GB"/>
        </w:rPr>
        <w:t xml:space="preserve"> Even by Wright’s standards </w:t>
      </w:r>
      <w:r w:rsidR="003D3C93">
        <w:rPr>
          <w:lang w:val="en-GB"/>
        </w:rPr>
        <w:t>this</w:t>
      </w:r>
      <w:r>
        <w:rPr>
          <w:lang w:val="en-GB"/>
        </w:rPr>
        <w:t xml:space="preserve"> is an incredibly tone-deaf piece of rhetoric. </w:t>
      </w:r>
    </w:p>
  </w:footnote>
  <w:footnote w:id="60">
    <w:p w14:paraId="46E839CD" w14:textId="00F96483" w:rsidR="007E220A" w:rsidRPr="00162CC0" w:rsidRDefault="007E220A">
      <w:pPr>
        <w:pStyle w:val="FootnoteText"/>
        <w:rPr>
          <w:lang w:val="en-GB"/>
        </w:rPr>
      </w:pPr>
      <w:r>
        <w:rPr>
          <w:rStyle w:val="FootnoteReference"/>
        </w:rPr>
        <w:footnoteRef/>
      </w:r>
      <w:r>
        <w:t xml:space="preserve"> </w:t>
      </w:r>
      <w:r>
        <w:fldChar w:fldCharType="begin"/>
      </w:r>
      <w:r w:rsidR="009E378C">
        <w:instrText xml:space="preserve"> ADDIN ZOTERO_ITEM CSL_CITATION {"citationID":"x6PTAdKw","properties":{"formattedCitation":"Ibid., 1412\\uc0\\u8211{}14.","plainCitation":"Ibid., 1412–14.","noteIndex":60},"citationItems":[{"id":1113,"uris":["http://zotero.org/users/1120467/items/E64VDI5E"],"uri":["http://zotero.org/users/1120467/items/E64VDI5E"],"itemData":{"id":1113,"type":"book","abstract":"A masterly exposition of Paul's thought by one of his leading contemporary interpreters. The summation of a lifetime's study, this landmark book offers an unparalleled wealth of detailed insights into Paul's life, times and enduring impact. Destined to become the point of reference in Pauline studies for the next decade, and beyond. 'Tom Wright's long-awaited full-length study of St Paul will not in any way disappoint the high expectations that surround it. From the very first sentence, it holds the attention, arguing a strong, persuasive, coherent and fresh case, supported by immense scholarship and comprehensive theological intelligence. It is a worthy successor to his earlier magisterial studies of the themes of the Kingdom and the Resurrection: lively, passionate and deeply constructive, laying out very plainly the ways in which the faith of the New Testament is focused on God's purpose to re-create, through the fact of Jesus crucified and risen, our entire understanding of authority and social identity.' Rowan Williams, Master of Magdalene College, Cambridge","event-place":"London","ISBN":"978-0-281-05554-8","language":"English","number-of-pages":"1680","publisher":"SPCK Publishing","publisher-place":"London","source":"Amazon","title":"Paul and the Faithfulness of God","author":[{"family":"Wright","given":"N. T."}],"issued":{"date-parts":[["2013",10,24]]}},"locator":"1412-1414"}],"schema":"https://github.com/citation-style-language/schema/raw/master/csl-citation.json"} </w:instrText>
      </w:r>
      <w:r>
        <w:fldChar w:fldCharType="separate"/>
      </w:r>
      <w:r w:rsidRPr="00162CC0">
        <w:rPr>
          <w:rFonts w:ascii="Calibri" w:cs="Calibri"/>
          <w:lang w:val="en-GB"/>
        </w:rPr>
        <w:t>Ibid., 1412–14.</w:t>
      </w:r>
      <w:r>
        <w:fldChar w:fldCharType="end"/>
      </w:r>
    </w:p>
  </w:footnote>
  <w:footnote w:id="61">
    <w:p w14:paraId="511274BB" w14:textId="1B111DB6" w:rsidR="00CE413D" w:rsidRPr="009F5BBD" w:rsidRDefault="00CE413D">
      <w:pPr>
        <w:pStyle w:val="FootnoteText"/>
        <w:rPr>
          <w:lang w:val="en-GB"/>
        </w:rPr>
      </w:pPr>
      <w:r>
        <w:rPr>
          <w:rStyle w:val="FootnoteReference"/>
        </w:rPr>
        <w:footnoteRef/>
      </w:r>
      <w:r>
        <w:t xml:space="preserve"> </w:t>
      </w:r>
      <w:r>
        <w:fldChar w:fldCharType="begin"/>
      </w:r>
      <w:r w:rsidR="003649EF">
        <w:instrText xml:space="preserve"> ADDIN ZOTERO_ITEM CSL_CITATION {"citationID":"nko2GTH4","properties":{"formattedCitation":"Edward W. Said, {\\i{}Orientalismus}, trans. Hans G\\uc0\\u252{}nter Holl, 5th Edition, S. Fischer Wissenschaft (Frankfurt am Main: SFischer, 2017).","plainCitation":"Edward W. Said, Orientalismus, trans. Hans Günter Holl, 5th Edition, S. Fischer Wissenschaft (Frankfurt am Main: SFischer, 2017).","noteIndex":61},"citationItems":[{"id":1235,"uris":["http://zotero.org/users/1120467/items/BWS4VN7S"],"uri":["http://zotero.org/users/1120467/items/BWS4VN7S"],"itemData":{"id":1235,"type":"book","abstract":"Literaturangaben","call-number":"Theol-400261","collection-title":"S. Fischer Wissenschaft","edition":"5th Edition","event-place":"Frankfurt am Main","ISBN":"978-3-10-071008-6","language":"ger","publisher":"SFischer","publisher-place":"Frankfurt am Main","source":"usearch.univie.ac.at","title":"Orientalismus","author":[{"family":"Said","given":"Edward W."}],"translator":[{"family":"Holl","given":"Hans Günter"}],"issued":{"date-parts":[["2017"]]}}}],"schema":"https://github.com/citation-style-language/schema/raw/master/csl-citation.json"} </w:instrText>
      </w:r>
      <w:r>
        <w:fldChar w:fldCharType="separate"/>
      </w:r>
      <w:r w:rsidR="003649EF" w:rsidRPr="003649EF">
        <w:rPr>
          <w:rFonts w:ascii="Calibri" w:cs="Calibri"/>
          <w:lang w:val="en-GB"/>
        </w:rPr>
        <w:t xml:space="preserve">Edward W. Said, </w:t>
      </w:r>
      <w:proofErr w:type="spellStart"/>
      <w:r w:rsidR="003649EF" w:rsidRPr="003649EF">
        <w:rPr>
          <w:rFonts w:ascii="Calibri" w:cs="Calibri"/>
          <w:i/>
          <w:iCs/>
          <w:lang w:val="en-GB"/>
        </w:rPr>
        <w:t>Orientalismus</w:t>
      </w:r>
      <w:proofErr w:type="spellEnd"/>
      <w:r w:rsidR="003649EF" w:rsidRPr="003649EF">
        <w:rPr>
          <w:rFonts w:ascii="Calibri" w:cs="Calibri"/>
          <w:lang w:val="en-GB"/>
        </w:rPr>
        <w:t xml:space="preserve">, trans. </w:t>
      </w:r>
      <w:r w:rsidR="003649EF" w:rsidRPr="009F5BBD">
        <w:rPr>
          <w:rFonts w:ascii="Calibri" w:cs="Calibri"/>
          <w:lang w:val="de-AT"/>
        </w:rPr>
        <w:t xml:space="preserve">Hans Günter Holl, 5th Edition, S. Fischer Wissenschaft (Frankfurt am Main: </w:t>
      </w:r>
      <w:proofErr w:type="spellStart"/>
      <w:r w:rsidR="003649EF" w:rsidRPr="009F5BBD">
        <w:rPr>
          <w:rFonts w:ascii="Calibri" w:cs="Calibri"/>
          <w:lang w:val="de-AT"/>
        </w:rPr>
        <w:t>SFischer</w:t>
      </w:r>
      <w:proofErr w:type="spellEnd"/>
      <w:r w:rsidR="003649EF" w:rsidRPr="009F5BBD">
        <w:rPr>
          <w:rFonts w:ascii="Calibri" w:cs="Calibri"/>
          <w:lang w:val="de-AT"/>
        </w:rPr>
        <w:t>, 2017).</w:t>
      </w:r>
      <w:r>
        <w:fldChar w:fldCharType="end"/>
      </w:r>
      <w:r w:rsidRPr="00D069C3">
        <w:rPr>
          <w:lang w:val="de-AT"/>
        </w:rPr>
        <w:t xml:space="preserve"> </w:t>
      </w:r>
      <w:r w:rsidR="00D069C3">
        <w:rPr>
          <w:lang w:val="en-US"/>
        </w:rPr>
        <w:t>Jonathan Z Smith addresses the ‘</w:t>
      </w:r>
      <w:r w:rsidR="00D069C3" w:rsidRPr="00D069C3">
        <w:rPr>
          <w:lang w:val="en-US"/>
        </w:rPr>
        <w:t>common, and duplicitous use of Judaism as an insulating device for early Christianity</w:t>
      </w:r>
      <w:r w:rsidR="00D069C3">
        <w:rPr>
          <w:lang w:val="en-US"/>
        </w:rPr>
        <w:t xml:space="preserve">’ </w:t>
      </w:r>
      <w:r w:rsidR="009F5BBD">
        <w:rPr>
          <w:lang w:val="en-US"/>
        </w:rPr>
        <w:t xml:space="preserve">(p. 46) </w:t>
      </w:r>
      <w:r w:rsidR="00D069C3">
        <w:rPr>
          <w:lang w:val="en-US"/>
        </w:rPr>
        <w:t xml:space="preserve">in his book </w:t>
      </w:r>
      <w:r w:rsidR="00D069C3" w:rsidRPr="00D069C3">
        <w:rPr>
          <w:i/>
          <w:iCs/>
          <w:lang w:val="en-US"/>
        </w:rPr>
        <w:t>Drudgery Divine</w:t>
      </w:r>
      <w:r w:rsidR="00D069C3">
        <w:rPr>
          <w:lang w:val="en-US"/>
        </w:rPr>
        <w:t xml:space="preserve">: </w:t>
      </w:r>
      <w:r w:rsidR="00D069C3">
        <w:fldChar w:fldCharType="begin"/>
      </w:r>
      <w:r w:rsidR="00D069C3">
        <w:instrText xml:space="preserve"> ADDIN ZOTERO_ITEM CSL_CITATION {"citationID":"8U8AYivj","properties":{"formattedCitation":"Jonathan Z Smith, {\\i{}Drudgery Divine: On the Comparison of Early Christianities and the Religions of Late Antiquity} (London: The University of Chicago Press, 1990), 54\\uc0\\u8211{}84.","plainCitation":"Jonathan Z Smith, Drudgery Divine: On the Comparison of Early Christianities and the Religions of Late Antiquity (London: The University of Chicago Press, 1990), 54–84.","noteIndex":61},"citationItems":[{"id":1236,"uris":["http://zotero.org/users/1120467/items/9QZYSYAP"],"uri":["http://zotero.org/users/1120467/items/9QZYSYAP"],"itemData":{"id":1236,"type":"book","event-place":"London","publisher":"The University of Chicago Press","publisher-place":"London","title":"Drudgery Divine: On the Comparison of Early Christianities and the Religions of Late Antiquity","title-short":"Drudgery Divine","author":[{"family":"Smith","given":"Jonathan Z"}],"issued":{"date-parts":[["1990"]]}},"locator":"54-84"}],"schema":"https://github.com/citation-style-language/schema/raw/master/csl-citation.json"} </w:instrText>
      </w:r>
      <w:r w:rsidR="00D069C3">
        <w:fldChar w:fldCharType="separate"/>
      </w:r>
      <w:r w:rsidR="00D069C3" w:rsidRPr="00D069C3">
        <w:rPr>
          <w:rFonts w:ascii="Calibri" w:cs="Calibri"/>
          <w:lang w:val="en-GB"/>
        </w:rPr>
        <w:t xml:space="preserve">Jonathan Z Smith, </w:t>
      </w:r>
      <w:r w:rsidR="00D069C3" w:rsidRPr="00D069C3">
        <w:rPr>
          <w:rFonts w:ascii="Calibri" w:cs="Calibri"/>
          <w:i/>
          <w:iCs/>
          <w:lang w:val="en-GB"/>
        </w:rPr>
        <w:t xml:space="preserve">Drudgery Divine: On the Comparison of Early </w:t>
      </w:r>
      <w:proofErr w:type="spellStart"/>
      <w:r w:rsidR="00D069C3" w:rsidRPr="00D069C3">
        <w:rPr>
          <w:rFonts w:ascii="Calibri" w:cs="Calibri"/>
          <w:i/>
          <w:iCs/>
          <w:lang w:val="en-GB"/>
        </w:rPr>
        <w:t>Christianities</w:t>
      </w:r>
      <w:proofErr w:type="spellEnd"/>
      <w:r w:rsidR="00D069C3" w:rsidRPr="00D069C3">
        <w:rPr>
          <w:rFonts w:ascii="Calibri" w:cs="Calibri"/>
          <w:i/>
          <w:iCs/>
          <w:lang w:val="en-GB"/>
        </w:rPr>
        <w:t xml:space="preserve"> and the Religions of Late Antiquity</w:t>
      </w:r>
      <w:r w:rsidR="00D069C3" w:rsidRPr="00D069C3">
        <w:rPr>
          <w:rFonts w:ascii="Calibri" w:cs="Calibri"/>
          <w:lang w:val="en-GB"/>
        </w:rPr>
        <w:t xml:space="preserve"> (London: The University of Chicago Press, 1990), 54–84.</w:t>
      </w:r>
      <w:r w:rsidR="00D069C3">
        <w:fldChar w:fldCharType="end"/>
      </w:r>
      <w:r w:rsidR="009F5BBD">
        <w:rPr>
          <w:lang w:val="en-GB"/>
        </w:rPr>
        <w:t xml:space="preserve"> </w:t>
      </w:r>
    </w:p>
  </w:footnote>
  <w:footnote w:id="62">
    <w:p w14:paraId="55BDD981" w14:textId="0C04B3F9" w:rsidR="007E220A" w:rsidRPr="008249B3"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{"citationID":"Meh0cqrE","properties":{"formattedCitation":"James G. Crossley, \\uc0\\u8216{}Other Problems from a British Perspective: \\uc0\\u8220{}Jewishness\\uc0\\u8221{}, Jesus, and the New Perspective on Paul\\uc0\\u8217{}, in {\\i{}Ethnicity, Race, Religion\\uc0\\u8239{}: Identities and Ideologies in Early Jewish and Christian Texts, and in Modern Biblical Interpretation} (London, UK: T&amp;T Clark, 2018), 137, https://doi.org/10.5040/9780567677334.","plainCitation":"James G. Crossley, ‘Other Problems from a British Perspective: “Jewishness”, Jesus, and the New Perspective on Paul’, in Ethnicity, Race, Religion : Identities and Ideologies in Early Jewish and Christian Texts, and in Modern Biblical Interpretation (London, UK: T&amp;T Clark, 2018), 137, https://doi.org/10.5040/9780567677334.","noteIndex":62},"citationItems":[{"id":1163,"uris":["http://zotero.org/users/1120467/items/MGI4KDEH"],"uri":["http://zotero.org/users/1120467/items/MGI4KDEH"],"itemData":{"id":1163,"type":"chapter","container-title":"Ethnicity, Race, Religion : Identities and Ideologies in Early Jewish and Christian Texts, and in Modern Biblical Interpretation","event-place":"London, UK","ISBN":"978-0-567-67730-3","note":"DOI: 10.5040/9780567677334","page":"130–145","publisher":"T&amp;T Clark","publisher-place":"London, UK","source":"DOI.org (Crossref)","title":"Other Problems from a British Perspective: ‘Jewishness’, Jesus, and the New Perspective on Paul","author":[{"family":"Crossley","given":"James G."}],"accessed":{"date-parts":[["2020",8,10]]},"issued":{"date-parts":[["2018"]]}},"locator":"137"}],"schema":"https://github.com/citation-style-language/schema/raw/master/csl-citation.json"} </w:instrText>
      </w:r>
      <w:r>
        <w:fldChar w:fldCharType="separate"/>
      </w:r>
      <w:r w:rsidR="003649EF" w:rsidRPr="003649EF">
        <w:rPr>
          <w:rFonts w:ascii="Calibri" w:cs="Calibri"/>
          <w:lang w:val="en-GB"/>
        </w:rPr>
        <w:t xml:space="preserve">James G. Crossley, ‘Other Problems from a British Perspective: “Jewishness”, Jesus, and the New Perspective on Paul’, in </w:t>
      </w:r>
      <w:r w:rsidR="003649EF" w:rsidRPr="003649EF">
        <w:rPr>
          <w:rFonts w:ascii="Calibri" w:cs="Calibri"/>
          <w:i/>
          <w:iCs/>
          <w:lang w:val="en-GB"/>
        </w:rPr>
        <w:t>Ethnicity, Race, Religion : Identities and Ideologies in Early Jewish and Christian Texts, and in Modern Biblical Interpretation</w:t>
      </w:r>
      <w:r w:rsidR="003649EF" w:rsidRPr="003649EF">
        <w:rPr>
          <w:rFonts w:ascii="Calibri" w:cs="Calibri"/>
          <w:lang w:val="en-GB"/>
        </w:rPr>
        <w:t xml:space="preserve"> (London, UK: T&amp;T Clark, 2018), 137, https://doi.org/10.5040/9780567677334.</w:t>
      </w:r>
      <w:r>
        <w:fldChar w:fldCharType="end"/>
      </w:r>
    </w:p>
  </w:footnote>
  <w:footnote w:id="63">
    <w:p w14:paraId="1642B720" w14:textId="3E4AAA9C" w:rsidR="007E220A" w:rsidRPr="00162CC0" w:rsidRDefault="007E220A">
      <w:pPr>
        <w:pStyle w:val="FootnoteText"/>
        <w:rPr>
          <w:lang w:val="en-GB"/>
        </w:rPr>
      </w:pPr>
      <w:r>
        <w:rPr>
          <w:rStyle w:val="FootnoteReference"/>
        </w:rPr>
        <w:footnoteRef/>
      </w:r>
      <w:r>
        <w:t xml:space="preserve"> </w:t>
      </w:r>
      <w:r>
        <w:fldChar w:fldCharType="begin"/>
      </w:r>
      <w:r w:rsidR="003649EF">
        <w:instrText xml:space="preserve"> ADDIN ZOTERO_ITEM CSL_CITATION {"citationID":"yF4F06UK","properties":{"formattedCitation":"Ibid., 138.","plainCitation":"Ibid., 138.","noteIndex":63},"citationItems":[{"id":1163,"uris":["http://zotero.org/users/1120467/items/MGI4KDEH"],"uri":["http://zotero.org/users/1120467/items/MGI4KDEH"],"itemData":{"id":1163,"type":"chapter","container-title":"Ethnicity, Race, Religion : Identities and Ideologies in Early Jewish and Christian Texts, and in Modern Biblical Interpretation","event-place":"London, UK","ISBN":"978-0-567-67730-3","note":"DOI: 10.5040/9780567677334","page":"130–145","publisher":"T&amp;T Clark","publisher-place":"London, UK","source":"DOI.org (Crossref)","title":"Other Problems from a British Perspective: ‘Jewishness’, Jesus, and the New Perspective on Paul","author":[{"family":"Crossley","given":"James G."}],"accessed":{"date-parts":[["2020",8,10]]},"issued":{"date-parts":[["2018"]]}},"locator":"138"}],"schema":"https://github.com/citation-style-language/schema/raw/master/csl-citation.json"} </w:instrText>
      </w:r>
      <w:r>
        <w:fldChar w:fldCharType="separate"/>
      </w:r>
      <w:r>
        <w:rPr>
          <w:noProof/>
        </w:rPr>
        <w:t>Ibid., 138.</w:t>
      </w:r>
      <w:r>
        <w:fldChar w:fldCharType="end"/>
      </w:r>
    </w:p>
  </w:footnote>
  <w:footnote w:id="64">
    <w:p w14:paraId="3F5A0917" w14:textId="69E1A57B" w:rsidR="00760BE3" w:rsidRPr="00760BE3" w:rsidRDefault="00760BE3">
      <w:pPr>
        <w:pStyle w:val="FootnoteText"/>
        <w:rPr>
          <w:lang w:val="en-GB"/>
        </w:rPr>
      </w:pPr>
      <w:r>
        <w:rPr>
          <w:rStyle w:val="FootnoteReference"/>
        </w:rPr>
        <w:footnoteRef/>
      </w:r>
      <w:r>
        <w:t xml:space="preserve"> </w:t>
      </w:r>
      <w:r>
        <w:fldChar w:fldCharType="begin"/>
      </w:r>
      <w:r w:rsidR="003649EF">
        <w:instrText xml:space="preserve"> ADDIN ZOTERO_ITEM CSL_CITATION {"citationID":"afxvQS3R","properties":{"formattedCitation":"Todd Penner, \\uc0\\u8216{}Die Judenfrage and the Construction of Ancient Judaism: Toward a Foregrounding of the Backgrounds Approach to Early Christianity\\uc0\\u8217{}, in {\\i{}Scripture and Traditions}, ed. Patrick Gray and Gail R O\\uc0\\u8217{}Dale (Leiden: Brill, 2008), 434.","plainCitation":"Todd Penner, ‘Die Judenfrage and the Construction of Ancient Judaism: Toward a Foregrounding of the Backgrounds Approach to Early Christianity’, in Scripture and Traditions, ed. Patrick Gray and Gail R O’Dale (Leiden: Brill, 2008), 434.","noteIndex":64},"citationItems":[{"id":1206,"uris":["http://zotero.org/users/1120467/items/F5P3C9TN"],"uri":["http://zotero.org/users/1120467/items/F5P3C9TN"],"itemData":{"id":1206,"type":"chapter","abstract":"\"Die Judenfrage and the construction of ancient judaism: Toward a foregrounding of the backgrounds approach to early christianity\" published on 01 Jan 2008 by Brill.","container-title":"Scripture and Traditions","event-place":"Leiden","language":"en","note":"ISBN: 9789004167476\npublisher: Brill\nsection: Scripture and Traditions","page":"429-456","publisher":"Brill","publisher-place":"Leiden","source":"brill-com.uaccess.univie.ac.at","title":"Die Judenfrage and the construction of ancient judaism: Toward a foregrounding of the backgrounds approach to early christianity","title-short":"Die Judenfrage and the construction of ancient judaism","author":[{"family":"Penner","given":"Todd"}],"editor":[{"family":"Gray","given":"Patrick"},{"family":"O'Dale","given":"Gail R"}],"accessed":{"date-parts":[["2020",8,12]]},"issued":{"date-parts":[["2008",1,1]]}},"locator":"434"}],"schema":"https://github.com/citation-style-language/schema/raw/master/csl-citation.json"} </w:instrText>
      </w:r>
      <w:r>
        <w:fldChar w:fldCharType="separate"/>
      </w:r>
      <w:r w:rsidR="003649EF" w:rsidRPr="003649EF">
        <w:rPr>
          <w:rFonts w:ascii="Calibri" w:cs="Calibri"/>
          <w:lang w:val="en-GB"/>
        </w:rPr>
        <w:t xml:space="preserve">Todd Penner, ‘Die </w:t>
      </w:r>
      <w:proofErr w:type="spellStart"/>
      <w:r w:rsidR="003649EF" w:rsidRPr="003649EF">
        <w:rPr>
          <w:rFonts w:ascii="Calibri" w:cs="Calibri"/>
          <w:lang w:val="en-GB"/>
        </w:rPr>
        <w:t>Judenfrage</w:t>
      </w:r>
      <w:proofErr w:type="spellEnd"/>
      <w:r w:rsidR="003649EF" w:rsidRPr="003649EF">
        <w:rPr>
          <w:rFonts w:ascii="Calibri" w:cs="Calibri"/>
          <w:lang w:val="en-GB"/>
        </w:rPr>
        <w:t xml:space="preserve"> and the Construction of Ancient Judaism: Toward a Foregrounding of the Backgrounds Approach to Early Christianity’, in </w:t>
      </w:r>
      <w:r w:rsidR="003649EF" w:rsidRPr="003649EF">
        <w:rPr>
          <w:rFonts w:ascii="Calibri" w:cs="Calibri"/>
          <w:i/>
          <w:iCs/>
          <w:lang w:val="en-GB"/>
        </w:rPr>
        <w:t>Scripture and Traditions</w:t>
      </w:r>
      <w:r w:rsidR="003649EF" w:rsidRPr="003649EF">
        <w:rPr>
          <w:rFonts w:ascii="Calibri" w:cs="Calibri"/>
          <w:lang w:val="en-GB"/>
        </w:rPr>
        <w:t xml:space="preserve">, ed. Patrick Gray and Gail R </w:t>
      </w:r>
      <w:proofErr w:type="spellStart"/>
      <w:r w:rsidR="003649EF" w:rsidRPr="003649EF">
        <w:rPr>
          <w:rFonts w:ascii="Calibri" w:cs="Calibri"/>
          <w:lang w:val="en-GB"/>
        </w:rPr>
        <w:t>O’Dale</w:t>
      </w:r>
      <w:proofErr w:type="spellEnd"/>
      <w:r w:rsidR="003649EF" w:rsidRPr="003649EF">
        <w:rPr>
          <w:rFonts w:ascii="Calibri" w:cs="Calibri"/>
          <w:lang w:val="en-GB"/>
        </w:rPr>
        <w:t xml:space="preserve"> (Leiden: Brill, 2008), 434.</w:t>
      </w:r>
      <w:r>
        <w:fldChar w:fldCharType="end"/>
      </w:r>
    </w:p>
  </w:footnote>
  <w:footnote w:id="65">
    <w:p w14:paraId="4E3448DE" w14:textId="13A218F8" w:rsidR="00FE62A3" w:rsidRPr="00FE62A3" w:rsidRDefault="00FE62A3">
      <w:pPr>
        <w:pStyle w:val="FootnoteText"/>
        <w:rPr>
          <w:lang w:val="en-GB"/>
        </w:rPr>
      </w:pPr>
      <w:r>
        <w:rPr>
          <w:rStyle w:val="FootnoteReference"/>
        </w:rPr>
        <w:footnoteRef/>
      </w:r>
      <w:r>
        <w:t xml:space="preserve"> </w:t>
      </w:r>
      <w:r>
        <w:fldChar w:fldCharType="begin"/>
      </w:r>
      <w:r w:rsidR="003649EF">
        <w:instrText xml:space="preserve"> ADDIN ZOTERO_ITEM CSL_CITATION {"citationID":"nvDACITr","properties":{"formattedCitation":"Ibid., 437.","plainCitation":"Ibid., 437.","noteIndex":65},"citationItems":[{"id":1206,"uris":["http://zotero.org/users/1120467/items/F5P3C9TN"],"uri":["http://zotero.org/users/1120467/items/F5P3C9TN"],"itemData":{"id":1206,"type":"chapter","abstract":"\"Die Judenfrage and the construction of ancient judaism: Toward a foregrounding of the backgrounds approach to early christianity\" published on 01 Jan 2008 by Brill.","container-title":"Scripture and Traditions","event-place":"Leiden","language":"en","note":"ISBN: 9789004167476\npublisher: Brill\nsection: Scripture and Traditions","page":"429-456","publisher":"Brill","publisher-place":"Leiden","source":"brill-com.uaccess.univie.ac.at","title":"Die Judenfrage and the construction of ancient judaism: Toward a foregrounding of the backgrounds approach to early christianity","title-short":"Die Judenfrage and the construction of ancient judaism","author":[{"family":"Penner","given":"Todd"}],"editor":[{"family":"Gray","given":"Patrick"},{"family":"O'Dale","given":"Gail R"}],"accessed":{"date-parts":[["2020",8,12]]},"issued":{"date-parts":[["2008",1,1]]}},"locator":"437"}],"schema":"https://github.com/citation-style-language/schema/raw/master/csl-citation.json"} </w:instrText>
      </w:r>
      <w:r>
        <w:fldChar w:fldCharType="separate"/>
      </w:r>
      <w:r>
        <w:rPr>
          <w:noProof/>
        </w:rPr>
        <w:t>Ibid., 437.</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3CD"/>
    <w:rsid w:val="000001EB"/>
    <w:rsid w:val="00007DDE"/>
    <w:rsid w:val="00020702"/>
    <w:rsid w:val="000263CC"/>
    <w:rsid w:val="00027D8F"/>
    <w:rsid w:val="000339BA"/>
    <w:rsid w:val="0003560E"/>
    <w:rsid w:val="0004144B"/>
    <w:rsid w:val="0006419A"/>
    <w:rsid w:val="00066AB1"/>
    <w:rsid w:val="000713B8"/>
    <w:rsid w:val="00083892"/>
    <w:rsid w:val="00084A2C"/>
    <w:rsid w:val="00095BBC"/>
    <w:rsid w:val="000A158B"/>
    <w:rsid w:val="000A4897"/>
    <w:rsid w:val="000B4DD1"/>
    <w:rsid w:val="000C1AEA"/>
    <w:rsid w:val="000C6321"/>
    <w:rsid w:val="000D04CC"/>
    <w:rsid w:val="000D4C85"/>
    <w:rsid w:val="000D7AE6"/>
    <w:rsid w:val="000E0B82"/>
    <w:rsid w:val="000E1227"/>
    <w:rsid w:val="000E5EC9"/>
    <w:rsid w:val="000F4028"/>
    <w:rsid w:val="000F47FE"/>
    <w:rsid w:val="000F4B20"/>
    <w:rsid w:val="000F4EB5"/>
    <w:rsid w:val="00100E86"/>
    <w:rsid w:val="00106D9C"/>
    <w:rsid w:val="00110A17"/>
    <w:rsid w:val="001113E1"/>
    <w:rsid w:val="00117175"/>
    <w:rsid w:val="00122D31"/>
    <w:rsid w:val="00132DB4"/>
    <w:rsid w:val="00133AA3"/>
    <w:rsid w:val="0013585E"/>
    <w:rsid w:val="0013641C"/>
    <w:rsid w:val="001445D9"/>
    <w:rsid w:val="00145B7B"/>
    <w:rsid w:val="00150224"/>
    <w:rsid w:val="00152BF3"/>
    <w:rsid w:val="00156A1F"/>
    <w:rsid w:val="001607DE"/>
    <w:rsid w:val="0016240B"/>
    <w:rsid w:val="00162CC0"/>
    <w:rsid w:val="001656BC"/>
    <w:rsid w:val="00177C28"/>
    <w:rsid w:val="0018217C"/>
    <w:rsid w:val="001832A8"/>
    <w:rsid w:val="001847C0"/>
    <w:rsid w:val="00187A6B"/>
    <w:rsid w:val="00190079"/>
    <w:rsid w:val="00194541"/>
    <w:rsid w:val="001A3891"/>
    <w:rsid w:val="001A3CC3"/>
    <w:rsid w:val="001A5A19"/>
    <w:rsid w:val="001A5DE2"/>
    <w:rsid w:val="001A69B6"/>
    <w:rsid w:val="001B4459"/>
    <w:rsid w:val="001B4779"/>
    <w:rsid w:val="001B6DE9"/>
    <w:rsid w:val="001C2B0C"/>
    <w:rsid w:val="001C7723"/>
    <w:rsid w:val="001D02B5"/>
    <w:rsid w:val="001D2D26"/>
    <w:rsid w:val="001D74C1"/>
    <w:rsid w:val="001E5700"/>
    <w:rsid w:val="001E5E63"/>
    <w:rsid w:val="001E658C"/>
    <w:rsid w:val="001E6984"/>
    <w:rsid w:val="001F0E9E"/>
    <w:rsid w:val="001F47C9"/>
    <w:rsid w:val="001F6865"/>
    <w:rsid w:val="00200610"/>
    <w:rsid w:val="002016EB"/>
    <w:rsid w:val="00205B9A"/>
    <w:rsid w:val="002072E9"/>
    <w:rsid w:val="002073BD"/>
    <w:rsid w:val="002150C1"/>
    <w:rsid w:val="00215CD2"/>
    <w:rsid w:val="00223849"/>
    <w:rsid w:val="002274FB"/>
    <w:rsid w:val="00235FF3"/>
    <w:rsid w:val="0023765C"/>
    <w:rsid w:val="002434AA"/>
    <w:rsid w:val="00244D49"/>
    <w:rsid w:val="00245856"/>
    <w:rsid w:val="00246C29"/>
    <w:rsid w:val="002520C2"/>
    <w:rsid w:val="00252A2A"/>
    <w:rsid w:val="00254F18"/>
    <w:rsid w:val="0026003E"/>
    <w:rsid w:val="002634B4"/>
    <w:rsid w:val="002639FE"/>
    <w:rsid w:val="0026531E"/>
    <w:rsid w:val="00265BD7"/>
    <w:rsid w:val="00265E19"/>
    <w:rsid w:val="0027271D"/>
    <w:rsid w:val="00276DB2"/>
    <w:rsid w:val="00277714"/>
    <w:rsid w:val="00291355"/>
    <w:rsid w:val="002922D3"/>
    <w:rsid w:val="00295B64"/>
    <w:rsid w:val="002A0EF7"/>
    <w:rsid w:val="002A10DF"/>
    <w:rsid w:val="002A2037"/>
    <w:rsid w:val="002A2305"/>
    <w:rsid w:val="002A4772"/>
    <w:rsid w:val="002B05AD"/>
    <w:rsid w:val="002B1FCB"/>
    <w:rsid w:val="002C1F85"/>
    <w:rsid w:val="002C4CD5"/>
    <w:rsid w:val="002D084F"/>
    <w:rsid w:val="002D17F7"/>
    <w:rsid w:val="002D42D3"/>
    <w:rsid w:val="002D778C"/>
    <w:rsid w:val="002E382F"/>
    <w:rsid w:val="002E4664"/>
    <w:rsid w:val="002E4C45"/>
    <w:rsid w:val="002E7198"/>
    <w:rsid w:val="002F4254"/>
    <w:rsid w:val="00302835"/>
    <w:rsid w:val="003404FB"/>
    <w:rsid w:val="00353A78"/>
    <w:rsid w:val="00357804"/>
    <w:rsid w:val="0036385C"/>
    <w:rsid w:val="0036425F"/>
    <w:rsid w:val="003649EF"/>
    <w:rsid w:val="0037338B"/>
    <w:rsid w:val="00377B34"/>
    <w:rsid w:val="00381AA4"/>
    <w:rsid w:val="0039303A"/>
    <w:rsid w:val="003A0BBD"/>
    <w:rsid w:val="003A1D09"/>
    <w:rsid w:val="003A580F"/>
    <w:rsid w:val="003A5F47"/>
    <w:rsid w:val="003A628D"/>
    <w:rsid w:val="003A655F"/>
    <w:rsid w:val="003B0326"/>
    <w:rsid w:val="003B4AE9"/>
    <w:rsid w:val="003B532F"/>
    <w:rsid w:val="003C1672"/>
    <w:rsid w:val="003C29B4"/>
    <w:rsid w:val="003D04FD"/>
    <w:rsid w:val="003D06AA"/>
    <w:rsid w:val="003D3C93"/>
    <w:rsid w:val="003D49CA"/>
    <w:rsid w:val="003E5DB8"/>
    <w:rsid w:val="004053BF"/>
    <w:rsid w:val="004073C1"/>
    <w:rsid w:val="004133F4"/>
    <w:rsid w:val="00417B55"/>
    <w:rsid w:val="004262FA"/>
    <w:rsid w:val="004300F5"/>
    <w:rsid w:val="00442C3B"/>
    <w:rsid w:val="00445246"/>
    <w:rsid w:val="00460483"/>
    <w:rsid w:val="00475CE9"/>
    <w:rsid w:val="00486E66"/>
    <w:rsid w:val="00486EF0"/>
    <w:rsid w:val="00490032"/>
    <w:rsid w:val="00491B77"/>
    <w:rsid w:val="004931A7"/>
    <w:rsid w:val="0049723A"/>
    <w:rsid w:val="004A5331"/>
    <w:rsid w:val="004A6295"/>
    <w:rsid w:val="004B1D28"/>
    <w:rsid w:val="004B3167"/>
    <w:rsid w:val="004C66D8"/>
    <w:rsid w:val="004D2BCD"/>
    <w:rsid w:val="004D4F4A"/>
    <w:rsid w:val="004D60A4"/>
    <w:rsid w:val="004D73C4"/>
    <w:rsid w:val="004D7FB3"/>
    <w:rsid w:val="004E2E24"/>
    <w:rsid w:val="004E6F48"/>
    <w:rsid w:val="004E7757"/>
    <w:rsid w:val="004E79EB"/>
    <w:rsid w:val="004F48D1"/>
    <w:rsid w:val="004F5256"/>
    <w:rsid w:val="00500652"/>
    <w:rsid w:val="00501B97"/>
    <w:rsid w:val="00511C7E"/>
    <w:rsid w:val="005266DD"/>
    <w:rsid w:val="00530F2A"/>
    <w:rsid w:val="00541CF1"/>
    <w:rsid w:val="00545DC0"/>
    <w:rsid w:val="00560178"/>
    <w:rsid w:val="00561EA9"/>
    <w:rsid w:val="00563321"/>
    <w:rsid w:val="0056505C"/>
    <w:rsid w:val="005673C2"/>
    <w:rsid w:val="00567D7E"/>
    <w:rsid w:val="005711B2"/>
    <w:rsid w:val="00571AD9"/>
    <w:rsid w:val="00571E9B"/>
    <w:rsid w:val="00573BEE"/>
    <w:rsid w:val="00573C40"/>
    <w:rsid w:val="00594190"/>
    <w:rsid w:val="005952C0"/>
    <w:rsid w:val="005A5612"/>
    <w:rsid w:val="005A67A9"/>
    <w:rsid w:val="005B3684"/>
    <w:rsid w:val="005B5053"/>
    <w:rsid w:val="005B64E1"/>
    <w:rsid w:val="005B67FE"/>
    <w:rsid w:val="005C0B6B"/>
    <w:rsid w:val="005C2E6C"/>
    <w:rsid w:val="005C3FEC"/>
    <w:rsid w:val="005D31DB"/>
    <w:rsid w:val="005E2662"/>
    <w:rsid w:val="005E2EC9"/>
    <w:rsid w:val="005F032B"/>
    <w:rsid w:val="005F1AB1"/>
    <w:rsid w:val="005F60BE"/>
    <w:rsid w:val="00603C8E"/>
    <w:rsid w:val="00604516"/>
    <w:rsid w:val="00604F9E"/>
    <w:rsid w:val="00620B11"/>
    <w:rsid w:val="00624CAE"/>
    <w:rsid w:val="00626768"/>
    <w:rsid w:val="006332D4"/>
    <w:rsid w:val="0063682B"/>
    <w:rsid w:val="00645F49"/>
    <w:rsid w:val="00650B89"/>
    <w:rsid w:val="006528B3"/>
    <w:rsid w:val="00655751"/>
    <w:rsid w:val="006573CD"/>
    <w:rsid w:val="00660BAD"/>
    <w:rsid w:val="00661E2E"/>
    <w:rsid w:val="006641D0"/>
    <w:rsid w:val="006730C6"/>
    <w:rsid w:val="006767A5"/>
    <w:rsid w:val="00677217"/>
    <w:rsid w:val="006774AF"/>
    <w:rsid w:val="006822B8"/>
    <w:rsid w:val="00682358"/>
    <w:rsid w:val="00682ACB"/>
    <w:rsid w:val="0068303A"/>
    <w:rsid w:val="00691CFD"/>
    <w:rsid w:val="00694296"/>
    <w:rsid w:val="006A2C27"/>
    <w:rsid w:val="006A31E6"/>
    <w:rsid w:val="006A6ECF"/>
    <w:rsid w:val="006B03C9"/>
    <w:rsid w:val="006B0FE3"/>
    <w:rsid w:val="006B2057"/>
    <w:rsid w:val="006B2B4E"/>
    <w:rsid w:val="006B3BB7"/>
    <w:rsid w:val="006B6132"/>
    <w:rsid w:val="006C419B"/>
    <w:rsid w:val="006C54CF"/>
    <w:rsid w:val="006C5656"/>
    <w:rsid w:val="006D03F2"/>
    <w:rsid w:val="006D53DD"/>
    <w:rsid w:val="006E49DB"/>
    <w:rsid w:val="006E5432"/>
    <w:rsid w:val="006E6A91"/>
    <w:rsid w:val="006E7001"/>
    <w:rsid w:val="006E7E47"/>
    <w:rsid w:val="006F194B"/>
    <w:rsid w:val="006F19F6"/>
    <w:rsid w:val="006F4007"/>
    <w:rsid w:val="006F54BC"/>
    <w:rsid w:val="006F71DD"/>
    <w:rsid w:val="0070019D"/>
    <w:rsid w:val="00710673"/>
    <w:rsid w:val="0071631F"/>
    <w:rsid w:val="00721FB7"/>
    <w:rsid w:val="00724931"/>
    <w:rsid w:val="007251DC"/>
    <w:rsid w:val="007302CE"/>
    <w:rsid w:val="0073461A"/>
    <w:rsid w:val="00744565"/>
    <w:rsid w:val="00746DBA"/>
    <w:rsid w:val="007521B2"/>
    <w:rsid w:val="00757598"/>
    <w:rsid w:val="00760BE3"/>
    <w:rsid w:val="0076237A"/>
    <w:rsid w:val="0076238C"/>
    <w:rsid w:val="00765D01"/>
    <w:rsid w:val="007669E5"/>
    <w:rsid w:val="0077014E"/>
    <w:rsid w:val="007748CC"/>
    <w:rsid w:val="007755ED"/>
    <w:rsid w:val="00785BCF"/>
    <w:rsid w:val="007A13BF"/>
    <w:rsid w:val="007A2F13"/>
    <w:rsid w:val="007A7C0B"/>
    <w:rsid w:val="007B12A3"/>
    <w:rsid w:val="007B5EF0"/>
    <w:rsid w:val="007B627D"/>
    <w:rsid w:val="007C1050"/>
    <w:rsid w:val="007C610D"/>
    <w:rsid w:val="007C7AC3"/>
    <w:rsid w:val="007D07D3"/>
    <w:rsid w:val="007D11DD"/>
    <w:rsid w:val="007D7D0B"/>
    <w:rsid w:val="007D7F9E"/>
    <w:rsid w:val="007E18DE"/>
    <w:rsid w:val="007E220A"/>
    <w:rsid w:val="007E5FC4"/>
    <w:rsid w:val="007F2DDD"/>
    <w:rsid w:val="007F30CA"/>
    <w:rsid w:val="007F7189"/>
    <w:rsid w:val="007F74B8"/>
    <w:rsid w:val="008006BB"/>
    <w:rsid w:val="008133A0"/>
    <w:rsid w:val="00820634"/>
    <w:rsid w:val="00822947"/>
    <w:rsid w:val="00822B4C"/>
    <w:rsid w:val="008249B3"/>
    <w:rsid w:val="00831604"/>
    <w:rsid w:val="00840AD8"/>
    <w:rsid w:val="00846402"/>
    <w:rsid w:val="00852343"/>
    <w:rsid w:val="008753AD"/>
    <w:rsid w:val="00881EAA"/>
    <w:rsid w:val="00895BB2"/>
    <w:rsid w:val="00897850"/>
    <w:rsid w:val="008A2E96"/>
    <w:rsid w:val="008A2F5C"/>
    <w:rsid w:val="008B00C9"/>
    <w:rsid w:val="008B0173"/>
    <w:rsid w:val="008B0DEA"/>
    <w:rsid w:val="008B202E"/>
    <w:rsid w:val="008B7614"/>
    <w:rsid w:val="008E1368"/>
    <w:rsid w:val="008E39A6"/>
    <w:rsid w:val="008E684C"/>
    <w:rsid w:val="008F1F26"/>
    <w:rsid w:val="008F34F4"/>
    <w:rsid w:val="008F4A97"/>
    <w:rsid w:val="008F5DA9"/>
    <w:rsid w:val="009010AB"/>
    <w:rsid w:val="00901F67"/>
    <w:rsid w:val="009021F9"/>
    <w:rsid w:val="00904404"/>
    <w:rsid w:val="00907F0A"/>
    <w:rsid w:val="009125AD"/>
    <w:rsid w:val="00914B91"/>
    <w:rsid w:val="0091521E"/>
    <w:rsid w:val="009154B4"/>
    <w:rsid w:val="00916DA7"/>
    <w:rsid w:val="00924801"/>
    <w:rsid w:val="00926C7D"/>
    <w:rsid w:val="00930C3E"/>
    <w:rsid w:val="00933434"/>
    <w:rsid w:val="00936836"/>
    <w:rsid w:val="00940FA0"/>
    <w:rsid w:val="009420E1"/>
    <w:rsid w:val="00944F65"/>
    <w:rsid w:val="00944FFC"/>
    <w:rsid w:val="009560B2"/>
    <w:rsid w:val="00962867"/>
    <w:rsid w:val="00962CEB"/>
    <w:rsid w:val="00963E39"/>
    <w:rsid w:val="00972657"/>
    <w:rsid w:val="00974876"/>
    <w:rsid w:val="00981829"/>
    <w:rsid w:val="009823C6"/>
    <w:rsid w:val="009B2F29"/>
    <w:rsid w:val="009B335A"/>
    <w:rsid w:val="009B3D13"/>
    <w:rsid w:val="009C04BE"/>
    <w:rsid w:val="009C1F00"/>
    <w:rsid w:val="009C7113"/>
    <w:rsid w:val="009D21C2"/>
    <w:rsid w:val="009E378C"/>
    <w:rsid w:val="009F5BBD"/>
    <w:rsid w:val="009F65AD"/>
    <w:rsid w:val="00A03220"/>
    <w:rsid w:val="00A0797C"/>
    <w:rsid w:val="00A10F53"/>
    <w:rsid w:val="00A10FA6"/>
    <w:rsid w:val="00A123D4"/>
    <w:rsid w:val="00A2374B"/>
    <w:rsid w:val="00A351E3"/>
    <w:rsid w:val="00A36785"/>
    <w:rsid w:val="00A36F86"/>
    <w:rsid w:val="00A3798A"/>
    <w:rsid w:val="00A4075E"/>
    <w:rsid w:val="00A4254C"/>
    <w:rsid w:val="00A44165"/>
    <w:rsid w:val="00A44CFA"/>
    <w:rsid w:val="00A5244D"/>
    <w:rsid w:val="00A5489A"/>
    <w:rsid w:val="00A61CBC"/>
    <w:rsid w:val="00A649C2"/>
    <w:rsid w:val="00A64E92"/>
    <w:rsid w:val="00A65F67"/>
    <w:rsid w:val="00A70E65"/>
    <w:rsid w:val="00A7525C"/>
    <w:rsid w:val="00A764E5"/>
    <w:rsid w:val="00A845A0"/>
    <w:rsid w:val="00A94D6E"/>
    <w:rsid w:val="00A96552"/>
    <w:rsid w:val="00AA55C0"/>
    <w:rsid w:val="00AA5914"/>
    <w:rsid w:val="00AB433C"/>
    <w:rsid w:val="00AB4C63"/>
    <w:rsid w:val="00AB5EF1"/>
    <w:rsid w:val="00AB65ED"/>
    <w:rsid w:val="00AC2463"/>
    <w:rsid w:val="00AC44A6"/>
    <w:rsid w:val="00AC5E86"/>
    <w:rsid w:val="00AD1B22"/>
    <w:rsid w:val="00AD6F37"/>
    <w:rsid w:val="00AE3E19"/>
    <w:rsid w:val="00AE4F03"/>
    <w:rsid w:val="00AE6AB6"/>
    <w:rsid w:val="00B00170"/>
    <w:rsid w:val="00B01413"/>
    <w:rsid w:val="00B0249B"/>
    <w:rsid w:val="00B06D5F"/>
    <w:rsid w:val="00B1530C"/>
    <w:rsid w:val="00B16F53"/>
    <w:rsid w:val="00B243B7"/>
    <w:rsid w:val="00B25588"/>
    <w:rsid w:val="00B30C75"/>
    <w:rsid w:val="00B31136"/>
    <w:rsid w:val="00B3388D"/>
    <w:rsid w:val="00B40D63"/>
    <w:rsid w:val="00B4463D"/>
    <w:rsid w:val="00B51389"/>
    <w:rsid w:val="00B529BF"/>
    <w:rsid w:val="00B5762E"/>
    <w:rsid w:val="00B601B5"/>
    <w:rsid w:val="00B712CC"/>
    <w:rsid w:val="00B71583"/>
    <w:rsid w:val="00B77278"/>
    <w:rsid w:val="00B86888"/>
    <w:rsid w:val="00B86A83"/>
    <w:rsid w:val="00B93745"/>
    <w:rsid w:val="00B97D19"/>
    <w:rsid w:val="00BB0066"/>
    <w:rsid w:val="00BB4CA0"/>
    <w:rsid w:val="00BC1A77"/>
    <w:rsid w:val="00BC429A"/>
    <w:rsid w:val="00BC6A57"/>
    <w:rsid w:val="00BD06E4"/>
    <w:rsid w:val="00BD16DF"/>
    <w:rsid w:val="00BD198A"/>
    <w:rsid w:val="00BD24EB"/>
    <w:rsid w:val="00BD33A1"/>
    <w:rsid w:val="00BD4AE5"/>
    <w:rsid w:val="00BE1BBC"/>
    <w:rsid w:val="00BE3883"/>
    <w:rsid w:val="00BE4510"/>
    <w:rsid w:val="00BF090D"/>
    <w:rsid w:val="00BF0D02"/>
    <w:rsid w:val="00BF1108"/>
    <w:rsid w:val="00BF4E1F"/>
    <w:rsid w:val="00BF7CC4"/>
    <w:rsid w:val="00C03EFC"/>
    <w:rsid w:val="00C04223"/>
    <w:rsid w:val="00C06EFE"/>
    <w:rsid w:val="00C110A9"/>
    <w:rsid w:val="00C200A4"/>
    <w:rsid w:val="00C22DA6"/>
    <w:rsid w:val="00C23F6D"/>
    <w:rsid w:val="00C24D95"/>
    <w:rsid w:val="00C25709"/>
    <w:rsid w:val="00C30840"/>
    <w:rsid w:val="00C30B77"/>
    <w:rsid w:val="00C31866"/>
    <w:rsid w:val="00C320FC"/>
    <w:rsid w:val="00C35F1E"/>
    <w:rsid w:val="00C407D0"/>
    <w:rsid w:val="00C7360D"/>
    <w:rsid w:val="00C73B64"/>
    <w:rsid w:val="00C75F77"/>
    <w:rsid w:val="00C76B05"/>
    <w:rsid w:val="00C80890"/>
    <w:rsid w:val="00C839FB"/>
    <w:rsid w:val="00C84E1A"/>
    <w:rsid w:val="00C85158"/>
    <w:rsid w:val="00C86B59"/>
    <w:rsid w:val="00C86C8F"/>
    <w:rsid w:val="00C90CF8"/>
    <w:rsid w:val="00C9185B"/>
    <w:rsid w:val="00C9206A"/>
    <w:rsid w:val="00C959DB"/>
    <w:rsid w:val="00CA396C"/>
    <w:rsid w:val="00CB0E2B"/>
    <w:rsid w:val="00CB1B3A"/>
    <w:rsid w:val="00CB1D19"/>
    <w:rsid w:val="00CB4C34"/>
    <w:rsid w:val="00CC6485"/>
    <w:rsid w:val="00CD00C5"/>
    <w:rsid w:val="00CD070D"/>
    <w:rsid w:val="00CD5A5B"/>
    <w:rsid w:val="00CE1564"/>
    <w:rsid w:val="00CE19D8"/>
    <w:rsid w:val="00CE20D1"/>
    <w:rsid w:val="00CE2912"/>
    <w:rsid w:val="00CE2A9B"/>
    <w:rsid w:val="00CE413D"/>
    <w:rsid w:val="00CE7055"/>
    <w:rsid w:val="00CF0575"/>
    <w:rsid w:val="00CF7BBF"/>
    <w:rsid w:val="00D03E88"/>
    <w:rsid w:val="00D048F2"/>
    <w:rsid w:val="00D0585F"/>
    <w:rsid w:val="00D069C3"/>
    <w:rsid w:val="00D12152"/>
    <w:rsid w:val="00D14479"/>
    <w:rsid w:val="00D16C28"/>
    <w:rsid w:val="00D17505"/>
    <w:rsid w:val="00D17A79"/>
    <w:rsid w:val="00D20D6D"/>
    <w:rsid w:val="00D215BD"/>
    <w:rsid w:val="00D32C25"/>
    <w:rsid w:val="00D35CC5"/>
    <w:rsid w:val="00D37705"/>
    <w:rsid w:val="00D37FAC"/>
    <w:rsid w:val="00D438CD"/>
    <w:rsid w:val="00D50132"/>
    <w:rsid w:val="00D54634"/>
    <w:rsid w:val="00D61DB2"/>
    <w:rsid w:val="00D63BD7"/>
    <w:rsid w:val="00D663C0"/>
    <w:rsid w:val="00D67086"/>
    <w:rsid w:val="00D67412"/>
    <w:rsid w:val="00D703F8"/>
    <w:rsid w:val="00D71259"/>
    <w:rsid w:val="00D77643"/>
    <w:rsid w:val="00D81698"/>
    <w:rsid w:val="00D8725C"/>
    <w:rsid w:val="00DA4684"/>
    <w:rsid w:val="00DA61E7"/>
    <w:rsid w:val="00DA79D0"/>
    <w:rsid w:val="00DB04BC"/>
    <w:rsid w:val="00DB15C3"/>
    <w:rsid w:val="00DC25EC"/>
    <w:rsid w:val="00DD0876"/>
    <w:rsid w:val="00DD18ED"/>
    <w:rsid w:val="00DD1AFE"/>
    <w:rsid w:val="00DD5F23"/>
    <w:rsid w:val="00DE4F0F"/>
    <w:rsid w:val="00DF2C5B"/>
    <w:rsid w:val="00E0369B"/>
    <w:rsid w:val="00E057B2"/>
    <w:rsid w:val="00E12FEB"/>
    <w:rsid w:val="00E15791"/>
    <w:rsid w:val="00E1782E"/>
    <w:rsid w:val="00E20047"/>
    <w:rsid w:val="00E20423"/>
    <w:rsid w:val="00E2128B"/>
    <w:rsid w:val="00E346FE"/>
    <w:rsid w:val="00E36AB8"/>
    <w:rsid w:val="00E45771"/>
    <w:rsid w:val="00E62DBB"/>
    <w:rsid w:val="00E64E24"/>
    <w:rsid w:val="00E650B6"/>
    <w:rsid w:val="00E67D57"/>
    <w:rsid w:val="00E91793"/>
    <w:rsid w:val="00E9642F"/>
    <w:rsid w:val="00EA1403"/>
    <w:rsid w:val="00EA2415"/>
    <w:rsid w:val="00EB08D0"/>
    <w:rsid w:val="00EC740A"/>
    <w:rsid w:val="00ED0295"/>
    <w:rsid w:val="00ED4DD5"/>
    <w:rsid w:val="00ED7B25"/>
    <w:rsid w:val="00EE41CA"/>
    <w:rsid w:val="00EF78D6"/>
    <w:rsid w:val="00F06632"/>
    <w:rsid w:val="00F15145"/>
    <w:rsid w:val="00F16B9A"/>
    <w:rsid w:val="00F17153"/>
    <w:rsid w:val="00F2070C"/>
    <w:rsid w:val="00F23111"/>
    <w:rsid w:val="00F3255A"/>
    <w:rsid w:val="00F34805"/>
    <w:rsid w:val="00F4147D"/>
    <w:rsid w:val="00F50651"/>
    <w:rsid w:val="00F50B07"/>
    <w:rsid w:val="00F5142F"/>
    <w:rsid w:val="00F66D84"/>
    <w:rsid w:val="00F66E86"/>
    <w:rsid w:val="00F96344"/>
    <w:rsid w:val="00FA1119"/>
    <w:rsid w:val="00FA5949"/>
    <w:rsid w:val="00FB1A6D"/>
    <w:rsid w:val="00FB3BB6"/>
    <w:rsid w:val="00FC087F"/>
    <w:rsid w:val="00FC7345"/>
    <w:rsid w:val="00FE05BE"/>
    <w:rsid w:val="00FE4DA9"/>
    <w:rsid w:val="00FE62A3"/>
    <w:rsid w:val="00FF09B1"/>
    <w:rsid w:val="00FF0E6D"/>
    <w:rsid w:val="00FF58F3"/>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ACE43E0"/>
  <w15:chartTrackingRefBased/>
  <w15:docId w15:val="{8214B5D6-79B1-3447-A8BA-9B1B6F47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698"/>
    <w:pPr>
      <w:spacing w:line="360" w:lineRule="auto"/>
    </w:pPr>
  </w:style>
  <w:style w:type="paragraph" w:styleId="Heading1">
    <w:name w:val="heading 1"/>
    <w:basedOn w:val="Normal"/>
    <w:next w:val="Normal"/>
    <w:link w:val="Heading1Char"/>
    <w:uiPriority w:val="9"/>
    <w:qFormat/>
    <w:rsid w:val="00DA46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16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6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1698"/>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unhideWhenUsed/>
    <w:rsid w:val="006B2B4E"/>
    <w:pPr>
      <w:spacing w:line="240" w:lineRule="auto"/>
    </w:pPr>
    <w:rPr>
      <w:sz w:val="20"/>
      <w:szCs w:val="20"/>
    </w:rPr>
  </w:style>
  <w:style w:type="character" w:customStyle="1" w:styleId="FootnoteTextChar">
    <w:name w:val="Footnote Text Char"/>
    <w:basedOn w:val="DefaultParagraphFont"/>
    <w:link w:val="FootnoteText"/>
    <w:uiPriority w:val="99"/>
    <w:rsid w:val="006B2B4E"/>
    <w:rPr>
      <w:sz w:val="20"/>
      <w:szCs w:val="20"/>
    </w:rPr>
  </w:style>
  <w:style w:type="character" w:styleId="FootnoteReference">
    <w:name w:val="footnote reference"/>
    <w:basedOn w:val="DefaultParagraphFont"/>
    <w:uiPriority w:val="99"/>
    <w:semiHidden/>
    <w:unhideWhenUsed/>
    <w:rsid w:val="006B2B4E"/>
    <w:rPr>
      <w:vertAlign w:val="superscript"/>
    </w:rPr>
  </w:style>
  <w:style w:type="paragraph" w:styleId="NormalWeb">
    <w:name w:val="Normal (Web)"/>
    <w:basedOn w:val="Normal"/>
    <w:uiPriority w:val="99"/>
    <w:unhideWhenUsed/>
    <w:rsid w:val="00E057B2"/>
    <w:rPr>
      <w:rFonts w:ascii="Times New Roman" w:hAnsi="Times New Roman" w:cs="Times New Roman"/>
    </w:rPr>
  </w:style>
  <w:style w:type="paragraph" w:styleId="Bibliography">
    <w:name w:val="Bibliography"/>
    <w:basedOn w:val="Normal"/>
    <w:next w:val="Normal"/>
    <w:uiPriority w:val="37"/>
    <w:unhideWhenUsed/>
    <w:rsid w:val="00BC6A57"/>
    <w:pPr>
      <w:spacing w:line="240" w:lineRule="auto"/>
      <w:ind w:left="720" w:hanging="720"/>
    </w:pPr>
  </w:style>
  <w:style w:type="character" w:styleId="Hyperlink">
    <w:name w:val="Hyperlink"/>
    <w:basedOn w:val="DefaultParagraphFont"/>
    <w:uiPriority w:val="99"/>
    <w:unhideWhenUsed/>
    <w:rsid w:val="001A5DE2"/>
    <w:rPr>
      <w:color w:val="0563C1" w:themeColor="hyperlink"/>
      <w:u w:val="single"/>
    </w:rPr>
  </w:style>
  <w:style w:type="character" w:styleId="UnresolvedMention">
    <w:name w:val="Unresolved Mention"/>
    <w:basedOn w:val="DefaultParagraphFont"/>
    <w:uiPriority w:val="99"/>
    <w:semiHidden/>
    <w:unhideWhenUsed/>
    <w:rsid w:val="001A5DE2"/>
    <w:rPr>
      <w:color w:val="605E5C"/>
      <w:shd w:val="clear" w:color="auto" w:fill="E1DFDD"/>
    </w:rPr>
  </w:style>
  <w:style w:type="character" w:styleId="FollowedHyperlink">
    <w:name w:val="FollowedHyperlink"/>
    <w:basedOn w:val="DefaultParagraphFont"/>
    <w:uiPriority w:val="99"/>
    <w:semiHidden/>
    <w:unhideWhenUsed/>
    <w:rsid w:val="00E15791"/>
    <w:rPr>
      <w:color w:val="954F72" w:themeColor="followedHyperlink"/>
      <w:u w:val="single"/>
    </w:rPr>
  </w:style>
  <w:style w:type="paragraph" w:styleId="BalloonText">
    <w:name w:val="Balloon Text"/>
    <w:basedOn w:val="Normal"/>
    <w:link w:val="BalloonTextChar"/>
    <w:uiPriority w:val="99"/>
    <w:semiHidden/>
    <w:unhideWhenUsed/>
    <w:rsid w:val="00C73B6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3B6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090763">
      <w:bodyDiv w:val="1"/>
      <w:marLeft w:val="0"/>
      <w:marRight w:val="0"/>
      <w:marTop w:val="0"/>
      <w:marBottom w:val="0"/>
      <w:divBdr>
        <w:top w:val="none" w:sz="0" w:space="0" w:color="auto"/>
        <w:left w:val="none" w:sz="0" w:space="0" w:color="auto"/>
        <w:bottom w:val="none" w:sz="0" w:space="0" w:color="auto"/>
        <w:right w:val="none" w:sz="0" w:space="0" w:color="auto"/>
      </w:divBdr>
      <w:divsChild>
        <w:div w:id="1279147179">
          <w:marLeft w:val="0"/>
          <w:marRight w:val="0"/>
          <w:marTop w:val="0"/>
          <w:marBottom w:val="0"/>
          <w:divBdr>
            <w:top w:val="none" w:sz="0" w:space="0" w:color="auto"/>
            <w:left w:val="none" w:sz="0" w:space="0" w:color="auto"/>
            <w:bottom w:val="none" w:sz="0" w:space="0" w:color="auto"/>
            <w:right w:val="none" w:sz="0" w:space="0" w:color="auto"/>
          </w:divBdr>
          <w:divsChild>
            <w:div w:id="617640576">
              <w:marLeft w:val="0"/>
              <w:marRight w:val="0"/>
              <w:marTop w:val="0"/>
              <w:marBottom w:val="0"/>
              <w:divBdr>
                <w:top w:val="none" w:sz="0" w:space="0" w:color="auto"/>
                <w:left w:val="none" w:sz="0" w:space="0" w:color="auto"/>
                <w:bottom w:val="none" w:sz="0" w:space="0" w:color="auto"/>
                <w:right w:val="none" w:sz="0" w:space="0" w:color="auto"/>
              </w:divBdr>
              <w:divsChild>
                <w:div w:id="115699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258696">
      <w:bodyDiv w:val="1"/>
      <w:marLeft w:val="0"/>
      <w:marRight w:val="0"/>
      <w:marTop w:val="0"/>
      <w:marBottom w:val="0"/>
      <w:divBdr>
        <w:top w:val="none" w:sz="0" w:space="0" w:color="auto"/>
        <w:left w:val="none" w:sz="0" w:space="0" w:color="auto"/>
        <w:bottom w:val="none" w:sz="0" w:space="0" w:color="auto"/>
        <w:right w:val="none" w:sz="0" w:space="0" w:color="auto"/>
      </w:divBdr>
      <w:divsChild>
        <w:div w:id="756367758">
          <w:marLeft w:val="0"/>
          <w:marRight w:val="0"/>
          <w:marTop w:val="0"/>
          <w:marBottom w:val="0"/>
          <w:divBdr>
            <w:top w:val="none" w:sz="0" w:space="0" w:color="auto"/>
            <w:left w:val="none" w:sz="0" w:space="0" w:color="auto"/>
            <w:bottom w:val="none" w:sz="0" w:space="0" w:color="auto"/>
            <w:right w:val="none" w:sz="0" w:space="0" w:color="auto"/>
          </w:divBdr>
          <w:divsChild>
            <w:div w:id="2118672525">
              <w:marLeft w:val="0"/>
              <w:marRight w:val="0"/>
              <w:marTop w:val="0"/>
              <w:marBottom w:val="0"/>
              <w:divBdr>
                <w:top w:val="none" w:sz="0" w:space="0" w:color="auto"/>
                <w:left w:val="none" w:sz="0" w:space="0" w:color="auto"/>
                <w:bottom w:val="none" w:sz="0" w:space="0" w:color="auto"/>
                <w:right w:val="none" w:sz="0" w:space="0" w:color="auto"/>
              </w:divBdr>
              <w:divsChild>
                <w:div w:id="85257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3104">
      <w:bodyDiv w:val="1"/>
      <w:marLeft w:val="0"/>
      <w:marRight w:val="0"/>
      <w:marTop w:val="0"/>
      <w:marBottom w:val="0"/>
      <w:divBdr>
        <w:top w:val="none" w:sz="0" w:space="0" w:color="auto"/>
        <w:left w:val="none" w:sz="0" w:space="0" w:color="auto"/>
        <w:bottom w:val="none" w:sz="0" w:space="0" w:color="auto"/>
        <w:right w:val="none" w:sz="0" w:space="0" w:color="auto"/>
      </w:divBdr>
      <w:divsChild>
        <w:div w:id="1326321005">
          <w:marLeft w:val="0"/>
          <w:marRight w:val="0"/>
          <w:marTop w:val="0"/>
          <w:marBottom w:val="0"/>
          <w:divBdr>
            <w:top w:val="none" w:sz="0" w:space="0" w:color="auto"/>
            <w:left w:val="none" w:sz="0" w:space="0" w:color="auto"/>
            <w:bottom w:val="none" w:sz="0" w:space="0" w:color="auto"/>
            <w:right w:val="none" w:sz="0" w:space="0" w:color="auto"/>
          </w:divBdr>
          <w:divsChild>
            <w:div w:id="1500467605">
              <w:marLeft w:val="0"/>
              <w:marRight w:val="0"/>
              <w:marTop w:val="0"/>
              <w:marBottom w:val="0"/>
              <w:divBdr>
                <w:top w:val="none" w:sz="0" w:space="0" w:color="auto"/>
                <w:left w:val="none" w:sz="0" w:space="0" w:color="auto"/>
                <w:bottom w:val="none" w:sz="0" w:space="0" w:color="auto"/>
                <w:right w:val="none" w:sz="0" w:space="0" w:color="auto"/>
              </w:divBdr>
              <w:divsChild>
                <w:div w:id="152994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17649">
      <w:bodyDiv w:val="1"/>
      <w:marLeft w:val="0"/>
      <w:marRight w:val="0"/>
      <w:marTop w:val="0"/>
      <w:marBottom w:val="0"/>
      <w:divBdr>
        <w:top w:val="none" w:sz="0" w:space="0" w:color="auto"/>
        <w:left w:val="none" w:sz="0" w:space="0" w:color="auto"/>
        <w:bottom w:val="none" w:sz="0" w:space="0" w:color="auto"/>
        <w:right w:val="none" w:sz="0" w:space="0" w:color="auto"/>
      </w:divBdr>
      <w:divsChild>
        <w:div w:id="1166629989">
          <w:marLeft w:val="0"/>
          <w:marRight w:val="0"/>
          <w:marTop w:val="0"/>
          <w:marBottom w:val="0"/>
          <w:divBdr>
            <w:top w:val="none" w:sz="0" w:space="0" w:color="auto"/>
            <w:left w:val="none" w:sz="0" w:space="0" w:color="auto"/>
            <w:bottom w:val="none" w:sz="0" w:space="0" w:color="auto"/>
            <w:right w:val="none" w:sz="0" w:space="0" w:color="auto"/>
          </w:divBdr>
          <w:divsChild>
            <w:div w:id="116293259">
              <w:marLeft w:val="0"/>
              <w:marRight w:val="0"/>
              <w:marTop w:val="0"/>
              <w:marBottom w:val="0"/>
              <w:divBdr>
                <w:top w:val="none" w:sz="0" w:space="0" w:color="auto"/>
                <w:left w:val="none" w:sz="0" w:space="0" w:color="auto"/>
                <w:bottom w:val="none" w:sz="0" w:space="0" w:color="auto"/>
                <w:right w:val="none" w:sz="0" w:space="0" w:color="auto"/>
              </w:divBdr>
              <w:divsChild>
                <w:div w:id="85742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339358">
      <w:bodyDiv w:val="1"/>
      <w:marLeft w:val="0"/>
      <w:marRight w:val="0"/>
      <w:marTop w:val="0"/>
      <w:marBottom w:val="0"/>
      <w:divBdr>
        <w:top w:val="none" w:sz="0" w:space="0" w:color="auto"/>
        <w:left w:val="none" w:sz="0" w:space="0" w:color="auto"/>
        <w:bottom w:val="none" w:sz="0" w:space="0" w:color="auto"/>
        <w:right w:val="none" w:sz="0" w:space="0" w:color="auto"/>
      </w:divBdr>
      <w:divsChild>
        <w:div w:id="756942079">
          <w:marLeft w:val="0"/>
          <w:marRight w:val="0"/>
          <w:marTop w:val="0"/>
          <w:marBottom w:val="0"/>
          <w:divBdr>
            <w:top w:val="none" w:sz="0" w:space="0" w:color="auto"/>
            <w:left w:val="none" w:sz="0" w:space="0" w:color="auto"/>
            <w:bottom w:val="none" w:sz="0" w:space="0" w:color="auto"/>
            <w:right w:val="none" w:sz="0" w:space="0" w:color="auto"/>
          </w:divBdr>
          <w:divsChild>
            <w:div w:id="779841191">
              <w:marLeft w:val="0"/>
              <w:marRight w:val="0"/>
              <w:marTop w:val="0"/>
              <w:marBottom w:val="0"/>
              <w:divBdr>
                <w:top w:val="none" w:sz="0" w:space="0" w:color="auto"/>
                <w:left w:val="none" w:sz="0" w:space="0" w:color="auto"/>
                <w:bottom w:val="none" w:sz="0" w:space="0" w:color="auto"/>
                <w:right w:val="none" w:sz="0" w:space="0" w:color="auto"/>
              </w:divBdr>
              <w:divsChild>
                <w:div w:id="19885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4372">
      <w:bodyDiv w:val="1"/>
      <w:marLeft w:val="0"/>
      <w:marRight w:val="0"/>
      <w:marTop w:val="0"/>
      <w:marBottom w:val="0"/>
      <w:divBdr>
        <w:top w:val="none" w:sz="0" w:space="0" w:color="auto"/>
        <w:left w:val="none" w:sz="0" w:space="0" w:color="auto"/>
        <w:bottom w:val="none" w:sz="0" w:space="0" w:color="auto"/>
        <w:right w:val="none" w:sz="0" w:space="0" w:color="auto"/>
      </w:divBdr>
      <w:divsChild>
        <w:div w:id="449977183">
          <w:marLeft w:val="0"/>
          <w:marRight w:val="0"/>
          <w:marTop w:val="0"/>
          <w:marBottom w:val="0"/>
          <w:divBdr>
            <w:top w:val="none" w:sz="0" w:space="0" w:color="auto"/>
            <w:left w:val="none" w:sz="0" w:space="0" w:color="auto"/>
            <w:bottom w:val="none" w:sz="0" w:space="0" w:color="auto"/>
            <w:right w:val="none" w:sz="0" w:space="0" w:color="auto"/>
          </w:divBdr>
          <w:divsChild>
            <w:div w:id="1038893425">
              <w:marLeft w:val="0"/>
              <w:marRight w:val="0"/>
              <w:marTop w:val="0"/>
              <w:marBottom w:val="0"/>
              <w:divBdr>
                <w:top w:val="none" w:sz="0" w:space="0" w:color="auto"/>
                <w:left w:val="none" w:sz="0" w:space="0" w:color="auto"/>
                <w:bottom w:val="none" w:sz="0" w:space="0" w:color="auto"/>
                <w:right w:val="none" w:sz="0" w:space="0" w:color="auto"/>
              </w:divBdr>
              <w:divsChild>
                <w:div w:id="1344018172">
                  <w:marLeft w:val="0"/>
                  <w:marRight w:val="0"/>
                  <w:marTop w:val="0"/>
                  <w:marBottom w:val="0"/>
                  <w:divBdr>
                    <w:top w:val="none" w:sz="0" w:space="0" w:color="auto"/>
                    <w:left w:val="none" w:sz="0" w:space="0" w:color="auto"/>
                    <w:bottom w:val="none" w:sz="0" w:space="0" w:color="auto"/>
                    <w:right w:val="none" w:sz="0" w:space="0" w:color="auto"/>
                  </w:divBdr>
                  <w:divsChild>
                    <w:div w:id="186262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527541">
      <w:bodyDiv w:val="1"/>
      <w:marLeft w:val="0"/>
      <w:marRight w:val="0"/>
      <w:marTop w:val="0"/>
      <w:marBottom w:val="0"/>
      <w:divBdr>
        <w:top w:val="none" w:sz="0" w:space="0" w:color="auto"/>
        <w:left w:val="none" w:sz="0" w:space="0" w:color="auto"/>
        <w:bottom w:val="none" w:sz="0" w:space="0" w:color="auto"/>
        <w:right w:val="none" w:sz="0" w:space="0" w:color="auto"/>
      </w:divBdr>
      <w:divsChild>
        <w:div w:id="832069596">
          <w:marLeft w:val="0"/>
          <w:marRight w:val="0"/>
          <w:marTop w:val="0"/>
          <w:marBottom w:val="0"/>
          <w:divBdr>
            <w:top w:val="none" w:sz="0" w:space="0" w:color="auto"/>
            <w:left w:val="none" w:sz="0" w:space="0" w:color="auto"/>
            <w:bottom w:val="none" w:sz="0" w:space="0" w:color="auto"/>
            <w:right w:val="none" w:sz="0" w:space="0" w:color="auto"/>
          </w:divBdr>
          <w:divsChild>
            <w:div w:id="1236471774">
              <w:marLeft w:val="0"/>
              <w:marRight w:val="0"/>
              <w:marTop w:val="0"/>
              <w:marBottom w:val="0"/>
              <w:divBdr>
                <w:top w:val="none" w:sz="0" w:space="0" w:color="auto"/>
                <w:left w:val="none" w:sz="0" w:space="0" w:color="auto"/>
                <w:bottom w:val="none" w:sz="0" w:space="0" w:color="auto"/>
                <w:right w:val="none" w:sz="0" w:space="0" w:color="auto"/>
              </w:divBdr>
              <w:divsChild>
                <w:div w:id="17375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842211">
      <w:bodyDiv w:val="1"/>
      <w:marLeft w:val="0"/>
      <w:marRight w:val="0"/>
      <w:marTop w:val="0"/>
      <w:marBottom w:val="0"/>
      <w:divBdr>
        <w:top w:val="none" w:sz="0" w:space="0" w:color="auto"/>
        <w:left w:val="none" w:sz="0" w:space="0" w:color="auto"/>
        <w:bottom w:val="none" w:sz="0" w:space="0" w:color="auto"/>
        <w:right w:val="none" w:sz="0" w:space="0" w:color="auto"/>
      </w:divBdr>
    </w:div>
    <w:div w:id="1131093360">
      <w:bodyDiv w:val="1"/>
      <w:marLeft w:val="0"/>
      <w:marRight w:val="0"/>
      <w:marTop w:val="0"/>
      <w:marBottom w:val="0"/>
      <w:divBdr>
        <w:top w:val="none" w:sz="0" w:space="0" w:color="auto"/>
        <w:left w:val="none" w:sz="0" w:space="0" w:color="auto"/>
        <w:bottom w:val="none" w:sz="0" w:space="0" w:color="auto"/>
        <w:right w:val="none" w:sz="0" w:space="0" w:color="auto"/>
      </w:divBdr>
      <w:divsChild>
        <w:div w:id="2034964190">
          <w:marLeft w:val="0"/>
          <w:marRight w:val="0"/>
          <w:marTop w:val="0"/>
          <w:marBottom w:val="0"/>
          <w:divBdr>
            <w:top w:val="none" w:sz="0" w:space="0" w:color="auto"/>
            <w:left w:val="none" w:sz="0" w:space="0" w:color="auto"/>
            <w:bottom w:val="none" w:sz="0" w:space="0" w:color="auto"/>
            <w:right w:val="none" w:sz="0" w:space="0" w:color="auto"/>
          </w:divBdr>
          <w:divsChild>
            <w:div w:id="937106390">
              <w:marLeft w:val="0"/>
              <w:marRight w:val="0"/>
              <w:marTop w:val="0"/>
              <w:marBottom w:val="0"/>
              <w:divBdr>
                <w:top w:val="none" w:sz="0" w:space="0" w:color="auto"/>
                <w:left w:val="none" w:sz="0" w:space="0" w:color="auto"/>
                <w:bottom w:val="none" w:sz="0" w:space="0" w:color="auto"/>
                <w:right w:val="none" w:sz="0" w:space="0" w:color="auto"/>
              </w:divBdr>
              <w:divsChild>
                <w:div w:id="84150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141908">
      <w:bodyDiv w:val="1"/>
      <w:marLeft w:val="0"/>
      <w:marRight w:val="0"/>
      <w:marTop w:val="0"/>
      <w:marBottom w:val="0"/>
      <w:divBdr>
        <w:top w:val="none" w:sz="0" w:space="0" w:color="auto"/>
        <w:left w:val="none" w:sz="0" w:space="0" w:color="auto"/>
        <w:bottom w:val="none" w:sz="0" w:space="0" w:color="auto"/>
        <w:right w:val="none" w:sz="0" w:space="0" w:color="auto"/>
      </w:divBdr>
    </w:div>
    <w:div w:id="1310672830">
      <w:bodyDiv w:val="1"/>
      <w:marLeft w:val="0"/>
      <w:marRight w:val="0"/>
      <w:marTop w:val="0"/>
      <w:marBottom w:val="0"/>
      <w:divBdr>
        <w:top w:val="none" w:sz="0" w:space="0" w:color="auto"/>
        <w:left w:val="none" w:sz="0" w:space="0" w:color="auto"/>
        <w:bottom w:val="none" w:sz="0" w:space="0" w:color="auto"/>
        <w:right w:val="none" w:sz="0" w:space="0" w:color="auto"/>
      </w:divBdr>
      <w:divsChild>
        <w:div w:id="2028554731">
          <w:marLeft w:val="0"/>
          <w:marRight w:val="0"/>
          <w:marTop w:val="0"/>
          <w:marBottom w:val="0"/>
          <w:divBdr>
            <w:top w:val="none" w:sz="0" w:space="0" w:color="auto"/>
            <w:left w:val="none" w:sz="0" w:space="0" w:color="auto"/>
            <w:bottom w:val="none" w:sz="0" w:space="0" w:color="auto"/>
            <w:right w:val="none" w:sz="0" w:space="0" w:color="auto"/>
          </w:divBdr>
          <w:divsChild>
            <w:div w:id="49572044">
              <w:marLeft w:val="0"/>
              <w:marRight w:val="0"/>
              <w:marTop w:val="0"/>
              <w:marBottom w:val="0"/>
              <w:divBdr>
                <w:top w:val="none" w:sz="0" w:space="0" w:color="auto"/>
                <w:left w:val="none" w:sz="0" w:space="0" w:color="auto"/>
                <w:bottom w:val="none" w:sz="0" w:space="0" w:color="auto"/>
                <w:right w:val="none" w:sz="0" w:space="0" w:color="auto"/>
              </w:divBdr>
              <w:divsChild>
                <w:div w:id="319623413">
                  <w:marLeft w:val="0"/>
                  <w:marRight w:val="0"/>
                  <w:marTop w:val="0"/>
                  <w:marBottom w:val="0"/>
                  <w:divBdr>
                    <w:top w:val="none" w:sz="0" w:space="0" w:color="auto"/>
                    <w:left w:val="none" w:sz="0" w:space="0" w:color="auto"/>
                    <w:bottom w:val="none" w:sz="0" w:space="0" w:color="auto"/>
                    <w:right w:val="none" w:sz="0" w:space="0" w:color="auto"/>
                  </w:divBdr>
                  <w:divsChild>
                    <w:div w:id="19167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07857">
      <w:bodyDiv w:val="1"/>
      <w:marLeft w:val="0"/>
      <w:marRight w:val="0"/>
      <w:marTop w:val="0"/>
      <w:marBottom w:val="0"/>
      <w:divBdr>
        <w:top w:val="none" w:sz="0" w:space="0" w:color="auto"/>
        <w:left w:val="none" w:sz="0" w:space="0" w:color="auto"/>
        <w:bottom w:val="none" w:sz="0" w:space="0" w:color="auto"/>
        <w:right w:val="none" w:sz="0" w:space="0" w:color="auto"/>
      </w:divBdr>
    </w:div>
    <w:div w:id="1430543098">
      <w:bodyDiv w:val="1"/>
      <w:marLeft w:val="0"/>
      <w:marRight w:val="0"/>
      <w:marTop w:val="0"/>
      <w:marBottom w:val="0"/>
      <w:divBdr>
        <w:top w:val="none" w:sz="0" w:space="0" w:color="auto"/>
        <w:left w:val="none" w:sz="0" w:space="0" w:color="auto"/>
        <w:bottom w:val="none" w:sz="0" w:space="0" w:color="auto"/>
        <w:right w:val="none" w:sz="0" w:space="0" w:color="auto"/>
      </w:divBdr>
    </w:div>
    <w:div w:id="1437751954">
      <w:bodyDiv w:val="1"/>
      <w:marLeft w:val="0"/>
      <w:marRight w:val="0"/>
      <w:marTop w:val="0"/>
      <w:marBottom w:val="0"/>
      <w:divBdr>
        <w:top w:val="none" w:sz="0" w:space="0" w:color="auto"/>
        <w:left w:val="none" w:sz="0" w:space="0" w:color="auto"/>
        <w:bottom w:val="none" w:sz="0" w:space="0" w:color="auto"/>
        <w:right w:val="none" w:sz="0" w:space="0" w:color="auto"/>
      </w:divBdr>
      <w:divsChild>
        <w:div w:id="1987124775">
          <w:marLeft w:val="0"/>
          <w:marRight w:val="0"/>
          <w:marTop w:val="0"/>
          <w:marBottom w:val="0"/>
          <w:divBdr>
            <w:top w:val="none" w:sz="0" w:space="0" w:color="auto"/>
            <w:left w:val="none" w:sz="0" w:space="0" w:color="auto"/>
            <w:bottom w:val="none" w:sz="0" w:space="0" w:color="auto"/>
            <w:right w:val="none" w:sz="0" w:space="0" w:color="auto"/>
          </w:divBdr>
          <w:divsChild>
            <w:div w:id="2054109922">
              <w:marLeft w:val="0"/>
              <w:marRight w:val="0"/>
              <w:marTop w:val="0"/>
              <w:marBottom w:val="0"/>
              <w:divBdr>
                <w:top w:val="none" w:sz="0" w:space="0" w:color="auto"/>
                <w:left w:val="none" w:sz="0" w:space="0" w:color="auto"/>
                <w:bottom w:val="none" w:sz="0" w:space="0" w:color="auto"/>
                <w:right w:val="none" w:sz="0" w:space="0" w:color="auto"/>
              </w:divBdr>
              <w:divsChild>
                <w:div w:id="83784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644715">
      <w:bodyDiv w:val="1"/>
      <w:marLeft w:val="0"/>
      <w:marRight w:val="0"/>
      <w:marTop w:val="0"/>
      <w:marBottom w:val="0"/>
      <w:divBdr>
        <w:top w:val="none" w:sz="0" w:space="0" w:color="auto"/>
        <w:left w:val="none" w:sz="0" w:space="0" w:color="auto"/>
        <w:bottom w:val="none" w:sz="0" w:space="0" w:color="auto"/>
        <w:right w:val="none" w:sz="0" w:space="0" w:color="auto"/>
      </w:divBdr>
    </w:div>
    <w:div w:id="1451514987">
      <w:bodyDiv w:val="1"/>
      <w:marLeft w:val="0"/>
      <w:marRight w:val="0"/>
      <w:marTop w:val="0"/>
      <w:marBottom w:val="0"/>
      <w:divBdr>
        <w:top w:val="none" w:sz="0" w:space="0" w:color="auto"/>
        <w:left w:val="none" w:sz="0" w:space="0" w:color="auto"/>
        <w:bottom w:val="none" w:sz="0" w:space="0" w:color="auto"/>
        <w:right w:val="none" w:sz="0" w:space="0" w:color="auto"/>
      </w:divBdr>
      <w:divsChild>
        <w:div w:id="578517703">
          <w:marLeft w:val="0"/>
          <w:marRight w:val="0"/>
          <w:marTop w:val="0"/>
          <w:marBottom w:val="0"/>
          <w:divBdr>
            <w:top w:val="none" w:sz="0" w:space="0" w:color="auto"/>
            <w:left w:val="none" w:sz="0" w:space="0" w:color="auto"/>
            <w:bottom w:val="none" w:sz="0" w:space="0" w:color="auto"/>
            <w:right w:val="none" w:sz="0" w:space="0" w:color="auto"/>
          </w:divBdr>
          <w:divsChild>
            <w:div w:id="1912035395">
              <w:marLeft w:val="0"/>
              <w:marRight w:val="0"/>
              <w:marTop w:val="0"/>
              <w:marBottom w:val="0"/>
              <w:divBdr>
                <w:top w:val="none" w:sz="0" w:space="0" w:color="auto"/>
                <w:left w:val="none" w:sz="0" w:space="0" w:color="auto"/>
                <w:bottom w:val="none" w:sz="0" w:space="0" w:color="auto"/>
                <w:right w:val="none" w:sz="0" w:space="0" w:color="auto"/>
              </w:divBdr>
              <w:divsChild>
                <w:div w:id="9122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230795">
      <w:bodyDiv w:val="1"/>
      <w:marLeft w:val="0"/>
      <w:marRight w:val="0"/>
      <w:marTop w:val="0"/>
      <w:marBottom w:val="0"/>
      <w:divBdr>
        <w:top w:val="none" w:sz="0" w:space="0" w:color="auto"/>
        <w:left w:val="none" w:sz="0" w:space="0" w:color="auto"/>
        <w:bottom w:val="none" w:sz="0" w:space="0" w:color="auto"/>
        <w:right w:val="none" w:sz="0" w:space="0" w:color="auto"/>
      </w:divBdr>
      <w:divsChild>
        <w:div w:id="435633165">
          <w:marLeft w:val="0"/>
          <w:marRight w:val="0"/>
          <w:marTop w:val="0"/>
          <w:marBottom w:val="0"/>
          <w:divBdr>
            <w:top w:val="none" w:sz="0" w:space="0" w:color="auto"/>
            <w:left w:val="none" w:sz="0" w:space="0" w:color="auto"/>
            <w:bottom w:val="none" w:sz="0" w:space="0" w:color="auto"/>
            <w:right w:val="none" w:sz="0" w:space="0" w:color="auto"/>
          </w:divBdr>
          <w:divsChild>
            <w:div w:id="825901241">
              <w:marLeft w:val="0"/>
              <w:marRight w:val="0"/>
              <w:marTop w:val="0"/>
              <w:marBottom w:val="0"/>
              <w:divBdr>
                <w:top w:val="none" w:sz="0" w:space="0" w:color="auto"/>
                <w:left w:val="none" w:sz="0" w:space="0" w:color="auto"/>
                <w:bottom w:val="none" w:sz="0" w:space="0" w:color="auto"/>
                <w:right w:val="none" w:sz="0" w:space="0" w:color="auto"/>
              </w:divBdr>
              <w:divsChild>
                <w:div w:id="27501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737487">
      <w:bodyDiv w:val="1"/>
      <w:marLeft w:val="0"/>
      <w:marRight w:val="0"/>
      <w:marTop w:val="0"/>
      <w:marBottom w:val="0"/>
      <w:divBdr>
        <w:top w:val="none" w:sz="0" w:space="0" w:color="auto"/>
        <w:left w:val="none" w:sz="0" w:space="0" w:color="auto"/>
        <w:bottom w:val="none" w:sz="0" w:space="0" w:color="auto"/>
        <w:right w:val="none" w:sz="0" w:space="0" w:color="auto"/>
      </w:divBdr>
      <w:divsChild>
        <w:div w:id="249512310">
          <w:marLeft w:val="0"/>
          <w:marRight w:val="0"/>
          <w:marTop w:val="0"/>
          <w:marBottom w:val="0"/>
          <w:divBdr>
            <w:top w:val="none" w:sz="0" w:space="0" w:color="auto"/>
            <w:left w:val="none" w:sz="0" w:space="0" w:color="auto"/>
            <w:bottom w:val="none" w:sz="0" w:space="0" w:color="auto"/>
            <w:right w:val="none" w:sz="0" w:space="0" w:color="auto"/>
          </w:divBdr>
          <w:divsChild>
            <w:div w:id="1281033764">
              <w:marLeft w:val="0"/>
              <w:marRight w:val="0"/>
              <w:marTop w:val="0"/>
              <w:marBottom w:val="0"/>
              <w:divBdr>
                <w:top w:val="none" w:sz="0" w:space="0" w:color="auto"/>
                <w:left w:val="none" w:sz="0" w:space="0" w:color="auto"/>
                <w:bottom w:val="none" w:sz="0" w:space="0" w:color="auto"/>
                <w:right w:val="none" w:sz="0" w:space="0" w:color="auto"/>
              </w:divBdr>
              <w:divsChild>
                <w:div w:id="729156360">
                  <w:marLeft w:val="0"/>
                  <w:marRight w:val="0"/>
                  <w:marTop w:val="0"/>
                  <w:marBottom w:val="0"/>
                  <w:divBdr>
                    <w:top w:val="none" w:sz="0" w:space="0" w:color="auto"/>
                    <w:left w:val="none" w:sz="0" w:space="0" w:color="auto"/>
                    <w:bottom w:val="none" w:sz="0" w:space="0" w:color="auto"/>
                    <w:right w:val="none" w:sz="0" w:space="0" w:color="auto"/>
                  </w:divBdr>
                  <w:divsChild>
                    <w:div w:id="189963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166357">
      <w:bodyDiv w:val="1"/>
      <w:marLeft w:val="0"/>
      <w:marRight w:val="0"/>
      <w:marTop w:val="0"/>
      <w:marBottom w:val="0"/>
      <w:divBdr>
        <w:top w:val="none" w:sz="0" w:space="0" w:color="auto"/>
        <w:left w:val="none" w:sz="0" w:space="0" w:color="auto"/>
        <w:bottom w:val="none" w:sz="0" w:space="0" w:color="auto"/>
        <w:right w:val="none" w:sz="0" w:space="0" w:color="auto"/>
      </w:divBdr>
      <w:divsChild>
        <w:div w:id="267351161">
          <w:marLeft w:val="0"/>
          <w:marRight w:val="0"/>
          <w:marTop w:val="0"/>
          <w:marBottom w:val="0"/>
          <w:divBdr>
            <w:top w:val="none" w:sz="0" w:space="0" w:color="auto"/>
            <w:left w:val="none" w:sz="0" w:space="0" w:color="auto"/>
            <w:bottom w:val="none" w:sz="0" w:space="0" w:color="auto"/>
            <w:right w:val="none" w:sz="0" w:space="0" w:color="auto"/>
          </w:divBdr>
          <w:divsChild>
            <w:div w:id="1342589510">
              <w:marLeft w:val="0"/>
              <w:marRight w:val="0"/>
              <w:marTop w:val="0"/>
              <w:marBottom w:val="0"/>
              <w:divBdr>
                <w:top w:val="none" w:sz="0" w:space="0" w:color="auto"/>
                <w:left w:val="none" w:sz="0" w:space="0" w:color="auto"/>
                <w:bottom w:val="none" w:sz="0" w:space="0" w:color="auto"/>
                <w:right w:val="none" w:sz="0" w:space="0" w:color="auto"/>
              </w:divBdr>
              <w:divsChild>
                <w:div w:id="152432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97777">
      <w:bodyDiv w:val="1"/>
      <w:marLeft w:val="0"/>
      <w:marRight w:val="0"/>
      <w:marTop w:val="0"/>
      <w:marBottom w:val="0"/>
      <w:divBdr>
        <w:top w:val="none" w:sz="0" w:space="0" w:color="auto"/>
        <w:left w:val="none" w:sz="0" w:space="0" w:color="auto"/>
        <w:bottom w:val="none" w:sz="0" w:space="0" w:color="auto"/>
        <w:right w:val="none" w:sz="0" w:space="0" w:color="auto"/>
      </w:divBdr>
      <w:divsChild>
        <w:div w:id="1152596575">
          <w:marLeft w:val="0"/>
          <w:marRight w:val="0"/>
          <w:marTop w:val="0"/>
          <w:marBottom w:val="0"/>
          <w:divBdr>
            <w:top w:val="none" w:sz="0" w:space="0" w:color="auto"/>
            <w:left w:val="none" w:sz="0" w:space="0" w:color="auto"/>
            <w:bottom w:val="none" w:sz="0" w:space="0" w:color="auto"/>
            <w:right w:val="none" w:sz="0" w:space="0" w:color="auto"/>
          </w:divBdr>
          <w:divsChild>
            <w:div w:id="585189186">
              <w:marLeft w:val="0"/>
              <w:marRight w:val="0"/>
              <w:marTop w:val="0"/>
              <w:marBottom w:val="0"/>
              <w:divBdr>
                <w:top w:val="none" w:sz="0" w:space="0" w:color="auto"/>
                <w:left w:val="none" w:sz="0" w:space="0" w:color="auto"/>
                <w:bottom w:val="none" w:sz="0" w:space="0" w:color="auto"/>
                <w:right w:val="none" w:sz="0" w:space="0" w:color="auto"/>
              </w:divBdr>
              <w:divsChild>
                <w:div w:id="14277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47452">
      <w:bodyDiv w:val="1"/>
      <w:marLeft w:val="0"/>
      <w:marRight w:val="0"/>
      <w:marTop w:val="0"/>
      <w:marBottom w:val="0"/>
      <w:divBdr>
        <w:top w:val="none" w:sz="0" w:space="0" w:color="auto"/>
        <w:left w:val="none" w:sz="0" w:space="0" w:color="auto"/>
        <w:bottom w:val="none" w:sz="0" w:space="0" w:color="auto"/>
        <w:right w:val="none" w:sz="0" w:space="0" w:color="auto"/>
      </w:divBdr>
      <w:divsChild>
        <w:div w:id="2112895089">
          <w:marLeft w:val="0"/>
          <w:marRight w:val="0"/>
          <w:marTop w:val="0"/>
          <w:marBottom w:val="0"/>
          <w:divBdr>
            <w:top w:val="none" w:sz="0" w:space="0" w:color="auto"/>
            <w:left w:val="none" w:sz="0" w:space="0" w:color="auto"/>
            <w:bottom w:val="none" w:sz="0" w:space="0" w:color="auto"/>
            <w:right w:val="none" w:sz="0" w:space="0" w:color="auto"/>
          </w:divBdr>
          <w:divsChild>
            <w:div w:id="1349215439">
              <w:marLeft w:val="0"/>
              <w:marRight w:val="0"/>
              <w:marTop w:val="0"/>
              <w:marBottom w:val="0"/>
              <w:divBdr>
                <w:top w:val="none" w:sz="0" w:space="0" w:color="auto"/>
                <w:left w:val="none" w:sz="0" w:space="0" w:color="auto"/>
                <w:bottom w:val="none" w:sz="0" w:space="0" w:color="auto"/>
                <w:right w:val="none" w:sz="0" w:space="0" w:color="auto"/>
              </w:divBdr>
              <w:divsChild>
                <w:div w:id="579559606">
                  <w:marLeft w:val="0"/>
                  <w:marRight w:val="0"/>
                  <w:marTop w:val="0"/>
                  <w:marBottom w:val="0"/>
                  <w:divBdr>
                    <w:top w:val="none" w:sz="0" w:space="0" w:color="auto"/>
                    <w:left w:val="none" w:sz="0" w:space="0" w:color="auto"/>
                    <w:bottom w:val="none" w:sz="0" w:space="0" w:color="auto"/>
                    <w:right w:val="none" w:sz="0" w:space="0" w:color="auto"/>
                  </w:divBdr>
                  <w:divsChild>
                    <w:div w:id="184034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37808">
      <w:bodyDiv w:val="1"/>
      <w:marLeft w:val="0"/>
      <w:marRight w:val="0"/>
      <w:marTop w:val="0"/>
      <w:marBottom w:val="0"/>
      <w:divBdr>
        <w:top w:val="none" w:sz="0" w:space="0" w:color="auto"/>
        <w:left w:val="none" w:sz="0" w:space="0" w:color="auto"/>
        <w:bottom w:val="none" w:sz="0" w:space="0" w:color="auto"/>
        <w:right w:val="none" w:sz="0" w:space="0" w:color="auto"/>
      </w:divBdr>
      <w:divsChild>
        <w:div w:id="989988364">
          <w:marLeft w:val="0"/>
          <w:marRight w:val="0"/>
          <w:marTop w:val="0"/>
          <w:marBottom w:val="0"/>
          <w:divBdr>
            <w:top w:val="none" w:sz="0" w:space="0" w:color="auto"/>
            <w:left w:val="none" w:sz="0" w:space="0" w:color="auto"/>
            <w:bottom w:val="none" w:sz="0" w:space="0" w:color="auto"/>
            <w:right w:val="none" w:sz="0" w:space="0" w:color="auto"/>
          </w:divBdr>
          <w:divsChild>
            <w:div w:id="900097106">
              <w:marLeft w:val="0"/>
              <w:marRight w:val="0"/>
              <w:marTop w:val="0"/>
              <w:marBottom w:val="0"/>
              <w:divBdr>
                <w:top w:val="none" w:sz="0" w:space="0" w:color="auto"/>
                <w:left w:val="none" w:sz="0" w:space="0" w:color="auto"/>
                <w:bottom w:val="none" w:sz="0" w:space="0" w:color="auto"/>
                <w:right w:val="none" w:sz="0" w:space="0" w:color="auto"/>
              </w:divBdr>
              <w:divsChild>
                <w:div w:id="184512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348412">
      <w:bodyDiv w:val="1"/>
      <w:marLeft w:val="0"/>
      <w:marRight w:val="0"/>
      <w:marTop w:val="0"/>
      <w:marBottom w:val="0"/>
      <w:divBdr>
        <w:top w:val="none" w:sz="0" w:space="0" w:color="auto"/>
        <w:left w:val="none" w:sz="0" w:space="0" w:color="auto"/>
        <w:bottom w:val="none" w:sz="0" w:space="0" w:color="auto"/>
        <w:right w:val="none" w:sz="0" w:space="0" w:color="auto"/>
      </w:divBdr>
      <w:divsChild>
        <w:div w:id="1259217568">
          <w:marLeft w:val="0"/>
          <w:marRight w:val="0"/>
          <w:marTop w:val="0"/>
          <w:marBottom w:val="0"/>
          <w:divBdr>
            <w:top w:val="none" w:sz="0" w:space="0" w:color="auto"/>
            <w:left w:val="none" w:sz="0" w:space="0" w:color="auto"/>
            <w:bottom w:val="none" w:sz="0" w:space="0" w:color="auto"/>
            <w:right w:val="none" w:sz="0" w:space="0" w:color="auto"/>
          </w:divBdr>
          <w:divsChild>
            <w:div w:id="575165081">
              <w:marLeft w:val="0"/>
              <w:marRight w:val="0"/>
              <w:marTop w:val="0"/>
              <w:marBottom w:val="0"/>
              <w:divBdr>
                <w:top w:val="none" w:sz="0" w:space="0" w:color="auto"/>
                <w:left w:val="none" w:sz="0" w:space="0" w:color="auto"/>
                <w:bottom w:val="none" w:sz="0" w:space="0" w:color="auto"/>
                <w:right w:val="none" w:sz="0" w:space="0" w:color="auto"/>
              </w:divBdr>
              <w:divsChild>
                <w:div w:id="7783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756856">
      <w:bodyDiv w:val="1"/>
      <w:marLeft w:val="0"/>
      <w:marRight w:val="0"/>
      <w:marTop w:val="0"/>
      <w:marBottom w:val="0"/>
      <w:divBdr>
        <w:top w:val="none" w:sz="0" w:space="0" w:color="auto"/>
        <w:left w:val="none" w:sz="0" w:space="0" w:color="auto"/>
        <w:bottom w:val="none" w:sz="0" w:space="0" w:color="auto"/>
        <w:right w:val="none" w:sz="0" w:space="0" w:color="auto"/>
      </w:divBdr>
      <w:divsChild>
        <w:div w:id="638799393">
          <w:marLeft w:val="0"/>
          <w:marRight w:val="0"/>
          <w:marTop w:val="0"/>
          <w:marBottom w:val="0"/>
          <w:divBdr>
            <w:top w:val="none" w:sz="0" w:space="0" w:color="auto"/>
            <w:left w:val="none" w:sz="0" w:space="0" w:color="auto"/>
            <w:bottom w:val="none" w:sz="0" w:space="0" w:color="auto"/>
            <w:right w:val="none" w:sz="0" w:space="0" w:color="auto"/>
          </w:divBdr>
          <w:divsChild>
            <w:div w:id="1928030333">
              <w:marLeft w:val="0"/>
              <w:marRight w:val="0"/>
              <w:marTop w:val="0"/>
              <w:marBottom w:val="0"/>
              <w:divBdr>
                <w:top w:val="none" w:sz="0" w:space="0" w:color="auto"/>
                <w:left w:val="none" w:sz="0" w:space="0" w:color="auto"/>
                <w:bottom w:val="none" w:sz="0" w:space="0" w:color="auto"/>
                <w:right w:val="none" w:sz="0" w:space="0" w:color="auto"/>
              </w:divBdr>
              <w:divsChild>
                <w:div w:id="1701277880">
                  <w:marLeft w:val="0"/>
                  <w:marRight w:val="0"/>
                  <w:marTop w:val="0"/>
                  <w:marBottom w:val="0"/>
                  <w:divBdr>
                    <w:top w:val="none" w:sz="0" w:space="0" w:color="auto"/>
                    <w:left w:val="none" w:sz="0" w:space="0" w:color="auto"/>
                    <w:bottom w:val="none" w:sz="0" w:space="0" w:color="auto"/>
                    <w:right w:val="none" w:sz="0" w:space="0" w:color="auto"/>
                  </w:divBdr>
                  <w:divsChild>
                    <w:div w:id="159613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177/1476993X070847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948E6-DCDD-E648-B0E8-649746545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16</Pages>
  <Words>4586</Words>
  <Characters>25866</Characters>
  <Application>Microsoft Office Word</Application>
  <DocSecurity>0</DocSecurity>
  <Lines>391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Bunce</dc:creator>
  <cp:keywords/>
  <dc:description/>
  <cp:lastModifiedBy>David Bunce</cp:lastModifiedBy>
  <cp:revision>574</cp:revision>
  <cp:lastPrinted>2020-08-10T07:15:00Z</cp:lastPrinted>
  <dcterms:created xsi:type="dcterms:W3CDTF">2020-08-05T08:29:00Z</dcterms:created>
  <dcterms:modified xsi:type="dcterms:W3CDTF">2020-08-18T17:33:00Z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id="In4eMdcq"/&gt;&lt;style id="http://www.zotero.org/styles/chicago-fullnote-bibliography-with-ibid" locale="en-GB" hasBibliography="1" bibliographyStyleHasBeenSet="1"/&gt;&lt;prefs&gt;&lt;pref name="fieldType" value</vt:lpwstr>
  </property>
  <property fmtid="{D5CDD505-2E9C-101B-9397-08002B2CF9AE}" pid="3" name="ZOTERO_PREF_2">
    <vt:lpwstr>="Field"/&gt;&lt;pref name="automaticJournalAbbreviations" value="true"/&gt;&lt;pref name="noteType" value="1"/&gt;&lt;/prefs&gt;&lt;/data&gt;</vt:lpwstr>
  </property>
</Properties>
</file>