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EC027" w14:textId="77777777" w:rsidR="0031107E" w:rsidRPr="00713707" w:rsidRDefault="0031107E" w:rsidP="0031107E">
      <w:pPr>
        <w:spacing w:line="360" w:lineRule="auto"/>
        <w:rPr>
          <w:rFonts w:ascii="Arial" w:hAnsi="Arial" w:cs="Arial"/>
        </w:rPr>
      </w:pPr>
      <w:bookmarkStart w:id="0" w:name="_Hlk206143967"/>
      <w:bookmarkEnd w:id="0"/>
      <w:r w:rsidRPr="00713707">
        <w:rPr>
          <w:rFonts w:ascii="Arial" w:hAnsi="Arial" w:cs="Arial"/>
          <w:noProof/>
        </w:rPr>
        <w:drawing>
          <wp:inline distT="0" distB="0" distL="0" distR="0" wp14:anchorId="79ED69CE" wp14:editId="240101DE">
            <wp:extent cx="5670550" cy="1600200"/>
            <wp:effectExtent l="0" t="0" r="6350" b="0"/>
            <wp:docPr id="173851680" name="Рисунок 4" descr="Изображение выглядит как текст, Шрифт, логотип, Графика&#10;&#10;Контент, сгенерированный ИИ, может содержать ошибк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1680" name="Рисунок 4" descr="Изображение выглядит как текст, Шрифт, логотип, Графика&#10;&#10;Контент, сгенерированный ИИ, может содержать ошибки."/>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70550" cy="1600200"/>
                    </a:xfrm>
                    <a:prstGeom prst="rect">
                      <a:avLst/>
                    </a:prstGeom>
                    <a:noFill/>
                    <a:ln>
                      <a:noFill/>
                    </a:ln>
                  </pic:spPr>
                </pic:pic>
              </a:graphicData>
            </a:graphic>
          </wp:inline>
        </w:drawing>
      </w:r>
    </w:p>
    <w:p w14:paraId="237E8B43" w14:textId="77777777" w:rsidR="0031107E" w:rsidRPr="00713707" w:rsidRDefault="0031107E" w:rsidP="0031107E">
      <w:pPr>
        <w:spacing w:line="360" w:lineRule="auto"/>
        <w:rPr>
          <w:rFonts w:ascii="Arial" w:hAnsi="Arial" w:cs="Arial"/>
        </w:rPr>
      </w:pPr>
    </w:p>
    <w:p w14:paraId="48B13CD1" w14:textId="77777777" w:rsidR="0031107E" w:rsidRPr="00713707" w:rsidRDefault="0031107E" w:rsidP="0031107E">
      <w:pPr>
        <w:spacing w:line="360" w:lineRule="auto"/>
        <w:rPr>
          <w:rFonts w:ascii="Arial" w:hAnsi="Arial" w:cs="Arial"/>
        </w:rPr>
      </w:pPr>
    </w:p>
    <w:p w14:paraId="5276EF99" w14:textId="77777777" w:rsidR="0031107E" w:rsidRPr="00713707" w:rsidRDefault="0031107E" w:rsidP="0031107E">
      <w:pPr>
        <w:spacing w:line="360" w:lineRule="auto"/>
        <w:rPr>
          <w:rFonts w:ascii="Arial" w:hAnsi="Arial" w:cs="Arial"/>
        </w:rPr>
      </w:pPr>
    </w:p>
    <w:p w14:paraId="37D299F9" w14:textId="77777777" w:rsidR="0031107E" w:rsidRPr="00082792" w:rsidRDefault="0031107E" w:rsidP="0031107E">
      <w:pPr>
        <w:spacing w:line="360" w:lineRule="auto"/>
        <w:rPr>
          <w:rFonts w:ascii="Arial" w:hAnsi="Arial" w:cs="Arial"/>
          <w:sz w:val="28"/>
          <w:szCs w:val="28"/>
          <w:lang w:val="en-US"/>
        </w:rPr>
      </w:pPr>
    </w:p>
    <w:p w14:paraId="2569B3AF" w14:textId="7E376EA4" w:rsidR="0031107E" w:rsidRPr="00082792" w:rsidRDefault="006064DE" w:rsidP="0031107E">
      <w:pPr>
        <w:spacing w:line="360" w:lineRule="auto"/>
        <w:jc w:val="center"/>
        <w:rPr>
          <w:rFonts w:ascii="Arial" w:hAnsi="Arial" w:cs="Arial"/>
          <w:b/>
          <w:bCs/>
          <w:sz w:val="28"/>
          <w:szCs w:val="28"/>
        </w:rPr>
      </w:pPr>
      <w:r>
        <w:rPr>
          <w:rFonts w:ascii="Arial" w:hAnsi="Arial" w:cs="Arial"/>
          <w:b/>
          <w:bCs/>
          <w:sz w:val="28"/>
          <w:szCs w:val="28"/>
        </w:rPr>
        <w:t>Financial</w:t>
      </w:r>
      <w:r w:rsidR="0031107E" w:rsidRPr="00082792">
        <w:rPr>
          <w:rFonts w:ascii="Arial" w:hAnsi="Arial" w:cs="Arial"/>
          <w:b/>
          <w:bCs/>
          <w:sz w:val="28"/>
          <w:szCs w:val="28"/>
        </w:rPr>
        <w:t xml:space="preserve"> Management</w:t>
      </w:r>
      <w:r w:rsidR="0031107E" w:rsidRPr="00082792">
        <w:rPr>
          <w:rFonts w:ascii="Arial" w:hAnsi="Arial" w:cs="Arial"/>
          <w:b/>
          <w:bCs/>
          <w:sz w:val="28"/>
          <w:szCs w:val="28"/>
          <w:lang w:val="en-US"/>
        </w:rPr>
        <w:t xml:space="preserve"> </w:t>
      </w:r>
      <w:r w:rsidR="00AF3116" w:rsidRPr="00AF3116">
        <w:rPr>
          <w:rFonts w:ascii="Arial" w:hAnsi="Arial" w:cs="Arial"/>
          <w:b/>
          <w:bCs/>
          <w:sz w:val="28"/>
          <w:szCs w:val="28"/>
        </w:rPr>
        <w:t>LCMB7002</w:t>
      </w:r>
    </w:p>
    <w:p w14:paraId="631F0C53" w14:textId="72059787" w:rsidR="0031107E" w:rsidRPr="00082792" w:rsidRDefault="0031107E" w:rsidP="0031107E">
      <w:pPr>
        <w:spacing w:line="360" w:lineRule="auto"/>
        <w:jc w:val="center"/>
        <w:rPr>
          <w:rFonts w:ascii="Arial" w:hAnsi="Arial" w:cs="Arial"/>
          <w:b/>
          <w:bCs/>
          <w:sz w:val="28"/>
          <w:szCs w:val="28"/>
        </w:rPr>
      </w:pPr>
      <w:r w:rsidRPr="00082792">
        <w:rPr>
          <w:rFonts w:ascii="Arial" w:hAnsi="Arial" w:cs="Arial"/>
          <w:b/>
          <w:bCs/>
          <w:sz w:val="28"/>
          <w:szCs w:val="28"/>
          <w:lang w:val="en-US"/>
        </w:rPr>
        <w:t xml:space="preserve">Olena Kokorieva </w:t>
      </w:r>
      <w:r w:rsidRPr="00082792">
        <w:rPr>
          <w:rFonts w:ascii="Arial" w:hAnsi="Arial" w:cs="Arial"/>
          <w:b/>
          <w:bCs/>
          <w:sz w:val="28"/>
          <w:szCs w:val="28"/>
          <w:lang w:val="en-US"/>
        </w:rPr>
        <w:br/>
        <w:t>Student ID 2239903</w:t>
      </w:r>
      <w:r w:rsidRPr="00082792">
        <w:rPr>
          <w:rFonts w:ascii="Arial" w:hAnsi="Arial" w:cs="Arial"/>
          <w:b/>
          <w:bCs/>
          <w:sz w:val="28"/>
          <w:szCs w:val="28"/>
          <w:lang w:val="en-US"/>
        </w:rPr>
        <w:br/>
        <w:t xml:space="preserve">Lecturer: </w:t>
      </w:r>
      <w:r w:rsidR="00AF3116" w:rsidRPr="00AF3116">
        <w:rPr>
          <w:rFonts w:ascii="Arial" w:hAnsi="Arial" w:cs="Arial"/>
          <w:b/>
          <w:bCs/>
          <w:sz w:val="28"/>
          <w:szCs w:val="28"/>
        </w:rPr>
        <w:t>Dr Shengfeng Mei</w:t>
      </w:r>
    </w:p>
    <w:p w14:paraId="3928BE7E" w14:textId="77777777" w:rsidR="0031107E" w:rsidRPr="00082792" w:rsidRDefault="0031107E" w:rsidP="0031107E">
      <w:pPr>
        <w:spacing w:line="360" w:lineRule="auto"/>
        <w:jc w:val="center"/>
        <w:rPr>
          <w:rFonts w:ascii="Arial" w:hAnsi="Arial" w:cs="Arial"/>
          <w:b/>
          <w:bCs/>
          <w:sz w:val="28"/>
          <w:szCs w:val="28"/>
        </w:rPr>
      </w:pPr>
      <w:r w:rsidRPr="00082792">
        <w:rPr>
          <w:rFonts w:ascii="Arial" w:hAnsi="Arial" w:cs="Arial"/>
          <w:b/>
          <w:bCs/>
          <w:sz w:val="28"/>
          <w:szCs w:val="28"/>
        </w:rPr>
        <w:t>Report</w:t>
      </w:r>
    </w:p>
    <w:p w14:paraId="6B20C8A7" w14:textId="77777777" w:rsidR="0031107E" w:rsidRPr="00082792" w:rsidRDefault="0031107E" w:rsidP="0031107E">
      <w:pPr>
        <w:spacing w:line="360" w:lineRule="auto"/>
        <w:rPr>
          <w:rFonts w:ascii="Arial" w:hAnsi="Arial" w:cs="Arial"/>
          <w:sz w:val="28"/>
          <w:szCs w:val="28"/>
          <w:lang w:val="en-US"/>
        </w:rPr>
      </w:pPr>
    </w:p>
    <w:p w14:paraId="68149969" w14:textId="1403D499" w:rsidR="0031107E" w:rsidRPr="00082792" w:rsidRDefault="0031107E" w:rsidP="0031107E">
      <w:pPr>
        <w:jc w:val="center"/>
        <w:rPr>
          <w:rFonts w:ascii="Arial" w:hAnsi="Arial" w:cs="Arial"/>
          <w:b/>
          <w:bCs/>
          <w:sz w:val="28"/>
          <w:szCs w:val="28"/>
        </w:rPr>
      </w:pPr>
      <w:r w:rsidRPr="00082792">
        <w:rPr>
          <w:rFonts w:ascii="Arial" w:hAnsi="Arial" w:cs="Arial"/>
          <w:b/>
          <w:bCs/>
          <w:sz w:val="28"/>
          <w:szCs w:val="28"/>
        </w:rPr>
        <w:t>Wor</w:t>
      </w:r>
      <w:r w:rsidR="001A5797">
        <w:rPr>
          <w:rFonts w:ascii="Arial" w:hAnsi="Arial" w:cs="Arial"/>
          <w:b/>
          <w:bCs/>
          <w:sz w:val="28"/>
          <w:szCs w:val="28"/>
        </w:rPr>
        <w:t>d</w:t>
      </w:r>
      <w:r w:rsidRPr="00082792">
        <w:rPr>
          <w:rFonts w:ascii="Arial" w:hAnsi="Arial" w:cs="Arial"/>
          <w:b/>
          <w:bCs/>
          <w:sz w:val="28"/>
          <w:szCs w:val="28"/>
        </w:rPr>
        <w:t xml:space="preserve"> Count:</w:t>
      </w:r>
      <w:r w:rsidR="00D87857">
        <w:rPr>
          <w:rFonts w:ascii="Arial" w:hAnsi="Arial" w:cs="Arial"/>
          <w:b/>
          <w:bCs/>
          <w:sz w:val="28"/>
          <w:szCs w:val="28"/>
        </w:rPr>
        <w:t xml:space="preserve">  </w:t>
      </w:r>
      <w:r w:rsidR="00DA68AB">
        <w:rPr>
          <w:rFonts w:ascii="Arial" w:hAnsi="Arial" w:cs="Arial"/>
          <w:b/>
          <w:bCs/>
          <w:sz w:val="28"/>
          <w:szCs w:val="28"/>
        </w:rPr>
        <w:t xml:space="preserve">5147 </w:t>
      </w:r>
      <w:r w:rsidR="00D87857">
        <w:rPr>
          <w:rFonts w:ascii="Arial" w:hAnsi="Arial" w:cs="Arial"/>
          <w:b/>
          <w:bCs/>
          <w:sz w:val="28"/>
          <w:szCs w:val="28"/>
        </w:rPr>
        <w:t>words</w:t>
      </w:r>
    </w:p>
    <w:p w14:paraId="63BEA98C" w14:textId="77777777" w:rsidR="0031107E" w:rsidRPr="00713707" w:rsidRDefault="0031107E" w:rsidP="0031107E">
      <w:pPr>
        <w:spacing w:line="360" w:lineRule="auto"/>
        <w:rPr>
          <w:rFonts w:ascii="Arial" w:hAnsi="Arial" w:cs="Arial"/>
        </w:rPr>
      </w:pPr>
    </w:p>
    <w:p w14:paraId="247B5BDE" w14:textId="77777777" w:rsidR="0031107E" w:rsidRPr="00713707" w:rsidRDefault="0031107E" w:rsidP="0031107E">
      <w:pPr>
        <w:spacing w:line="360" w:lineRule="auto"/>
        <w:rPr>
          <w:rFonts w:ascii="Arial" w:hAnsi="Arial" w:cs="Arial"/>
        </w:rPr>
      </w:pPr>
    </w:p>
    <w:p w14:paraId="2B801EBA" w14:textId="77777777" w:rsidR="0031107E" w:rsidRPr="00713707" w:rsidRDefault="0031107E" w:rsidP="0031107E">
      <w:pPr>
        <w:spacing w:line="360" w:lineRule="auto"/>
        <w:rPr>
          <w:rFonts w:ascii="Arial" w:hAnsi="Arial" w:cs="Arial"/>
        </w:rPr>
      </w:pPr>
    </w:p>
    <w:p w14:paraId="6D279F8F" w14:textId="77777777" w:rsidR="0031107E" w:rsidRPr="00713707" w:rsidRDefault="0031107E" w:rsidP="0031107E">
      <w:pPr>
        <w:spacing w:line="360" w:lineRule="auto"/>
        <w:rPr>
          <w:rFonts w:ascii="Arial" w:hAnsi="Arial" w:cs="Arial"/>
        </w:rPr>
      </w:pPr>
    </w:p>
    <w:p w14:paraId="2421108F" w14:textId="77777777" w:rsidR="0031107E" w:rsidRPr="00713707" w:rsidRDefault="0031107E" w:rsidP="0031107E">
      <w:pPr>
        <w:spacing w:line="360" w:lineRule="auto"/>
        <w:rPr>
          <w:rFonts w:ascii="Arial" w:hAnsi="Arial" w:cs="Arial"/>
        </w:rPr>
      </w:pPr>
    </w:p>
    <w:p w14:paraId="23850F19" w14:textId="77777777" w:rsidR="0031107E" w:rsidRPr="00713707" w:rsidRDefault="0031107E" w:rsidP="0031107E">
      <w:pPr>
        <w:spacing w:line="360" w:lineRule="auto"/>
        <w:rPr>
          <w:rFonts w:ascii="Arial" w:hAnsi="Arial" w:cs="Arial"/>
        </w:rPr>
      </w:pPr>
    </w:p>
    <w:p w14:paraId="42A1010E" w14:textId="77777777" w:rsidR="0031107E" w:rsidRPr="00713707" w:rsidRDefault="0031107E" w:rsidP="0031107E">
      <w:pPr>
        <w:spacing w:line="360" w:lineRule="auto"/>
        <w:rPr>
          <w:rFonts w:ascii="Arial" w:hAnsi="Arial" w:cs="Arial"/>
        </w:rPr>
      </w:pPr>
    </w:p>
    <w:p w14:paraId="6BC49B60" w14:textId="22524AE5" w:rsidR="0C1E8527" w:rsidRDefault="0C1E8527">
      <w:r>
        <w:br w:type="page"/>
      </w:r>
    </w:p>
    <w:sdt>
      <w:sdtPr>
        <w:id w:val="2127031651"/>
        <w:docPartObj>
          <w:docPartGallery w:val="Table of Contents"/>
          <w:docPartUnique/>
        </w:docPartObj>
      </w:sdtPr>
      <w:sdtContent>
        <w:p w14:paraId="1C1C037D" w14:textId="15BC8C59" w:rsidR="005025C3" w:rsidRDefault="0C1E8527">
          <w:pPr>
            <w:pStyle w:val="10"/>
            <w:tabs>
              <w:tab w:val="right" w:leader="dot" w:pos="9016"/>
            </w:tabs>
            <w:rPr>
              <w:noProof/>
              <w:kern w:val="2"/>
              <w:lang w:val="en-US" w:eastAsia="en-US"/>
              <w14:ligatures w14:val="standardContextual"/>
            </w:rPr>
          </w:pPr>
          <w:r>
            <w:fldChar w:fldCharType="begin"/>
          </w:r>
          <w:r>
            <w:instrText>TOC \o "1-9" \z \u \h</w:instrText>
          </w:r>
          <w:r>
            <w:fldChar w:fldCharType="separate"/>
          </w:r>
          <w:hyperlink w:anchor="_Toc237258742" w:history="1">
            <w:r w:rsidR="005025C3" w:rsidRPr="005D5F32">
              <w:rPr>
                <w:rStyle w:val="a4"/>
                <w:noProof/>
                <w:lang w:val="en-US"/>
              </w:rPr>
              <w:t>1. Financial Health Check</w:t>
            </w:r>
            <w:r w:rsidR="005025C3">
              <w:rPr>
                <w:noProof/>
                <w:webHidden/>
              </w:rPr>
              <w:tab/>
            </w:r>
            <w:r w:rsidR="005025C3">
              <w:rPr>
                <w:noProof/>
                <w:webHidden/>
              </w:rPr>
              <w:fldChar w:fldCharType="begin"/>
            </w:r>
            <w:r w:rsidR="005025C3">
              <w:rPr>
                <w:noProof/>
                <w:webHidden/>
              </w:rPr>
              <w:instrText xml:space="preserve"> PAGEREF _Toc237258742 \h </w:instrText>
            </w:r>
            <w:r w:rsidR="005025C3">
              <w:rPr>
                <w:noProof/>
                <w:webHidden/>
              </w:rPr>
            </w:r>
            <w:r w:rsidR="005025C3">
              <w:rPr>
                <w:noProof/>
                <w:webHidden/>
              </w:rPr>
              <w:fldChar w:fldCharType="separate"/>
            </w:r>
            <w:r w:rsidR="005025C3">
              <w:rPr>
                <w:noProof/>
                <w:webHidden/>
              </w:rPr>
              <w:t>4</w:t>
            </w:r>
            <w:r w:rsidR="005025C3">
              <w:rPr>
                <w:noProof/>
                <w:webHidden/>
              </w:rPr>
              <w:fldChar w:fldCharType="end"/>
            </w:r>
          </w:hyperlink>
        </w:p>
        <w:p w14:paraId="79BE8F79" w14:textId="09D002B4" w:rsidR="005025C3" w:rsidRDefault="005025C3">
          <w:pPr>
            <w:pStyle w:val="20"/>
            <w:tabs>
              <w:tab w:val="right" w:leader="dot" w:pos="9016"/>
            </w:tabs>
            <w:rPr>
              <w:noProof/>
              <w:kern w:val="2"/>
              <w:lang w:val="en-US" w:eastAsia="en-US"/>
              <w14:ligatures w14:val="standardContextual"/>
            </w:rPr>
          </w:pPr>
          <w:hyperlink w:anchor="_Toc237258743" w:history="1">
            <w:r w:rsidRPr="005D5F32">
              <w:rPr>
                <w:rStyle w:val="a4"/>
                <w:noProof/>
                <w:lang w:val="en-US"/>
              </w:rPr>
              <w:t xml:space="preserve">1.1 </w:t>
            </w:r>
            <w:r w:rsidRPr="005D5F32">
              <w:rPr>
                <w:rStyle w:val="a4"/>
                <w:noProof/>
              </w:rPr>
              <w:t>Introduction</w:t>
            </w:r>
            <w:r>
              <w:rPr>
                <w:noProof/>
                <w:webHidden/>
              </w:rPr>
              <w:tab/>
            </w:r>
            <w:r>
              <w:rPr>
                <w:noProof/>
                <w:webHidden/>
              </w:rPr>
              <w:fldChar w:fldCharType="begin"/>
            </w:r>
            <w:r>
              <w:rPr>
                <w:noProof/>
                <w:webHidden/>
              </w:rPr>
              <w:instrText xml:space="preserve"> PAGEREF _Toc237258743 \h </w:instrText>
            </w:r>
            <w:r>
              <w:rPr>
                <w:noProof/>
                <w:webHidden/>
              </w:rPr>
            </w:r>
            <w:r>
              <w:rPr>
                <w:noProof/>
                <w:webHidden/>
              </w:rPr>
              <w:fldChar w:fldCharType="separate"/>
            </w:r>
            <w:r>
              <w:rPr>
                <w:noProof/>
                <w:webHidden/>
              </w:rPr>
              <w:t>4</w:t>
            </w:r>
            <w:r>
              <w:rPr>
                <w:noProof/>
                <w:webHidden/>
              </w:rPr>
              <w:fldChar w:fldCharType="end"/>
            </w:r>
          </w:hyperlink>
        </w:p>
        <w:p w14:paraId="1E931696" w14:textId="1E2AB87F" w:rsidR="005025C3" w:rsidRDefault="005025C3">
          <w:pPr>
            <w:pStyle w:val="20"/>
            <w:tabs>
              <w:tab w:val="right" w:leader="dot" w:pos="9016"/>
            </w:tabs>
            <w:rPr>
              <w:noProof/>
              <w:kern w:val="2"/>
              <w:lang w:val="en-US" w:eastAsia="en-US"/>
              <w14:ligatures w14:val="standardContextual"/>
            </w:rPr>
          </w:pPr>
          <w:hyperlink w:anchor="_Toc237258744" w:history="1">
            <w:r w:rsidRPr="005D5F32">
              <w:rPr>
                <w:rStyle w:val="a4"/>
                <w:noProof/>
                <w:lang w:val="en-US"/>
              </w:rPr>
              <w:t xml:space="preserve">1.2 Analysis of </w:t>
            </w:r>
            <w:r w:rsidRPr="005D5F32">
              <w:rPr>
                <w:rStyle w:val="a4"/>
                <w:noProof/>
              </w:rPr>
              <w:t>Financial</w:t>
            </w:r>
            <w:r w:rsidRPr="005D5F32">
              <w:rPr>
                <w:rStyle w:val="a4"/>
                <w:noProof/>
                <w:lang w:val="en-US"/>
              </w:rPr>
              <w:t xml:space="preserve"> Statements</w:t>
            </w:r>
            <w:r>
              <w:rPr>
                <w:noProof/>
                <w:webHidden/>
              </w:rPr>
              <w:tab/>
            </w:r>
            <w:r>
              <w:rPr>
                <w:noProof/>
                <w:webHidden/>
              </w:rPr>
              <w:fldChar w:fldCharType="begin"/>
            </w:r>
            <w:r>
              <w:rPr>
                <w:noProof/>
                <w:webHidden/>
              </w:rPr>
              <w:instrText xml:space="preserve"> PAGEREF _Toc237258744 \h </w:instrText>
            </w:r>
            <w:r>
              <w:rPr>
                <w:noProof/>
                <w:webHidden/>
              </w:rPr>
            </w:r>
            <w:r>
              <w:rPr>
                <w:noProof/>
                <w:webHidden/>
              </w:rPr>
              <w:fldChar w:fldCharType="separate"/>
            </w:r>
            <w:r>
              <w:rPr>
                <w:noProof/>
                <w:webHidden/>
              </w:rPr>
              <w:t>4</w:t>
            </w:r>
            <w:r>
              <w:rPr>
                <w:noProof/>
                <w:webHidden/>
              </w:rPr>
              <w:fldChar w:fldCharType="end"/>
            </w:r>
          </w:hyperlink>
        </w:p>
        <w:p w14:paraId="0BD63543" w14:textId="3119CE4E" w:rsidR="005025C3" w:rsidRDefault="005025C3">
          <w:pPr>
            <w:pStyle w:val="20"/>
            <w:tabs>
              <w:tab w:val="right" w:leader="dot" w:pos="9016"/>
            </w:tabs>
            <w:rPr>
              <w:noProof/>
              <w:kern w:val="2"/>
              <w:lang w:val="en-US" w:eastAsia="en-US"/>
              <w14:ligatures w14:val="standardContextual"/>
            </w:rPr>
          </w:pPr>
          <w:hyperlink w:anchor="_Toc237258745" w:history="1">
            <w:r w:rsidRPr="005D5F32">
              <w:rPr>
                <w:rStyle w:val="a4"/>
                <w:noProof/>
                <w:lang w:val="en-US"/>
              </w:rPr>
              <w:t>1.3 Financial Ratio Analysis</w:t>
            </w:r>
            <w:r>
              <w:rPr>
                <w:noProof/>
                <w:webHidden/>
              </w:rPr>
              <w:tab/>
            </w:r>
            <w:r>
              <w:rPr>
                <w:noProof/>
                <w:webHidden/>
              </w:rPr>
              <w:fldChar w:fldCharType="begin"/>
            </w:r>
            <w:r>
              <w:rPr>
                <w:noProof/>
                <w:webHidden/>
              </w:rPr>
              <w:instrText xml:space="preserve"> PAGEREF _Toc237258745 \h </w:instrText>
            </w:r>
            <w:r>
              <w:rPr>
                <w:noProof/>
                <w:webHidden/>
              </w:rPr>
            </w:r>
            <w:r>
              <w:rPr>
                <w:noProof/>
                <w:webHidden/>
              </w:rPr>
              <w:fldChar w:fldCharType="separate"/>
            </w:r>
            <w:r>
              <w:rPr>
                <w:noProof/>
                <w:webHidden/>
              </w:rPr>
              <w:t>5</w:t>
            </w:r>
            <w:r>
              <w:rPr>
                <w:noProof/>
                <w:webHidden/>
              </w:rPr>
              <w:fldChar w:fldCharType="end"/>
            </w:r>
          </w:hyperlink>
        </w:p>
        <w:p w14:paraId="33C60ABB" w14:textId="638D731F" w:rsidR="005025C3" w:rsidRDefault="005025C3">
          <w:pPr>
            <w:pStyle w:val="30"/>
            <w:tabs>
              <w:tab w:val="right" w:leader="dot" w:pos="9016"/>
            </w:tabs>
            <w:rPr>
              <w:noProof/>
              <w:kern w:val="2"/>
              <w:lang w:val="en-US" w:eastAsia="en-US"/>
              <w14:ligatures w14:val="standardContextual"/>
            </w:rPr>
          </w:pPr>
          <w:hyperlink w:anchor="_Toc237258746" w:history="1">
            <w:r w:rsidRPr="005D5F32">
              <w:rPr>
                <w:rStyle w:val="a4"/>
                <w:noProof/>
                <w:lang w:val="en-US"/>
              </w:rPr>
              <w:t>1.3.1 Profitability</w:t>
            </w:r>
            <w:r>
              <w:rPr>
                <w:noProof/>
                <w:webHidden/>
              </w:rPr>
              <w:tab/>
            </w:r>
            <w:r>
              <w:rPr>
                <w:noProof/>
                <w:webHidden/>
              </w:rPr>
              <w:fldChar w:fldCharType="begin"/>
            </w:r>
            <w:r>
              <w:rPr>
                <w:noProof/>
                <w:webHidden/>
              </w:rPr>
              <w:instrText xml:space="preserve"> PAGEREF _Toc237258746 \h </w:instrText>
            </w:r>
            <w:r>
              <w:rPr>
                <w:noProof/>
                <w:webHidden/>
              </w:rPr>
            </w:r>
            <w:r>
              <w:rPr>
                <w:noProof/>
                <w:webHidden/>
              </w:rPr>
              <w:fldChar w:fldCharType="separate"/>
            </w:r>
            <w:r>
              <w:rPr>
                <w:noProof/>
                <w:webHidden/>
              </w:rPr>
              <w:t>5</w:t>
            </w:r>
            <w:r>
              <w:rPr>
                <w:noProof/>
                <w:webHidden/>
              </w:rPr>
              <w:fldChar w:fldCharType="end"/>
            </w:r>
          </w:hyperlink>
        </w:p>
        <w:p w14:paraId="4F967509" w14:textId="717DBF9C" w:rsidR="005025C3" w:rsidRDefault="005025C3">
          <w:pPr>
            <w:pStyle w:val="30"/>
            <w:tabs>
              <w:tab w:val="right" w:leader="dot" w:pos="9016"/>
            </w:tabs>
            <w:rPr>
              <w:noProof/>
              <w:kern w:val="2"/>
              <w:lang w:val="en-US" w:eastAsia="en-US"/>
              <w14:ligatures w14:val="standardContextual"/>
            </w:rPr>
          </w:pPr>
          <w:hyperlink w:anchor="_Toc237258747" w:history="1">
            <w:r w:rsidRPr="005D5F32">
              <w:rPr>
                <w:rStyle w:val="a4"/>
                <w:noProof/>
                <w:lang w:val="en-US"/>
              </w:rPr>
              <w:t>1.3.2 Liquidity</w:t>
            </w:r>
            <w:r>
              <w:rPr>
                <w:noProof/>
                <w:webHidden/>
              </w:rPr>
              <w:tab/>
            </w:r>
            <w:r>
              <w:rPr>
                <w:noProof/>
                <w:webHidden/>
              </w:rPr>
              <w:fldChar w:fldCharType="begin"/>
            </w:r>
            <w:r>
              <w:rPr>
                <w:noProof/>
                <w:webHidden/>
              </w:rPr>
              <w:instrText xml:space="preserve"> PAGEREF _Toc237258747 \h </w:instrText>
            </w:r>
            <w:r>
              <w:rPr>
                <w:noProof/>
                <w:webHidden/>
              </w:rPr>
            </w:r>
            <w:r>
              <w:rPr>
                <w:noProof/>
                <w:webHidden/>
              </w:rPr>
              <w:fldChar w:fldCharType="separate"/>
            </w:r>
            <w:r>
              <w:rPr>
                <w:noProof/>
                <w:webHidden/>
              </w:rPr>
              <w:t>5</w:t>
            </w:r>
            <w:r>
              <w:rPr>
                <w:noProof/>
                <w:webHidden/>
              </w:rPr>
              <w:fldChar w:fldCharType="end"/>
            </w:r>
          </w:hyperlink>
        </w:p>
        <w:p w14:paraId="5A14B096" w14:textId="4F71C4FC" w:rsidR="005025C3" w:rsidRDefault="005025C3">
          <w:pPr>
            <w:pStyle w:val="30"/>
            <w:tabs>
              <w:tab w:val="right" w:leader="dot" w:pos="9016"/>
            </w:tabs>
            <w:rPr>
              <w:noProof/>
              <w:kern w:val="2"/>
              <w:lang w:val="en-US" w:eastAsia="en-US"/>
              <w14:ligatures w14:val="standardContextual"/>
            </w:rPr>
          </w:pPr>
          <w:hyperlink w:anchor="_Toc237258748" w:history="1">
            <w:r w:rsidRPr="005D5F32">
              <w:rPr>
                <w:rStyle w:val="a4"/>
                <w:noProof/>
                <w:lang w:val="en-US"/>
              </w:rPr>
              <w:t>1.3.3 Efficiency</w:t>
            </w:r>
            <w:r>
              <w:rPr>
                <w:noProof/>
                <w:webHidden/>
              </w:rPr>
              <w:tab/>
            </w:r>
            <w:r>
              <w:rPr>
                <w:noProof/>
                <w:webHidden/>
              </w:rPr>
              <w:fldChar w:fldCharType="begin"/>
            </w:r>
            <w:r>
              <w:rPr>
                <w:noProof/>
                <w:webHidden/>
              </w:rPr>
              <w:instrText xml:space="preserve"> PAGEREF _Toc237258748 \h </w:instrText>
            </w:r>
            <w:r>
              <w:rPr>
                <w:noProof/>
                <w:webHidden/>
              </w:rPr>
            </w:r>
            <w:r>
              <w:rPr>
                <w:noProof/>
                <w:webHidden/>
              </w:rPr>
              <w:fldChar w:fldCharType="separate"/>
            </w:r>
            <w:r>
              <w:rPr>
                <w:noProof/>
                <w:webHidden/>
              </w:rPr>
              <w:t>6</w:t>
            </w:r>
            <w:r>
              <w:rPr>
                <w:noProof/>
                <w:webHidden/>
              </w:rPr>
              <w:fldChar w:fldCharType="end"/>
            </w:r>
          </w:hyperlink>
        </w:p>
        <w:p w14:paraId="66C74DEC" w14:textId="1AF03639" w:rsidR="005025C3" w:rsidRDefault="005025C3">
          <w:pPr>
            <w:pStyle w:val="30"/>
            <w:tabs>
              <w:tab w:val="right" w:leader="dot" w:pos="9016"/>
            </w:tabs>
            <w:rPr>
              <w:noProof/>
              <w:kern w:val="2"/>
              <w:lang w:val="en-US" w:eastAsia="en-US"/>
              <w14:ligatures w14:val="standardContextual"/>
            </w:rPr>
          </w:pPr>
          <w:hyperlink w:anchor="_Toc237258749" w:history="1">
            <w:r w:rsidRPr="005D5F32">
              <w:rPr>
                <w:rStyle w:val="a4"/>
                <w:noProof/>
                <w:lang w:val="en-US"/>
              </w:rPr>
              <w:t>1.3.4 Gearing</w:t>
            </w:r>
            <w:r>
              <w:rPr>
                <w:noProof/>
                <w:webHidden/>
              </w:rPr>
              <w:tab/>
            </w:r>
            <w:r>
              <w:rPr>
                <w:noProof/>
                <w:webHidden/>
              </w:rPr>
              <w:fldChar w:fldCharType="begin"/>
            </w:r>
            <w:r>
              <w:rPr>
                <w:noProof/>
                <w:webHidden/>
              </w:rPr>
              <w:instrText xml:space="preserve"> PAGEREF _Toc237258749 \h </w:instrText>
            </w:r>
            <w:r>
              <w:rPr>
                <w:noProof/>
                <w:webHidden/>
              </w:rPr>
            </w:r>
            <w:r>
              <w:rPr>
                <w:noProof/>
                <w:webHidden/>
              </w:rPr>
              <w:fldChar w:fldCharType="separate"/>
            </w:r>
            <w:r>
              <w:rPr>
                <w:noProof/>
                <w:webHidden/>
              </w:rPr>
              <w:t>6</w:t>
            </w:r>
            <w:r>
              <w:rPr>
                <w:noProof/>
                <w:webHidden/>
              </w:rPr>
              <w:fldChar w:fldCharType="end"/>
            </w:r>
          </w:hyperlink>
        </w:p>
        <w:p w14:paraId="07053200" w14:textId="62C8199D" w:rsidR="005025C3" w:rsidRDefault="005025C3">
          <w:pPr>
            <w:pStyle w:val="30"/>
            <w:tabs>
              <w:tab w:val="right" w:leader="dot" w:pos="9016"/>
            </w:tabs>
            <w:rPr>
              <w:noProof/>
              <w:kern w:val="2"/>
              <w:lang w:val="en-US" w:eastAsia="en-US"/>
              <w14:ligatures w14:val="standardContextual"/>
            </w:rPr>
          </w:pPr>
          <w:hyperlink w:anchor="_Toc237258750" w:history="1">
            <w:r w:rsidRPr="005D5F32">
              <w:rPr>
                <w:rStyle w:val="a4"/>
                <w:noProof/>
                <w:lang w:val="en-US"/>
              </w:rPr>
              <w:t>1.3.5 Investment and Cash Flow</w:t>
            </w:r>
            <w:r>
              <w:rPr>
                <w:noProof/>
                <w:webHidden/>
              </w:rPr>
              <w:tab/>
            </w:r>
            <w:r>
              <w:rPr>
                <w:noProof/>
                <w:webHidden/>
              </w:rPr>
              <w:fldChar w:fldCharType="begin"/>
            </w:r>
            <w:r>
              <w:rPr>
                <w:noProof/>
                <w:webHidden/>
              </w:rPr>
              <w:instrText xml:space="preserve"> PAGEREF _Toc237258750 \h </w:instrText>
            </w:r>
            <w:r>
              <w:rPr>
                <w:noProof/>
                <w:webHidden/>
              </w:rPr>
            </w:r>
            <w:r>
              <w:rPr>
                <w:noProof/>
                <w:webHidden/>
              </w:rPr>
              <w:fldChar w:fldCharType="separate"/>
            </w:r>
            <w:r>
              <w:rPr>
                <w:noProof/>
                <w:webHidden/>
              </w:rPr>
              <w:t>6</w:t>
            </w:r>
            <w:r>
              <w:rPr>
                <w:noProof/>
                <w:webHidden/>
              </w:rPr>
              <w:fldChar w:fldCharType="end"/>
            </w:r>
          </w:hyperlink>
        </w:p>
        <w:p w14:paraId="6D5BE69D" w14:textId="509FE83E" w:rsidR="005025C3" w:rsidRDefault="005025C3">
          <w:pPr>
            <w:pStyle w:val="20"/>
            <w:tabs>
              <w:tab w:val="right" w:leader="dot" w:pos="9016"/>
            </w:tabs>
            <w:rPr>
              <w:noProof/>
              <w:kern w:val="2"/>
              <w:lang w:val="en-US" w:eastAsia="en-US"/>
              <w14:ligatures w14:val="standardContextual"/>
            </w:rPr>
          </w:pPr>
          <w:hyperlink w:anchor="_Toc237258751" w:history="1">
            <w:r w:rsidRPr="005D5F32">
              <w:rPr>
                <w:rStyle w:val="a4"/>
                <w:noProof/>
                <w:lang w:val="en-US"/>
              </w:rPr>
              <w:t xml:space="preserve">1.4 Trends, Strengths </w:t>
            </w:r>
            <w:r w:rsidRPr="005D5F32">
              <w:rPr>
                <w:rStyle w:val="a4"/>
                <w:noProof/>
              </w:rPr>
              <w:t>and</w:t>
            </w:r>
            <w:r w:rsidRPr="005D5F32">
              <w:rPr>
                <w:rStyle w:val="a4"/>
                <w:noProof/>
                <w:lang w:val="en-US"/>
              </w:rPr>
              <w:t xml:space="preserve"> Potential Threats</w:t>
            </w:r>
            <w:r>
              <w:rPr>
                <w:noProof/>
                <w:webHidden/>
              </w:rPr>
              <w:tab/>
            </w:r>
            <w:r>
              <w:rPr>
                <w:noProof/>
                <w:webHidden/>
              </w:rPr>
              <w:fldChar w:fldCharType="begin"/>
            </w:r>
            <w:r>
              <w:rPr>
                <w:noProof/>
                <w:webHidden/>
              </w:rPr>
              <w:instrText xml:space="preserve"> PAGEREF _Toc237258751 \h </w:instrText>
            </w:r>
            <w:r>
              <w:rPr>
                <w:noProof/>
                <w:webHidden/>
              </w:rPr>
            </w:r>
            <w:r>
              <w:rPr>
                <w:noProof/>
                <w:webHidden/>
              </w:rPr>
              <w:fldChar w:fldCharType="separate"/>
            </w:r>
            <w:r>
              <w:rPr>
                <w:noProof/>
                <w:webHidden/>
              </w:rPr>
              <w:t>6</w:t>
            </w:r>
            <w:r>
              <w:rPr>
                <w:noProof/>
                <w:webHidden/>
              </w:rPr>
              <w:fldChar w:fldCharType="end"/>
            </w:r>
          </w:hyperlink>
        </w:p>
        <w:p w14:paraId="79AB1336" w14:textId="2EB4E492" w:rsidR="005025C3" w:rsidRDefault="005025C3">
          <w:pPr>
            <w:pStyle w:val="20"/>
            <w:tabs>
              <w:tab w:val="right" w:leader="dot" w:pos="9016"/>
            </w:tabs>
            <w:rPr>
              <w:noProof/>
              <w:kern w:val="2"/>
              <w:lang w:val="en-US" w:eastAsia="en-US"/>
              <w14:ligatures w14:val="standardContextual"/>
            </w:rPr>
          </w:pPr>
          <w:hyperlink w:anchor="_Toc237258752" w:history="1">
            <w:r w:rsidRPr="005D5F32">
              <w:rPr>
                <w:rStyle w:val="a4"/>
                <w:noProof/>
                <w:lang w:val="en-US"/>
              </w:rPr>
              <w:t xml:space="preserve">1.5 Industry </w:t>
            </w:r>
            <w:r w:rsidRPr="005D5F32">
              <w:rPr>
                <w:rStyle w:val="a4"/>
                <w:noProof/>
              </w:rPr>
              <w:t>Benchmark</w:t>
            </w:r>
            <w:r w:rsidRPr="005D5F32">
              <w:rPr>
                <w:rStyle w:val="a4"/>
                <w:noProof/>
                <w:lang w:val="en-US"/>
              </w:rPr>
              <w:t xml:space="preserve"> Comparison</w:t>
            </w:r>
            <w:r>
              <w:rPr>
                <w:noProof/>
                <w:webHidden/>
              </w:rPr>
              <w:tab/>
            </w:r>
            <w:r>
              <w:rPr>
                <w:noProof/>
                <w:webHidden/>
              </w:rPr>
              <w:fldChar w:fldCharType="begin"/>
            </w:r>
            <w:r>
              <w:rPr>
                <w:noProof/>
                <w:webHidden/>
              </w:rPr>
              <w:instrText xml:space="preserve"> PAGEREF _Toc237258752 \h </w:instrText>
            </w:r>
            <w:r>
              <w:rPr>
                <w:noProof/>
                <w:webHidden/>
              </w:rPr>
            </w:r>
            <w:r>
              <w:rPr>
                <w:noProof/>
                <w:webHidden/>
              </w:rPr>
              <w:fldChar w:fldCharType="separate"/>
            </w:r>
            <w:r>
              <w:rPr>
                <w:noProof/>
                <w:webHidden/>
              </w:rPr>
              <w:t>7</w:t>
            </w:r>
            <w:r>
              <w:rPr>
                <w:noProof/>
                <w:webHidden/>
              </w:rPr>
              <w:fldChar w:fldCharType="end"/>
            </w:r>
          </w:hyperlink>
        </w:p>
        <w:p w14:paraId="330CFA53" w14:textId="722AC643" w:rsidR="005025C3" w:rsidRDefault="005025C3">
          <w:pPr>
            <w:pStyle w:val="20"/>
            <w:tabs>
              <w:tab w:val="right" w:leader="dot" w:pos="9016"/>
            </w:tabs>
            <w:rPr>
              <w:noProof/>
              <w:kern w:val="2"/>
              <w:lang w:val="en-US" w:eastAsia="en-US"/>
              <w14:ligatures w14:val="standardContextual"/>
            </w:rPr>
          </w:pPr>
          <w:hyperlink w:anchor="_Toc237258753" w:history="1">
            <w:r w:rsidRPr="005D5F32">
              <w:rPr>
                <w:rStyle w:val="a4"/>
                <w:noProof/>
                <w:lang w:val="en-US"/>
              </w:rPr>
              <w:t xml:space="preserve">1.6 Summary of </w:t>
            </w:r>
            <w:r w:rsidRPr="005D5F32">
              <w:rPr>
                <w:rStyle w:val="a4"/>
                <w:noProof/>
              </w:rPr>
              <w:t>Financial</w:t>
            </w:r>
            <w:r w:rsidRPr="005D5F32">
              <w:rPr>
                <w:rStyle w:val="a4"/>
                <w:noProof/>
                <w:lang w:val="en-US"/>
              </w:rPr>
              <w:t xml:space="preserve"> Health</w:t>
            </w:r>
            <w:r>
              <w:rPr>
                <w:noProof/>
                <w:webHidden/>
              </w:rPr>
              <w:tab/>
            </w:r>
            <w:r>
              <w:rPr>
                <w:noProof/>
                <w:webHidden/>
              </w:rPr>
              <w:fldChar w:fldCharType="begin"/>
            </w:r>
            <w:r>
              <w:rPr>
                <w:noProof/>
                <w:webHidden/>
              </w:rPr>
              <w:instrText xml:space="preserve"> PAGEREF _Toc237258753 \h </w:instrText>
            </w:r>
            <w:r>
              <w:rPr>
                <w:noProof/>
                <w:webHidden/>
              </w:rPr>
            </w:r>
            <w:r>
              <w:rPr>
                <w:noProof/>
                <w:webHidden/>
              </w:rPr>
              <w:fldChar w:fldCharType="separate"/>
            </w:r>
            <w:r>
              <w:rPr>
                <w:noProof/>
                <w:webHidden/>
              </w:rPr>
              <w:t>7</w:t>
            </w:r>
            <w:r>
              <w:rPr>
                <w:noProof/>
                <w:webHidden/>
              </w:rPr>
              <w:fldChar w:fldCharType="end"/>
            </w:r>
          </w:hyperlink>
        </w:p>
        <w:p w14:paraId="13EC17CC" w14:textId="4DEE1331" w:rsidR="005025C3" w:rsidRDefault="005025C3">
          <w:pPr>
            <w:pStyle w:val="10"/>
            <w:tabs>
              <w:tab w:val="right" w:leader="dot" w:pos="9016"/>
            </w:tabs>
            <w:rPr>
              <w:noProof/>
              <w:kern w:val="2"/>
              <w:lang w:val="en-US" w:eastAsia="en-US"/>
              <w14:ligatures w14:val="standardContextual"/>
            </w:rPr>
          </w:pPr>
          <w:hyperlink w:anchor="_Toc237258754" w:history="1">
            <w:r w:rsidRPr="005D5F32">
              <w:rPr>
                <w:rStyle w:val="a4"/>
                <w:rFonts w:eastAsia="Times New Roman"/>
                <w:noProof/>
              </w:rPr>
              <w:t>2. Working Capital Management Analysis</w:t>
            </w:r>
            <w:r>
              <w:rPr>
                <w:noProof/>
                <w:webHidden/>
              </w:rPr>
              <w:tab/>
            </w:r>
            <w:r>
              <w:rPr>
                <w:noProof/>
                <w:webHidden/>
              </w:rPr>
              <w:fldChar w:fldCharType="begin"/>
            </w:r>
            <w:r>
              <w:rPr>
                <w:noProof/>
                <w:webHidden/>
              </w:rPr>
              <w:instrText xml:space="preserve"> PAGEREF _Toc237258754 \h </w:instrText>
            </w:r>
            <w:r>
              <w:rPr>
                <w:noProof/>
                <w:webHidden/>
              </w:rPr>
            </w:r>
            <w:r>
              <w:rPr>
                <w:noProof/>
                <w:webHidden/>
              </w:rPr>
              <w:fldChar w:fldCharType="separate"/>
            </w:r>
            <w:r>
              <w:rPr>
                <w:noProof/>
                <w:webHidden/>
              </w:rPr>
              <w:t>8</w:t>
            </w:r>
            <w:r>
              <w:rPr>
                <w:noProof/>
                <w:webHidden/>
              </w:rPr>
              <w:fldChar w:fldCharType="end"/>
            </w:r>
          </w:hyperlink>
        </w:p>
        <w:p w14:paraId="6359B830" w14:textId="1502373B" w:rsidR="005025C3" w:rsidRDefault="005025C3">
          <w:pPr>
            <w:pStyle w:val="20"/>
            <w:tabs>
              <w:tab w:val="right" w:leader="dot" w:pos="9016"/>
            </w:tabs>
            <w:rPr>
              <w:noProof/>
              <w:kern w:val="2"/>
              <w:lang w:val="en-US" w:eastAsia="en-US"/>
              <w14:ligatures w14:val="standardContextual"/>
            </w:rPr>
          </w:pPr>
          <w:hyperlink w:anchor="_Toc237258755" w:history="1">
            <w:r w:rsidRPr="005D5F32">
              <w:rPr>
                <w:rStyle w:val="a4"/>
                <w:noProof/>
              </w:rPr>
              <w:t>2.1 Assessment of the Cash Operating Cycle</w:t>
            </w:r>
            <w:r>
              <w:rPr>
                <w:noProof/>
                <w:webHidden/>
              </w:rPr>
              <w:tab/>
            </w:r>
            <w:r>
              <w:rPr>
                <w:noProof/>
                <w:webHidden/>
              </w:rPr>
              <w:fldChar w:fldCharType="begin"/>
            </w:r>
            <w:r>
              <w:rPr>
                <w:noProof/>
                <w:webHidden/>
              </w:rPr>
              <w:instrText xml:space="preserve"> PAGEREF _Toc237258755 \h </w:instrText>
            </w:r>
            <w:r>
              <w:rPr>
                <w:noProof/>
                <w:webHidden/>
              </w:rPr>
            </w:r>
            <w:r>
              <w:rPr>
                <w:noProof/>
                <w:webHidden/>
              </w:rPr>
              <w:fldChar w:fldCharType="separate"/>
            </w:r>
            <w:r>
              <w:rPr>
                <w:noProof/>
                <w:webHidden/>
              </w:rPr>
              <w:t>8</w:t>
            </w:r>
            <w:r>
              <w:rPr>
                <w:noProof/>
                <w:webHidden/>
              </w:rPr>
              <w:fldChar w:fldCharType="end"/>
            </w:r>
          </w:hyperlink>
        </w:p>
        <w:p w14:paraId="03FBE36E" w14:textId="512CF26A" w:rsidR="005025C3" w:rsidRDefault="005025C3">
          <w:pPr>
            <w:pStyle w:val="20"/>
            <w:tabs>
              <w:tab w:val="right" w:leader="dot" w:pos="9016"/>
            </w:tabs>
            <w:rPr>
              <w:noProof/>
              <w:kern w:val="2"/>
              <w:lang w:val="en-US" w:eastAsia="en-US"/>
              <w14:ligatures w14:val="standardContextual"/>
            </w:rPr>
          </w:pPr>
          <w:hyperlink w:anchor="_Toc237258756" w:history="1">
            <w:r w:rsidRPr="005D5F32">
              <w:rPr>
                <w:rStyle w:val="a4"/>
                <w:rFonts w:eastAsia="Times New Roman"/>
                <w:noProof/>
                <w:lang w:val="en-US"/>
              </w:rPr>
              <w:t>2.2 Strategies to Improve Liquidity through Working Capital Reforms</w:t>
            </w:r>
            <w:r>
              <w:rPr>
                <w:noProof/>
                <w:webHidden/>
              </w:rPr>
              <w:tab/>
            </w:r>
            <w:r>
              <w:rPr>
                <w:noProof/>
                <w:webHidden/>
              </w:rPr>
              <w:fldChar w:fldCharType="begin"/>
            </w:r>
            <w:r>
              <w:rPr>
                <w:noProof/>
                <w:webHidden/>
              </w:rPr>
              <w:instrText xml:space="preserve"> PAGEREF _Toc237258756 \h </w:instrText>
            </w:r>
            <w:r>
              <w:rPr>
                <w:noProof/>
                <w:webHidden/>
              </w:rPr>
            </w:r>
            <w:r>
              <w:rPr>
                <w:noProof/>
                <w:webHidden/>
              </w:rPr>
              <w:fldChar w:fldCharType="separate"/>
            </w:r>
            <w:r>
              <w:rPr>
                <w:noProof/>
                <w:webHidden/>
              </w:rPr>
              <w:t>8</w:t>
            </w:r>
            <w:r>
              <w:rPr>
                <w:noProof/>
                <w:webHidden/>
              </w:rPr>
              <w:fldChar w:fldCharType="end"/>
            </w:r>
          </w:hyperlink>
        </w:p>
        <w:p w14:paraId="7150AC34" w14:textId="351B0B54" w:rsidR="005025C3" w:rsidRDefault="005025C3">
          <w:pPr>
            <w:pStyle w:val="20"/>
            <w:tabs>
              <w:tab w:val="right" w:leader="dot" w:pos="9016"/>
            </w:tabs>
            <w:rPr>
              <w:noProof/>
              <w:kern w:val="2"/>
              <w:lang w:val="en-US" w:eastAsia="en-US"/>
              <w14:ligatures w14:val="standardContextual"/>
            </w:rPr>
          </w:pPr>
          <w:hyperlink w:anchor="_Toc237258757" w:history="1">
            <w:r w:rsidRPr="005D5F32">
              <w:rPr>
                <w:rStyle w:val="a4"/>
                <w:rFonts w:eastAsia="Times New Roman"/>
                <w:noProof/>
                <w:lang w:val="en-US"/>
              </w:rPr>
              <w:t xml:space="preserve">2.3 </w:t>
            </w:r>
            <w:r w:rsidRPr="005D5F32">
              <w:rPr>
                <w:rStyle w:val="a4"/>
                <w:noProof/>
              </w:rPr>
              <w:t>Comparison of Short-Term and Long-Term Financing Options</w:t>
            </w:r>
            <w:r>
              <w:rPr>
                <w:noProof/>
                <w:webHidden/>
              </w:rPr>
              <w:tab/>
            </w:r>
            <w:r>
              <w:rPr>
                <w:noProof/>
                <w:webHidden/>
              </w:rPr>
              <w:fldChar w:fldCharType="begin"/>
            </w:r>
            <w:r>
              <w:rPr>
                <w:noProof/>
                <w:webHidden/>
              </w:rPr>
              <w:instrText xml:space="preserve"> PAGEREF _Toc237258757 \h </w:instrText>
            </w:r>
            <w:r>
              <w:rPr>
                <w:noProof/>
                <w:webHidden/>
              </w:rPr>
            </w:r>
            <w:r>
              <w:rPr>
                <w:noProof/>
                <w:webHidden/>
              </w:rPr>
              <w:fldChar w:fldCharType="separate"/>
            </w:r>
            <w:r>
              <w:rPr>
                <w:noProof/>
                <w:webHidden/>
              </w:rPr>
              <w:t>9</w:t>
            </w:r>
            <w:r>
              <w:rPr>
                <w:noProof/>
                <w:webHidden/>
              </w:rPr>
              <w:fldChar w:fldCharType="end"/>
            </w:r>
          </w:hyperlink>
        </w:p>
        <w:p w14:paraId="3EEB3E67" w14:textId="15AC6641" w:rsidR="005025C3" w:rsidRDefault="005025C3">
          <w:pPr>
            <w:pStyle w:val="20"/>
            <w:tabs>
              <w:tab w:val="right" w:leader="dot" w:pos="9016"/>
            </w:tabs>
            <w:rPr>
              <w:noProof/>
              <w:kern w:val="2"/>
              <w:lang w:val="en-US" w:eastAsia="en-US"/>
              <w14:ligatures w14:val="standardContextual"/>
            </w:rPr>
          </w:pPr>
          <w:hyperlink w:anchor="_Toc237258758" w:history="1">
            <w:r w:rsidRPr="005D5F32">
              <w:rPr>
                <w:rStyle w:val="a4"/>
                <w:rFonts w:eastAsia="Times New Roman"/>
                <w:noProof/>
                <w:lang w:val="en-US"/>
              </w:rPr>
              <w:t xml:space="preserve">2.4 </w:t>
            </w:r>
            <w:r w:rsidRPr="005D5F32">
              <w:rPr>
                <w:rStyle w:val="a4"/>
                <w:noProof/>
              </w:rPr>
              <w:t>Summary of Working Capital Management</w:t>
            </w:r>
            <w:r>
              <w:rPr>
                <w:noProof/>
                <w:webHidden/>
              </w:rPr>
              <w:tab/>
            </w:r>
            <w:r>
              <w:rPr>
                <w:noProof/>
                <w:webHidden/>
              </w:rPr>
              <w:fldChar w:fldCharType="begin"/>
            </w:r>
            <w:r>
              <w:rPr>
                <w:noProof/>
                <w:webHidden/>
              </w:rPr>
              <w:instrText xml:space="preserve"> PAGEREF _Toc237258758 \h </w:instrText>
            </w:r>
            <w:r>
              <w:rPr>
                <w:noProof/>
                <w:webHidden/>
              </w:rPr>
            </w:r>
            <w:r>
              <w:rPr>
                <w:noProof/>
                <w:webHidden/>
              </w:rPr>
              <w:fldChar w:fldCharType="separate"/>
            </w:r>
            <w:r>
              <w:rPr>
                <w:noProof/>
                <w:webHidden/>
              </w:rPr>
              <w:t>10</w:t>
            </w:r>
            <w:r>
              <w:rPr>
                <w:noProof/>
                <w:webHidden/>
              </w:rPr>
              <w:fldChar w:fldCharType="end"/>
            </w:r>
          </w:hyperlink>
        </w:p>
        <w:p w14:paraId="61C5C477" w14:textId="2E9B9087" w:rsidR="005025C3" w:rsidRDefault="005025C3">
          <w:pPr>
            <w:pStyle w:val="10"/>
            <w:tabs>
              <w:tab w:val="right" w:leader="dot" w:pos="9016"/>
            </w:tabs>
            <w:rPr>
              <w:noProof/>
              <w:kern w:val="2"/>
              <w:lang w:val="en-US" w:eastAsia="en-US"/>
              <w14:ligatures w14:val="standardContextual"/>
            </w:rPr>
          </w:pPr>
          <w:hyperlink w:anchor="_Toc237258759" w:history="1">
            <w:r w:rsidRPr="005D5F32">
              <w:rPr>
                <w:rStyle w:val="a4"/>
                <w:rFonts w:eastAsia="Times New Roman"/>
                <w:noProof/>
                <w:lang w:val="en-US"/>
              </w:rPr>
              <w:t>3 Strategic Financial Restructuring Plan</w:t>
            </w:r>
            <w:r>
              <w:rPr>
                <w:noProof/>
                <w:webHidden/>
              </w:rPr>
              <w:tab/>
            </w:r>
            <w:r>
              <w:rPr>
                <w:noProof/>
                <w:webHidden/>
              </w:rPr>
              <w:fldChar w:fldCharType="begin"/>
            </w:r>
            <w:r>
              <w:rPr>
                <w:noProof/>
                <w:webHidden/>
              </w:rPr>
              <w:instrText xml:space="preserve"> PAGEREF _Toc237258759 \h </w:instrText>
            </w:r>
            <w:r>
              <w:rPr>
                <w:noProof/>
                <w:webHidden/>
              </w:rPr>
            </w:r>
            <w:r>
              <w:rPr>
                <w:noProof/>
                <w:webHidden/>
              </w:rPr>
              <w:fldChar w:fldCharType="separate"/>
            </w:r>
            <w:r>
              <w:rPr>
                <w:noProof/>
                <w:webHidden/>
              </w:rPr>
              <w:t>10</w:t>
            </w:r>
            <w:r>
              <w:rPr>
                <w:noProof/>
                <w:webHidden/>
              </w:rPr>
              <w:fldChar w:fldCharType="end"/>
            </w:r>
          </w:hyperlink>
        </w:p>
        <w:p w14:paraId="7B0EFB45" w14:textId="3C943255" w:rsidR="005025C3" w:rsidRDefault="005025C3">
          <w:pPr>
            <w:pStyle w:val="20"/>
            <w:tabs>
              <w:tab w:val="right" w:leader="dot" w:pos="9016"/>
            </w:tabs>
            <w:rPr>
              <w:noProof/>
              <w:kern w:val="2"/>
              <w:lang w:val="en-US" w:eastAsia="en-US"/>
              <w14:ligatures w14:val="standardContextual"/>
            </w:rPr>
          </w:pPr>
          <w:hyperlink w:anchor="_Toc237258760" w:history="1">
            <w:r w:rsidRPr="005D5F32">
              <w:rPr>
                <w:rStyle w:val="a4"/>
                <w:noProof/>
              </w:rPr>
              <w:t>3.1 Recommended Financial Restructuring Options</w:t>
            </w:r>
            <w:r>
              <w:rPr>
                <w:noProof/>
                <w:webHidden/>
              </w:rPr>
              <w:tab/>
            </w:r>
            <w:r>
              <w:rPr>
                <w:noProof/>
                <w:webHidden/>
              </w:rPr>
              <w:fldChar w:fldCharType="begin"/>
            </w:r>
            <w:r>
              <w:rPr>
                <w:noProof/>
                <w:webHidden/>
              </w:rPr>
              <w:instrText xml:space="preserve"> PAGEREF _Toc237258760 \h </w:instrText>
            </w:r>
            <w:r>
              <w:rPr>
                <w:noProof/>
                <w:webHidden/>
              </w:rPr>
            </w:r>
            <w:r>
              <w:rPr>
                <w:noProof/>
                <w:webHidden/>
              </w:rPr>
              <w:fldChar w:fldCharType="separate"/>
            </w:r>
            <w:r>
              <w:rPr>
                <w:noProof/>
                <w:webHidden/>
              </w:rPr>
              <w:t>10</w:t>
            </w:r>
            <w:r>
              <w:rPr>
                <w:noProof/>
                <w:webHidden/>
              </w:rPr>
              <w:fldChar w:fldCharType="end"/>
            </w:r>
          </w:hyperlink>
        </w:p>
        <w:p w14:paraId="08CA7171" w14:textId="0508FB06" w:rsidR="005025C3" w:rsidRDefault="005025C3">
          <w:pPr>
            <w:pStyle w:val="20"/>
            <w:tabs>
              <w:tab w:val="right" w:leader="dot" w:pos="9016"/>
            </w:tabs>
            <w:rPr>
              <w:noProof/>
              <w:kern w:val="2"/>
              <w:lang w:val="en-US" w:eastAsia="en-US"/>
              <w14:ligatures w14:val="standardContextual"/>
            </w:rPr>
          </w:pPr>
          <w:hyperlink w:anchor="_Toc237258761" w:history="1">
            <w:r w:rsidRPr="005D5F32">
              <w:rPr>
                <w:rStyle w:val="a4"/>
                <w:rFonts w:ascii="Times New Roman" w:eastAsia="Times New Roman" w:hAnsi="Times New Roman" w:cs="Times New Roman"/>
                <w:noProof/>
                <w:lang w:val="en-US"/>
              </w:rPr>
              <w:t xml:space="preserve">3.2 </w:t>
            </w:r>
            <w:r w:rsidRPr="005D5F32">
              <w:rPr>
                <w:rStyle w:val="a4"/>
                <w:noProof/>
                <w:lang w:val="en-US"/>
              </w:rPr>
              <w:t xml:space="preserve">Impact on </w:t>
            </w:r>
            <w:r w:rsidRPr="005D5F32">
              <w:rPr>
                <w:rStyle w:val="a4"/>
                <w:noProof/>
              </w:rPr>
              <w:t>Shareholder</w:t>
            </w:r>
            <w:r w:rsidRPr="005D5F32">
              <w:rPr>
                <w:rStyle w:val="a4"/>
                <w:noProof/>
                <w:lang w:val="en-US"/>
              </w:rPr>
              <w:t xml:space="preserve"> Value, Debt Structure and Operational Flexibility</w:t>
            </w:r>
            <w:r>
              <w:rPr>
                <w:noProof/>
                <w:webHidden/>
              </w:rPr>
              <w:tab/>
            </w:r>
            <w:r>
              <w:rPr>
                <w:noProof/>
                <w:webHidden/>
              </w:rPr>
              <w:fldChar w:fldCharType="begin"/>
            </w:r>
            <w:r>
              <w:rPr>
                <w:noProof/>
                <w:webHidden/>
              </w:rPr>
              <w:instrText xml:space="preserve"> PAGEREF _Toc237258761 \h </w:instrText>
            </w:r>
            <w:r>
              <w:rPr>
                <w:noProof/>
                <w:webHidden/>
              </w:rPr>
            </w:r>
            <w:r>
              <w:rPr>
                <w:noProof/>
                <w:webHidden/>
              </w:rPr>
              <w:fldChar w:fldCharType="separate"/>
            </w:r>
            <w:r>
              <w:rPr>
                <w:noProof/>
                <w:webHidden/>
              </w:rPr>
              <w:t>11</w:t>
            </w:r>
            <w:r>
              <w:rPr>
                <w:noProof/>
                <w:webHidden/>
              </w:rPr>
              <w:fldChar w:fldCharType="end"/>
            </w:r>
          </w:hyperlink>
        </w:p>
        <w:p w14:paraId="596EBAC4" w14:textId="4C513BE9" w:rsidR="005025C3" w:rsidRDefault="005025C3">
          <w:pPr>
            <w:pStyle w:val="20"/>
            <w:tabs>
              <w:tab w:val="right" w:leader="dot" w:pos="9016"/>
            </w:tabs>
            <w:rPr>
              <w:noProof/>
              <w:kern w:val="2"/>
              <w:lang w:val="en-US" w:eastAsia="en-US"/>
              <w14:ligatures w14:val="standardContextual"/>
            </w:rPr>
          </w:pPr>
          <w:hyperlink w:anchor="_Toc237258762" w:history="1">
            <w:r w:rsidRPr="005D5F32">
              <w:rPr>
                <w:rStyle w:val="a4"/>
                <w:rFonts w:ascii="Times New Roman" w:eastAsia="Times New Roman" w:hAnsi="Times New Roman" w:cs="Times New Roman"/>
                <w:noProof/>
                <w:lang w:val="en-US"/>
              </w:rPr>
              <w:t>3.3</w:t>
            </w:r>
            <w:r w:rsidRPr="005D5F32">
              <w:rPr>
                <w:rStyle w:val="a4"/>
                <w:noProof/>
                <w:lang w:val="en-US"/>
              </w:rPr>
              <w:t xml:space="preserve"> International and Ethical Considerations</w:t>
            </w:r>
            <w:r>
              <w:rPr>
                <w:noProof/>
                <w:webHidden/>
              </w:rPr>
              <w:tab/>
            </w:r>
            <w:r>
              <w:rPr>
                <w:noProof/>
                <w:webHidden/>
              </w:rPr>
              <w:fldChar w:fldCharType="begin"/>
            </w:r>
            <w:r>
              <w:rPr>
                <w:noProof/>
                <w:webHidden/>
              </w:rPr>
              <w:instrText xml:space="preserve"> PAGEREF _Toc237258762 \h </w:instrText>
            </w:r>
            <w:r>
              <w:rPr>
                <w:noProof/>
                <w:webHidden/>
              </w:rPr>
            </w:r>
            <w:r>
              <w:rPr>
                <w:noProof/>
                <w:webHidden/>
              </w:rPr>
              <w:fldChar w:fldCharType="separate"/>
            </w:r>
            <w:r>
              <w:rPr>
                <w:noProof/>
                <w:webHidden/>
              </w:rPr>
              <w:t>12</w:t>
            </w:r>
            <w:r>
              <w:rPr>
                <w:noProof/>
                <w:webHidden/>
              </w:rPr>
              <w:fldChar w:fldCharType="end"/>
            </w:r>
          </w:hyperlink>
        </w:p>
        <w:p w14:paraId="07FFCC52" w14:textId="7F6305A0" w:rsidR="005025C3" w:rsidRDefault="005025C3">
          <w:pPr>
            <w:pStyle w:val="20"/>
            <w:tabs>
              <w:tab w:val="right" w:leader="dot" w:pos="9016"/>
            </w:tabs>
            <w:rPr>
              <w:noProof/>
              <w:kern w:val="2"/>
              <w:lang w:val="en-US" w:eastAsia="en-US"/>
              <w14:ligatures w14:val="standardContextual"/>
            </w:rPr>
          </w:pPr>
          <w:hyperlink w:anchor="_Toc237258763" w:history="1">
            <w:r w:rsidRPr="005D5F32">
              <w:rPr>
                <w:rStyle w:val="a4"/>
                <w:rFonts w:ascii="Times New Roman" w:eastAsia="Times New Roman" w:hAnsi="Times New Roman" w:cs="Times New Roman"/>
                <w:noProof/>
                <w:lang w:val="en-US"/>
              </w:rPr>
              <w:t>3.4</w:t>
            </w:r>
            <w:r w:rsidRPr="005D5F32">
              <w:rPr>
                <w:rStyle w:val="a4"/>
                <w:noProof/>
                <w:lang w:val="en-US"/>
              </w:rPr>
              <w:t xml:space="preserve"> </w:t>
            </w:r>
            <w:r w:rsidRPr="005D5F32">
              <w:rPr>
                <w:rStyle w:val="a4"/>
                <w:noProof/>
              </w:rPr>
              <w:t>Summary of Strategic Financial Restructuring</w:t>
            </w:r>
            <w:r>
              <w:rPr>
                <w:noProof/>
                <w:webHidden/>
              </w:rPr>
              <w:tab/>
            </w:r>
            <w:r>
              <w:rPr>
                <w:noProof/>
                <w:webHidden/>
              </w:rPr>
              <w:fldChar w:fldCharType="begin"/>
            </w:r>
            <w:r>
              <w:rPr>
                <w:noProof/>
                <w:webHidden/>
              </w:rPr>
              <w:instrText xml:space="preserve"> PAGEREF _Toc237258763 \h </w:instrText>
            </w:r>
            <w:r>
              <w:rPr>
                <w:noProof/>
                <w:webHidden/>
              </w:rPr>
            </w:r>
            <w:r>
              <w:rPr>
                <w:noProof/>
                <w:webHidden/>
              </w:rPr>
              <w:fldChar w:fldCharType="separate"/>
            </w:r>
            <w:r>
              <w:rPr>
                <w:noProof/>
                <w:webHidden/>
              </w:rPr>
              <w:t>13</w:t>
            </w:r>
            <w:r>
              <w:rPr>
                <w:noProof/>
                <w:webHidden/>
              </w:rPr>
              <w:fldChar w:fldCharType="end"/>
            </w:r>
          </w:hyperlink>
        </w:p>
        <w:p w14:paraId="7B4E1477" w14:textId="4D483BF4" w:rsidR="005025C3" w:rsidRDefault="005025C3">
          <w:pPr>
            <w:pStyle w:val="10"/>
            <w:tabs>
              <w:tab w:val="right" w:leader="dot" w:pos="9016"/>
            </w:tabs>
            <w:rPr>
              <w:noProof/>
              <w:kern w:val="2"/>
              <w:lang w:val="en-US" w:eastAsia="en-US"/>
              <w14:ligatures w14:val="standardContextual"/>
            </w:rPr>
          </w:pPr>
          <w:hyperlink w:anchor="_Toc237258764" w:history="1">
            <w:r w:rsidRPr="005D5F32">
              <w:rPr>
                <w:rStyle w:val="a4"/>
                <w:rFonts w:eastAsia="Times New Roman"/>
                <w:noProof/>
                <w:lang w:val="en-US"/>
              </w:rPr>
              <w:t xml:space="preserve">4 </w:t>
            </w:r>
            <w:r w:rsidRPr="005D5F32">
              <w:rPr>
                <w:rStyle w:val="a4"/>
                <w:rFonts w:eastAsia="Times New Roman"/>
                <w:noProof/>
              </w:rPr>
              <w:t>Investment Appraisal and Capital Budgeting</w:t>
            </w:r>
            <w:r>
              <w:rPr>
                <w:noProof/>
                <w:webHidden/>
              </w:rPr>
              <w:tab/>
            </w:r>
            <w:r>
              <w:rPr>
                <w:noProof/>
                <w:webHidden/>
              </w:rPr>
              <w:fldChar w:fldCharType="begin"/>
            </w:r>
            <w:r>
              <w:rPr>
                <w:noProof/>
                <w:webHidden/>
              </w:rPr>
              <w:instrText xml:space="preserve"> PAGEREF _Toc237258764 \h </w:instrText>
            </w:r>
            <w:r>
              <w:rPr>
                <w:noProof/>
                <w:webHidden/>
              </w:rPr>
            </w:r>
            <w:r>
              <w:rPr>
                <w:noProof/>
                <w:webHidden/>
              </w:rPr>
              <w:fldChar w:fldCharType="separate"/>
            </w:r>
            <w:r>
              <w:rPr>
                <w:noProof/>
                <w:webHidden/>
              </w:rPr>
              <w:t>13</w:t>
            </w:r>
            <w:r>
              <w:rPr>
                <w:noProof/>
                <w:webHidden/>
              </w:rPr>
              <w:fldChar w:fldCharType="end"/>
            </w:r>
          </w:hyperlink>
        </w:p>
        <w:p w14:paraId="7D741FA6" w14:textId="5A221DB0" w:rsidR="005025C3" w:rsidRDefault="005025C3">
          <w:pPr>
            <w:pStyle w:val="20"/>
            <w:tabs>
              <w:tab w:val="right" w:leader="dot" w:pos="9016"/>
            </w:tabs>
            <w:rPr>
              <w:noProof/>
              <w:kern w:val="2"/>
              <w:lang w:val="en-US" w:eastAsia="en-US"/>
              <w14:ligatures w14:val="standardContextual"/>
            </w:rPr>
          </w:pPr>
          <w:hyperlink w:anchor="_Toc237258765" w:history="1">
            <w:r w:rsidRPr="005D5F32">
              <w:rPr>
                <w:rStyle w:val="a4"/>
                <w:noProof/>
                <w:lang w:val="en-US"/>
              </w:rPr>
              <w:t>4.1 Introduction</w:t>
            </w:r>
            <w:r>
              <w:rPr>
                <w:noProof/>
                <w:webHidden/>
              </w:rPr>
              <w:tab/>
            </w:r>
            <w:r>
              <w:rPr>
                <w:noProof/>
                <w:webHidden/>
              </w:rPr>
              <w:fldChar w:fldCharType="begin"/>
            </w:r>
            <w:r>
              <w:rPr>
                <w:noProof/>
                <w:webHidden/>
              </w:rPr>
              <w:instrText xml:space="preserve"> PAGEREF _Toc237258765 \h </w:instrText>
            </w:r>
            <w:r>
              <w:rPr>
                <w:noProof/>
                <w:webHidden/>
              </w:rPr>
            </w:r>
            <w:r>
              <w:rPr>
                <w:noProof/>
                <w:webHidden/>
              </w:rPr>
              <w:fldChar w:fldCharType="separate"/>
            </w:r>
            <w:r>
              <w:rPr>
                <w:noProof/>
                <w:webHidden/>
              </w:rPr>
              <w:t>13</w:t>
            </w:r>
            <w:r>
              <w:rPr>
                <w:noProof/>
                <w:webHidden/>
              </w:rPr>
              <w:fldChar w:fldCharType="end"/>
            </w:r>
          </w:hyperlink>
        </w:p>
        <w:p w14:paraId="6AEF1E69" w14:textId="63F7E81B" w:rsidR="005025C3" w:rsidRDefault="005025C3">
          <w:pPr>
            <w:pStyle w:val="20"/>
            <w:tabs>
              <w:tab w:val="right" w:leader="dot" w:pos="9016"/>
            </w:tabs>
            <w:rPr>
              <w:noProof/>
              <w:kern w:val="2"/>
              <w:lang w:val="en-US" w:eastAsia="en-US"/>
              <w14:ligatures w14:val="standardContextual"/>
            </w:rPr>
          </w:pPr>
          <w:hyperlink w:anchor="_Toc237258766" w:history="1">
            <w:r w:rsidRPr="005D5F32">
              <w:rPr>
                <w:rStyle w:val="a4"/>
                <w:noProof/>
                <w:lang w:val="en-US"/>
              </w:rPr>
              <w:t>4.2 Investment Appraisal Results</w:t>
            </w:r>
            <w:r>
              <w:rPr>
                <w:noProof/>
                <w:webHidden/>
              </w:rPr>
              <w:tab/>
            </w:r>
            <w:r>
              <w:rPr>
                <w:noProof/>
                <w:webHidden/>
              </w:rPr>
              <w:fldChar w:fldCharType="begin"/>
            </w:r>
            <w:r>
              <w:rPr>
                <w:noProof/>
                <w:webHidden/>
              </w:rPr>
              <w:instrText xml:space="preserve"> PAGEREF _Toc237258766 \h </w:instrText>
            </w:r>
            <w:r>
              <w:rPr>
                <w:noProof/>
                <w:webHidden/>
              </w:rPr>
            </w:r>
            <w:r>
              <w:rPr>
                <w:noProof/>
                <w:webHidden/>
              </w:rPr>
              <w:fldChar w:fldCharType="separate"/>
            </w:r>
            <w:r>
              <w:rPr>
                <w:noProof/>
                <w:webHidden/>
              </w:rPr>
              <w:t>13</w:t>
            </w:r>
            <w:r>
              <w:rPr>
                <w:noProof/>
                <w:webHidden/>
              </w:rPr>
              <w:fldChar w:fldCharType="end"/>
            </w:r>
          </w:hyperlink>
        </w:p>
        <w:p w14:paraId="726E8CC4" w14:textId="12FF73C2" w:rsidR="005025C3" w:rsidRDefault="005025C3">
          <w:pPr>
            <w:pStyle w:val="20"/>
            <w:tabs>
              <w:tab w:val="right" w:leader="dot" w:pos="9016"/>
            </w:tabs>
            <w:rPr>
              <w:noProof/>
              <w:kern w:val="2"/>
              <w:lang w:val="en-US" w:eastAsia="en-US"/>
              <w14:ligatures w14:val="standardContextual"/>
            </w:rPr>
          </w:pPr>
          <w:hyperlink w:anchor="_Toc237258767" w:history="1">
            <w:r w:rsidRPr="005D5F32">
              <w:rPr>
                <w:rStyle w:val="a4"/>
                <w:noProof/>
                <w:lang w:val="en-US"/>
              </w:rPr>
              <w:t>4.3 Evaluation of the Three Projects</w:t>
            </w:r>
            <w:r>
              <w:rPr>
                <w:noProof/>
                <w:webHidden/>
              </w:rPr>
              <w:tab/>
            </w:r>
            <w:r>
              <w:rPr>
                <w:noProof/>
                <w:webHidden/>
              </w:rPr>
              <w:fldChar w:fldCharType="begin"/>
            </w:r>
            <w:r>
              <w:rPr>
                <w:noProof/>
                <w:webHidden/>
              </w:rPr>
              <w:instrText xml:space="preserve"> PAGEREF _Toc237258767 \h </w:instrText>
            </w:r>
            <w:r>
              <w:rPr>
                <w:noProof/>
                <w:webHidden/>
              </w:rPr>
            </w:r>
            <w:r>
              <w:rPr>
                <w:noProof/>
                <w:webHidden/>
              </w:rPr>
              <w:fldChar w:fldCharType="separate"/>
            </w:r>
            <w:r>
              <w:rPr>
                <w:noProof/>
                <w:webHidden/>
              </w:rPr>
              <w:t>14</w:t>
            </w:r>
            <w:r>
              <w:rPr>
                <w:noProof/>
                <w:webHidden/>
              </w:rPr>
              <w:fldChar w:fldCharType="end"/>
            </w:r>
          </w:hyperlink>
        </w:p>
        <w:p w14:paraId="161B2754" w14:textId="7CC3966C" w:rsidR="005025C3" w:rsidRDefault="005025C3">
          <w:pPr>
            <w:pStyle w:val="20"/>
            <w:tabs>
              <w:tab w:val="right" w:leader="dot" w:pos="9016"/>
            </w:tabs>
            <w:rPr>
              <w:noProof/>
              <w:kern w:val="2"/>
              <w:lang w:val="en-US" w:eastAsia="en-US"/>
              <w14:ligatures w14:val="standardContextual"/>
            </w:rPr>
          </w:pPr>
          <w:hyperlink w:anchor="_Toc237258768" w:history="1">
            <w:r w:rsidRPr="005D5F32">
              <w:rPr>
                <w:rStyle w:val="a4"/>
                <w:noProof/>
                <w:lang w:val="en-US"/>
              </w:rPr>
              <w:t xml:space="preserve">4.4 </w:t>
            </w:r>
            <w:r w:rsidRPr="005D5F32">
              <w:rPr>
                <w:rStyle w:val="a4"/>
                <w:noProof/>
              </w:rPr>
              <w:t>Recommended</w:t>
            </w:r>
            <w:r w:rsidRPr="005D5F32">
              <w:rPr>
                <w:rStyle w:val="a4"/>
                <w:noProof/>
                <w:lang w:val="en-US"/>
              </w:rPr>
              <w:t xml:space="preserve"> Project</w:t>
            </w:r>
            <w:r>
              <w:rPr>
                <w:noProof/>
                <w:webHidden/>
              </w:rPr>
              <w:tab/>
            </w:r>
            <w:r>
              <w:rPr>
                <w:noProof/>
                <w:webHidden/>
              </w:rPr>
              <w:fldChar w:fldCharType="begin"/>
            </w:r>
            <w:r>
              <w:rPr>
                <w:noProof/>
                <w:webHidden/>
              </w:rPr>
              <w:instrText xml:space="preserve"> PAGEREF _Toc237258768 \h </w:instrText>
            </w:r>
            <w:r>
              <w:rPr>
                <w:noProof/>
                <w:webHidden/>
              </w:rPr>
            </w:r>
            <w:r>
              <w:rPr>
                <w:noProof/>
                <w:webHidden/>
              </w:rPr>
              <w:fldChar w:fldCharType="separate"/>
            </w:r>
            <w:r>
              <w:rPr>
                <w:noProof/>
                <w:webHidden/>
              </w:rPr>
              <w:t>15</w:t>
            </w:r>
            <w:r>
              <w:rPr>
                <w:noProof/>
                <w:webHidden/>
              </w:rPr>
              <w:fldChar w:fldCharType="end"/>
            </w:r>
          </w:hyperlink>
        </w:p>
        <w:p w14:paraId="2AC07930" w14:textId="0BC498AF" w:rsidR="005025C3" w:rsidRDefault="005025C3">
          <w:pPr>
            <w:pStyle w:val="20"/>
            <w:tabs>
              <w:tab w:val="right" w:leader="dot" w:pos="9016"/>
            </w:tabs>
            <w:rPr>
              <w:noProof/>
              <w:kern w:val="2"/>
              <w:lang w:val="en-US" w:eastAsia="en-US"/>
              <w14:ligatures w14:val="standardContextual"/>
            </w:rPr>
          </w:pPr>
          <w:hyperlink w:anchor="_Toc237258769" w:history="1">
            <w:r w:rsidRPr="005D5F32">
              <w:rPr>
                <w:rStyle w:val="a4"/>
                <w:noProof/>
                <w:lang w:val="en-US"/>
              </w:rPr>
              <w:t>4.5 Capital Rationing</w:t>
            </w:r>
            <w:r>
              <w:rPr>
                <w:noProof/>
                <w:webHidden/>
              </w:rPr>
              <w:tab/>
            </w:r>
            <w:r>
              <w:rPr>
                <w:noProof/>
                <w:webHidden/>
              </w:rPr>
              <w:fldChar w:fldCharType="begin"/>
            </w:r>
            <w:r>
              <w:rPr>
                <w:noProof/>
                <w:webHidden/>
              </w:rPr>
              <w:instrText xml:space="preserve"> PAGEREF _Toc237258769 \h </w:instrText>
            </w:r>
            <w:r>
              <w:rPr>
                <w:noProof/>
                <w:webHidden/>
              </w:rPr>
            </w:r>
            <w:r>
              <w:rPr>
                <w:noProof/>
                <w:webHidden/>
              </w:rPr>
              <w:fldChar w:fldCharType="separate"/>
            </w:r>
            <w:r>
              <w:rPr>
                <w:noProof/>
                <w:webHidden/>
              </w:rPr>
              <w:t>15</w:t>
            </w:r>
            <w:r>
              <w:rPr>
                <w:noProof/>
                <w:webHidden/>
              </w:rPr>
              <w:fldChar w:fldCharType="end"/>
            </w:r>
          </w:hyperlink>
        </w:p>
        <w:p w14:paraId="34F5FEB4" w14:textId="09952E28" w:rsidR="005025C3" w:rsidRDefault="005025C3">
          <w:pPr>
            <w:pStyle w:val="20"/>
            <w:tabs>
              <w:tab w:val="right" w:leader="dot" w:pos="9016"/>
            </w:tabs>
            <w:rPr>
              <w:noProof/>
              <w:kern w:val="2"/>
              <w:lang w:val="en-US" w:eastAsia="en-US"/>
              <w14:ligatures w14:val="standardContextual"/>
            </w:rPr>
          </w:pPr>
          <w:hyperlink w:anchor="_Toc237258770" w:history="1">
            <w:r w:rsidRPr="005D5F32">
              <w:rPr>
                <w:rStyle w:val="a4"/>
                <w:noProof/>
                <w:lang w:val="en-US"/>
              </w:rPr>
              <w:t>4.6 Summary</w:t>
            </w:r>
            <w:r>
              <w:rPr>
                <w:noProof/>
                <w:webHidden/>
              </w:rPr>
              <w:tab/>
            </w:r>
            <w:r>
              <w:rPr>
                <w:noProof/>
                <w:webHidden/>
              </w:rPr>
              <w:fldChar w:fldCharType="begin"/>
            </w:r>
            <w:r>
              <w:rPr>
                <w:noProof/>
                <w:webHidden/>
              </w:rPr>
              <w:instrText xml:space="preserve"> PAGEREF _Toc237258770 \h </w:instrText>
            </w:r>
            <w:r>
              <w:rPr>
                <w:noProof/>
                <w:webHidden/>
              </w:rPr>
            </w:r>
            <w:r>
              <w:rPr>
                <w:noProof/>
                <w:webHidden/>
              </w:rPr>
              <w:fldChar w:fldCharType="separate"/>
            </w:r>
            <w:r>
              <w:rPr>
                <w:noProof/>
                <w:webHidden/>
              </w:rPr>
              <w:t>16</w:t>
            </w:r>
            <w:r>
              <w:rPr>
                <w:noProof/>
                <w:webHidden/>
              </w:rPr>
              <w:fldChar w:fldCharType="end"/>
            </w:r>
          </w:hyperlink>
        </w:p>
        <w:p w14:paraId="5C39182E" w14:textId="3232A836" w:rsidR="005025C3" w:rsidRDefault="005025C3">
          <w:pPr>
            <w:pStyle w:val="10"/>
            <w:tabs>
              <w:tab w:val="right" w:leader="dot" w:pos="9016"/>
            </w:tabs>
            <w:rPr>
              <w:noProof/>
              <w:kern w:val="2"/>
              <w:lang w:val="en-US" w:eastAsia="en-US"/>
              <w14:ligatures w14:val="standardContextual"/>
            </w:rPr>
          </w:pPr>
          <w:hyperlink w:anchor="_Toc237258771" w:history="1">
            <w:r w:rsidRPr="005D5F32">
              <w:rPr>
                <w:rStyle w:val="a4"/>
                <w:noProof/>
                <w:lang w:val="en-US"/>
              </w:rPr>
              <w:t>5. Critical Reflection on AI Usage</w:t>
            </w:r>
            <w:r>
              <w:rPr>
                <w:noProof/>
                <w:webHidden/>
              </w:rPr>
              <w:tab/>
            </w:r>
            <w:r>
              <w:rPr>
                <w:noProof/>
                <w:webHidden/>
              </w:rPr>
              <w:fldChar w:fldCharType="begin"/>
            </w:r>
            <w:r>
              <w:rPr>
                <w:noProof/>
                <w:webHidden/>
              </w:rPr>
              <w:instrText xml:space="preserve"> PAGEREF _Toc237258771 \h </w:instrText>
            </w:r>
            <w:r>
              <w:rPr>
                <w:noProof/>
                <w:webHidden/>
              </w:rPr>
            </w:r>
            <w:r>
              <w:rPr>
                <w:noProof/>
                <w:webHidden/>
              </w:rPr>
              <w:fldChar w:fldCharType="separate"/>
            </w:r>
            <w:r>
              <w:rPr>
                <w:noProof/>
                <w:webHidden/>
              </w:rPr>
              <w:t>16</w:t>
            </w:r>
            <w:r>
              <w:rPr>
                <w:noProof/>
                <w:webHidden/>
              </w:rPr>
              <w:fldChar w:fldCharType="end"/>
            </w:r>
          </w:hyperlink>
        </w:p>
        <w:p w14:paraId="15617FEB" w14:textId="326270CD" w:rsidR="005025C3" w:rsidRDefault="005025C3">
          <w:pPr>
            <w:pStyle w:val="20"/>
            <w:tabs>
              <w:tab w:val="right" w:leader="dot" w:pos="9016"/>
            </w:tabs>
            <w:rPr>
              <w:noProof/>
              <w:kern w:val="2"/>
              <w:lang w:val="en-US" w:eastAsia="en-US"/>
              <w14:ligatures w14:val="standardContextual"/>
            </w:rPr>
          </w:pPr>
          <w:hyperlink w:anchor="_Toc237258772" w:history="1">
            <w:r w:rsidRPr="005D5F32">
              <w:rPr>
                <w:rStyle w:val="a4"/>
                <w:noProof/>
                <w:lang w:val="en-US"/>
              </w:rPr>
              <w:t>5.1 Tool Disclosure</w:t>
            </w:r>
            <w:r>
              <w:rPr>
                <w:noProof/>
                <w:webHidden/>
              </w:rPr>
              <w:tab/>
            </w:r>
            <w:r>
              <w:rPr>
                <w:noProof/>
                <w:webHidden/>
              </w:rPr>
              <w:fldChar w:fldCharType="begin"/>
            </w:r>
            <w:r>
              <w:rPr>
                <w:noProof/>
                <w:webHidden/>
              </w:rPr>
              <w:instrText xml:space="preserve"> PAGEREF _Toc237258772 \h </w:instrText>
            </w:r>
            <w:r>
              <w:rPr>
                <w:noProof/>
                <w:webHidden/>
              </w:rPr>
            </w:r>
            <w:r>
              <w:rPr>
                <w:noProof/>
                <w:webHidden/>
              </w:rPr>
              <w:fldChar w:fldCharType="separate"/>
            </w:r>
            <w:r>
              <w:rPr>
                <w:noProof/>
                <w:webHidden/>
              </w:rPr>
              <w:t>16</w:t>
            </w:r>
            <w:r>
              <w:rPr>
                <w:noProof/>
                <w:webHidden/>
              </w:rPr>
              <w:fldChar w:fldCharType="end"/>
            </w:r>
          </w:hyperlink>
        </w:p>
        <w:p w14:paraId="587520BA" w14:textId="3D1A0E2B" w:rsidR="005025C3" w:rsidRDefault="005025C3">
          <w:pPr>
            <w:pStyle w:val="20"/>
            <w:tabs>
              <w:tab w:val="right" w:leader="dot" w:pos="9016"/>
            </w:tabs>
            <w:rPr>
              <w:noProof/>
              <w:kern w:val="2"/>
              <w:lang w:val="en-US" w:eastAsia="en-US"/>
              <w14:ligatures w14:val="standardContextual"/>
            </w:rPr>
          </w:pPr>
          <w:hyperlink w:anchor="_Toc237258773" w:history="1">
            <w:r w:rsidRPr="005D5F32">
              <w:rPr>
                <w:rStyle w:val="a4"/>
                <w:noProof/>
                <w:lang w:val="en-US"/>
              </w:rPr>
              <w:t>5.2 Critical Evaluation and Verification of AI Output</w:t>
            </w:r>
            <w:r>
              <w:rPr>
                <w:noProof/>
                <w:webHidden/>
              </w:rPr>
              <w:tab/>
            </w:r>
            <w:r>
              <w:rPr>
                <w:noProof/>
                <w:webHidden/>
              </w:rPr>
              <w:fldChar w:fldCharType="begin"/>
            </w:r>
            <w:r>
              <w:rPr>
                <w:noProof/>
                <w:webHidden/>
              </w:rPr>
              <w:instrText xml:space="preserve"> PAGEREF _Toc237258773 \h </w:instrText>
            </w:r>
            <w:r>
              <w:rPr>
                <w:noProof/>
                <w:webHidden/>
              </w:rPr>
            </w:r>
            <w:r>
              <w:rPr>
                <w:noProof/>
                <w:webHidden/>
              </w:rPr>
              <w:fldChar w:fldCharType="separate"/>
            </w:r>
            <w:r>
              <w:rPr>
                <w:noProof/>
                <w:webHidden/>
              </w:rPr>
              <w:t>17</w:t>
            </w:r>
            <w:r>
              <w:rPr>
                <w:noProof/>
                <w:webHidden/>
              </w:rPr>
              <w:fldChar w:fldCharType="end"/>
            </w:r>
          </w:hyperlink>
        </w:p>
        <w:p w14:paraId="20756EEA" w14:textId="732DDEA5" w:rsidR="005025C3" w:rsidRDefault="005025C3">
          <w:pPr>
            <w:pStyle w:val="20"/>
            <w:tabs>
              <w:tab w:val="right" w:leader="dot" w:pos="9016"/>
            </w:tabs>
            <w:rPr>
              <w:noProof/>
              <w:kern w:val="2"/>
              <w:lang w:val="en-US" w:eastAsia="en-US"/>
              <w14:ligatures w14:val="standardContextual"/>
            </w:rPr>
          </w:pPr>
          <w:hyperlink w:anchor="_Toc237258774" w:history="1">
            <w:r w:rsidRPr="005D5F32">
              <w:rPr>
                <w:rStyle w:val="a4"/>
                <w:noProof/>
                <w:lang w:val="en-US"/>
              </w:rPr>
              <w:t>5.3 Contribution Analysis</w:t>
            </w:r>
            <w:r>
              <w:rPr>
                <w:noProof/>
                <w:webHidden/>
              </w:rPr>
              <w:tab/>
            </w:r>
            <w:r>
              <w:rPr>
                <w:noProof/>
                <w:webHidden/>
              </w:rPr>
              <w:fldChar w:fldCharType="begin"/>
            </w:r>
            <w:r>
              <w:rPr>
                <w:noProof/>
                <w:webHidden/>
              </w:rPr>
              <w:instrText xml:space="preserve"> PAGEREF _Toc237258774 \h </w:instrText>
            </w:r>
            <w:r>
              <w:rPr>
                <w:noProof/>
                <w:webHidden/>
              </w:rPr>
            </w:r>
            <w:r>
              <w:rPr>
                <w:noProof/>
                <w:webHidden/>
              </w:rPr>
              <w:fldChar w:fldCharType="separate"/>
            </w:r>
            <w:r>
              <w:rPr>
                <w:noProof/>
                <w:webHidden/>
              </w:rPr>
              <w:t>17</w:t>
            </w:r>
            <w:r>
              <w:rPr>
                <w:noProof/>
                <w:webHidden/>
              </w:rPr>
              <w:fldChar w:fldCharType="end"/>
            </w:r>
          </w:hyperlink>
        </w:p>
        <w:p w14:paraId="542CDDB3" w14:textId="7C5B1F11" w:rsidR="005025C3" w:rsidRDefault="005025C3">
          <w:pPr>
            <w:pStyle w:val="20"/>
            <w:tabs>
              <w:tab w:val="right" w:leader="dot" w:pos="9016"/>
            </w:tabs>
            <w:rPr>
              <w:noProof/>
              <w:kern w:val="2"/>
              <w:lang w:val="en-US" w:eastAsia="en-US"/>
              <w14:ligatures w14:val="standardContextual"/>
            </w:rPr>
          </w:pPr>
          <w:hyperlink w:anchor="_Toc237258775" w:history="1">
            <w:r w:rsidRPr="005D5F32">
              <w:rPr>
                <w:rStyle w:val="a4"/>
                <w:noProof/>
                <w:lang w:val="en-US"/>
              </w:rPr>
              <w:t>5.4 Ethical and Professional Reflection</w:t>
            </w:r>
            <w:r>
              <w:rPr>
                <w:noProof/>
                <w:webHidden/>
              </w:rPr>
              <w:tab/>
            </w:r>
            <w:r>
              <w:rPr>
                <w:noProof/>
                <w:webHidden/>
              </w:rPr>
              <w:fldChar w:fldCharType="begin"/>
            </w:r>
            <w:r>
              <w:rPr>
                <w:noProof/>
                <w:webHidden/>
              </w:rPr>
              <w:instrText xml:space="preserve"> PAGEREF _Toc237258775 \h </w:instrText>
            </w:r>
            <w:r>
              <w:rPr>
                <w:noProof/>
                <w:webHidden/>
              </w:rPr>
            </w:r>
            <w:r>
              <w:rPr>
                <w:noProof/>
                <w:webHidden/>
              </w:rPr>
              <w:fldChar w:fldCharType="separate"/>
            </w:r>
            <w:r>
              <w:rPr>
                <w:noProof/>
                <w:webHidden/>
              </w:rPr>
              <w:t>18</w:t>
            </w:r>
            <w:r>
              <w:rPr>
                <w:noProof/>
                <w:webHidden/>
              </w:rPr>
              <w:fldChar w:fldCharType="end"/>
            </w:r>
          </w:hyperlink>
        </w:p>
        <w:p w14:paraId="5841FBEF" w14:textId="4AC65917" w:rsidR="005025C3" w:rsidRDefault="005025C3">
          <w:pPr>
            <w:pStyle w:val="10"/>
            <w:tabs>
              <w:tab w:val="right" w:leader="dot" w:pos="9016"/>
            </w:tabs>
            <w:rPr>
              <w:noProof/>
              <w:kern w:val="2"/>
              <w:lang w:val="en-US" w:eastAsia="en-US"/>
              <w14:ligatures w14:val="standardContextual"/>
            </w:rPr>
          </w:pPr>
          <w:hyperlink w:anchor="_Toc237258776" w:history="1">
            <w:r w:rsidRPr="005D5F32">
              <w:rPr>
                <w:rStyle w:val="a4"/>
                <w:noProof/>
              </w:rPr>
              <w:t>References</w:t>
            </w:r>
            <w:r>
              <w:rPr>
                <w:noProof/>
                <w:webHidden/>
              </w:rPr>
              <w:tab/>
            </w:r>
            <w:r>
              <w:rPr>
                <w:noProof/>
                <w:webHidden/>
              </w:rPr>
              <w:fldChar w:fldCharType="begin"/>
            </w:r>
            <w:r>
              <w:rPr>
                <w:noProof/>
                <w:webHidden/>
              </w:rPr>
              <w:instrText xml:space="preserve"> PAGEREF _Toc237258776 \h </w:instrText>
            </w:r>
            <w:r>
              <w:rPr>
                <w:noProof/>
                <w:webHidden/>
              </w:rPr>
            </w:r>
            <w:r>
              <w:rPr>
                <w:noProof/>
                <w:webHidden/>
              </w:rPr>
              <w:fldChar w:fldCharType="separate"/>
            </w:r>
            <w:r>
              <w:rPr>
                <w:noProof/>
                <w:webHidden/>
              </w:rPr>
              <w:t>18</w:t>
            </w:r>
            <w:r>
              <w:rPr>
                <w:noProof/>
                <w:webHidden/>
              </w:rPr>
              <w:fldChar w:fldCharType="end"/>
            </w:r>
          </w:hyperlink>
        </w:p>
        <w:p w14:paraId="766AECD8" w14:textId="65F58123" w:rsidR="005025C3" w:rsidRDefault="005025C3">
          <w:pPr>
            <w:pStyle w:val="10"/>
            <w:tabs>
              <w:tab w:val="right" w:leader="dot" w:pos="9016"/>
            </w:tabs>
            <w:rPr>
              <w:noProof/>
              <w:kern w:val="2"/>
              <w:lang w:val="en-US" w:eastAsia="en-US"/>
              <w14:ligatures w14:val="standardContextual"/>
            </w:rPr>
          </w:pPr>
          <w:hyperlink w:anchor="_Toc237258777" w:history="1">
            <w:r w:rsidRPr="005D5F32">
              <w:rPr>
                <w:rStyle w:val="a4"/>
                <w:noProof/>
                <w:lang w:val="en-US"/>
              </w:rPr>
              <w:t>Appendices</w:t>
            </w:r>
            <w:r>
              <w:rPr>
                <w:noProof/>
                <w:webHidden/>
              </w:rPr>
              <w:tab/>
            </w:r>
            <w:r>
              <w:rPr>
                <w:noProof/>
                <w:webHidden/>
              </w:rPr>
              <w:fldChar w:fldCharType="begin"/>
            </w:r>
            <w:r>
              <w:rPr>
                <w:noProof/>
                <w:webHidden/>
              </w:rPr>
              <w:instrText xml:space="preserve"> PAGEREF _Toc237258777 \h </w:instrText>
            </w:r>
            <w:r>
              <w:rPr>
                <w:noProof/>
                <w:webHidden/>
              </w:rPr>
            </w:r>
            <w:r>
              <w:rPr>
                <w:noProof/>
                <w:webHidden/>
              </w:rPr>
              <w:fldChar w:fldCharType="separate"/>
            </w:r>
            <w:r>
              <w:rPr>
                <w:noProof/>
                <w:webHidden/>
              </w:rPr>
              <w:t>19</w:t>
            </w:r>
            <w:r>
              <w:rPr>
                <w:noProof/>
                <w:webHidden/>
              </w:rPr>
              <w:fldChar w:fldCharType="end"/>
            </w:r>
          </w:hyperlink>
        </w:p>
        <w:p w14:paraId="4E386F6F" w14:textId="7F0CFF52" w:rsidR="0C1E8527" w:rsidRDefault="0C1E8527" w:rsidP="0C1E8527">
          <w:pPr>
            <w:pStyle w:val="10"/>
          </w:pPr>
          <w:r>
            <w:fldChar w:fldCharType="end"/>
          </w:r>
        </w:p>
      </w:sdtContent>
    </w:sdt>
    <w:p w14:paraId="5867725A" w14:textId="1454262D" w:rsidR="0C1E8527" w:rsidRDefault="0C1E8527" w:rsidP="0C1E8527"/>
    <w:p w14:paraId="4677F7A2" w14:textId="66D8272D" w:rsidR="0C1E8527" w:rsidRDefault="0C1E8527">
      <w:r>
        <w:br w:type="page"/>
      </w:r>
    </w:p>
    <w:p w14:paraId="28F16A24" w14:textId="77777777" w:rsidR="00AA15B1" w:rsidRPr="005025C3" w:rsidRDefault="00AA15B1" w:rsidP="005025C3">
      <w:pPr>
        <w:pStyle w:val="1"/>
        <w:rPr>
          <w:lang w:val="en-US"/>
        </w:rPr>
      </w:pPr>
      <w:bookmarkStart w:id="1" w:name="_Toc237258742"/>
      <w:r w:rsidRPr="005025C3">
        <w:rPr>
          <w:lang w:val="en-US"/>
        </w:rPr>
        <w:lastRenderedPageBreak/>
        <w:t xml:space="preserve">1. </w:t>
      </w:r>
      <w:r w:rsidRPr="005025C3">
        <w:t>Financial</w:t>
      </w:r>
      <w:r w:rsidRPr="005025C3">
        <w:rPr>
          <w:lang w:val="en-US"/>
        </w:rPr>
        <w:t xml:space="preserve"> Health Check</w:t>
      </w:r>
      <w:bookmarkEnd w:id="1"/>
    </w:p>
    <w:p w14:paraId="5081AF02" w14:textId="77777777" w:rsidR="00AA15B1" w:rsidRPr="005025C3" w:rsidRDefault="00AA15B1" w:rsidP="005025C3">
      <w:pPr>
        <w:pStyle w:val="2"/>
        <w:rPr>
          <w:lang w:val="en-US"/>
        </w:rPr>
      </w:pPr>
      <w:bookmarkStart w:id="2" w:name="_Toc237258743"/>
      <w:r w:rsidRPr="005025C3">
        <w:rPr>
          <w:lang w:val="en-US"/>
        </w:rPr>
        <w:t xml:space="preserve">1.1 </w:t>
      </w:r>
      <w:r w:rsidRPr="005025C3">
        <w:t>Introduction</w:t>
      </w:r>
      <w:bookmarkEnd w:id="2"/>
    </w:p>
    <w:p w14:paraId="39FB9365" w14:textId="77777777" w:rsidR="00FA0D22" w:rsidRPr="005025C3" w:rsidRDefault="00FA0D22" w:rsidP="005025C3">
      <w:pPr>
        <w:jc w:val="both"/>
        <w:rPr>
          <w:rFonts w:cstheme="minorHAnsi"/>
          <w:lang w:val="en-US"/>
        </w:rPr>
      </w:pPr>
      <w:r w:rsidRPr="005025C3">
        <w:rPr>
          <w:rFonts w:cstheme="minorHAnsi"/>
          <w:lang w:val="en-US"/>
        </w:rPr>
        <w:t>Marriott International, Inc. is one of the world's largest hospitality companies, operating more than 9,000 properties across over 140 countries and territories through more than 30 hotel brands (Marriott International, 2025). Its predominantly asset-light model relies on management, franchise and licensing agreements, supporting international expansion while limiting capital investment.</w:t>
      </w:r>
    </w:p>
    <w:p w14:paraId="03524F14" w14:textId="6AD367A0" w:rsidR="00FA0D22" w:rsidRPr="005025C3" w:rsidRDefault="00FA0D22" w:rsidP="005025C3">
      <w:pPr>
        <w:jc w:val="both"/>
        <w:rPr>
          <w:rFonts w:cstheme="minorHAnsi"/>
          <w:lang w:val="en-US"/>
        </w:rPr>
      </w:pPr>
      <w:r w:rsidRPr="005025C3">
        <w:rPr>
          <w:rFonts w:cstheme="minorHAnsi"/>
          <w:lang w:val="en-US"/>
        </w:rPr>
        <w:t>The hospitality industry experienced substantial change between 2021 and 2025, including post-pandemic recovery, inflation and changing travel demand. The recovery of international tourism created opportunities for global hotel operators while introducing new financial challenges (UN Tourism, 202</w:t>
      </w:r>
      <w:r w:rsidR="00B7430F" w:rsidRPr="005025C3">
        <w:rPr>
          <w:rFonts w:cstheme="minorHAnsi"/>
          <w:lang w:val="en-US"/>
        </w:rPr>
        <w:t>5</w:t>
      </w:r>
      <w:r w:rsidRPr="005025C3">
        <w:rPr>
          <w:rFonts w:cstheme="minorHAnsi"/>
          <w:lang w:val="en-US"/>
        </w:rPr>
        <w:t>).</w:t>
      </w:r>
    </w:p>
    <w:p w14:paraId="07B06D63" w14:textId="77777777" w:rsidR="00FA0D22" w:rsidRPr="005025C3" w:rsidRDefault="00FA0D22" w:rsidP="005025C3">
      <w:pPr>
        <w:jc w:val="both"/>
        <w:rPr>
          <w:rFonts w:cstheme="minorHAnsi"/>
          <w:lang w:val="en-US"/>
        </w:rPr>
      </w:pPr>
      <w:r w:rsidRPr="005025C3">
        <w:rPr>
          <w:rFonts w:cstheme="minorHAnsi"/>
          <w:lang w:val="en-US"/>
        </w:rPr>
        <w:t>This section evaluates Marriott's financial health from 2021–2025 using audited annual reports and financial ratios covering profitability, liquidity, efficiency, gearing, investment and cash flow. It also identifies key trends and risks and compares Marriott with Hilton and Hyatt to assess its position relative to industry competitors.</w:t>
      </w:r>
    </w:p>
    <w:p w14:paraId="1A23C7F4" w14:textId="77777777" w:rsidR="00AA15B1" w:rsidRPr="005025C3" w:rsidRDefault="00AA15B1" w:rsidP="005025C3">
      <w:pPr>
        <w:pStyle w:val="2"/>
        <w:rPr>
          <w:lang w:val="en-US"/>
        </w:rPr>
      </w:pPr>
      <w:bookmarkStart w:id="3" w:name="_Toc237258744"/>
      <w:r w:rsidRPr="005025C3">
        <w:rPr>
          <w:lang w:val="en-US"/>
        </w:rPr>
        <w:t xml:space="preserve">1.2 Analysis of </w:t>
      </w:r>
      <w:r w:rsidRPr="005025C3">
        <w:t>Financial</w:t>
      </w:r>
      <w:r w:rsidRPr="005025C3">
        <w:rPr>
          <w:lang w:val="en-US"/>
        </w:rPr>
        <w:t xml:space="preserve"> Statements</w:t>
      </w:r>
      <w:bookmarkEnd w:id="3"/>
    </w:p>
    <w:p w14:paraId="3AFCFEA5" w14:textId="08F0A54C" w:rsidR="00FA0D22" w:rsidRPr="005025C3" w:rsidRDefault="00FA0D22" w:rsidP="005025C3">
      <w:pPr>
        <w:jc w:val="both"/>
        <w:rPr>
          <w:rFonts w:cstheme="minorHAnsi"/>
          <w:lang w:val="en-US"/>
        </w:rPr>
      </w:pPr>
      <w:r w:rsidRPr="005025C3">
        <w:rPr>
          <w:rFonts w:cstheme="minorHAnsi"/>
          <w:lang w:val="en-US"/>
        </w:rPr>
        <w:t>Marriott International's financial statements (see Appendices A–C) demonstrate a strong recovery between 2021 and 2025, supported by the recovery of global travel and the company's asset-light business model. Financial statement analysis provides the foundation for assessing financial performance and sustainability (Atrill and McLaney, 202</w:t>
      </w:r>
      <w:r w:rsidR="00B7430F" w:rsidRPr="005025C3">
        <w:rPr>
          <w:rFonts w:cstheme="minorHAnsi"/>
          <w:lang w:val="en-US"/>
        </w:rPr>
        <w:t>4</w:t>
      </w:r>
      <w:r w:rsidRPr="005025C3">
        <w:rPr>
          <w:rFonts w:cstheme="minorHAnsi"/>
          <w:lang w:val="en-US"/>
        </w:rPr>
        <w:t>).</w:t>
      </w:r>
    </w:p>
    <w:p w14:paraId="16C1C0C2" w14:textId="3EED8D3C" w:rsidR="00FA0D22" w:rsidRPr="005025C3" w:rsidRDefault="00FA0D22" w:rsidP="005025C3">
      <w:pPr>
        <w:jc w:val="both"/>
        <w:rPr>
          <w:rFonts w:cstheme="minorHAnsi"/>
          <w:lang w:val="en-US"/>
        </w:rPr>
      </w:pPr>
      <w:r w:rsidRPr="005025C3">
        <w:rPr>
          <w:rFonts w:cstheme="minorHAnsi"/>
          <w:lang w:val="en-US"/>
        </w:rPr>
        <w:t>The Income Statement (see Appendix A) shows substantial growth over the period. Revenue increased from approximately US$13.9 billion in 2021 to US$26.2 billion in 2025, supported by recovering travel demand, higher room rates and expansion of Marriott's global portfolio. This trend reflects the wider recovery of international tourism following the pandemic (UN Tourism, 202</w:t>
      </w:r>
      <w:r w:rsidR="00B7430F" w:rsidRPr="005025C3">
        <w:rPr>
          <w:rFonts w:cstheme="minorHAnsi"/>
          <w:lang w:val="en-US"/>
        </w:rPr>
        <w:t>5</w:t>
      </w:r>
      <w:r w:rsidRPr="005025C3">
        <w:rPr>
          <w:rFonts w:cstheme="minorHAnsi"/>
          <w:lang w:val="en-US"/>
        </w:rPr>
        <w:t>). Net income also increased substantially compared with 2021, although performance fluctuated during the period, demonstrating continued exposure to operating and financing pressures.</w:t>
      </w:r>
    </w:p>
    <w:p w14:paraId="220C8A86" w14:textId="77777777" w:rsidR="00FA0D22" w:rsidRPr="005025C3" w:rsidRDefault="00FA0D22" w:rsidP="005025C3">
      <w:pPr>
        <w:jc w:val="both"/>
        <w:rPr>
          <w:rFonts w:cstheme="minorHAnsi"/>
          <w:lang w:val="en-US"/>
        </w:rPr>
      </w:pPr>
      <w:r w:rsidRPr="005025C3">
        <w:rPr>
          <w:rFonts w:cstheme="minorHAnsi"/>
          <w:lang w:val="en-US"/>
        </w:rPr>
        <w:t>The Balance Sheet (see Appendix B) reflects Marriott's asset-light strategy, which relies heavily on management and franchise agreements rather than hotel ownership. This supports global expansion with relatively limited investment in physical assets. However, substantial liabilities and negative shareholders' equity remain important financial concerns. Share repurchases have contributed to the equity deficit, affecting the interpretation of leverage and ROE.</w:t>
      </w:r>
    </w:p>
    <w:p w14:paraId="562B0B6C" w14:textId="3B2CBBC7" w:rsidR="00FA0D22" w:rsidRPr="005025C3" w:rsidRDefault="00FA0D22" w:rsidP="005025C3">
      <w:pPr>
        <w:jc w:val="both"/>
        <w:rPr>
          <w:rFonts w:cstheme="minorHAnsi"/>
          <w:lang w:val="en-US"/>
        </w:rPr>
      </w:pPr>
      <w:r w:rsidRPr="005025C3">
        <w:rPr>
          <w:rFonts w:cstheme="minorHAnsi"/>
          <w:lang w:val="en-US"/>
        </w:rPr>
        <w:t>The Statement of Cash Flows (see Appendix C) demonstrates strong cash generation from Marriott's core operations. Improved operating cash flows provided internal funding for investment, dividends and share repurchases, increasing financial flexibility and reducing dependence on external financing (Brigham and Ehrhardt, 202</w:t>
      </w:r>
      <w:r w:rsidR="00B7430F" w:rsidRPr="005025C3">
        <w:rPr>
          <w:rFonts w:cstheme="minorHAnsi"/>
          <w:lang w:val="en-US"/>
        </w:rPr>
        <w:t>0</w:t>
      </w:r>
      <w:r w:rsidRPr="005025C3">
        <w:rPr>
          <w:rFonts w:cstheme="minorHAnsi"/>
          <w:lang w:val="en-US"/>
        </w:rPr>
        <w:t>).</w:t>
      </w:r>
    </w:p>
    <w:p w14:paraId="4C6218C8" w14:textId="77777777" w:rsidR="00FA0D22" w:rsidRPr="005025C3" w:rsidRDefault="00FA0D22" w:rsidP="005025C3">
      <w:pPr>
        <w:jc w:val="both"/>
        <w:rPr>
          <w:rFonts w:cstheme="minorHAnsi"/>
          <w:lang w:val="en-US"/>
        </w:rPr>
      </w:pPr>
      <w:r w:rsidRPr="005025C3">
        <w:rPr>
          <w:rFonts w:cstheme="minorHAnsi"/>
          <w:lang w:val="en-US"/>
        </w:rPr>
        <w:lastRenderedPageBreak/>
        <w:t>Overall, Marriott's statements indicate substantial post-pandemic recovery and stronger financial performance, particularly in revenue and cash generation. However, high liabilities and negative equity remain potential risks. These issues are examined further through the financial ratio analysis presented in Appendix D.</w:t>
      </w:r>
    </w:p>
    <w:p w14:paraId="69BAA884" w14:textId="3CA6B54B" w:rsidR="00AA15B1" w:rsidRPr="005025C3" w:rsidRDefault="00AA15B1" w:rsidP="005025C3">
      <w:pPr>
        <w:pStyle w:val="2"/>
        <w:rPr>
          <w:lang w:val="en-US"/>
        </w:rPr>
      </w:pPr>
      <w:bookmarkStart w:id="4" w:name="_Toc237258745"/>
      <w:r w:rsidRPr="005025C3">
        <w:rPr>
          <w:lang w:val="en-US"/>
        </w:rPr>
        <w:t xml:space="preserve">1.3 </w:t>
      </w:r>
      <w:r w:rsidRPr="005025C3">
        <w:t>Financial</w:t>
      </w:r>
      <w:r w:rsidRPr="005025C3">
        <w:rPr>
          <w:lang w:val="en-US"/>
        </w:rPr>
        <w:t xml:space="preserve"> Ratio Analysis</w:t>
      </w:r>
      <w:bookmarkEnd w:id="4"/>
    </w:p>
    <w:p w14:paraId="7A5A8D96" w14:textId="50D77BD6" w:rsidR="001132C9" w:rsidRPr="005025C3" w:rsidRDefault="00FA0D22" w:rsidP="005025C3">
      <w:pPr>
        <w:jc w:val="both"/>
        <w:rPr>
          <w:rFonts w:eastAsiaTheme="majorEastAsia" w:cstheme="minorHAnsi"/>
          <w:lang w:val="en-US"/>
        </w:rPr>
      </w:pPr>
      <w:r w:rsidRPr="005025C3">
        <w:rPr>
          <w:rFonts w:eastAsiaTheme="majorEastAsia" w:cstheme="minorHAnsi"/>
        </w:rPr>
        <w:t>Financial ratio analysis evaluates profitability, liquidity, efficiency, gearing, investment and cash flow performance and helps identify changes in financial performance over time (Atrill and McLaney, 202</w:t>
      </w:r>
      <w:r w:rsidR="00B7430F" w:rsidRPr="005025C3">
        <w:rPr>
          <w:rFonts w:eastAsiaTheme="majorEastAsia" w:cstheme="minorHAnsi"/>
        </w:rPr>
        <w:t>4</w:t>
      </w:r>
      <w:r w:rsidRPr="005025C3">
        <w:rPr>
          <w:rFonts w:eastAsiaTheme="majorEastAsia" w:cstheme="minorHAnsi"/>
        </w:rPr>
        <w:t>). Detailed calculations for 2021–2025 are presented in Appendix D – Financial Ratio Analysis and Supporting Calculations (2021–2025).</w:t>
      </w:r>
    </w:p>
    <w:p w14:paraId="38DFB7BB" w14:textId="77777777" w:rsidR="00AA15B1" w:rsidRPr="005025C3" w:rsidRDefault="00AA15B1" w:rsidP="005025C3">
      <w:pPr>
        <w:pStyle w:val="3"/>
        <w:rPr>
          <w:lang w:val="en-US"/>
        </w:rPr>
      </w:pPr>
      <w:bookmarkStart w:id="5" w:name="_Toc237258746"/>
      <w:r w:rsidRPr="005025C3">
        <w:rPr>
          <w:lang w:val="en-US"/>
        </w:rPr>
        <w:t xml:space="preserve">1.3.1 </w:t>
      </w:r>
      <w:r w:rsidRPr="005025C3">
        <w:t>Profitability</w:t>
      </w:r>
      <w:bookmarkEnd w:id="5"/>
      <w:r w:rsidRPr="005025C3">
        <w:rPr>
          <w:lang w:val="en-US"/>
        </w:rPr>
        <w:t xml:space="preserve"> </w:t>
      </w:r>
    </w:p>
    <w:p w14:paraId="64C36221" w14:textId="77777777" w:rsidR="00FA0D22" w:rsidRPr="005025C3" w:rsidRDefault="00FA0D22" w:rsidP="005025C3">
      <w:pPr>
        <w:jc w:val="both"/>
        <w:rPr>
          <w:rFonts w:eastAsiaTheme="majorEastAsia" w:cstheme="minorHAnsi"/>
          <w:lang w:val="en-US"/>
        </w:rPr>
      </w:pPr>
      <w:r w:rsidRPr="005025C3">
        <w:rPr>
          <w:rFonts w:eastAsiaTheme="majorEastAsia" w:cstheme="minorHAnsi"/>
          <w:lang w:val="en-US"/>
        </w:rPr>
        <w:t>Marriott's profitability ratios (see Appendix D) demonstrate a strong post-pandemic recovery. Gross profit margin remained relatively stable at approximately 20–22%, suggesting effective cost control despite inflationary pressures.</w:t>
      </w:r>
    </w:p>
    <w:p w14:paraId="36987D81" w14:textId="77777777" w:rsidR="00FA0D22" w:rsidRPr="005025C3" w:rsidRDefault="00FA0D22" w:rsidP="005025C3">
      <w:pPr>
        <w:jc w:val="both"/>
        <w:rPr>
          <w:rFonts w:eastAsiaTheme="majorEastAsia" w:cstheme="minorHAnsi"/>
          <w:lang w:val="en-US"/>
        </w:rPr>
      </w:pPr>
      <w:r w:rsidRPr="005025C3">
        <w:rPr>
          <w:rFonts w:eastAsiaTheme="majorEastAsia" w:cstheme="minorHAnsi"/>
          <w:lang w:val="en-US"/>
        </w:rPr>
        <w:t>Operating margin increased from 12.69% in 2021 to 15.81% in 2025, indicating improved operational efficiency as travel demand recovered. Similarly, net profit margin increased from 7.93% to 9.93%, although performance fluctuated during the period. The improvement suggests that Marriott successfully converted revenue growth into stronger earnings despite higher operating and financing costs.</w:t>
      </w:r>
    </w:p>
    <w:p w14:paraId="13139ED3" w14:textId="5036F9CC" w:rsidR="00FA0D22" w:rsidRPr="005025C3" w:rsidRDefault="00FA0D22" w:rsidP="005025C3">
      <w:pPr>
        <w:jc w:val="both"/>
        <w:rPr>
          <w:rFonts w:eastAsiaTheme="majorEastAsia" w:cstheme="minorHAnsi"/>
          <w:lang w:val="en-US"/>
        </w:rPr>
      </w:pPr>
      <w:r w:rsidRPr="005025C3">
        <w:rPr>
          <w:rFonts w:eastAsiaTheme="majorEastAsia" w:cstheme="minorHAnsi"/>
          <w:lang w:val="en-US"/>
        </w:rPr>
        <w:t>Overall, the profitability trend demonstrates improved operational performance and financial resilience. However, fluctuations in margins also indicate continued exposure to inflation, labour costs and wider economic conditions (Brigham and Ehrhardt, 202</w:t>
      </w:r>
      <w:r w:rsidR="00B7430F" w:rsidRPr="005025C3">
        <w:rPr>
          <w:rFonts w:eastAsiaTheme="majorEastAsia" w:cstheme="minorHAnsi"/>
          <w:lang w:val="en-US"/>
        </w:rPr>
        <w:t>0</w:t>
      </w:r>
      <w:r w:rsidRPr="005025C3">
        <w:rPr>
          <w:rFonts w:eastAsiaTheme="majorEastAsia" w:cstheme="minorHAnsi"/>
          <w:lang w:val="en-US"/>
        </w:rPr>
        <w:t>).</w:t>
      </w:r>
    </w:p>
    <w:p w14:paraId="79984A5C" w14:textId="77777777" w:rsidR="00AA15B1" w:rsidRPr="005025C3" w:rsidRDefault="00AA15B1" w:rsidP="005025C3">
      <w:pPr>
        <w:pStyle w:val="3"/>
        <w:rPr>
          <w:lang w:val="en-US"/>
        </w:rPr>
      </w:pPr>
      <w:bookmarkStart w:id="6" w:name="_Toc237258747"/>
      <w:r w:rsidRPr="005025C3">
        <w:rPr>
          <w:lang w:val="en-US"/>
        </w:rPr>
        <w:t>1.3.2 Liquidity</w:t>
      </w:r>
      <w:bookmarkEnd w:id="6"/>
      <w:r w:rsidRPr="005025C3">
        <w:rPr>
          <w:lang w:val="en-US"/>
        </w:rPr>
        <w:t xml:space="preserve"> </w:t>
      </w:r>
    </w:p>
    <w:p w14:paraId="7E17FDF0" w14:textId="77777777" w:rsidR="00FA0D22" w:rsidRPr="005025C3" w:rsidRDefault="00FA0D22" w:rsidP="005025C3">
      <w:pPr>
        <w:jc w:val="both"/>
        <w:rPr>
          <w:rFonts w:eastAsiaTheme="majorEastAsia" w:cstheme="minorHAnsi"/>
          <w:lang w:val="en-US"/>
        </w:rPr>
      </w:pPr>
      <w:r w:rsidRPr="005025C3">
        <w:rPr>
          <w:rFonts w:eastAsiaTheme="majorEastAsia" w:cstheme="minorHAnsi"/>
          <w:lang w:val="en-US"/>
        </w:rPr>
        <w:t>Marriott's liquidity ratios (see Appendix D) remained below the conventional benchmark of 1 throughout 2021–2025. The current ratio increased slightly from 0.40 in 2024 to 0.43 in 2025, while the quick ratio improved from 0.37 to 0.39, indicating a modest improvement in short-term liquidity.</w:t>
      </w:r>
    </w:p>
    <w:p w14:paraId="7975DF56" w14:textId="477AF20C" w:rsidR="00FA0D22" w:rsidRPr="005025C3" w:rsidRDefault="00FA0D22" w:rsidP="005025C3">
      <w:pPr>
        <w:jc w:val="both"/>
        <w:rPr>
          <w:rFonts w:eastAsiaTheme="majorEastAsia" w:cstheme="minorHAnsi"/>
          <w:lang w:val="en-US"/>
        </w:rPr>
      </w:pPr>
      <w:r w:rsidRPr="005025C3">
        <w:rPr>
          <w:rFonts w:eastAsiaTheme="majorEastAsia" w:cstheme="minorHAnsi"/>
          <w:lang w:val="en-US"/>
        </w:rPr>
        <w:t>The cash ratio remained particularly low, ranging between 0.04 and 0.22, indicating limited cash reserves relative to current liabilities. However, Marriott consistently generated positive operating cash flows (see Appendix C), reducing its dependence on large cash balances. Therefore, although low liquidity represents a potential financial risk, it should be considered alongside Marriott's strong cash-generating capability and asset-light operating model (Brigham and Ehrhardt, 202</w:t>
      </w:r>
      <w:r w:rsidR="00B7430F" w:rsidRPr="005025C3">
        <w:rPr>
          <w:rFonts w:eastAsiaTheme="majorEastAsia" w:cstheme="minorHAnsi"/>
          <w:lang w:val="en-US"/>
        </w:rPr>
        <w:t>0</w:t>
      </w:r>
      <w:r w:rsidRPr="005025C3">
        <w:rPr>
          <w:rFonts w:eastAsiaTheme="majorEastAsia" w:cstheme="minorHAnsi"/>
          <w:lang w:val="en-US"/>
        </w:rPr>
        <w:t>).</w:t>
      </w:r>
    </w:p>
    <w:p w14:paraId="6269ABEC" w14:textId="77777777" w:rsidR="00AA15B1" w:rsidRPr="005025C3" w:rsidRDefault="00AA15B1" w:rsidP="005025C3">
      <w:pPr>
        <w:pStyle w:val="3"/>
        <w:rPr>
          <w:lang w:val="en-US"/>
        </w:rPr>
      </w:pPr>
      <w:bookmarkStart w:id="7" w:name="_Toc237258748"/>
      <w:r w:rsidRPr="005025C3">
        <w:rPr>
          <w:lang w:val="en-US"/>
        </w:rPr>
        <w:t xml:space="preserve">1.3.3 </w:t>
      </w:r>
      <w:r w:rsidRPr="005025C3">
        <w:t>Efficiency</w:t>
      </w:r>
      <w:bookmarkEnd w:id="7"/>
      <w:r w:rsidRPr="005025C3">
        <w:rPr>
          <w:lang w:val="en-US"/>
        </w:rPr>
        <w:t xml:space="preserve"> </w:t>
      </w:r>
    </w:p>
    <w:p w14:paraId="25C1D7CC" w14:textId="77777777" w:rsidR="00E84A2A" w:rsidRPr="005025C3" w:rsidRDefault="00E84A2A" w:rsidP="005025C3">
      <w:pPr>
        <w:jc w:val="both"/>
        <w:rPr>
          <w:rFonts w:eastAsiaTheme="majorEastAsia" w:cstheme="minorHAnsi"/>
          <w:lang w:val="en-US"/>
        </w:rPr>
      </w:pPr>
      <w:r w:rsidRPr="005025C3">
        <w:rPr>
          <w:rFonts w:eastAsiaTheme="majorEastAsia" w:cstheme="minorHAnsi"/>
          <w:lang w:val="en-US"/>
        </w:rPr>
        <w:t>Marriott's efficiency ratios (see Appendix D) demonstrate improved asset utilisation between 2021 and 2025. Asset turnover increased from 0.54 in 2021 to 0.95 in 2025, indicating that the company generated substantially more revenue from its asset base as travel demand recovered.</w:t>
      </w:r>
    </w:p>
    <w:p w14:paraId="18806263" w14:textId="77777777" w:rsidR="00E84A2A" w:rsidRPr="005025C3" w:rsidRDefault="00E84A2A" w:rsidP="005025C3">
      <w:pPr>
        <w:jc w:val="both"/>
        <w:rPr>
          <w:rFonts w:eastAsiaTheme="majorEastAsia" w:cstheme="minorHAnsi"/>
          <w:lang w:val="en-US"/>
        </w:rPr>
      </w:pPr>
      <w:r w:rsidRPr="005025C3">
        <w:rPr>
          <w:rFonts w:eastAsiaTheme="majorEastAsia" w:cstheme="minorHAnsi"/>
          <w:lang w:val="en-US"/>
        </w:rPr>
        <w:lastRenderedPageBreak/>
        <w:t>Fixed asset turnover also remained high, exceeding 13 times in most recent years. This reflects Marriott's asset-light strategy, which relies primarily on franchise and management agreements rather than extensive ownership of hotel properties. Overall, these trends indicate efficient use of assets and support the operational advantages of Marriott's business model (Gitman, Juchau and Flanagan, 2022).</w:t>
      </w:r>
    </w:p>
    <w:p w14:paraId="0AF56A5C" w14:textId="77777777" w:rsidR="00AA15B1" w:rsidRPr="005025C3" w:rsidRDefault="00AA15B1" w:rsidP="005025C3">
      <w:pPr>
        <w:pStyle w:val="3"/>
        <w:rPr>
          <w:lang w:val="en-US"/>
        </w:rPr>
      </w:pPr>
      <w:bookmarkStart w:id="8" w:name="_Toc237258749"/>
      <w:r w:rsidRPr="005025C3">
        <w:rPr>
          <w:lang w:val="en-US"/>
        </w:rPr>
        <w:t xml:space="preserve">1.3.4 </w:t>
      </w:r>
      <w:r w:rsidRPr="005025C3">
        <w:t>Gearing</w:t>
      </w:r>
      <w:bookmarkEnd w:id="8"/>
      <w:r w:rsidRPr="005025C3">
        <w:rPr>
          <w:lang w:val="en-US"/>
        </w:rPr>
        <w:t xml:space="preserve"> </w:t>
      </w:r>
    </w:p>
    <w:p w14:paraId="784C486C" w14:textId="77777777" w:rsidR="008D3C56" w:rsidRPr="008D3C56" w:rsidRDefault="008D3C56" w:rsidP="008D3C56">
      <w:pPr>
        <w:rPr>
          <w:rFonts w:eastAsiaTheme="majorEastAsia"/>
          <w:lang w:val="en-US"/>
        </w:rPr>
      </w:pPr>
      <w:bookmarkStart w:id="9" w:name="_Toc237258751"/>
      <w:r w:rsidRPr="008D3C56">
        <w:rPr>
          <w:rFonts w:eastAsiaTheme="majorEastAsia"/>
          <w:lang w:val="en-US"/>
        </w:rPr>
        <w:t>Gearing ratios assess the extent to which a company relies on debt financing and its ability to meet associated financing costs (Atrill and McLaney, 2024). Marriott's gearing position (see Appendix D) reflects relatively high financial leverage, although its strong operating performance supports its ability to service debt.</w:t>
      </w:r>
    </w:p>
    <w:p w14:paraId="2183580A" w14:textId="77777777" w:rsidR="008D3C56" w:rsidRPr="008D3C56" w:rsidRDefault="008D3C56" w:rsidP="008D3C56">
      <w:pPr>
        <w:rPr>
          <w:rFonts w:eastAsiaTheme="majorEastAsia"/>
          <w:lang w:val="en-US"/>
        </w:rPr>
      </w:pPr>
      <w:r w:rsidRPr="008D3C56">
        <w:rPr>
          <w:rFonts w:eastAsiaTheme="majorEastAsia"/>
          <w:lang w:val="en-US"/>
        </w:rPr>
        <w:t>The Interest Coverage Ratio increased from 4.48 in 2021 to 5.61 in 2025, indicating that Marriott generated sufficient operating profit to meet its interest obligations. However, shareholders' equity became negative from 2023 to 2025, largely because of substantial share repurchases. Consequently, the Debt-to-Equity ratio and ROE are not meaningful for these years and should be interpreted with caution.</w:t>
      </w:r>
    </w:p>
    <w:p w14:paraId="46D53466" w14:textId="77777777" w:rsidR="008D3C56" w:rsidRPr="008D3C56" w:rsidRDefault="008D3C56" w:rsidP="008D3C56">
      <w:pPr>
        <w:rPr>
          <w:rFonts w:eastAsiaTheme="majorEastAsia"/>
          <w:lang w:val="en-US"/>
        </w:rPr>
      </w:pPr>
      <w:r w:rsidRPr="008D3C56">
        <w:rPr>
          <w:rFonts w:eastAsiaTheme="majorEastAsia"/>
          <w:lang w:val="en-US"/>
        </w:rPr>
        <w:t>Although Marriott's strong profitability and cash generation reduce some of the risks associated with leverage, its high debt levels and negative equity increase financial exposure, particularly during periods of higher interest rates or weaker travel demand. Therefore, careful debt management remains important for maintaining long-term financial resilience.</w:t>
      </w:r>
    </w:p>
    <w:p w14:paraId="7C4812CE" w14:textId="77777777" w:rsidR="008D3C56" w:rsidRPr="008D3C56" w:rsidRDefault="008D3C56" w:rsidP="008D3C56">
      <w:pPr>
        <w:pStyle w:val="3"/>
        <w:rPr>
          <w:lang w:val="en-US"/>
        </w:rPr>
      </w:pPr>
      <w:r w:rsidRPr="008D3C56">
        <w:rPr>
          <w:lang w:val="en-US"/>
        </w:rPr>
        <w:t>1.3.5 Investment and Cash Flow</w:t>
      </w:r>
    </w:p>
    <w:p w14:paraId="74065C4C" w14:textId="77777777" w:rsidR="008D3C56" w:rsidRPr="008D3C56" w:rsidRDefault="008D3C56" w:rsidP="008D3C56">
      <w:pPr>
        <w:rPr>
          <w:rFonts w:eastAsiaTheme="majorEastAsia"/>
          <w:lang w:val="en-US"/>
        </w:rPr>
      </w:pPr>
      <w:r w:rsidRPr="008D3C56">
        <w:rPr>
          <w:rFonts w:eastAsiaTheme="majorEastAsia"/>
          <w:lang w:val="en-US"/>
        </w:rPr>
        <w:t>Marriott's investment and cash flow ratios (see Appendix D) indicate improving financial performance. ROA increased from 4.8% in 2021 to 9.4% in 2025, demonstrating stronger profit generation from the company's asset base. The P/E ratio fluctuated considerably, reflecting changing market expectations during the post-pandemic recovery.</w:t>
      </w:r>
    </w:p>
    <w:p w14:paraId="330FCC5E" w14:textId="77777777" w:rsidR="008D3C56" w:rsidRPr="008D3C56" w:rsidRDefault="008D3C56" w:rsidP="008D3C56">
      <w:pPr>
        <w:rPr>
          <w:rFonts w:eastAsiaTheme="majorEastAsia"/>
          <w:lang w:val="en-US"/>
        </w:rPr>
      </w:pPr>
      <w:r w:rsidRPr="008D3C56">
        <w:rPr>
          <w:rFonts w:eastAsiaTheme="majorEastAsia"/>
          <w:lang w:val="en-US"/>
        </w:rPr>
        <w:t>The Operating Cash Flow Ratio improved from 0.18 in 2021 to 0.38 in 2025, though it fluctuated over the period, reaching 0.41 in 2023 before declining to 0.32 in 2024 and then recovering in 2025. This indicates an overall improvement in Marriott's ability to generate operating cash relative to its current liabilities. Free Cash Flow Margin also remained positive, increasing from 7.2% in 2021 to 10.0% in 2025, providing greater flexibility for investment, dividends and share repurchases.</w:t>
      </w:r>
    </w:p>
    <w:p w14:paraId="001FF643" w14:textId="77777777" w:rsidR="008D3C56" w:rsidRPr="008D3C56" w:rsidRDefault="008D3C56" w:rsidP="008D3C56">
      <w:pPr>
        <w:rPr>
          <w:rFonts w:eastAsiaTheme="majorEastAsia"/>
          <w:lang w:val="en-US"/>
        </w:rPr>
      </w:pPr>
      <w:r w:rsidRPr="008D3C56">
        <w:rPr>
          <w:rFonts w:eastAsiaTheme="majorEastAsia"/>
          <w:lang w:val="en-US"/>
        </w:rPr>
        <w:t>Overall, these trends demonstrate strong cash generation and financial resilience, although fluctuations in the Operating Cash Flow Ratio highlight the importance of continued liquidity management (Brealey et al., 2023).</w:t>
      </w:r>
    </w:p>
    <w:p w14:paraId="40AA406D" w14:textId="77777777" w:rsidR="00AA15B1" w:rsidRPr="005025C3" w:rsidRDefault="00AA15B1" w:rsidP="005025C3">
      <w:pPr>
        <w:pStyle w:val="2"/>
      </w:pPr>
      <w:r w:rsidRPr="005025C3">
        <w:t>1.4 Trends, Strengths and Potential Threats</w:t>
      </w:r>
      <w:bookmarkEnd w:id="9"/>
    </w:p>
    <w:p w14:paraId="56442BAA" w14:textId="77777777" w:rsidR="00E84A2A" w:rsidRPr="005025C3" w:rsidRDefault="00E84A2A" w:rsidP="005025C3">
      <w:pPr>
        <w:jc w:val="both"/>
        <w:rPr>
          <w:rFonts w:cstheme="minorHAnsi"/>
          <w:lang w:val="en-US"/>
        </w:rPr>
      </w:pPr>
      <w:r w:rsidRPr="005025C3">
        <w:rPr>
          <w:rFonts w:cstheme="minorHAnsi"/>
          <w:lang w:val="en-US"/>
        </w:rPr>
        <w:t>Overall, Marriott demonstrated a strong financial recovery between 2021 and 2025, characterised by revenue growth, improving profitability, greater asset efficiency and stronger cash generation (see Appendices A–D). These trends indicate improved financial resilience following the pandemic despite inflationary and economic pressures.</w:t>
      </w:r>
    </w:p>
    <w:p w14:paraId="104C051B" w14:textId="77777777" w:rsidR="00E84A2A" w:rsidRPr="005025C3" w:rsidRDefault="00E84A2A" w:rsidP="005025C3">
      <w:pPr>
        <w:jc w:val="both"/>
        <w:rPr>
          <w:rFonts w:cstheme="minorHAnsi"/>
          <w:lang w:val="en-US"/>
        </w:rPr>
      </w:pPr>
      <w:r w:rsidRPr="005025C3">
        <w:rPr>
          <w:rFonts w:cstheme="minorHAnsi"/>
          <w:lang w:val="en-US"/>
        </w:rPr>
        <w:lastRenderedPageBreak/>
        <w:t>A major strength is Marriott's asset-light business model, which supports global expansion while limiting investment in owned properties and contributing to high asset utilisation. Strong operating and free cash flows provide additional financial flexibility for investment and shareholder returns (Marriott International, 2026).</w:t>
      </w:r>
    </w:p>
    <w:p w14:paraId="4F6CA94F" w14:textId="77777777" w:rsidR="00E84A2A" w:rsidRPr="005025C3" w:rsidRDefault="00E84A2A" w:rsidP="005025C3">
      <w:pPr>
        <w:jc w:val="both"/>
        <w:rPr>
          <w:rFonts w:cstheme="minorHAnsi"/>
          <w:lang w:val="en-US"/>
        </w:rPr>
      </w:pPr>
      <w:r w:rsidRPr="005025C3">
        <w:rPr>
          <w:rFonts w:cstheme="minorHAnsi"/>
          <w:lang w:val="en-US"/>
        </w:rPr>
        <w:t>However, several risks remain. Marriott's low liquidity ratios and relatively high leverage increase exposure to financial pressure if operating cash flows weaken. Negative shareholders' equity resulting partly from substantial share repurchases also complicates the company's capital structure. Furthermore, external threats including inflation, geopolitical uncertainty, economic downturns and changing travel demand could negatively affect occupancy, costs and profitability.</w:t>
      </w:r>
    </w:p>
    <w:p w14:paraId="16A82700" w14:textId="77777777" w:rsidR="00E84A2A" w:rsidRPr="005025C3" w:rsidRDefault="00E84A2A" w:rsidP="005025C3">
      <w:pPr>
        <w:jc w:val="both"/>
        <w:rPr>
          <w:rFonts w:cstheme="minorHAnsi"/>
          <w:lang w:val="en-US"/>
        </w:rPr>
      </w:pPr>
      <w:r w:rsidRPr="005025C3">
        <w:rPr>
          <w:rFonts w:cstheme="minorHAnsi"/>
          <w:lang w:val="en-US"/>
        </w:rPr>
        <w:t>Therefore, although Marriott's overall financial position has strengthened, careful management of liquidity, leverage and external market risks remains important for maintaining long-term financial resilience.</w:t>
      </w:r>
    </w:p>
    <w:p w14:paraId="5E767A00" w14:textId="77777777" w:rsidR="00AA15B1" w:rsidRPr="005025C3" w:rsidRDefault="00AA15B1" w:rsidP="005025C3">
      <w:pPr>
        <w:pStyle w:val="2"/>
        <w:rPr>
          <w:lang w:val="en-US"/>
        </w:rPr>
      </w:pPr>
      <w:bookmarkStart w:id="10" w:name="_Toc237258752"/>
      <w:r w:rsidRPr="005025C3">
        <w:rPr>
          <w:lang w:val="en-US"/>
        </w:rPr>
        <w:t xml:space="preserve">1.5 Industry </w:t>
      </w:r>
      <w:r w:rsidRPr="005025C3">
        <w:t>Benchmark</w:t>
      </w:r>
      <w:r w:rsidRPr="005025C3">
        <w:rPr>
          <w:lang w:val="en-US"/>
        </w:rPr>
        <w:t xml:space="preserve"> Comparison</w:t>
      </w:r>
      <w:bookmarkEnd w:id="10"/>
    </w:p>
    <w:p w14:paraId="2F8A42D0" w14:textId="77777777" w:rsidR="00AA43DF" w:rsidRPr="00AA43DF" w:rsidRDefault="00AA43DF" w:rsidP="00AA43DF">
      <w:pPr>
        <w:jc w:val="both"/>
        <w:rPr>
          <w:rFonts w:cstheme="minorHAnsi"/>
          <w:lang w:val="en-US"/>
        </w:rPr>
      </w:pPr>
      <w:r w:rsidRPr="00AA43DF">
        <w:rPr>
          <w:rFonts w:cstheme="minorHAnsi"/>
          <w:lang w:val="en-US"/>
        </w:rPr>
        <w:t>Industry benchmarking helps assess Marriott's financial performance relative to major competitors. The 2025 comparison with Hilton and Hyatt covers profitability, liquidity and efficiency (see Appendix E – Industry Benchmark Analysis).</w:t>
      </w:r>
    </w:p>
    <w:p w14:paraId="6631E613" w14:textId="77777777" w:rsidR="00AA43DF" w:rsidRPr="00AA43DF" w:rsidRDefault="00AA43DF" w:rsidP="00AA43DF">
      <w:pPr>
        <w:jc w:val="both"/>
        <w:rPr>
          <w:rFonts w:cstheme="minorHAnsi"/>
          <w:lang w:val="en-US"/>
        </w:rPr>
      </w:pPr>
      <w:r w:rsidRPr="00AA43DF">
        <w:rPr>
          <w:rFonts w:cstheme="minorHAnsi"/>
          <w:lang w:val="en-US"/>
        </w:rPr>
        <w:t>Marriott's operating margin of 15.81% was below Hilton's 22.37% but slightly above Hyatt's 15.20%. Similarly, Marriott's net margin of 9.93% was below Hilton's 12.10% but above Hyatt's 8.90%, indicating competitive profitability but potential for further improvement.</w:t>
      </w:r>
    </w:p>
    <w:p w14:paraId="23544FCE" w14:textId="77777777" w:rsidR="00AA43DF" w:rsidRPr="00AA43DF" w:rsidRDefault="00AA43DF" w:rsidP="00AA43DF">
      <w:pPr>
        <w:jc w:val="both"/>
        <w:rPr>
          <w:rFonts w:cstheme="minorHAnsi"/>
          <w:lang w:val="en-US"/>
        </w:rPr>
      </w:pPr>
      <w:r w:rsidRPr="00AA43DF">
        <w:rPr>
          <w:rFonts w:cstheme="minorHAnsi"/>
          <w:lang w:val="en-US"/>
        </w:rPr>
        <w:t>Liquidity represents a greater concern. Marriott's current ratio of 0.43 was below both Hilton (0.61) and Hyatt (0.74). Although all three ratios remain below 1, Marriott has the weakest short-term liquidity position, suggesting greater dependence on continued operating cash generation to meet current obligations. This supports the liquidity risk identified in Section 1.3.2.</w:t>
      </w:r>
    </w:p>
    <w:p w14:paraId="748650B3" w14:textId="77777777" w:rsidR="00AA43DF" w:rsidRPr="00AA43DF" w:rsidRDefault="00AA43DF" w:rsidP="00AA43DF">
      <w:pPr>
        <w:jc w:val="both"/>
        <w:rPr>
          <w:rFonts w:cstheme="minorHAnsi"/>
          <w:lang w:val="en-US"/>
        </w:rPr>
      </w:pPr>
      <w:r w:rsidRPr="00AA43DF">
        <w:rPr>
          <w:rFonts w:cstheme="minorHAnsi"/>
          <w:lang w:val="en-US"/>
        </w:rPr>
        <w:t>The additional cash flow comparison also indicates a relative weakness. Marriott's Operating Cash Flow Ratio of 0.38 was below Hilton's 0.49 and Hyatt's 0.44 (see Appendix E). This suggests that Marriott generated less operating cash relative to its current liabilities than both competitors in 2025, reinforcing the need for careful liquidity management.</w:t>
      </w:r>
    </w:p>
    <w:p w14:paraId="5FD2CC13" w14:textId="77777777" w:rsidR="00AA43DF" w:rsidRPr="00AA43DF" w:rsidRDefault="00AA43DF" w:rsidP="00AA43DF">
      <w:pPr>
        <w:jc w:val="both"/>
        <w:rPr>
          <w:rFonts w:cstheme="minorHAnsi"/>
          <w:lang w:val="en-US"/>
        </w:rPr>
      </w:pPr>
      <w:r w:rsidRPr="00AA43DF">
        <w:rPr>
          <w:rFonts w:cstheme="minorHAnsi"/>
          <w:lang w:val="en-US"/>
        </w:rPr>
        <w:t>However, Marriott achieved the highest asset turnover of 0.95, compared with Hilton (0.72) and Hyatt (0.58), demonstrating stronger asset utilisation and supporting the effectiveness of its asset-light model.</w:t>
      </w:r>
    </w:p>
    <w:p w14:paraId="34EBE838" w14:textId="77777777" w:rsidR="00AA43DF" w:rsidRPr="00AA43DF" w:rsidRDefault="00AA43DF" w:rsidP="00AA43DF">
      <w:pPr>
        <w:jc w:val="both"/>
        <w:rPr>
          <w:rFonts w:cstheme="minorHAnsi"/>
          <w:lang w:val="en-US"/>
        </w:rPr>
      </w:pPr>
      <w:r w:rsidRPr="00AA43DF">
        <w:rPr>
          <w:rFonts w:cstheme="minorHAnsi"/>
          <w:lang w:val="en-US"/>
        </w:rPr>
        <w:t>Overall, the benchmark indicates that Marriott performs strongly in asset efficiency and remains competitive in profitability, but its comparatively weaker liquidity and operating cash flow coverage represent important financial risks requiring continued monitoring (Atrill and McLaney, 2024).</w:t>
      </w:r>
    </w:p>
    <w:p w14:paraId="0B875731" w14:textId="0B2AD7EF" w:rsidR="36C2A92E" w:rsidRPr="005025C3" w:rsidRDefault="009A5B13" w:rsidP="005025C3">
      <w:pPr>
        <w:pStyle w:val="2"/>
        <w:rPr>
          <w:lang w:val="en-US"/>
        </w:rPr>
      </w:pPr>
      <w:bookmarkStart w:id="11" w:name="_Toc237258753"/>
      <w:r w:rsidRPr="005025C3">
        <w:rPr>
          <w:lang w:val="en-US"/>
        </w:rPr>
        <w:lastRenderedPageBreak/>
        <w:t xml:space="preserve">1.6 </w:t>
      </w:r>
      <w:r w:rsidRPr="005025C3">
        <w:t>Summary</w:t>
      </w:r>
      <w:r w:rsidRPr="005025C3">
        <w:rPr>
          <w:lang w:val="en-US"/>
        </w:rPr>
        <w:t xml:space="preserve"> of </w:t>
      </w:r>
      <w:r w:rsidRPr="005025C3">
        <w:t>Financial</w:t>
      </w:r>
      <w:r w:rsidRPr="005025C3">
        <w:rPr>
          <w:lang w:val="en-US"/>
        </w:rPr>
        <w:t xml:space="preserve"> Health</w:t>
      </w:r>
      <w:bookmarkEnd w:id="11"/>
      <w:r w:rsidRPr="005025C3">
        <w:rPr>
          <w:lang w:val="en-US"/>
        </w:rPr>
        <w:t xml:space="preserve"> </w:t>
      </w:r>
    </w:p>
    <w:p w14:paraId="78F9F399" w14:textId="580B2B95" w:rsidR="009A5B13" w:rsidRPr="005025C3" w:rsidRDefault="00FE0D43" w:rsidP="005025C3">
      <w:pPr>
        <w:jc w:val="both"/>
        <w:rPr>
          <w:rFonts w:cstheme="minorHAnsi"/>
          <w:lang w:val="en-US"/>
        </w:rPr>
      </w:pPr>
      <w:r w:rsidRPr="005025C3">
        <w:rPr>
          <w:rFonts w:cstheme="minorHAnsi"/>
        </w:rPr>
        <w:t>Overall, Marriott demonstrated strong financial performance between 2021 and 2025, supported by improving profitability, operational efficiency and cash generation. Although liquidity and leverage require continued monitoring, the company remains financially resilient and well positioned for future growth. The following section evaluates Marriott's working capital management and liquidity strategy.</w:t>
      </w:r>
    </w:p>
    <w:p w14:paraId="69CC1D82" w14:textId="77777777" w:rsidR="004A1EB1" w:rsidRPr="005025C3" w:rsidRDefault="004A1EB1" w:rsidP="005025C3">
      <w:pPr>
        <w:jc w:val="both"/>
        <w:rPr>
          <w:rFonts w:cstheme="minorHAnsi"/>
          <w:lang w:val="en-US"/>
        </w:rPr>
      </w:pPr>
    </w:p>
    <w:p w14:paraId="2396EB14" w14:textId="77777777" w:rsidR="004A1EB1" w:rsidRPr="005025C3" w:rsidRDefault="004A1EB1" w:rsidP="005025C3">
      <w:pPr>
        <w:jc w:val="both"/>
        <w:rPr>
          <w:rFonts w:cstheme="minorHAnsi"/>
          <w:lang w:val="en-US"/>
        </w:rPr>
      </w:pPr>
    </w:p>
    <w:p w14:paraId="2F333B1E" w14:textId="77777777" w:rsidR="004A1EB1" w:rsidRPr="005025C3" w:rsidRDefault="004A1EB1" w:rsidP="005025C3">
      <w:pPr>
        <w:jc w:val="both"/>
        <w:rPr>
          <w:rFonts w:cstheme="minorHAnsi"/>
          <w:lang w:val="en-US"/>
        </w:rPr>
      </w:pPr>
    </w:p>
    <w:p w14:paraId="48917FE1" w14:textId="77777777" w:rsidR="004A1EB1" w:rsidRPr="005025C3" w:rsidRDefault="004A1EB1" w:rsidP="005025C3">
      <w:pPr>
        <w:jc w:val="both"/>
        <w:rPr>
          <w:rFonts w:cstheme="minorHAnsi"/>
          <w:lang w:val="en-US"/>
        </w:rPr>
      </w:pPr>
    </w:p>
    <w:p w14:paraId="1B3DE08C" w14:textId="77777777" w:rsidR="004A1EB1" w:rsidRPr="005025C3" w:rsidRDefault="004A1EB1" w:rsidP="005025C3">
      <w:pPr>
        <w:jc w:val="both"/>
        <w:rPr>
          <w:rFonts w:cstheme="minorHAnsi"/>
          <w:lang w:val="en-US"/>
        </w:rPr>
      </w:pPr>
    </w:p>
    <w:p w14:paraId="2738288F" w14:textId="77777777" w:rsidR="004A1EB1" w:rsidRPr="005025C3" w:rsidRDefault="004A1EB1" w:rsidP="005025C3">
      <w:pPr>
        <w:pStyle w:val="1"/>
      </w:pPr>
      <w:bookmarkStart w:id="12" w:name="_Toc237258754"/>
      <w:r w:rsidRPr="005025C3">
        <w:t>2. Working Capital Management Analysis</w:t>
      </w:r>
      <w:bookmarkEnd w:id="12"/>
    </w:p>
    <w:p w14:paraId="24C09A41" w14:textId="1F27F45E" w:rsidR="005025C3" w:rsidRPr="005025C3" w:rsidRDefault="005025C3" w:rsidP="005025C3">
      <w:pPr>
        <w:pStyle w:val="2"/>
      </w:pPr>
      <w:bookmarkStart w:id="13" w:name="_Toc237258755"/>
      <w:r w:rsidRPr="005025C3">
        <w:t>2.1 Assessment of the Cash Operating Cycle</w:t>
      </w:r>
      <w:bookmarkEnd w:id="13"/>
    </w:p>
    <w:p w14:paraId="35FA91EA" w14:textId="077D7657" w:rsidR="007746DA" w:rsidRPr="005025C3" w:rsidRDefault="007746DA" w:rsidP="005025C3">
      <w:pPr>
        <w:jc w:val="both"/>
        <w:rPr>
          <w:rFonts w:eastAsia="Times New Roman" w:cstheme="minorHAnsi"/>
          <w:lang w:val="en-US"/>
        </w:rPr>
      </w:pPr>
      <w:r w:rsidRPr="005025C3">
        <w:rPr>
          <w:rFonts w:eastAsia="Times New Roman" w:cstheme="minorHAnsi"/>
          <w:lang w:val="en-US"/>
        </w:rPr>
        <w:t>Working capital management ensures that an organisation can meet its short-term obligations while maintaining operational efficiency. A key measure is the Cash Conversion Cycle (CCC), which assesses how efficiently operating resources are converted into cash (Atrill and McLaney, 202</w:t>
      </w:r>
      <w:r w:rsidR="00B7430F" w:rsidRPr="005025C3">
        <w:rPr>
          <w:rFonts w:eastAsia="Times New Roman" w:cstheme="minorHAnsi"/>
          <w:lang w:val="en-US"/>
        </w:rPr>
        <w:t>4</w:t>
      </w:r>
      <w:r w:rsidRPr="005025C3">
        <w:rPr>
          <w:rFonts w:eastAsia="Times New Roman" w:cstheme="minorHAnsi"/>
          <w:lang w:val="en-US"/>
        </w:rPr>
        <w:t>).</w:t>
      </w:r>
    </w:p>
    <w:p w14:paraId="68BC8E07" w14:textId="77777777" w:rsidR="007746DA" w:rsidRPr="005025C3" w:rsidRDefault="007746DA" w:rsidP="005025C3">
      <w:pPr>
        <w:jc w:val="both"/>
        <w:rPr>
          <w:rFonts w:eastAsia="Times New Roman" w:cstheme="minorHAnsi"/>
          <w:lang w:val="en-US"/>
        </w:rPr>
      </w:pPr>
      <w:r w:rsidRPr="005025C3">
        <w:rPr>
          <w:rFonts w:eastAsia="Times New Roman" w:cstheme="minorHAnsi"/>
          <w:lang w:val="en-US"/>
        </w:rPr>
        <w:t>Marriott's CCC calculations are presented in Appendix F – Cash Conversion Cycle (CCC) Analysis. The results indicate that the cycle became shorter and more stable following the post-pandemic recovery, remaining at approximately 26 days in the later years. This suggests improved working capital efficiency and more effective management of short-term resources.</w:t>
      </w:r>
    </w:p>
    <w:p w14:paraId="24A1A273" w14:textId="77777777" w:rsidR="007746DA" w:rsidRPr="005025C3" w:rsidRDefault="007746DA" w:rsidP="005025C3">
      <w:pPr>
        <w:jc w:val="both"/>
        <w:rPr>
          <w:rFonts w:eastAsia="Times New Roman" w:cstheme="minorHAnsi"/>
          <w:lang w:val="en-US"/>
        </w:rPr>
      </w:pPr>
      <w:r w:rsidRPr="005025C3">
        <w:rPr>
          <w:rFonts w:eastAsia="Times New Roman" w:cstheme="minorHAnsi"/>
          <w:lang w:val="en-US"/>
        </w:rPr>
        <w:t>Unlike manufacturing companies, Marriott operates in the hospitality sector, where inventory levels are relatively low because services cannot be stored. Therefore, its CCC is influenced primarily by receivable and payable days. Customer payments are often received through credit cards, online bookings and corporate accounts, supporting relatively efficient cash collection. Digital reservation and payment systems can further accelerate this process.</w:t>
      </w:r>
    </w:p>
    <w:p w14:paraId="67E1CB93" w14:textId="77777777" w:rsidR="007746DA" w:rsidRPr="005025C3" w:rsidRDefault="007746DA" w:rsidP="005025C3">
      <w:pPr>
        <w:jc w:val="both"/>
        <w:rPr>
          <w:rFonts w:eastAsia="Times New Roman" w:cstheme="minorHAnsi"/>
          <w:lang w:val="en-US"/>
        </w:rPr>
      </w:pPr>
      <w:r w:rsidRPr="005025C3">
        <w:rPr>
          <w:rFonts w:eastAsia="Times New Roman" w:cstheme="minorHAnsi"/>
          <w:lang w:val="en-US"/>
        </w:rPr>
        <w:t>Marriott can also preserve liquidity by managing supplier payment terms effectively. Maintaining favourable payment periods allows the company to retain cash for longer without increasing external financing requirements. However, extending payment periods excessively could negatively affect supplier relationships and should therefore be carefully managed.</w:t>
      </w:r>
    </w:p>
    <w:p w14:paraId="5C4BB046" w14:textId="77777777" w:rsidR="007746DA" w:rsidRPr="005025C3" w:rsidRDefault="007746DA" w:rsidP="005025C3">
      <w:pPr>
        <w:jc w:val="both"/>
        <w:rPr>
          <w:rFonts w:eastAsia="Times New Roman" w:cstheme="minorHAnsi"/>
          <w:lang w:val="en-US"/>
        </w:rPr>
      </w:pPr>
      <w:r w:rsidRPr="005025C3">
        <w:rPr>
          <w:rFonts w:eastAsia="Times New Roman" w:cstheme="minorHAnsi"/>
          <w:lang w:val="en-US"/>
        </w:rPr>
        <w:t>Overall, Marriott's relatively short and stable CCC indicates effective working capital management, supporting liquidity and financial flexibility while reducing short-term funding pressure.</w:t>
      </w:r>
    </w:p>
    <w:p w14:paraId="5D9E5015" w14:textId="77777777" w:rsidR="007746DA" w:rsidRPr="005025C3" w:rsidRDefault="007746DA" w:rsidP="005025C3">
      <w:pPr>
        <w:pStyle w:val="2"/>
        <w:rPr>
          <w:rFonts w:eastAsia="Times New Roman"/>
          <w:lang w:val="en-US"/>
        </w:rPr>
      </w:pPr>
      <w:bookmarkStart w:id="14" w:name="_Toc237258756"/>
      <w:r w:rsidRPr="005025C3">
        <w:rPr>
          <w:rFonts w:eastAsia="Times New Roman"/>
          <w:lang w:val="en-US"/>
        </w:rPr>
        <w:lastRenderedPageBreak/>
        <w:t xml:space="preserve">2.2 Strategies to </w:t>
      </w:r>
      <w:r w:rsidRPr="005025C3">
        <w:t>Improve</w:t>
      </w:r>
      <w:r w:rsidRPr="005025C3">
        <w:rPr>
          <w:rFonts w:eastAsia="Times New Roman"/>
          <w:lang w:val="en-US"/>
        </w:rPr>
        <w:t xml:space="preserve"> </w:t>
      </w:r>
      <w:r w:rsidRPr="005025C3">
        <w:t>Liquidity</w:t>
      </w:r>
      <w:r w:rsidRPr="005025C3">
        <w:rPr>
          <w:rFonts w:eastAsia="Times New Roman"/>
          <w:lang w:val="en-US"/>
        </w:rPr>
        <w:t xml:space="preserve"> through Working Capital Reforms</w:t>
      </w:r>
      <w:bookmarkEnd w:id="14"/>
    </w:p>
    <w:p w14:paraId="1D73256D" w14:textId="77777777" w:rsidR="007746DA" w:rsidRPr="005025C3" w:rsidRDefault="007746DA" w:rsidP="005025C3">
      <w:pPr>
        <w:jc w:val="both"/>
        <w:rPr>
          <w:rFonts w:eastAsia="Times New Roman" w:cstheme="minorHAnsi"/>
          <w:lang w:val="en-US"/>
        </w:rPr>
      </w:pPr>
      <w:r w:rsidRPr="005025C3">
        <w:rPr>
          <w:rFonts w:eastAsia="Times New Roman" w:cstheme="minorHAnsi"/>
          <w:lang w:val="en-US"/>
        </w:rPr>
        <w:t>Although Marriott demonstrates effective working capital management, further reforms could strengthen liquidity and financial resilience during periods of economic uncertainty.</w:t>
      </w:r>
    </w:p>
    <w:p w14:paraId="656F7A5F" w14:textId="378BCA3D" w:rsidR="007746DA" w:rsidRPr="005025C3" w:rsidRDefault="007746DA" w:rsidP="005025C3">
      <w:pPr>
        <w:jc w:val="both"/>
        <w:rPr>
          <w:rFonts w:eastAsia="Times New Roman" w:cstheme="minorHAnsi"/>
          <w:lang w:val="en-US"/>
        </w:rPr>
      </w:pPr>
      <w:r w:rsidRPr="005025C3">
        <w:rPr>
          <w:rFonts w:eastAsia="Times New Roman" w:cstheme="minorHAnsi"/>
          <w:lang w:val="en-US"/>
        </w:rPr>
        <w:t>First, Marriott could expand digital payment systems and AI-supported cash flow forecasting. Increasing direct online payments and automated processing could shorten receivable collection periods, while predictive analytics could forecast cash inflows, seasonal demand and potential collection risks. This would enable management to optimise cash reserves and make better short-term financing decisions (Brigham and Ehrhardt, 202</w:t>
      </w:r>
      <w:r w:rsidR="00B7430F" w:rsidRPr="005025C3">
        <w:rPr>
          <w:rFonts w:eastAsia="Times New Roman" w:cstheme="minorHAnsi"/>
          <w:lang w:val="en-US"/>
        </w:rPr>
        <w:t>0</w:t>
      </w:r>
      <w:r w:rsidRPr="005025C3">
        <w:rPr>
          <w:rFonts w:eastAsia="Times New Roman" w:cstheme="minorHAnsi"/>
          <w:lang w:val="en-US"/>
        </w:rPr>
        <w:t>).</w:t>
      </w:r>
    </w:p>
    <w:p w14:paraId="00B67C10" w14:textId="77777777" w:rsidR="007746DA" w:rsidRPr="005025C3" w:rsidRDefault="007746DA" w:rsidP="005025C3">
      <w:pPr>
        <w:jc w:val="both"/>
        <w:rPr>
          <w:rFonts w:eastAsia="Times New Roman" w:cstheme="minorHAnsi"/>
          <w:lang w:val="en-US"/>
        </w:rPr>
      </w:pPr>
      <w:r w:rsidRPr="005025C3">
        <w:rPr>
          <w:rFonts w:eastAsia="Times New Roman" w:cstheme="minorHAnsi"/>
          <w:lang w:val="en-US"/>
        </w:rPr>
        <w:t>Marriott could also improve supplier payment management by negotiating flexible payment terms. Longer payment periods can preserve cash and strengthen short-term liquidity; however, excessive delays could damage supplier relationships. Where sufficient cash is available, early-payment discounts could also reduce costs and improve working capital efficiency.</w:t>
      </w:r>
    </w:p>
    <w:p w14:paraId="73C2145A" w14:textId="77777777" w:rsidR="007746DA" w:rsidRPr="005025C3" w:rsidRDefault="007746DA" w:rsidP="005025C3">
      <w:pPr>
        <w:jc w:val="both"/>
        <w:rPr>
          <w:rFonts w:eastAsia="Times New Roman" w:cstheme="minorHAnsi"/>
          <w:lang w:val="en-US"/>
        </w:rPr>
      </w:pPr>
      <w:r w:rsidRPr="005025C3">
        <w:rPr>
          <w:rFonts w:eastAsia="Times New Roman" w:cstheme="minorHAnsi"/>
          <w:lang w:val="en-US"/>
        </w:rPr>
        <w:t>Another priority is disciplined operating and capital expenditure management. Marriott's asset-light model already reduces investment in owned properties, but controlling expenditure remains important during periods of inflation and economic uncertainty. This would help preserve operating cash flows and financial flexibility.</w:t>
      </w:r>
    </w:p>
    <w:p w14:paraId="7793B6C8" w14:textId="77777777" w:rsidR="007746DA" w:rsidRPr="005025C3" w:rsidRDefault="007746DA" w:rsidP="005025C3">
      <w:pPr>
        <w:jc w:val="both"/>
        <w:rPr>
          <w:rFonts w:eastAsia="Times New Roman" w:cstheme="minorHAnsi"/>
          <w:lang w:val="en-US"/>
        </w:rPr>
      </w:pPr>
      <w:r w:rsidRPr="005025C3">
        <w:rPr>
          <w:rFonts w:eastAsia="Times New Roman" w:cstheme="minorHAnsi"/>
          <w:lang w:val="en-US"/>
        </w:rPr>
        <w:t>Finally, Marriott should maintain adequate liquidity reserves and committed credit facilities. Its liquidity ratios remain relatively low (see Appendix D), despite strong operating cash generation. Maintaining access to cash and credit would provide additional protection against unexpected reductions in travel demand or other economic disruptions.</w:t>
      </w:r>
    </w:p>
    <w:p w14:paraId="2FBF70DC" w14:textId="66D4FCB6" w:rsidR="004A1EB1" w:rsidRPr="005025C3" w:rsidRDefault="004A1EB1" w:rsidP="005025C3">
      <w:pPr>
        <w:pStyle w:val="2"/>
        <w:rPr>
          <w:rFonts w:eastAsia="Times New Roman"/>
          <w:lang w:val="en-US"/>
        </w:rPr>
      </w:pPr>
      <w:bookmarkStart w:id="15" w:name="_Toc237258757"/>
      <w:r w:rsidRPr="005025C3">
        <w:rPr>
          <w:rFonts w:eastAsia="Times New Roman"/>
          <w:lang w:val="en-US"/>
        </w:rPr>
        <w:t xml:space="preserve">2.3 </w:t>
      </w:r>
      <w:r w:rsidRPr="005025C3">
        <w:t>Comparison of Short-Term and Long-Term Financing Options</w:t>
      </w:r>
      <w:bookmarkEnd w:id="15"/>
    </w:p>
    <w:p w14:paraId="66E8A985" w14:textId="77777777" w:rsidR="004A1EB1" w:rsidRPr="005025C3" w:rsidRDefault="004A1EB1" w:rsidP="005025C3">
      <w:pPr>
        <w:jc w:val="both"/>
        <w:rPr>
          <w:rFonts w:cstheme="minorHAnsi"/>
          <w:lang w:val="en-US"/>
        </w:rPr>
      </w:pPr>
      <w:r w:rsidRPr="005025C3">
        <w:rPr>
          <w:rFonts w:cstheme="minorHAnsi"/>
          <w:lang w:val="en-US"/>
        </w:rPr>
        <w:t>Organisations typically finance their operations through a combination of short-term and long-term sources of finance. The choice between these alternatives depends on financing costs, liquidity requirements, investment objectives and risk tolerance (Brealey, Myers and Allen, 2023).</w:t>
      </w:r>
    </w:p>
    <w:p w14:paraId="06BC39F9" w14:textId="77777777" w:rsidR="004A1EB1" w:rsidRPr="005025C3" w:rsidRDefault="004A1EB1" w:rsidP="005025C3">
      <w:pPr>
        <w:jc w:val="both"/>
        <w:rPr>
          <w:rFonts w:cstheme="minorHAnsi"/>
          <w:lang w:val="en-US"/>
        </w:rPr>
      </w:pPr>
      <w:r w:rsidRPr="005025C3">
        <w:rPr>
          <w:rFonts w:cstheme="minorHAnsi"/>
          <w:lang w:val="en-US"/>
        </w:rPr>
        <w:t>Short-term financing generally includes bank overdrafts, revolving credit facilities, trade credit and short-term loans. These financing methods are typically less expensive than long-term borrowing and provide greater flexibility for managing temporary cash flow shortages or seasonal fluctuations in working capital. However, short-term finance exposes organisations to refinancing risk and interest rate volatility because borrowing must be renewed regularly. During periods of economic uncertainty or rising interest rates, excessive dependence on short-term borrowing may increase financial risk.</w:t>
      </w:r>
    </w:p>
    <w:p w14:paraId="7E08B316" w14:textId="77777777" w:rsidR="004A1EB1" w:rsidRPr="005025C3" w:rsidRDefault="004A1EB1" w:rsidP="005025C3">
      <w:pPr>
        <w:jc w:val="both"/>
        <w:rPr>
          <w:rFonts w:cstheme="minorHAnsi"/>
          <w:lang w:val="en-US"/>
        </w:rPr>
      </w:pPr>
      <w:r w:rsidRPr="005025C3">
        <w:rPr>
          <w:rFonts w:cstheme="minorHAnsi"/>
          <w:lang w:val="en-US"/>
        </w:rPr>
        <w:t xml:space="preserve">Long-term financing includes corporate bonds, long-term bank loans, lease financing and equity financing. These funding sources provide greater financial stability because repayment periods extend over many years and interest costs are generally more predictable. Long-term finance is particularly appropriate for strategic investments, such as technology development, hotel expansion and digital transformation projects, which generate returns over extended periods. However, long-term financing usually involves higher overall financing costs and </w:t>
      </w:r>
      <w:r w:rsidRPr="005025C3">
        <w:rPr>
          <w:rFonts w:cstheme="minorHAnsi"/>
          <w:lang w:val="en-US"/>
        </w:rPr>
        <w:lastRenderedPageBreak/>
        <w:t>reduces financial flexibility because organisations remain committed to repayments for longer periods.</w:t>
      </w:r>
    </w:p>
    <w:p w14:paraId="2ECB4496" w14:textId="77777777" w:rsidR="004A1EB1" w:rsidRPr="005025C3" w:rsidRDefault="004A1EB1" w:rsidP="005025C3">
      <w:pPr>
        <w:jc w:val="both"/>
        <w:rPr>
          <w:rFonts w:cstheme="minorHAnsi"/>
          <w:lang w:val="en-US"/>
        </w:rPr>
      </w:pPr>
      <w:r w:rsidRPr="005025C3">
        <w:rPr>
          <w:rFonts w:cstheme="minorHAnsi"/>
          <w:lang w:val="en-US"/>
        </w:rPr>
        <w:t>Given Marriott's financial position, long-term financing appears more appropriate for supporting strategic growth initiatives, while short-term financing should be reserved primarily for temporary working capital requirements. Marriott generates consistently strong operating cash flows (see Appendix C) and maintains a relatively stable Cash Conversion Cycle (see Appendix F), reducing its dependence on short-term borrowing to finance day-to-day operations. Furthermore, the company's asset-light business model requires lower levels of capital investment than traditional hotel ownership models, allowing internally generated cash flows to finance a substantial proportion of ongoing operations.</w:t>
      </w:r>
    </w:p>
    <w:p w14:paraId="4712F00E" w14:textId="77777777" w:rsidR="004A1EB1" w:rsidRPr="005025C3" w:rsidRDefault="004A1EB1" w:rsidP="005025C3">
      <w:pPr>
        <w:jc w:val="both"/>
        <w:rPr>
          <w:rFonts w:cstheme="minorHAnsi"/>
          <w:lang w:val="en-US"/>
        </w:rPr>
      </w:pPr>
      <w:r w:rsidRPr="005025C3">
        <w:rPr>
          <w:rFonts w:cstheme="minorHAnsi"/>
          <w:lang w:val="en-US"/>
        </w:rPr>
        <w:t>Nevertheless, maintaining access to short-term credit facilities remains important to provide flexibility during periods of seasonal demand fluctuations or unexpected economic shocks. A balanced financing strategy combining strong internally generated cash flows, prudent long-term borrowing and limited short-term financing would enable Marriott to maintain liquidity while supporting sustainable long-term growth.</w:t>
      </w:r>
    </w:p>
    <w:p w14:paraId="3C902074" w14:textId="77777777" w:rsidR="004A1EB1" w:rsidRPr="005025C3" w:rsidRDefault="004A1EB1" w:rsidP="005025C3">
      <w:pPr>
        <w:jc w:val="both"/>
        <w:rPr>
          <w:rFonts w:cstheme="minorHAnsi"/>
          <w:lang w:val="en-US"/>
        </w:rPr>
      </w:pPr>
      <w:r w:rsidRPr="005025C3">
        <w:rPr>
          <w:rFonts w:cstheme="minorHAnsi"/>
          <w:lang w:val="en-US"/>
        </w:rPr>
        <w:t>Overall, Marriott's current working capital management is effective and supports the company's financial performance. Continued investment in digital financial management, improved cash forecasting and prudent financing decisions would further strengthen liquidity while enhancing long-term financial resilience.</w:t>
      </w:r>
    </w:p>
    <w:p w14:paraId="23BC5FB2" w14:textId="7D5F51CE" w:rsidR="00FE0D43" w:rsidRPr="005025C3" w:rsidRDefault="00FE0D43" w:rsidP="005025C3">
      <w:pPr>
        <w:pStyle w:val="2"/>
      </w:pPr>
      <w:bookmarkStart w:id="16" w:name="_Toc237258758"/>
      <w:r w:rsidRPr="005025C3">
        <w:t>2.4 Summary of Working Capital Management</w:t>
      </w:r>
      <w:bookmarkEnd w:id="16"/>
    </w:p>
    <w:p w14:paraId="07F5AC43" w14:textId="77777777" w:rsidR="00FE0D43" w:rsidRPr="005025C3" w:rsidRDefault="00FE0D43" w:rsidP="005025C3">
      <w:pPr>
        <w:jc w:val="both"/>
        <w:rPr>
          <w:rFonts w:cstheme="minorHAnsi"/>
          <w:lang w:val="en-US"/>
        </w:rPr>
      </w:pPr>
      <w:r w:rsidRPr="005025C3">
        <w:rPr>
          <w:rFonts w:cstheme="minorHAnsi"/>
          <w:lang w:val="en-US"/>
        </w:rPr>
        <w:t>Overall, Marriott maintained effective working capital management through a stable Cash Conversion Cycle and strong operating cash flows. While further improvements in liquidity management are possible, the company demonstrates sufficient financial flexibility to support its operations. The next section proposes strategic financial restructuring options to strengthen Marriott's long-term financial position.</w:t>
      </w:r>
    </w:p>
    <w:p w14:paraId="42609FF5" w14:textId="77777777" w:rsidR="009A5B13" w:rsidRPr="005025C3" w:rsidRDefault="009A5B13" w:rsidP="005025C3">
      <w:pPr>
        <w:jc w:val="both"/>
        <w:rPr>
          <w:rFonts w:cstheme="minorHAnsi"/>
          <w:lang w:val="en-US"/>
        </w:rPr>
      </w:pPr>
    </w:p>
    <w:p w14:paraId="6D8EC2F7" w14:textId="77777777" w:rsidR="009A5B13" w:rsidRPr="005025C3" w:rsidRDefault="009A5B13" w:rsidP="005025C3">
      <w:pPr>
        <w:jc w:val="both"/>
        <w:rPr>
          <w:rFonts w:cstheme="minorHAnsi"/>
          <w:lang w:val="en-US"/>
        </w:rPr>
      </w:pPr>
    </w:p>
    <w:p w14:paraId="4916091C" w14:textId="4C1AE608" w:rsidR="00C02F17" w:rsidRPr="005025C3" w:rsidRDefault="009A5B13" w:rsidP="005025C3">
      <w:pPr>
        <w:pStyle w:val="1"/>
        <w:rPr>
          <w:rFonts w:eastAsia="Times New Roman"/>
          <w:lang w:val="en-US"/>
        </w:rPr>
      </w:pPr>
      <w:bookmarkStart w:id="17" w:name="_Toc237258759"/>
      <w:r w:rsidRPr="005025C3">
        <w:rPr>
          <w:rFonts w:eastAsia="Times New Roman"/>
          <w:lang w:val="en-US"/>
        </w:rPr>
        <w:t>3</w:t>
      </w:r>
      <w:r w:rsidR="00C02F17" w:rsidRPr="005025C3">
        <w:rPr>
          <w:rFonts w:eastAsia="Times New Roman"/>
          <w:lang w:val="en-US"/>
        </w:rPr>
        <w:t xml:space="preserve"> </w:t>
      </w:r>
      <w:r w:rsidR="00C02F17" w:rsidRPr="005025C3">
        <w:t>Strategic</w:t>
      </w:r>
      <w:r w:rsidR="00C02F17" w:rsidRPr="005025C3">
        <w:rPr>
          <w:rFonts w:eastAsia="Times New Roman"/>
          <w:lang w:val="en-US"/>
        </w:rPr>
        <w:t xml:space="preserve"> </w:t>
      </w:r>
      <w:r w:rsidRPr="005025C3">
        <w:rPr>
          <w:rFonts w:eastAsia="Times New Roman"/>
          <w:lang w:val="en-US"/>
        </w:rPr>
        <w:t>Financial Restructuring Plan</w:t>
      </w:r>
      <w:bookmarkEnd w:id="17"/>
    </w:p>
    <w:p w14:paraId="78E68295" w14:textId="0F710B3B" w:rsidR="004C02E4" w:rsidRPr="005025C3" w:rsidRDefault="005A6897" w:rsidP="005025C3">
      <w:pPr>
        <w:pStyle w:val="2"/>
        <w:rPr>
          <w:lang w:val="en-US"/>
        </w:rPr>
      </w:pPr>
      <w:bookmarkStart w:id="18" w:name="_Toc237258760"/>
      <w:r w:rsidRPr="005025C3">
        <w:t>3.1 Recommended Financial Restructuring Options</w:t>
      </w:r>
      <w:bookmarkEnd w:id="18"/>
    </w:p>
    <w:p w14:paraId="72C6D56B" w14:textId="77777777" w:rsidR="00FA0D22" w:rsidRPr="005025C3" w:rsidRDefault="00FA0D22" w:rsidP="005025C3">
      <w:pPr>
        <w:jc w:val="both"/>
        <w:rPr>
          <w:rFonts w:eastAsia="Times New Roman" w:cstheme="minorHAnsi"/>
          <w:lang w:val="en-US"/>
        </w:rPr>
      </w:pPr>
      <w:r w:rsidRPr="005025C3">
        <w:rPr>
          <w:rFonts w:eastAsia="Times New Roman" w:cstheme="minorHAnsi"/>
          <w:lang w:val="en-US"/>
        </w:rPr>
        <w:t>Financial restructuring can strengthen financial stability and long-term shareholder value through changes to capital structure, assets and financing strategy (Brealey, Myers and Allen, 2023). Based on the analysis in Sections 1 and 2, Marriott remains financially strong but could further reduce financial risk and improve flexibility.</w:t>
      </w:r>
    </w:p>
    <w:p w14:paraId="50F6601B" w14:textId="77777777" w:rsidR="00FA0D22" w:rsidRPr="005025C3" w:rsidRDefault="00FA0D22" w:rsidP="005025C3">
      <w:pPr>
        <w:jc w:val="both"/>
        <w:rPr>
          <w:rFonts w:eastAsia="Times New Roman" w:cstheme="minorHAnsi"/>
          <w:lang w:val="en-US"/>
        </w:rPr>
      </w:pPr>
      <w:r w:rsidRPr="005025C3">
        <w:rPr>
          <w:rFonts w:eastAsia="Times New Roman" w:cstheme="minorHAnsi"/>
          <w:lang w:val="en-US"/>
        </w:rPr>
        <w:t xml:space="preserve">First, Marriott should continue a selective asset-light divestiture strategy, disposing of non-core owned properties while expanding management and franchise agreements. This could </w:t>
      </w:r>
      <w:r w:rsidRPr="005025C3">
        <w:rPr>
          <w:rFonts w:eastAsia="Times New Roman" w:cstheme="minorHAnsi"/>
          <w:lang w:val="en-US"/>
        </w:rPr>
        <w:lastRenderedPageBreak/>
        <w:t>release capital, improve asset efficiency and generate cash for strategic investment without limiting global expansion.</w:t>
      </w:r>
    </w:p>
    <w:p w14:paraId="2BB98BA3" w14:textId="77777777" w:rsidR="004C02E4" w:rsidRPr="005025C3" w:rsidRDefault="004C02E4" w:rsidP="005025C3">
      <w:pPr>
        <w:jc w:val="both"/>
        <w:rPr>
          <w:rFonts w:eastAsia="Times New Roman" w:cstheme="minorHAnsi"/>
        </w:rPr>
      </w:pPr>
      <w:r w:rsidRPr="005025C3">
        <w:rPr>
          <w:rFonts w:eastAsia="Times New Roman" w:cstheme="minorHAnsi"/>
        </w:rPr>
        <w:t>Second, Marriott should rebalance its capital structure. The company maintains relatively high leverage and negative shareholders' equity, partly due to substantial share repurchases. Capital structure is particularly important within the hospitality industry because financing decisions influence financial risk and long-term performance (Guahk, 2020). Moderating future buybacks and directing more operating cash flow towards debt reduction could lower interest costs and strengthen financial resilience, particularly during periods of higher borrowing costs.</w:t>
      </w:r>
    </w:p>
    <w:p w14:paraId="0C3B9914" w14:textId="4354EA9E" w:rsidR="00FA0D22" w:rsidRPr="005025C3" w:rsidRDefault="00FA0D22" w:rsidP="005025C3">
      <w:pPr>
        <w:jc w:val="both"/>
        <w:rPr>
          <w:rFonts w:eastAsia="Times New Roman" w:cstheme="minorHAnsi"/>
          <w:lang w:val="en-US"/>
        </w:rPr>
      </w:pPr>
      <w:r w:rsidRPr="005025C3">
        <w:rPr>
          <w:rFonts w:eastAsia="Times New Roman" w:cstheme="minorHAnsi"/>
          <w:lang w:val="en-US"/>
        </w:rPr>
        <w:t>Third, targeted acquisitions and strategic partnerships are preferable to a large-scale merger. Marriott already has an extensive global portfolio; therefore, selective investments in luxury, lifestyle, technology or sustainable hospitality businesses could support growth while limiting integration risk. A major equity injection is also unnecessary given Marriott's strong operating cash generation and could dilute existing shareholders.</w:t>
      </w:r>
    </w:p>
    <w:p w14:paraId="656C4EC8" w14:textId="77777777" w:rsidR="00FA0D22" w:rsidRPr="005025C3" w:rsidRDefault="00FA0D22" w:rsidP="005025C3">
      <w:pPr>
        <w:jc w:val="both"/>
        <w:rPr>
          <w:rFonts w:eastAsia="Times New Roman" w:cstheme="minorHAnsi"/>
          <w:lang w:val="en-US"/>
        </w:rPr>
      </w:pPr>
      <w:r w:rsidRPr="005025C3">
        <w:rPr>
          <w:rFonts w:eastAsia="Times New Roman" w:cstheme="minorHAnsi"/>
          <w:lang w:val="en-US"/>
        </w:rPr>
        <w:t>Finally, Marriott should continue investing in digital transformation and AI, particularly revenue management, demand forecasting and customer personalisation. These technologies could improve pricing, occupancy and operational efficiency while supporting long-term competitiveness.</w:t>
      </w:r>
    </w:p>
    <w:p w14:paraId="0717498B" w14:textId="77777777" w:rsidR="00FA0D22" w:rsidRPr="005025C3" w:rsidRDefault="00FA0D22" w:rsidP="005025C3">
      <w:pPr>
        <w:jc w:val="both"/>
        <w:rPr>
          <w:rFonts w:eastAsia="Times New Roman" w:cstheme="minorHAnsi"/>
          <w:lang w:val="en-US"/>
        </w:rPr>
      </w:pPr>
      <w:r w:rsidRPr="005025C3">
        <w:rPr>
          <w:rFonts w:eastAsia="Times New Roman" w:cstheme="minorHAnsi"/>
          <w:lang w:val="en-US"/>
        </w:rPr>
        <w:t>Overall, these options provide a balanced restructuring approach focused on financial resilience, targeted growth and efficient capital allocation.</w:t>
      </w:r>
    </w:p>
    <w:p w14:paraId="39C502C3" w14:textId="524F12B2" w:rsidR="009A5B13" w:rsidRPr="005025C3" w:rsidRDefault="009A5B13" w:rsidP="005025C3">
      <w:pPr>
        <w:pStyle w:val="2"/>
        <w:rPr>
          <w:rFonts w:eastAsia="Times New Roman"/>
          <w:lang w:val="en-US"/>
        </w:rPr>
      </w:pPr>
      <w:bookmarkStart w:id="19" w:name="_Toc237258761"/>
      <w:r w:rsidRPr="005025C3">
        <w:rPr>
          <w:rFonts w:eastAsia="Times New Roman"/>
          <w:lang w:val="en-US"/>
        </w:rPr>
        <w:t xml:space="preserve">3.2 </w:t>
      </w:r>
      <w:r w:rsidRPr="005025C3">
        <w:rPr>
          <w:lang w:val="en-US"/>
        </w:rPr>
        <w:t xml:space="preserve">Impact on </w:t>
      </w:r>
      <w:r w:rsidRPr="005025C3">
        <w:t>Shareholder</w:t>
      </w:r>
      <w:r w:rsidRPr="005025C3">
        <w:rPr>
          <w:lang w:val="en-US"/>
        </w:rPr>
        <w:t xml:space="preserve"> </w:t>
      </w:r>
      <w:r w:rsidRPr="005025C3">
        <w:t>Value</w:t>
      </w:r>
      <w:r w:rsidRPr="005025C3">
        <w:rPr>
          <w:lang w:val="en-US"/>
        </w:rPr>
        <w:t>, Debt Structure and Operational Flexibility</w:t>
      </w:r>
      <w:bookmarkEnd w:id="19"/>
      <w:r w:rsidRPr="005025C3">
        <w:rPr>
          <w:lang w:val="en-US"/>
        </w:rPr>
        <w:t xml:space="preserve"> </w:t>
      </w:r>
    </w:p>
    <w:p w14:paraId="52E596B1" w14:textId="51876142" w:rsidR="00FA0D22" w:rsidRPr="005025C3" w:rsidRDefault="00FA0D22" w:rsidP="005025C3">
      <w:pPr>
        <w:jc w:val="both"/>
        <w:rPr>
          <w:rFonts w:cstheme="minorHAnsi"/>
          <w:lang w:val="en-US"/>
        </w:rPr>
      </w:pPr>
      <w:r w:rsidRPr="005025C3">
        <w:rPr>
          <w:rFonts w:cstheme="minorHAnsi"/>
          <w:lang w:val="en-US"/>
        </w:rPr>
        <w:t>The proposed restructuring could strengthen Marriott's financial position while supporting long-term shareholder value. Reducing debt through internally generated cash flows would lower financial leverage and future interest expenses. Although debt can enhance shareholder returns during periods of growth, excessive leverage increases financial risk, particularly during economic downturns and periods of higher interest rates (Atrill and McLaney, 202</w:t>
      </w:r>
      <w:r w:rsidR="00B7430F" w:rsidRPr="005025C3">
        <w:rPr>
          <w:rFonts w:cstheme="minorHAnsi"/>
          <w:lang w:val="en-US"/>
        </w:rPr>
        <w:t>4</w:t>
      </w:r>
      <w:r w:rsidRPr="005025C3">
        <w:rPr>
          <w:rFonts w:cstheme="minorHAnsi"/>
          <w:lang w:val="en-US"/>
        </w:rPr>
        <w:t>).</w:t>
      </w:r>
    </w:p>
    <w:p w14:paraId="4CD2EC87" w14:textId="77777777" w:rsidR="00FA0D22" w:rsidRPr="005025C3" w:rsidRDefault="00FA0D22" w:rsidP="005025C3">
      <w:pPr>
        <w:jc w:val="both"/>
        <w:rPr>
          <w:rFonts w:cstheme="minorHAnsi"/>
          <w:lang w:val="en-US"/>
        </w:rPr>
      </w:pPr>
      <w:r w:rsidRPr="005025C3">
        <w:rPr>
          <w:rFonts w:cstheme="minorHAnsi"/>
          <w:lang w:val="en-US"/>
        </w:rPr>
        <w:t>Temporarily moderating share repurchases may reduce short-term earnings per share growth; however, using additional cash for debt reduction could strengthen the balance sheet and improve long-term financial resilience. This represents a trade-off between immediate shareholder distributions and sustainable value creation.</w:t>
      </w:r>
    </w:p>
    <w:p w14:paraId="52C8C3EB" w14:textId="77777777" w:rsidR="00FA0D22" w:rsidRPr="005025C3" w:rsidRDefault="00FA0D22" w:rsidP="005025C3">
      <w:pPr>
        <w:jc w:val="both"/>
        <w:rPr>
          <w:rFonts w:cstheme="minorHAnsi"/>
          <w:lang w:val="en-US"/>
        </w:rPr>
      </w:pPr>
      <w:r w:rsidRPr="005025C3">
        <w:rPr>
          <w:rFonts w:cstheme="minorHAnsi"/>
          <w:lang w:val="en-US"/>
        </w:rPr>
        <w:t>The asset-light divestiture strategy would further increase operational flexibility. Reducing capital invested in owned properties while expanding franchise and management agreements enables Marriott to enter new markets with lower financial exposure and respond more quickly to changing demand.</w:t>
      </w:r>
    </w:p>
    <w:p w14:paraId="7B10F625" w14:textId="77777777" w:rsidR="00FA0D22" w:rsidRPr="005025C3" w:rsidRDefault="00FA0D22" w:rsidP="005025C3">
      <w:pPr>
        <w:jc w:val="both"/>
        <w:rPr>
          <w:rFonts w:cstheme="minorHAnsi"/>
          <w:lang w:val="en-US"/>
        </w:rPr>
      </w:pPr>
      <w:r w:rsidRPr="005025C3">
        <w:rPr>
          <w:rFonts w:cstheme="minorHAnsi"/>
          <w:lang w:val="en-US"/>
        </w:rPr>
        <w:t>Investment in AI and digital technologies could also improve forecasting, revenue management and customer experience while reducing operating costs. Together, these restructuring initiatives would provide Marriott with greater flexibility to respond to market changes and pursue future investment opportunities.</w:t>
      </w:r>
    </w:p>
    <w:p w14:paraId="54BFD93C" w14:textId="77777777" w:rsidR="00FA0D22" w:rsidRPr="005025C3" w:rsidRDefault="00FA0D22" w:rsidP="005025C3">
      <w:pPr>
        <w:jc w:val="both"/>
        <w:rPr>
          <w:rFonts w:cstheme="minorHAnsi"/>
          <w:lang w:val="en-US"/>
        </w:rPr>
      </w:pPr>
      <w:r w:rsidRPr="005025C3">
        <w:rPr>
          <w:rFonts w:cstheme="minorHAnsi"/>
          <w:lang w:val="en-US"/>
        </w:rPr>
        <w:lastRenderedPageBreak/>
        <w:t>Overall, the strategy balances shareholder value, debt reduction and operational flexibility, supporting sustainable growth without significantly increasing Marriott's financial risk.</w:t>
      </w:r>
    </w:p>
    <w:p w14:paraId="710A6DD5" w14:textId="4457A46E" w:rsidR="009A5B13" w:rsidRPr="005025C3" w:rsidRDefault="009A5B13" w:rsidP="005025C3">
      <w:pPr>
        <w:pStyle w:val="2"/>
        <w:rPr>
          <w:rFonts w:eastAsia="Times New Roman"/>
          <w:lang w:val="en-US"/>
        </w:rPr>
      </w:pPr>
      <w:bookmarkStart w:id="20" w:name="_Toc237258762"/>
      <w:r w:rsidRPr="005025C3">
        <w:rPr>
          <w:rFonts w:eastAsia="Times New Roman"/>
          <w:lang w:val="en-US"/>
        </w:rPr>
        <w:t>3.3</w:t>
      </w:r>
      <w:r w:rsidRPr="005025C3">
        <w:rPr>
          <w:lang w:val="en-US"/>
        </w:rPr>
        <w:t xml:space="preserve"> International </w:t>
      </w:r>
      <w:r w:rsidRPr="005025C3">
        <w:t>and</w:t>
      </w:r>
      <w:r w:rsidRPr="005025C3">
        <w:rPr>
          <w:lang w:val="en-US"/>
        </w:rPr>
        <w:t xml:space="preserve"> Ethical Considerations</w:t>
      </w:r>
      <w:bookmarkEnd w:id="20"/>
      <w:r w:rsidRPr="005025C3">
        <w:rPr>
          <w:rFonts w:eastAsia="Times New Roman"/>
          <w:lang w:val="en-US"/>
        </w:rPr>
        <w:t xml:space="preserve"> </w:t>
      </w:r>
    </w:p>
    <w:p w14:paraId="15105603" w14:textId="77777777" w:rsidR="009A5B13" w:rsidRPr="005025C3" w:rsidRDefault="009A5B13" w:rsidP="005025C3">
      <w:pPr>
        <w:jc w:val="both"/>
        <w:rPr>
          <w:rFonts w:cstheme="minorHAnsi"/>
          <w:lang w:val="en-US"/>
        </w:rPr>
      </w:pPr>
      <w:r w:rsidRPr="005025C3">
        <w:rPr>
          <w:rFonts w:cstheme="minorHAnsi"/>
          <w:lang w:val="en-US"/>
        </w:rPr>
        <w:t>As one of the world's largest multinational hospitality companies, Marriott must consider international financial risks alongside ethical and sustainability responsibilities when implementing any restructuring strategy.</w:t>
      </w:r>
    </w:p>
    <w:p w14:paraId="2EC072BA" w14:textId="3C963231" w:rsidR="009A5B13" w:rsidRPr="005025C3" w:rsidRDefault="009A5B13" w:rsidP="005025C3">
      <w:pPr>
        <w:jc w:val="both"/>
        <w:rPr>
          <w:rFonts w:cstheme="minorHAnsi"/>
          <w:lang w:val="en-US"/>
        </w:rPr>
      </w:pPr>
      <w:r w:rsidRPr="005025C3">
        <w:rPr>
          <w:rFonts w:cstheme="minorHAnsi"/>
          <w:lang w:val="en-US"/>
        </w:rPr>
        <w:t>One significant international consideration is currency risk. Marriott generates substantial revenues across multiple geographical regions while reporting its financial results in US dollars. Exchange rate fluctuations may affect reported revenue, operating profits and cash flows. Expanding the use of natural hedging strategies and financial hedging instruments could reduce exposure to currency volatility and improve financial stability (Brigham and Ehrhardt, 202</w:t>
      </w:r>
      <w:r w:rsidR="00B7430F" w:rsidRPr="005025C3">
        <w:rPr>
          <w:rFonts w:cstheme="minorHAnsi"/>
          <w:lang w:val="en-US"/>
        </w:rPr>
        <w:t>0</w:t>
      </w:r>
      <w:r w:rsidRPr="005025C3">
        <w:rPr>
          <w:rFonts w:cstheme="minorHAnsi"/>
          <w:lang w:val="en-US"/>
        </w:rPr>
        <w:t>).</w:t>
      </w:r>
    </w:p>
    <w:p w14:paraId="27FE27E8" w14:textId="77777777" w:rsidR="009A5B13" w:rsidRPr="005025C3" w:rsidRDefault="009A5B13" w:rsidP="005025C3">
      <w:pPr>
        <w:jc w:val="both"/>
        <w:rPr>
          <w:rFonts w:cstheme="minorHAnsi"/>
          <w:lang w:val="en-US"/>
        </w:rPr>
      </w:pPr>
      <w:r w:rsidRPr="005025C3">
        <w:rPr>
          <w:rFonts w:cstheme="minorHAnsi"/>
          <w:lang w:val="en-US"/>
        </w:rPr>
        <w:t>Inflation also remains a significant challenge for the hospitality industry. Rising labour costs, utility expenses and food prices place pressure on operating margins and profitability. Marriott should continue implementing dynamic pricing strategies, operational efficiency programmes and technology investments to offset inflationary pressures while maintaining service quality.</w:t>
      </w:r>
    </w:p>
    <w:p w14:paraId="5C4DBD0E" w14:textId="77777777" w:rsidR="009A5B13" w:rsidRPr="005025C3" w:rsidRDefault="009A5B13" w:rsidP="005025C3">
      <w:pPr>
        <w:jc w:val="both"/>
        <w:rPr>
          <w:rFonts w:cstheme="minorHAnsi"/>
          <w:lang w:val="en-US"/>
        </w:rPr>
      </w:pPr>
      <w:r w:rsidRPr="005025C3">
        <w:rPr>
          <w:rFonts w:cstheme="minorHAnsi"/>
          <w:lang w:val="en-US"/>
        </w:rPr>
        <w:t>International taxation represents another important consideration. Marriott operates across numerous tax jurisdictions with different corporate tax regulations and reporting requirements. Maintaining transparent tax planning practices while ensuring full compliance with international tax legislation is essential for protecting corporate reputation and reducing regulatory risk. Ethical tax management should prioritise compliance rather than aggressive tax avoidance strategies.</w:t>
      </w:r>
    </w:p>
    <w:p w14:paraId="2D5AB0C2" w14:textId="77777777" w:rsidR="009A5B13" w:rsidRPr="005025C3" w:rsidRDefault="009A5B13" w:rsidP="005025C3">
      <w:pPr>
        <w:jc w:val="both"/>
        <w:rPr>
          <w:rFonts w:cstheme="minorHAnsi"/>
          <w:lang w:val="en-US"/>
        </w:rPr>
      </w:pPr>
      <w:r w:rsidRPr="005025C3">
        <w:rPr>
          <w:rFonts w:cstheme="minorHAnsi"/>
          <w:lang w:val="en-US"/>
        </w:rPr>
        <w:t xml:space="preserve">Environmental, Social and Governance (ESG) considerations should also remain central to Marriott's long-term financial strategy. Investors increasingly evaluate organisations based on sustainability performance alongside financial results. Marriott has already committed to reducing carbon emissions, improving energy efficiency and promoting responsible tourism through its </w:t>
      </w:r>
      <w:r w:rsidRPr="005025C3">
        <w:rPr>
          <w:rFonts w:cstheme="minorHAnsi"/>
          <w:i/>
          <w:iCs/>
          <w:lang w:val="en-US"/>
        </w:rPr>
        <w:t>Serve 360</w:t>
      </w:r>
      <w:r w:rsidRPr="005025C3">
        <w:rPr>
          <w:rFonts w:cstheme="minorHAnsi"/>
          <w:lang w:val="en-US"/>
        </w:rPr>
        <w:t xml:space="preserve"> sustainability programme (Marriott International, 2026). Continued investment in renewable energy, sustainable hotel operations and responsible supply chain management would strengthen stakeholder confidence while supporting long-term business sustainability.</w:t>
      </w:r>
    </w:p>
    <w:p w14:paraId="0B3BC0D2" w14:textId="77777777" w:rsidR="009A5B13" w:rsidRPr="005025C3" w:rsidRDefault="009A5B13" w:rsidP="005025C3">
      <w:pPr>
        <w:jc w:val="both"/>
        <w:rPr>
          <w:rFonts w:cstheme="minorHAnsi"/>
          <w:lang w:val="en-US"/>
        </w:rPr>
      </w:pPr>
      <w:r w:rsidRPr="005025C3">
        <w:rPr>
          <w:rFonts w:cstheme="minorHAnsi"/>
          <w:lang w:val="en-US"/>
        </w:rPr>
        <w:t>Furthermore, restructuring initiatives should consider their social impact. Any asset disposals, operational changes or technology investments should be implemented responsibly, ensuring employees receive appropriate support, retraining and development opportunities. Maintaining strong employee engagement while embracing digital transformation will help preserve Marriott's service quality and organisational culture.</w:t>
      </w:r>
    </w:p>
    <w:p w14:paraId="0E60F090" w14:textId="77777777" w:rsidR="009A5B13" w:rsidRPr="005025C3" w:rsidRDefault="009A5B13" w:rsidP="005025C3">
      <w:pPr>
        <w:jc w:val="both"/>
        <w:rPr>
          <w:rFonts w:cstheme="minorHAnsi"/>
          <w:lang w:val="en-US"/>
        </w:rPr>
      </w:pPr>
      <w:r w:rsidRPr="005025C3">
        <w:rPr>
          <w:rFonts w:cstheme="minorHAnsi"/>
          <w:lang w:val="en-US"/>
        </w:rPr>
        <w:t>Overall, successful financial restructuring requires balancing financial performance with responsible corporate governance, sustainable business practices and long-term stakeholder value. Integrating financial discipline with ethical decision-making will strengthen Marriott's competitive advantage while supporting sustainable growth within an increasingly complex international business environment.</w:t>
      </w:r>
    </w:p>
    <w:p w14:paraId="19C90FE3" w14:textId="02037960" w:rsidR="00FE0D43" w:rsidRPr="005025C3" w:rsidRDefault="00FE0D43" w:rsidP="005025C3">
      <w:pPr>
        <w:pStyle w:val="2"/>
        <w:rPr>
          <w:rFonts w:eastAsia="Times New Roman"/>
          <w:lang w:val="en-US"/>
        </w:rPr>
      </w:pPr>
      <w:bookmarkStart w:id="21" w:name="_Toc237258763"/>
      <w:r w:rsidRPr="005025C3">
        <w:rPr>
          <w:rFonts w:eastAsia="Times New Roman"/>
          <w:lang w:val="en-US"/>
        </w:rPr>
        <w:lastRenderedPageBreak/>
        <w:t>3.4</w:t>
      </w:r>
      <w:r w:rsidRPr="005025C3">
        <w:rPr>
          <w:lang w:val="en-US"/>
        </w:rPr>
        <w:t xml:space="preserve"> </w:t>
      </w:r>
      <w:r w:rsidRPr="005025C3">
        <w:t>Summary of Strategic Financial Restructuring</w:t>
      </w:r>
      <w:bookmarkEnd w:id="21"/>
    </w:p>
    <w:p w14:paraId="02BE6BF3" w14:textId="3F3813F9" w:rsidR="009A5B13" w:rsidRPr="005025C3" w:rsidRDefault="00FE0D43" w:rsidP="005025C3">
      <w:pPr>
        <w:jc w:val="both"/>
        <w:rPr>
          <w:rFonts w:cstheme="minorHAnsi"/>
          <w:lang w:val="en-US"/>
        </w:rPr>
      </w:pPr>
      <w:r w:rsidRPr="005025C3">
        <w:rPr>
          <w:rFonts w:cstheme="minorHAnsi"/>
        </w:rPr>
        <w:t>Overall, the proposed restructuring strategy strengthens Marriott's financial resilience by supporting sustainable growth, improving operational flexibility and reducing financial risk. Combining prudent financial management with responsible international and ESG practices will help the company maintain its competitive advantage and create long-term value for shareholders.</w:t>
      </w:r>
    </w:p>
    <w:p w14:paraId="570CD295" w14:textId="77777777" w:rsidR="009A5B13" w:rsidRPr="005025C3" w:rsidRDefault="009A5B13" w:rsidP="005025C3">
      <w:pPr>
        <w:jc w:val="both"/>
        <w:rPr>
          <w:rFonts w:cstheme="minorHAnsi"/>
          <w:lang w:val="en-US"/>
        </w:rPr>
      </w:pPr>
    </w:p>
    <w:p w14:paraId="3E6BD441" w14:textId="6C3C6319" w:rsidR="00C02F17" w:rsidRPr="005025C3" w:rsidRDefault="00FE0D43" w:rsidP="005025C3">
      <w:pPr>
        <w:pStyle w:val="1"/>
        <w:rPr>
          <w:rFonts w:eastAsia="Times New Roman"/>
          <w:lang w:val="en-US"/>
        </w:rPr>
      </w:pPr>
      <w:bookmarkStart w:id="22" w:name="_Toc237258764"/>
      <w:r w:rsidRPr="005025C3">
        <w:rPr>
          <w:rFonts w:eastAsia="Times New Roman"/>
          <w:lang w:val="en-US"/>
        </w:rPr>
        <w:t>4</w:t>
      </w:r>
      <w:r w:rsidR="00C02F17" w:rsidRPr="005025C3">
        <w:rPr>
          <w:rFonts w:eastAsia="Times New Roman"/>
          <w:lang w:val="en-US"/>
        </w:rPr>
        <w:t xml:space="preserve"> </w:t>
      </w:r>
      <w:r w:rsidRPr="005025C3">
        <w:t>Investment</w:t>
      </w:r>
      <w:r w:rsidRPr="005025C3">
        <w:rPr>
          <w:rFonts w:eastAsia="Times New Roman"/>
        </w:rPr>
        <w:t xml:space="preserve"> Appraisal and Capital Budgeting</w:t>
      </w:r>
      <w:bookmarkEnd w:id="22"/>
    </w:p>
    <w:p w14:paraId="1D839E3B" w14:textId="77777777" w:rsidR="002312FC" w:rsidRPr="005025C3" w:rsidRDefault="002312FC" w:rsidP="005025C3">
      <w:pPr>
        <w:pStyle w:val="2"/>
        <w:rPr>
          <w:lang w:val="en-US"/>
        </w:rPr>
      </w:pPr>
      <w:bookmarkStart w:id="23" w:name="_Toc237258765"/>
      <w:r w:rsidRPr="005025C3">
        <w:rPr>
          <w:lang w:val="en-US"/>
        </w:rPr>
        <w:t xml:space="preserve">4.1 </w:t>
      </w:r>
      <w:r w:rsidRPr="005025C3">
        <w:t>Introduction</w:t>
      </w:r>
      <w:bookmarkEnd w:id="23"/>
    </w:p>
    <w:p w14:paraId="2560CDF8" w14:textId="77777777" w:rsidR="00F61AFE" w:rsidRPr="005025C3" w:rsidRDefault="00F61AFE" w:rsidP="005025C3">
      <w:pPr>
        <w:jc w:val="both"/>
        <w:rPr>
          <w:rFonts w:cstheme="minorHAnsi"/>
          <w:lang w:val="en-US"/>
        </w:rPr>
      </w:pPr>
      <w:r w:rsidRPr="005025C3">
        <w:rPr>
          <w:rFonts w:cstheme="minorHAnsi"/>
          <w:lang w:val="en-US"/>
        </w:rPr>
        <w:t>Investment appraisal supports capital budgeting decisions by assessing whether proposed projects are likely to generate sufficient returns and create shareholder value (Brealey, Myers and Allen, 2023). This section evaluates three £50 million investment projects using Payback Period (PBP), Accounting Rate of Return (ARR), Net Present Value (NPV), Profitability Index (PI) and Internal Rate of Return (IRR). An 8% discount rate and straight-line depreciation to zero are applied. Detailed calculations are presented in Appendix G – Investment Appraisal and Capital Budgeting Calculations. The results are then considered alongside Marriott's financial position and relevant non-financial risks to determine the most appropriate investment decision.</w:t>
      </w:r>
    </w:p>
    <w:p w14:paraId="270D4C81" w14:textId="77777777" w:rsidR="009D1D08" w:rsidRPr="005025C3" w:rsidRDefault="009D1D08" w:rsidP="005025C3">
      <w:pPr>
        <w:pStyle w:val="2"/>
        <w:rPr>
          <w:lang w:val="en-US"/>
        </w:rPr>
      </w:pPr>
      <w:bookmarkStart w:id="24" w:name="_Toc237258766"/>
      <w:r w:rsidRPr="005025C3">
        <w:rPr>
          <w:lang w:val="en-US"/>
        </w:rPr>
        <w:t xml:space="preserve">4.2 Investment </w:t>
      </w:r>
      <w:r w:rsidRPr="005025C3">
        <w:t>Appraisal</w:t>
      </w:r>
      <w:r w:rsidRPr="005025C3">
        <w:rPr>
          <w:lang w:val="en-US"/>
        </w:rPr>
        <w:t xml:space="preserve"> Results</w:t>
      </w:r>
      <w:bookmarkEnd w:id="24"/>
    </w:p>
    <w:p w14:paraId="7A7FE537" w14:textId="77777777" w:rsidR="00F61AFE" w:rsidRPr="005025C3" w:rsidRDefault="00F61AFE" w:rsidP="005025C3">
      <w:pPr>
        <w:jc w:val="both"/>
        <w:rPr>
          <w:rFonts w:cstheme="minorHAnsi"/>
          <w:lang w:val="en-US"/>
        </w:rPr>
      </w:pPr>
      <w:r w:rsidRPr="005025C3">
        <w:rPr>
          <w:rFonts w:cstheme="minorHAnsi"/>
          <w:lang w:val="en-US"/>
        </w:rPr>
        <w:t>The investment appraisal results show clear differences between the three projects (see Appendix G – Investment Appraisal and Capital Budgeting Calculations). Each method considers a different aspect of investment performance; therefore, the results should be evaluated together rather than relying on a single measure.</w:t>
      </w:r>
    </w:p>
    <w:p w14:paraId="1789788D" w14:textId="263FC2CA" w:rsidR="00F61AFE" w:rsidRPr="005025C3" w:rsidRDefault="00F61AFE" w:rsidP="005025C3">
      <w:pPr>
        <w:jc w:val="both"/>
        <w:rPr>
          <w:rFonts w:cstheme="minorHAnsi"/>
          <w:lang w:val="en-US"/>
        </w:rPr>
      </w:pPr>
      <w:r w:rsidRPr="005025C3">
        <w:rPr>
          <w:rFonts w:cstheme="minorHAnsi"/>
          <w:lang w:val="en-US"/>
        </w:rPr>
        <w:t>The Payback Period (PBP) measures how quickly the initial investment is recovered. Project C has the shortest payback at 3.60 years, compared with 4.50 years for Project A and 4.55 years for Project B. Faster recovery reduces investment risk and is particularly relevant given Marriott's relatively low liquidity ratios. However, PBP ignores both the time value of money and cash flows after the payback point (Atrill and McLaney, 202</w:t>
      </w:r>
      <w:r w:rsidR="00B7430F" w:rsidRPr="005025C3">
        <w:rPr>
          <w:rFonts w:cstheme="minorHAnsi"/>
          <w:lang w:val="en-US"/>
        </w:rPr>
        <w:t>4</w:t>
      </w:r>
      <w:r w:rsidRPr="005025C3">
        <w:rPr>
          <w:rFonts w:cstheme="minorHAnsi"/>
          <w:lang w:val="en-US"/>
        </w:rPr>
        <w:t>).</w:t>
      </w:r>
    </w:p>
    <w:p w14:paraId="0FE27F95" w14:textId="77777777" w:rsidR="00F61AFE" w:rsidRPr="005025C3" w:rsidRDefault="00F61AFE" w:rsidP="005025C3">
      <w:pPr>
        <w:jc w:val="both"/>
        <w:rPr>
          <w:rFonts w:cstheme="minorHAnsi"/>
          <w:lang w:val="en-US"/>
        </w:rPr>
      </w:pPr>
      <w:r w:rsidRPr="005025C3">
        <w:rPr>
          <w:rFonts w:cstheme="minorHAnsi"/>
          <w:lang w:val="en-US"/>
        </w:rPr>
        <w:t>The Accounting Rate of Return (ARR) measures average accounting profit relative to the initial investment. Project C produces the highest ARR at 6.0%, compared with 2.0% for B and 1.6% for A. Although this indicates stronger accounting profitability, ARR does not account for the timing of cash flows.</w:t>
      </w:r>
    </w:p>
    <w:p w14:paraId="7F45401B" w14:textId="77777777" w:rsidR="00F61AFE" w:rsidRPr="005025C3" w:rsidRDefault="00F61AFE" w:rsidP="005025C3">
      <w:pPr>
        <w:jc w:val="both"/>
        <w:rPr>
          <w:rFonts w:cstheme="minorHAnsi"/>
          <w:lang w:val="en-US"/>
        </w:rPr>
      </w:pPr>
      <w:r w:rsidRPr="005025C3">
        <w:rPr>
          <w:rFonts w:cstheme="minorHAnsi"/>
          <w:lang w:val="en-US"/>
        </w:rPr>
        <w:t>The Net Present Value (NPV) incorporates the time value of money and directly measures value creation. At the 8% discount rate, Project C generates a positive NPV of £0.86 million, whereas A and B produce negative NPVs of £6.54 million and £6.08 million respectively. Therefore, only Project C is expected to increase shareholder value.</w:t>
      </w:r>
    </w:p>
    <w:p w14:paraId="1EB948DE" w14:textId="77777777" w:rsidR="00F61AFE" w:rsidRPr="005025C3" w:rsidRDefault="00F61AFE" w:rsidP="005025C3">
      <w:pPr>
        <w:jc w:val="both"/>
        <w:rPr>
          <w:rFonts w:cstheme="minorHAnsi"/>
          <w:lang w:val="en-US"/>
        </w:rPr>
      </w:pPr>
      <w:r w:rsidRPr="005025C3">
        <w:rPr>
          <w:rFonts w:cstheme="minorHAnsi"/>
          <w:lang w:val="en-US"/>
        </w:rPr>
        <w:lastRenderedPageBreak/>
        <w:t>The Profitability Index (PI) confirms this result. Project C has a PI of 1.017, meaning the present value of its inflows exceeds the initial investment. In contrast, A (0.869) and B (0.878) have PIs below 1 and therefore fail the acceptance criterion.</w:t>
      </w:r>
    </w:p>
    <w:p w14:paraId="452D2645" w14:textId="77777777" w:rsidR="00F61AFE" w:rsidRPr="005025C3" w:rsidRDefault="00F61AFE" w:rsidP="005025C3">
      <w:pPr>
        <w:jc w:val="both"/>
        <w:rPr>
          <w:rFonts w:cstheme="minorHAnsi"/>
          <w:lang w:val="en-US"/>
        </w:rPr>
      </w:pPr>
      <w:r w:rsidRPr="005025C3">
        <w:rPr>
          <w:rFonts w:cstheme="minorHAnsi"/>
          <w:lang w:val="en-US"/>
        </w:rPr>
        <w:t>Finally, IRR measures the rate at which NPV becomes zero. Project C achieves 8.59%, slightly above the required 8%, while A (2.72%) and B (3.26%) remain substantially below it. Overall, all five methods favour Project C, although its narrow margin above the required return suggests sensitivity to changes in cash flows or the cost of capital (Brealey, Myers and Allen, 2023).</w:t>
      </w:r>
    </w:p>
    <w:p w14:paraId="468D6B10" w14:textId="77777777" w:rsidR="009D1D08" w:rsidRPr="005025C3" w:rsidRDefault="009D1D08" w:rsidP="005025C3">
      <w:pPr>
        <w:pStyle w:val="2"/>
        <w:rPr>
          <w:lang w:val="en-US"/>
        </w:rPr>
      </w:pPr>
      <w:bookmarkStart w:id="25" w:name="_Toc237258767"/>
      <w:r w:rsidRPr="005025C3">
        <w:rPr>
          <w:lang w:val="en-US"/>
        </w:rPr>
        <w:t xml:space="preserve">4.3 </w:t>
      </w:r>
      <w:r w:rsidRPr="005025C3">
        <w:t>Evaluation</w:t>
      </w:r>
      <w:r w:rsidRPr="005025C3">
        <w:rPr>
          <w:lang w:val="en-US"/>
        </w:rPr>
        <w:t xml:space="preserve"> of the Three Projects</w:t>
      </w:r>
      <w:bookmarkEnd w:id="25"/>
    </w:p>
    <w:p w14:paraId="06EC6C18" w14:textId="77777777" w:rsidR="00F61AFE" w:rsidRPr="005025C3" w:rsidRDefault="00F61AFE" w:rsidP="005025C3">
      <w:pPr>
        <w:jc w:val="both"/>
        <w:rPr>
          <w:rFonts w:cstheme="minorHAnsi"/>
          <w:lang w:val="en-US"/>
        </w:rPr>
      </w:pPr>
      <w:r w:rsidRPr="005025C3">
        <w:rPr>
          <w:rFonts w:cstheme="minorHAnsi"/>
          <w:lang w:val="en-US"/>
        </w:rPr>
        <w:t>The three projects present different financial characteristics (see Appendix G). Project A benefits from relatively strong early cash inflows; however, its negative NPV and IRR significantly below the 8% required return indicate that it would reduce shareholder value. Therefore, it should be rejected.</w:t>
      </w:r>
    </w:p>
    <w:p w14:paraId="36FB94EF" w14:textId="77777777" w:rsidR="00F61AFE" w:rsidRPr="005025C3" w:rsidRDefault="00F61AFE" w:rsidP="005025C3">
      <w:pPr>
        <w:jc w:val="both"/>
        <w:rPr>
          <w:rFonts w:cstheme="minorHAnsi"/>
          <w:lang w:val="en-US"/>
        </w:rPr>
      </w:pPr>
      <w:r w:rsidRPr="005025C3">
        <w:rPr>
          <w:rFonts w:cstheme="minorHAnsi"/>
          <w:lang w:val="en-US"/>
        </w:rPr>
        <w:t>Project B provides the most stable cash-flow pattern, generating £11 million annually. This predictability may reduce forecasting risk and support financial planning. Nevertheless, it has the longest payback period and fails the NPV, PI and IRR acceptance criteria. Therefore, stable cash flows do not compensate for its insufficient return.</w:t>
      </w:r>
    </w:p>
    <w:p w14:paraId="6C8D61D9" w14:textId="77777777" w:rsidR="00F61AFE" w:rsidRPr="005025C3" w:rsidRDefault="00F61AFE" w:rsidP="005025C3">
      <w:pPr>
        <w:jc w:val="both"/>
        <w:rPr>
          <w:rFonts w:cstheme="minorHAnsi"/>
          <w:lang w:val="en-US"/>
        </w:rPr>
      </w:pPr>
      <w:r w:rsidRPr="005025C3">
        <w:rPr>
          <w:rFonts w:cstheme="minorHAnsi"/>
          <w:lang w:val="en-US"/>
        </w:rPr>
        <w:t>Project C has greater variation in cash flows, with significant returns concentrated in Years 3 and 4, increasing exposure to forecasting uncertainty. However, it is the only project with a positive NPV, PI above 1 and IRR above the required 8%, while also providing the shortest payback period. Consequently, Project C offers the strongest financial case, although its relatively small positive NPV suggests that changes in expected cash flows or the cost of capital could affect its viability (Brealey, Myers and Allen, 2023).</w:t>
      </w:r>
    </w:p>
    <w:p w14:paraId="4FFCAF39" w14:textId="77777777" w:rsidR="009D1D08" w:rsidRPr="005025C3" w:rsidRDefault="009D1D08" w:rsidP="005025C3">
      <w:pPr>
        <w:pStyle w:val="2"/>
        <w:rPr>
          <w:lang w:val="en-US"/>
        </w:rPr>
      </w:pPr>
      <w:bookmarkStart w:id="26" w:name="_Toc237258768"/>
      <w:r w:rsidRPr="005025C3">
        <w:rPr>
          <w:lang w:val="en-US"/>
        </w:rPr>
        <w:t xml:space="preserve">4.4 </w:t>
      </w:r>
      <w:r w:rsidRPr="005025C3">
        <w:t>Recommended</w:t>
      </w:r>
      <w:r w:rsidRPr="005025C3">
        <w:rPr>
          <w:lang w:val="en-US"/>
        </w:rPr>
        <w:t xml:space="preserve"> Project</w:t>
      </w:r>
      <w:bookmarkEnd w:id="26"/>
    </w:p>
    <w:p w14:paraId="2BDB0D0D" w14:textId="77777777" w:rsidR="009D1D08" w:rsidRPr="005025C3" w:rsidRDefault="009D1D08" w:rsidP="005025C3">
      <w:pPr>
        <w:jc w:val="both"/>
        <w:rPr>
          <w:rFonts w:cstheme="minorHAnsi"/>
          <w:lang w:val="en-US"/>
        </w:rPr>
      </w:pPr>
      <w:r w:rsidRPr="005025C3">
        <w:rPr>
          <w:rFonts w:cstheme="minorHAnsi"/>
          <w:lang w:val="en-US"/>
        </w:rPr>
        <w:t>As CFO, I would recommend that Marriott International proceeds with Project C. The investment appraisal provides the strongest financial justification for this project (see Appendix G – Investment Appraisal and Capital Budgeting Calculations). Project C is the only alternative generating a positive NPV (£0.86 million), a PI above 1 (1.017) and an IRR (8.59%) exceeding the required 8% return. It also provides the shortest payback period of 3.60 years, allowing Marriott to recover its £50 million investment more quickly.</w:t>
      </w:r>
    </w:p>
    <w:p w14:paraId="0D90826B" w14:textId="77777777" w:rsidR="009D1D08" w:rsidRPr="005025C3" w:rsidRDefault="009D1D08" w:rsidP="005025C3">
      <w:pPr>
        <w:jc w:val="both"/>
        <w:rPr>
          <w:rFonts w:cstheme="minorHAnsi"/>
          <w:lang w:val="en-US"/>
        </w:rPr>
      </w:pPr>
      <w:r w:rsidRPr="005025C3">
        <w:rPr>
          <w:rFonts w:cstheme="minorHAnsi"/>
          <w:lang w:val="en-US"/>
        </w:rPr>
        <w:t>This recommendation is consistent with Marriott's existing financial position. The five-year analysis demonstrated improving profitability, with a 9.93% net profit margin and 9.4% ROA in 2025, alongside stronger operating cash generation (see Appendix D). However, Marriott's current ratio remained relatively low at 0.43, suggesting that liquidity should continue to be carefully managed. Project C's shorter payback period is therefore particularly beneficial because it limits the period for which capital is committed. Furthermore, Marriott's relatively stable Cash Conversion Cycle (see Appendix F) and improving operating cash flows (see Appendix C) provide additional capacity to support the investment.</w:t>
      </w:r>
    </w:p>
    <w:p w14:paraId="7BE7FC6A" w14:textId="77777777" w:rsidR="009D1D08" w:rsidRPr="005025C3" w:rsidRDefault="009D1D08" w:rsidP="005025C3">
      <w:pPr>
        <w:jc w:val="both"/>
        <w:rPr>
          <w:rFonts w:cstheme="minorHAnsi"/>
          <w:lang w:val="en-US"/>
        </w:rPr>
      </w:pPr>
      <w:r w:rsidRPr="005025C3">
        <w:rPr>
          <w:rFonts w:cstheme="minorHAnsi"/>
          <w:lang w:val="en-US"/>
        </w:rPr>
        <w:lastRenderedPageBreak/>
        <w:t>Nevertheless, financial measures alone should not determine the final decision. Project C's returns depend heavily on cash inflows in Years 3 and 4, making it vulnerable to inflation, economic disruption and political or geopolitical risks that could reduce international travel demand. Scenario and sensitivity analysis should therefore be undertaken before final approval. Marriott should also consider whether the investment strengthens customer loyalty, for example through improvements in service quality, digital experience or the Marriott Bonvoy ecosystem.</w:t>
      </w:r>
    </w:p>
    <w:p w14:paraId="0DCB5B88" w14:textId="77777777" w:rsidR="009D1D08" w:rsidRPr="005025C3" w:rsidRDefault="009D1D08" w:rsidP="005025C3">
      <w:pPr>
        <w:jc w:val="both"/>
        <w:rPr>
          <w:rFonts w:cstheme="minorHAnsi"/>
          <w:lang w:val="en-US"/>
        </w:rPr>
      </w:pPr>
      <w:r w:rsidRPr="005025C3">
        <w:rPr>
          <w:rFonts w:cstheme="minorHAnsi"/>
          <w:lang w:val="en-US"/>
        </w:rPr>
        <w:t>Finally, the project should be consistent with Marriott's ESG commitments, including responsible resource use, carbon reduction and ethical employment practices (Marriott International, 2026). Subject to satisfactory risk and ESG assessment, Project C offers the strongest balance between financial return, liquidity protection and long-term strategic value.</w:t>
      </w:r>
    </w:p>
    <w:p w14:paraId="650A7B8D" w14:textId="77777777" w:rsidR="002312FC" w:rsidRPr="005025C3" w:rsidRDefault="002312FC" w:rsidP="005025C3">
      <w:pPr>
        <w:pStyle w:val="2"/>
        <w:rPr>
          <w:lang w:val="en-US"/>
        </w:rPr>
      </w:pPr>
      <w:bookmarkStart w:id="27" w:name="_Toc237258769"/>
      <w:r w:rsidRPr="005025C3">
        <w:rPr>
          <w:lang w:val="en-US"/>
        </w:rPr>
        <w:t xml:space="preserve">4.5 </w:t>
      </w:r>
      <w:r w:rsidRPr="005025C3">
        <w:t>Capital</w:t>
      </w:r>
      <w:r w:rsidRPr="005025C3">
        <w:rPr>
          <w:lang w:val="en-US"/>
        </w:rPr>
        <w:t xml:space="preserve"> Rationing</w:t>
      </w:r>
      <w:bookmarkEnd w:id="27"/>
    </w:p>
    <w:p w14:paraId="5E32CAF4" w14:textId="6EC6738B" w:rsidR="002312FC" w:rsidRPr="005025C3" w:rsidRDefault="002312FC" w:rsidP="005025C3">
      <w:pPr>
        <w:jc w:val="both"/>
        <w:rPr>
          <w:rFonts w:cstheme="minorHAnsi"/>
          <w:lang w:val="en-US"/>
        </w:rPr>
      </w:pPr>
      <w:r w:rsidRPr="005025C3">
        <w:rPr>
          <w:rFonts w:cstheme="minorHAnsi"/>
          <w:lang w:val="en-US"/>
        </w:rPr>
        <w:t xml:space="preserve">Capital rationing occurs when an organisation has limited investment funds and must select the combination of projects that maximises shareholder value (Brealey, Myers and Allen, 2023). </w:t>
      </w:r>
      <w:r w:rsidR="00F61AFE" w:rsidRPr="005025C3">
        <w:rPr>
          <w:rFonts w:cstheme="minorHAnsi"/>
        </w:rPr>
        <w:t xml:space="preserve">In this scenario, Marriott has a maximum investment budget of £100 million, meaning that the company could undertake up to two of the three proposed projects. </w:t>
      </w:r>
      <w:r w:rsidRPr="005025C3">
        <w:rPr>
          <w:rFonts w:cstheme="minorHAnsi"/>
          <w:lang w:val="en-US"/>
        </w:rPr>
        <w:t>The detailed capital rationing calculations are presented in Appendix G – Investment Appraisal and Capital Budgeting Calculations.</w:t>
      </w:r>
    </w:p>
    <w:p w14:paraId="5DA0E0B5" w14:textId="77777777" w:rsidR="002312FC" w:rsidRPr="005025C3" w:rsidRDefault="002312FC" w:rsidP="005025C3">
      <w:pPr>
        <w:jc w:val="both"/>
        <w:rPr>
          <w:rFonts w:cstheme="minorHAnsi"/>
          <w:lang w:val="en-US"/>
        </w:rPr>
      </w:pPr>
      <w:r w:rsidRPr="005025C3">
        <w:rPr>
          <w:rFonts w:cstheme="minorHAnsi"/>
          <w:lang w:val="en-US"/>
        </w:rPr>
        <w:t>The results indicate that the combination of Projects B and C produces the highest combined Profitability Index (0.948) and the least negative Net Present Value (-£5.22 million) among the three possible investment portfolios. In comparison, Projects A and B generate the lowest combined NPV (-£12.62 million), while Projects A and C produce a combined NPV of -£5.68 million.</w:t>
      </w:r>
    </w:p>
    <w:p w14:paraId="7FD9796F" w14:textId="38527500" w:rsidR="002312FC" w:rsidRPr="005025C3" w:rsidRDefault="002312FC" w:rsidP="005025C3">
      <w:pPr>
        <w:jc w:val="both"/>
        <w:rPr>
          <w:rFonts w:cstheme="minorHAnsi"/>
          <w:lang w:val="en-US"/>
        </w:rPr>
      </w:pPr>
      <w:r w:rsidRPr="005025C3">
        <w:rPr>
          <w:rFonts w:cstheme="minorHAnsi"/>
          <w:lang w:val="en-US"/>
        </w:rPr>
        <w:t>Although the B+C portfolio represents the strongest combination under the £100 million investment constraint, its combined NPV remains negative and the combined Profitability Index is below 1.0. According to investment appraisal theory, projects with a negative NPV reduce shareholder wealth and should therefore be rejected (Atrill and McLaney, 202</w:t>
      </w:r>
      <w:r w:rsidR="00B7430F" w:rsidRPr="005025C3">
        <w:rPr>
          <w:rFonts w:cstheme="minorHAnsi"/>
          <w:lang w:val="en-US"/>
        </w:rPr>
        <w:t>4</w:t>
      </w:r>
      <w:r w:rsidRPr="005025C3">
        <w:rPr>
          <w:rFonts w:cstheme="minorHAnsi"/>
          <w:lang w:val="en-US"/>
        </w:rPr>
        <w:t>).</w:t>
      </w:r>
    </w:p>
    <w:p w14:paraId="7CDFFA32" w14:textId="5372E82C" w:rsidR="00C02F17" w:rsidRPr="005025C3" w:rsidRDefault="00F61AFE" w:rsidP="005025C3">
      <w:pPr>
        <w:jc w:val="both"/>
        <w:rPr>
          <w:rFonts w:cstheme="minorHAnsi"/>
        </w:rPr>
      </w:pPr>
      <w:r w:rsidRPr="005025C3">
        <w:rPr>
          <w:rFonts w:cstheme="minorHAnsi"/>
        </w:rPr>
        <w:t>Consequently, from a financial management perspective, Marriott should not invest the full £100 million simply because the capital is available. Instead, the company should undertake only Project C, which is the only investment that generates a positive NPV (£0.86 million), a Profitability Index greater than 1.0 and an Internal Rate of Return exceeding the required 8% discount rate. The remaining £50 million could be retained for future positive-NPV investment opportunities, debt reduction or strategic initiatives that strengthen Marriott's long-term financial position.</w:t>
      </w:r>
    </w:p>
    <w:p w14:paraId="1DAFFCE8" w14:textId="77777777" w:rsidR="00F61AFE" w:rsidRPr="005025C3" w:rsidRDefault="00F61AFE" w:rsidP="005025C3">
      <w:pPr>
        <w:pStyle w:val="2"/>
        <w:rPr>
          <w:lang w:val="en-US"/>
        </w:rPr>
      </w:pPr>
      <w:bookmarkStart w:id="28" w:name="_Toc237258770"/>
      <w:r w:rsidRPr="005025C3">
        <w:rPr>
          <w:lang w:val="en-US"/>
        </w:rPr>
        <w:t xml:space="preserve">4.6 </w:t>
      </w:r>
      <w:r w:rsidRPr="005025C3">
        <w:t>Summary</w:t>
      </w:r>
      <w:bookmarkEnd w:id="28"/>
    </w:p>
    <w:p w14:paraId="03862328" w14:textId="77777777" w:rsidR="00F61AFE" w:rsidRPr="005025C3" w:rsidRDefault="00F61AFE" w:rsidP="005025C3">
      <w:pPr>
        <w:jc w:val="both"/>
        <w:rPr>
          <w:rFonts w:cstheme="minorHAnsi"/>
          <w:lang w:val="en-US"/>
        </w:rPr>
      </w:pPr>
      <w:r w:rsidRPr="005025C3">
        <w:rPr>
          <w:rFonts w:cstheme="minorHAnsi"/>
          <w:lang w:val="en-US"/>
        </w:rPr>
        <w:t xml:space="preserve">Overall, the investment appraisal identifies Project C as the strongest option, as it is the only project that meets the key NPV, PI and IRR acceptance criteria. Although B+C represents the best two-project combination under the £100 million constraint, its negative NPV means that </w:t>
      </w:r>
      <w:r w:rsidRPr="005025C3">
        <w:rPr>
          <w:rFonts w:cstheme="minorHAnsi"/>
          <w:lang w:val="en-US"/>
        </w:rPr>
        <w:lastRenderedPageBreak/>
        <w:t>investing solely in Project C provides a stronger approach to protecting shareholder value and maintaining Marriott's financial flexibility.</w:t>
      </w:r>
    </w:p>
    <w:p w14:paraId="64D30086" w14:textId="77777777" w:rsidR="00E366A9" w:rsidRPr="005025C3" w:rsidRDefault="00E366A9" w:rsidP="005025C3">
      <w:pPr>
        <w:jc w:val="both"/>
        <w:rPr>
          <w:rFonts w:cstheme="minorHAnsi"/>
          <w:lang w:val="en-US"/>
        </w:rPr>
      </w:pPr>
    </w:p>
    <w:p w14:paraId="4AA47FA0" w14:textId="77777777" w:rsidR="00E366A9" w:rsidRPr="005025C3" w:rsidRDefault="00E366A9" w:rsidP="005025C3">
      <w:pPr>
        <w:jc w:val="both"/>
        <w:rPr>
          <w:rFonts w:cstheme="minorHAnsi"/>
          <w:lang w:val="en-US"/>
        </w:rPr>
      </w:pPr>
    </w:p>
    <w:p w14:paraId="13E2D009" w14:textId="77777777" w:rsidR="00E366A9" w:rsidRPr="005025C3" w:rsidRDefault="00E366A9" w:rsidP="005025C3">
      <w:pPr>
        <w:pStyle w:val="1"/>
        <w:rPr>
          <w:lang w:val="en-US"/>
        </w:rPr>
      </w:pPr>
      <w:bookmarkStart w:id="29" w:name="_Toc237258771"/>
      <w:r w:rsidRPr="005025C3">
        <w:rPr>
          <w:lang w:val="en-US"/>
        </w:rPr>
        <w:t xml:space="preserve">5. </w:t>
      </w:r>
      <w:r w:rsidRPr="005025C3">
        <w:t>Critical</w:t>
      </w:r>
      <w:r w:rsidRPr="005025C3">
        <w:rPr>
          <w:lang w:val="en-US"/>
        </w:rPr>
        <w:t xml:space="preserve"> Reflection on AI Usage</w:t>
      </w:r>
      <w:bookmarkEnd w:id="29"/>
    </w:p>
    <w:p w14:paraId="7F53A116" w14:textId="77777777" w:rsidR="00E366A9" w:rsidRPr="005025C3" w:rsidRDefault="00E366A9" w:rsidP="005025C3">
      <w:pPr>
        <w:pStyle w:val="2"/>
        <w:rPr>
          <w:lang w:val="en-US"/>
        </w:rPr>
      </w:pPr>
      <w:bookmarkStart w:id="30" w:name="_Toc237258772"/>
      <w:r w:rsidRPr="005025C3">
        <w:rPr>
          <w:lang w:val="en-US"/>
        </w:rPr>
        <w:t xml:space="preserve">5.1 Tool </w:t>
      </w:r>
      <w:r w:rsidRPr="005025C3">
        <w:t>Disclosure</w:t>
      </w:r>
      <w:bookmarkEnd w:id="30"/>
    </w:p>
    <w:p w14:paraId="4657D58F" w14:textId="77777777" w:rsidR="00E366A9" w:rsidRPr="005025C3" w:rsidRDefault="00E366A9" w:rsidP="005025C3">
      <w:pPr>
        <w:jc w:val="both"/>
        <w:rPr>
          <w:rFonts w:cstheme="minorHAnsi"/>
          <w:lang w:val="en-US"/>
        </w:rPr>
      </w:pPr>
      <w:r w:rsidRPr="005025C3">
        <w:rPr>
          <w:rFonts w:cstheme="minorHAnsi"/>
          <w:lang w:val="en-US"/>
        </w:rPr>
        <w:t>Artificial Intelligence was used as a supporting tool throughout the development of this report. I used ChatGPT (OpenAI) to help structure sections of the report, explain financial concepts, organise financial information, support calculations and improve the clarity of my academic writing. AI was also helpful in creating structured Excel tables for the five-year financial statements, ratio analysis, Cash Conversion Cycle and investment appraisal calculations. My use of ChatGPT is formally disclosed in the AI Usage Acknowledgement submitted with this assessment.</w:t>
      </w:r>
    </w:p>
    <w:p w14:paraId="32A89F80" w14:textId="77777777" w:rsidR="00E366A9" w:rsidRPr="005025C3" w:rsidRDefault="00E366A9" w:rsidP="005025C3">
      <w:pPr>
        <w:jc w:val="both"/>
        <w:rPr>
          <w:rFonts w:cstheme="minorHAnsi"/>
          <w:lang w:val="en-US"/>
        </w:rPr>
      </w:pPr>
      <w:r w:rsidRPr="005025C3">
        <w:rPr>
          <w:rFonts w:cstheme="minorHAnsi"/>
          <w:lang w:val="en-US"/>
        </w:rPr>
        <w:t>The weekly homework activities provided by the lecturer were particularly helpful in guiding this process. Completing the financial analysis step by step encouraged me to work consistently rather than attempting the entire assessment close to the deadline. Each activity contributed to the final report, particularly the preparation of financial statements, ratios and Excel calculations. This became especially valuable when the submission deadline was unexpectedly moved one week earlier. Although this initially created additional pressure, a significant proportion of the numerical analysis had already been completed, making the change considerably less stressful.</w:t>
      </w:r>
    </w:p>
    <w:p w14:paraId="09FBAF18" w14:textId="77777777" w:rsidR="00E366A9" w:rsidRPr="005025C3" w:rsidRDefault="00E366A9" w:rsidP="005025C3">
      <w:pPr>
        <w:pStyle w:val="2"/>
        <w:rPr>
          <w:lang w:val="en-US"/>
        </w:rPr>
      </w:pPr>
      <w:bookmarkStart w:id="31" w:name="_Toc237258773"/>
      <w:r w:rsidRPr="005025C3">
        <w:rPr>
          <w:lang w:val="en-US"/>
        </w:rPr>
        <w:t>5.2 Critical Evaluation and Verification of AI Output</w:t>
      </w:r>
      <w:bookmarkEnd w:id="31"/>
    </w:p>
    <w:p w14:paraId="1778EB09" w14:textId="285800D9" w:rsidR="00E366A9" w:rsidRPr="005025C3" w:rsidRDefault="00E366A9" w:rsidP="005025C3">
      <w:pPr>
        <w:jc w:val="both"/>
        <w:rPr>
          <w:rFonts w:cstheme="minorHAnsi"/>
          <w:lang w:val="en-US"/>
        </w:rPr>
      </w:pPr>
      <w:r w:rsidRPr="005025C3">
        <w:rPr>
          <w:rFonts w:cstheme="minorHAnsi"/>
          <w:lang w:val="en-US"/>
        </w:rPr>
        <w:t>I did not treat AI-generated information as automatically accurate. Financial figures were checked against Marriott's annual reports, and calculations were reviewed using the original income statement, balance sheet</w:t>
      </w:r>
      <w:r w:rsidR="00C964F7" w:rsidRPr="005025C3">
        <w:rPr>
          <w:rFonts w:cstheme="minorHAnsi"/>
          <w:lang w:val="en-US"/>
        </w:rPr>
        <w:t>,</w:t>
      </w:r>
      <w:r w:rsidRPr="005025C3">
        <w:rPr>
          <w:rFonts w:cstheme="minorHAnsi"/>
          <w:lang w:val="en-US"/>
        </w:rPr>
        <w:t xml:space="preserve"> and cash-flow data. Investment appraisal calculations were also checked against the project information and the 8% discount rate specified in the assessment brief.</w:t>
      </w:r>
    </w:p>
    <w:p w14:paraId="14DD7E68" w14:textId="77777777" w:rsidR="00E366A9" w:rsidRPr="005025C3" w:rsidRDefault="00E366A9" w:rsidP="005025C3">
      <w:pPr>
        <w:jc w:val="both"/>
        <w:rPr>
          <w:rFonts w:cstheme="minorHAnsi"/>
          <w:lang w:val="en-US"/>
        </w:rPr>
      </w:pPr>
      <w:r w:rsidRPr="005025C3">
        <w:rPr>
          <w:rFonts w:cstheme="minorHAnsi"/>
          <w:lang w:val="en-US"/>
        </w:rPr>
        <w:t>My previous experience working as a bookkeeper in Ukraine influenced this approach. Working with financial information taught me that even a small numerical or classification error can significantly affect the final result. This experience helped me recognise the importance of checking source documents rather than relying only on automatically generated outputs.</w:t>
      </w:r>
    </w:p>
    <w:p w14:paraId="10470FDC" w14:textId="5B0816AC" w:rsidR="00E366A9" w:rsidRPr="005025C3" w:rsidRDefault="00E366A9" w:rsidP="005025C3">
      <w:pPr>
        <w:jc w:val="both"/>
        <w:rPr>
          <w:rFonts w:cstheme="minorHAnsi"/>
          <w:lang w:val="en-US"/>
        </w:rPr>
      </w:pPr>
      <w:r w:rsidRPr="005025C3">
        <w:rPr>
          <w:rFonts w:cstheme="minorHAnsi"/>
          <w:lang w:val="en-US"/>
        </w:rPr>
        <w:t xml:space="preserve">There were practical examples of errors during this assessment. When some investment-ratio figures were transferred into Excel, numerical values were incorrectly interpreted as dates, producing unrealistic results. These had to be identified and corrected. Another issue concerned Marriott's negative shareholders' equity, which meant that ROE could not be interpreted </w:t>
      </w:r>
      <w:r w:rsidRPr="005025C3">
        <w:rPr>
          <w:rFonts w:cstheme="minorHAnsi"/>
          <w:lang w:val="en-US"/>
        </w:rPr>
        <w:lastRenderedPageBreak/>
        <w:t>normally. These examples demonstrated that AI can produce convincing outputs while still requiring human verification and professional judgement.</w:t>
      </w:r>
      <w:r w:rsidR="00C964F7" w:rsidRPr="005025C3">
        <w:rPr>
          <w:rFonts w:cstheme="minorHAnsi"/>
          <w:lang w:val="en-US"/>
        </w:rPr>
        <w:t xml:space="preserve"> </w:t>
      </w:r>
      <w:r w:rsidR="00C964F7" w:rsidRPr="005025C3">
        <w:rPr>
          <w:rFonts w:cstheme="minorHAnsi"/>
        </w:rPr>
        <w:t>This is consistent with research showing that although large language models can support financial analysis, their reliability and consistency can vary across financial and accounting tasks (Kim, Muhn and Nikolaev, 2024; Wang and Wang, 2025).</w:t>
      </w:r>
    </w:p>
    <w:p w14:paraId="1138279E" w14:textId="77777777" w:rsidR="00E366A9" w:rsidRPr="005025C3" w:rsidRDefault="00E366A9" w:rsidP="005025C3">
      <w:pPr>
        <w:pStyle w:val="2"/>
        <w:rPr>
          <w:lang w:val="en-US"/>
        </w:rPr>
      </w:pPr>
      <w:bookmarkStart w:id="32" w:name="_Toc237258774"/>
      <w:r w:rsidRPr="005025C3">
        <w:rPr>
          <w:lang w:val="en-US"/>
        </w:rPr>
        <w:t xml:space="preserve">5.3 </w:t>
      </w:r>
      <w:r w:rsidRPr="005025C3">
        <w:t>Contribution</w:t>
      </w:r>
      <w:r w:rsidRPr="005025C3">
        <w:rPr>
          <w:lang w:val="en-US"/>
        </w:rPr>
        <w:t xml:space="preserve"> Analysis</w:t>
      </w:r>
      <w:bookmarkEnd w:id="32"/>
    </w:p>
    <w:p w14:paraId="325490D2" w14:textId="071FD37F" w:rsidR="00E366A9" w:rsidRPr="005025C3" w:rsidRDefault="00E366A9" w:rsidP="005025C3">
      <w:pPr>
        <w:jc w:val="both"/>
        <w:rPr>
          <w:rFonts w:cstheme="minorHAnsi"/>
          <w:lang w:val="en-US"/>
        </w:rPr>
      </w:pPr>
      <w:r w:rsidRPr="005025C3">
        <w:rPr>
          <w:rFonts w:cstheme="minorHAnsi"/>
          <w:lang w:val="en-US"/>
        </w:rPr>
        <w:t>AI contributed mainly to organisation, calculation support, explanation and presentation, while the final analysis and decisions remained my responsibility. I selected Marriott, reviewed the financial evidence, considered which trends were important and connected the results with the company's financial position and strategy.</w:t>
      </w:r>
      <w:r w:rsidR="00C964F7" w:rsidRPr="005025C3">
        <w:rPr>
          <w:rFonts w:cstheme="minorHAnsi"/>
          <w:lang w:val="en-US"/>
        </w:rPr>
        <w:t xml:space="preserve"> </w:t>
      </w:r>
      <w:r w:rsidR="00C964F7" w:rsidRPr="005025C3">
        <w:rPr>
          <w:rFonts w:cstheme="minorHAnsi"/>
        </w:rPr>
        <w:t>This reflects the developing role of AI and digital technologies in finance, where technology can support analysis while professional judgement remains important in interpreting information and making decisions (IFAC, 2022).</w:t>
      </w:r>
    </w:p>
    <w:p w14:paraId="71449982" w14:textId="77777777" w:rsidR="00E366A9" w:rsidRPr="005025C3" w:rsidRDefault="00E366A9" w:rsidP="005025C3">
      <w:pPr>
        <w:jc w:val="both"/>
        <w:rPr>
          <w:rFonts w:cstheme="minorHAnsi"/>
          <w:lang w:val="en-US"/>
        </w:rPr>
      </w:pPr>
      <w:r w:rsidRPr="005025C3">
        <w:rPr>
          <w:rFonts w:cstheme="minorHAnsi"/>
          <w:lang w:val="en-US"/>
        </w:rPr>
        <w:t>My employment at Waitrose also influenced how I approached the report. Working within a large organisation has given me practical experience of how operational decisions, customer demand, staffing and day-to-day business activities can influence wider business performance. This helped me consider financial ratios as indicators of real business activity rather than simply numerical calculations.</w:t>
      </w:r>
    </w:p>
    <w:p w14:paraId="6FC20C88" w14:textId="77777777" w:rsidR="00E366A9" w:rsidRPr="005025C3" w:rsidRDefault="00E366A9" w:rsidP="005025C3">
      <w:pPr>
        <w:jc w:val="both"/>
        <w:rPr>
          <w:rFonts w:cstheme="minorHAnsi"/>
          <w:lang w:val="en-US"/>
        </w:rPr>
      </w:pPr>
      <w:r w:rsidRPr="005025C3">
        <w:rPr>
          <w:rFonts w:cstheme="minorHAnsi"/>
          <w:lang w:val="en-US"/>
        </w:rPr>
        <w:t>The investment appraisal illustrates the distinction between AI support and my own judgement. AI assisted with PBP, ARR, NPV, PI and IRR calculations, but I evaluated the results and concluded that Project C was preferable. I also considered Marriott's liquidity and financial flexibility when deciding that using the entire £100 million investment budget would not necessarily represent the best financial decision.</w:t>
      </w:r>
    </w:p>
    <w:p w14:paraId="0267A470" w14:textId="77777777" w:rsidR="00E366A9" w:rsidRPr="005025C3" w:rsidRDefault="00E366A9" w:rsidP="005025C3">
      <w:pPr>
        <w:pStyle w:val="2"/>
        <w:rPr>
          <w:lang w:val="en-US"/>
        </w:rPr>
      </w:pPr>
      <w:bookmarkStart w:id="33" w:name="_Toc237258775"/>
      <w:r w:rsidRPr="005025C3">
        <w:rPr>
          <w:lang w:val="en-US"/>
        </w:rPr>
        <w:t xml:space="preserve">5.4 </w:t>
      </w:r>
      <w:r w:rsidRPr="005025C3">
        <w:t>Ethical</w:t>
      </w:r>
      <w:r w:rsidRPr="005025C3">
        <w:rPr>
          <w:lang w:val="en-US"/>
        </w:rPr>
        <w:t xml:space="preserve"> and Professional Reflection</w:t>
      </w:r>
      <w:bookmarkEnd w:id="33"/>
    </w:p>
    <w:p w14:paraId="37C21CD2" w14:textId="77777777" w:rsidR="004C02E4" w:rsidRPr="005025C3" w:rsidRDefault="004C02E4" w:rsidP="005025C3">
      <w:pPr>
        <w:jc w:val="both"/>
        <w:rPr>
          <w:rFonts w:cstheme="minorHAnsi"/>
          <w:lang w:val="en-US"/>
        </w:rPr>
      </w:pPr>
      <w:r w:rsidRPr="005025C3">
        <w:rPr>
          <w:rFonts w:cstheme="minorHAnsi"/>
          <w:lang w:val="en-US"/>
        </w:rPr>
        <w:t>This experience highlighted several ethical and professional issues associated with the use of AI in financial management. Transparency is essential because organisations and stakeholders should understand when AI has contributed to financial analysis or decision-making. Data privacy is equally important, particularly when financial systems contain confidential corporate, employee or customer information. The increasing use of AI in accounting therefore requires appropriate governance and responsible professional practice (IFAC, 2026a).</w:t>
      </w:r>
    </w:p>
    <w:p w14:paraId="2CD8706B" w14:textId="77777777" w:rsidR="004C02E4" w:rsidRPr="005025C3" w:rsidRDefault="004C02E4" w:rsidP="005025C3">
      <w:pPr>
        <w:jc w:val="both"/>
        <w:rPr>
          <w:rFonts w:cstheme="minorHAnsi"/>
          <w:lang w:val="en-US"/>
        </w:rPr>
      </w:pPr>
      <w:r w:rsidRPr="005025C3">
        <w:rPr>
          <w:rFonts w:cstheme="minorHAnsi"/>
          <w:lang w:val="en-US"/>
        </w:rPr>
        <w:t>The greatest professional risk is over-reliance on AI. Executive financial decisions can affect shareholders, employees, customers and other stakeholders, while AI may generate inaccurate information or fail to fully understand the wider organisational context. My experience with both bookkeeping and this assessment reinforced the importance of checking calculations, verifying information against reliable sources and questioning results that appear unrealistic. This approach reflects professional accounting principles that emphasise professional judgement, scepticism and ethical behaviour (IFAC, 2026b).</w:t>
      </w:r>
    </w:p>
    <w:p w14:paraId="065D8155" w14:textId="77777777" w:rsidR="004C02E4" w:rsidRPr="005025C3" w:rsidRDefault="004C02E4" w:rsidP="005025C3">
      <w:pPr>
        <w:jc w:val="both"/>
        <w:rPr>
          <w:rFonts w:cstheme="minorHAnsi"/>
          <w:lang w:val="en-US"/>
        </w:rPr>
      </w:pPr>
      <w:r w:rsidRPr="005025C3">
        <w:rPr>
          <w:rFonts w:cstheme="minorHAnsi"/>
          <w:lang w:val="en-US"/>
        </w:rPr>
        <w:t xml:space="preserve">Overall, I found AI extremely useful for improving efficiency, organisation and understanding, particularly alongside the lecturer's structured weekly tasks. However, in a professional financial role, I would use AI as a decision-support tool rather than a replacement for human </w:t>
      </w:r>
      <w:r w:rsidRPr="005025C3">
        <w:rPr>
          <w:rFonts w:cstheme="minorHAnsi"/>
          <w:lang w:val="en-US"/>
        </w:rPr>
        <w:lastRenderedPageBreak/>
        <w:t>judgement. Final responsibility must remain with qualified professionals who can verify evidence, consider the wider business context and remain accountable for financial decisions.</w:t>
      </w:r>
    </w:p>
    <w:p w14:paraId="511C917F" w14:textId="77777777" w:rsidR="00F61AFE" w:rsidRPr="00C02F17" w:rsidRDefault="00F61AFE" w:rsidP="00C02F17">
      <w:pPr>
        <w:rPr>
          <w:lang w:val="en-US"/>
        </w:rPr>
      </w:pPr>
    </w:p>
    <w:p w14:paraId="046EDDAA" w14:textId="7F67CEC7" w:rsidR="1660A038" w:rsidRDefault="1660A038" w:rsidP="005025C3">
      <w:pPr>
        <w:pStyle w:val="1"/>
        <w:rPr>
          <w:rFonts w:eastAsia="Times New Roman"/>
        </w:rPr>
      </w:pPr>
      <w:bookmarkStart w:id="34" w:name="_Toc237258776"/>
      <w:r w:rsidRPr="005025C3">
        <w:t>References</w:t>
      </w:r>
      <w:bookmarkEnd w:id="34"/>
    </w:p>
    <w:p w14:paraId="13E6E0A4" w14:textId="77777777" w:rsidR="004C02E4" w:rsidRPr="004C02E4" w:rsidRDefault="004C02E4" w:rsidP="004C02E4">
      <w:pPr>
        <w:rPr>
          <w:lang w:val="en-US"/>
        </w:rPr>
      </w:pPr>
      <w:r w:rsidRPr="004C02E4">
        <w:rPr>
          <w:lang w:val="en-US"/>
        </w:rPr>
        <w:t xml:space="preserve">Atrill, P. and McLaney, E. (2024) </w:t>
      </w:r>
      <w:r w:rsidRPr="004C02E4">
        <w:rPr>
          <w:i/>
          <w:iCs/>
          <w:lang w:val="en-US"/>
        </w:rPr>
        <w:t>Accounting and Finance for Non-Specialists</w:t>
      </w:r>
      <w:r w:rsidRPr="004C02E4">
        <w:rPr>
          <w:lang w:val="en-US"/>
        </w:rPr>
        <w:t xml:space="preserve">. 12th edn. Harlow: Pearson. Available at: </w:t>
      </w:r>
      <w:hyperlink r:id="rId7" w:tgtFrame="_blank" w:history="1">
        <w:r w:rsidRPr="004C02E4">
          <w:rPr>
            <w:rStyle w:val="a4"/>
            <w:lang w:val="en-US"/>
          </w:rPr>
          <w:t>Pearson – Accounting and Finance for Non-Specialists</w:t>
        </w:r>
      </w:hyperlink>
      <w:r w:rsidRPr="004C02E4">
        <w:rPr>
          <w:lang w:val="en-US"/>
        </w:rPr>
        <w:t xml:space="preserve"> (Accessed: 18 July 2026).</w:t>
      </w:r>
    </w:p>
    <w:p w14:paraId="1B449D51" w14:textId="77777777" w:rsidR="004C02E4" w:rsidRPr="004C02E4" w:rsidRDefault="004C02E4" w:rsidP="004C02E4">
      <w:pPr>
        <w:rPr>
          <w:lang w:val="en-US"/>
        </w:rPr>
      </w:pPr>
      <w:r w:rsidRPr="004C02E4">
        <w:rPr>
          <w:lang w:val="en-US"/>
        </w:rPr>
        <w:t xml:space="preserve">Brealey, R.A., Myers, S.C., Allen, F. and Edmans, A. (2023) </w:t>
      </w:r>
      <w:r w:rsidRPr="004C02E4">
        <w:rPr>
          <w:i/>
          <w:iCs/>
          <w:lang w:val="en-US"/>
        </w:rPr>
        <w:t>Principles of Corporate Finance</w:t>
      </w:r>
      <w:r w:rsidRPr="004C02E4">
        <w:rPr>
          <w:lang w:val="en-US"/>
        </w:rPr>
        <w:t xml:space="preserve">. 14th edn. New York: McGraw Hill. Available at: </w:t>
      </w:r>
      <w:hyperlink r:id="rId8" w:tgtFrame="_blank" w:history="1">
        <w:r w:rsidRPr="004C02E4">
          <w:rPr>
            <w:rStyle w:val="a4"/>
            <w:lang w:val="en-US"/>
          </w:rPr>
          <w:t>McGraw Hill – Principles of Corporate Finance</w:t>
        </w:r>
      </w:hyperlink>
      <w:r w:rsidRPr="004C02E4">
        <w:rPr>
          <w:lang w:val="en-US"/>
        </w:rPr>
        <w:t xml:space="preserve"> (Accessed: 29 July 2026).</w:t>
      </w:r>
    </w:p>
    <w:p w14:paraId="3253E692" w14:textId="77777777" w:rsidR="004C02E4" w:rsidRPr="004C02E4" w:rsidRDefault="004C02E4" w:rsidP="004C02E4">
      <w:pPr>
        <w:rPr>
          <w:lang w:val="en-US"/>
        </w:rPr>
      </w:pPr>
      <w:r w:rsidRPr="004C02E4">
        <w:rPr>
          <w:lang w:val="en-US"/>
        </w:rPr>
        <w:t xml:space="preserve">Brigham, E.F. and Ehrhardt, M.C. (2020) </w:t>
      </w:r>
      <w:r w:rsidRPr="004C02E4">
        <w:rPr>
          <w:i/>
          <w:iCs/>
          <w:lang w:val="en-US"/>
        </w:rPr>
        <w:t>Financial Management: Theory &amp; Practice</w:t>
      </w:r>
      <w:r w:rsidRPr="004C02E4">
        <w:rPr>
          <w:lang w:val="en-US"/>
        </w:rPr>
        <w:t xml:space="preserve">. 16th edn. Boston, MA: Cengage. Available at: </w:t>
      </w:r>
      <w:hyperlink r:id="rId9" w:tgtFrame="_blank" w:history="1">
        <w:r w:rsidRPr="004C02E4">
          <w:rPr>
            <w:rStyle w:val="a4"/>
            <w:lang w:val="en-US"/>
          </w:rPr>
          <w:t>Cengage – Financial Management: Theory &amp; Practice</w:t>
        </w:r>
      </w:hyperlink>
      <w:r w:rsidRPr="004C02E4">
        <w:rPr>
          <w:lang w:val="en-US"/>
        </w:rPr>
        <w:t xml:space="preserve"> (Accessed: 7 August 2026).</w:t>
      </w:r>
    </w:p>
    <w:p w14:paraId="57C14714" w14:textId="77777777" w:rsidR="004C02E4" w:rsidRPr="004C02E4" w:rsidRDefault="004C02E4" w:rsidP="004C02E4">
      <w:pPr>
        <w:rPr>
          <w:lang w:val="en-US"/>
        </w:rPr>
      </w:pPr>
      <w:r w:rsidRPr="004C02E4">
        <w:rPr>
          <w:lang w:val="en-US"/>
        </w:rPr>
        <w:t xml:space="preserve">Guahk, S. (2020) ‘Determinants of Capital Structure of the Hospitality Industry’, </w:t>
      </w:r>
      <w:r w:rsidRPr="004C02E4">
        <w:rPr>
          <w:i/>
          <w:iCs/>
          <w:lang w:val="en-US"/>
        </w:rPr>
        <w:t>Industry Promotion Research</w:t>
      </w:r>
      <w:r w:rsidRPr="004C02E4">
        <w:rPr>
          <w:lang w:val="en-US"/>
        </w:rPr>
        <w:t xml:space="preserve">, 5(3), pp. 31–36. Available at: </w:t>
      </w:r>
      <w:hyperlink r:id="rId10" w:tgtFrame="_blank" w:history="1">
        <w:r w:rsidRPr="004C02E4">
          <w:rPr>
            <w:rStyle w:val="a4"/>
            <w:lang w:val="en-US"/>
          </w:rPr>
          <w:t>KCI – Determinants of Capital Structure of the Hospitality Industry</w:t>
        </w:r>
      </w:hyperlink>
      <w:r w:rsidRPr="004C02E4">
        <w:rPr>
          <w:lang w:val="en-US"/>
        </w:rPr>
        <w:t xml:space="preserve"> (Accessed: 9 August 2026).</w:t>
      </w:r>
    </w:p>
    <w:p w14:paraId="2CD0B484" w14:textId="77777777" w:rsidR="004C02E4" w:rsidRPr="004C02E4" w:rsidRDefault="004C02E4" w:rsidP="004C02E4">
      <w:pPr>
        <w:rPr>
          <w:lang w:val="en-US"/>
        </w:rPr>
      </w:pPr>
      <w:r w:rsidRPr="004C02E4">
        <w:rPr>
          <w:lang w:val="en-US"/>
        </w:rPr>
        <w:t xml:space="preserve">Hilton Worldwide Holdings Inc. (2025) </w:t>
      </w:r>
      <w:r w:rsidRPr="004C02E4">
        <w:rPr>
          <w:i/>
          <w:iCs/>
          <w:lang w:val="en-US"/>
        </w:rPr>
        <w:t>Annual Report 2024</w:t>
      </w:r>
      <w:r w:rsidRPr="004C02E4">
        <w:rPr>
          <w:lang w:val="en-US"/>
        </w:rPr>
        <w:t xml:space="preserve">. Available at: </w:t>
      </w:r>
      <w:hyperlink r:id="rId11" w:tgtFrame="_blank" w:history="1">
        <w:r w:rsidRPr="004C02E4">
          <w:rPr>
            <w:rStyle w:val="a4"/>
            <w:lang w:val="en-US"/>
          </w:rPr>
          <w:t>Hilton Investor Relations</w:t>
        </w:r>
      </w:hyperlink>
      <w:r w:rsidRPr="004C02E4">
        <w:rPr>
          <w:lang w:val="en-US"/>
        </w:rPr>
        <w:t xml:space="preserve"> (Accessed: 31 July 2026).</w:t>
      </w:r>
    </w:p>
    <w:p w14:paraId="5DA9F528" w14:textId="77777777" w:rsidR="004C02E4" w:rsidRPr="004C02E4" w:rsidRDefault="004C02E4" w:rsidP="004C02E4">
      <w:pPr>
        <w:rPr>
          <w:lang w:val="en-US"/>
        </w:rPr>
      </w:pPr>
      <w:r w:rsidRPr="004C02E4">
        <w:rPr>
          <w:lang w:val="en-US"/>
        </w:rPr>
        <w:t xml:space="preserve">Hilton Worldwide Holdings Inc. (2026) </w:t>
      </w:r>
      <w:r w:rsidRPr="004C02E4">
        <w:rPr>
          <w:i/>
          <w:iCs/>
          <w:lang w:val="en-US"/>
        </w:rPr>
        <w:t>Annual Report 2025</w:t>
      </w:r>
      <w:r w:rsidRPr="004C02E4">
        <w:rPr>
          <w:lang w:val="en-US"/>
        </w:rPr>
        <w:t xml:space="preserve">. Available at: </w:t>
      </w:r>
      <w:hyperlink r:id="rId12" w:tgtFrame="_blank" w:history="1">
        <w:r w:rsidRPr="004C02E4">
          <w:rPr>
            <w:rStyle w:val="a4"/>
            <w:lang w:val="en-US"/>
          </w:rPr>
          <w:t>Hilton Investor Relations</w:t>
        </w:r>
      </w:hyperlink>
      <w:r w:rsidRPr="004C02E4">
        <w:rPr>
          <w:lang w:val="en-US"/>
        </w:rPr>
        <w:t xml:space="preserve"> (Accessed: 31 July 2026).</w:t>
      </w:r>
    </w:p>
    <w:p w14:paraId="5C2EEB20" w14:textId="77777777" w:rsidR="004C02E4" w:rsidRPr="004C02E4" w:rsidRDefault="004C02E4" w:rsidP="004C02E4">
      <w:pPr>
        <w:rPr>
          <w:lang w:val="en-US"/>
        </w:rPr>
      </w:pPr>
      <w:r w:rsidRPr="004C02E4">
        <w:rPr>
          <w:lang w:val="en-US"/>
        </w:rPr>
        <w:t xml:space="preserve">Hyatt Hotels Corporation (2026) </w:t>
      </w:r>
      <w:r w:rsidRPr="004C02E4">
        <w:rPr>
          <w:i/>
          <w:iCs/>
          <w:lang w:val="en-US"/>
        </w:rPr>
        <w:t>Annual Report 2025</w:t>
      </w:r>
      <w:r w:rsidRPr="004C02E4">
        <w:rPr>
          <w:lang w:val="en-US"/>
        </w:rPr>
        <w:t>. Available at: Hyatt Investor Relations (Accessed: 31 July 2026).</w:t>
      </w:r>
    </w:p>
    <w:p w14:paraId="0EFF2489" w14:textId="77777777" w:rsidR="004C02E4" w:rsidRPr="004C02E4" w:rsidRDefault="004C02E4" w:rsidP="004C02E4">
      <w:pPr>
        <w:rPr>
          <w:lang w:val="en-US"/>
        </w:rPr>
      </w:pPr>
      <w:r w:rsidRPr="004C02E4">
        <w:rPr>
          <w:lang w:val="en-US"/>
        </w:rPr>
        <w:t xml:space="preserve">International Federation of Accountants (IFAC) (2022) </w:t>
      </w:r>
      <w:r w:rsidRPr="004C02E4">
        <w:rPr>
          <w:i/>
          <w:iCs/>
          <w:lang w:val="en-US"/>
        </w:rPr>
        <w:t>Digital Transformation and the Role of Accounting and Finance Professionals in this New Era</w:t>
      </w:r>
      <w:r w:rsidRPr="004C02E4">
        <w:rPr>
          <w:lang w:val="en-US"/>
        </w:rPr>
        <w:t xml:space="preserve">. Available at: </w:t>
      </w:r>
      <w:hyperlink r:id="rId13" w:tgtFrame="_blank" w:history="1">
        <w:r w:rsidRPr="004C02E4">
          <w:rPr>
            <w:rStyle w:val="a4"/>
            <w:lang w:val="en-US"/>
          </w:rPr>
          <w:t>IFAC – Artificial Intelligence &amp; Technology</w:t>
        </w:r>
      </w:hyperlink>
      <w:r w:rsidRPr="004C02E4">
        <w:rPr>
          <w:lang w:val="en-US"/>
        </w:rPr>
        <w:t xml:space="preserve"> (Accessed: 9 August 2026).</w:t>
      </w:r>
    </w:p>
    <w:p w14:paraId="6D29638C" w14:textId="77777777" w:rsidR="004C02E4" w:rsidRPr="004C02E4" w:rsidRDefault="004C02E4" w:rsidP="004C02E4">
      <w:pPr>
        <w:rPr>
          <w:lang w:val="en-US"/>
        </w:rPr>
      </w:pPr>
      <w:r w:rsidRPr="004C02E4">
        <w:rPr>
          <w:lang w:val="en-US"/>
        </w:rPr>
        <w:t xml:space="preserve">International Federation of Accountants (IFAC) (2026a) </w:t>
      </w:r>
      <w:r w:rsidRPr="004C02E4">
        <w:rPr>
          <w:i/>
          <w:iCs/>
          <w:lang w:val="en-US"/>
        </w:rPr>
        <w:t>Artificial Intelligence &amp; Accounting</w:t>
      </w:r>
      <w:r w:rsidRPr="004C02E4">
        <w:rPr>
          <w:lang w:val="en-US"/>
        </w:rPr>
        <w:t xml:space="preserve">. Available at: </w:t>
      </w:r>
      <w:hyperlink r:id="rId14" w:tgtFrame="_blank" w:history="1">
        <w:r w:rsidRPr="004C02E4">
          <w:rPr>
            <w:rStyle w:val="a4"/>
            <w:lang w:val="en-US"/>
          </w:rPr>
          <w:t>IFAC – Artificial Intelligence &amp; Accounting</w:t>
        </w:r>
      </w:hyperlink>
      <w:r w:rsidRPr="004C02E4">
        <w:rPr>
          <w:lang w:val="en-US"/>
        </w:rPr>
        <w:t xml:space="preserve"> (Accessed: 9 August 2026).</w:t>
      </w:r>
    </w:p>
    <w:p w14:paraId="67DCF282" w14:textId="77777777" w:rsidR="004C02E4" w:rsidRPr="004C02E4" w:rsidRDefault="004C02E4" w:rsidP="004C02E4">
      <w:pPr>
        <w:rPr>
          <w:lang w:val="en-US"/>
        </w:rPr>
      </w:pPr>
      <w:r w:rsidRPr="004C02E4">
        <w:rPr>
          <w:lang w:val="en-US"/>
        </w:rPr>
        <w:t xml:space="preserve">International Federation of Accountants (IFAC) (2026b) </w:t>
      </w:r>
      <w:r w:rsidRPr="004C02E4">
        <w:rPr>
          <w:i/>
          <w:iCs/>
          <w:lang w:val="en-US"/>
        </w:rPr>
        <w:t>IES 4: Initial Professional Development – Professional Values, Ethics, and Attitudes</w:t>
      </w:r>
      <w:r w:rsidRPr="004C02E4">
        <w:rPr>
          <w:lang w:val="en-US"/>
        </w:rPr>
        <w:t xml:space="preserve">. Available at: </w:t>
      </w:r>
      <w:hyperlink r:id="rId15" w:tgtFrame="_blank" w:history="1">
        <w:r w:rsidRPr="004C02E4">
          <w:rPr>
            <w:rStyle w:val="a4"/>
            <w:lang w:val="en-US"/>
          </w:rPr>
          <w:t>IFAC – IES 4</w:t>
        </w:r>
      </w:hyperlink>
      <w:r w:rsidRPr="004C02E4">
        <w:rPr>
          <w:lang w:val="en-US"/>
        </w:rPr>
        <w:t xml:space="preserve"> (Accessed: 9 August 2026).</w:t>
      </w:r>
    </w:p>
    <w:p w14:paraId="225060C9" w14:textId="62E9AC04" w:rsidR="004C02E4" w:rsidRPr="004C02E4" w:rsidRDefault="004C02E4" w:rsidP="004C02E4">
      <w:pPr>
        <w:rPr>
          <w:lang w:val="en-US"/>
        </w:rPr>
      </w:pPr>
      <w:r w:rsidRPr="004C02E4">
        <w:rPr>
          <w:lang w:val="en-US"/>
        </w:rPr>
        <w:t xml:space="preserve">Kim, A., Muhn, M. and Nikolaev, V. (2024) ‘Financial Statement Analysis with Large Language Models’. </w:t>
      </w:r>
      <w:r w:rsidRPr="004C02E4">
        <w:rPr>
          <w:i/>
          <w:iCs/>
          <w:lang w:val="en-US"/>
        </w:rPr>
        <w:t>arXiv</w:t>
      </w:r>
      <w:r w:rsidRPr="004C02E4">
        <w:rPr>
          <w:lang w:val="en-US"/>
        </w:rPr>
        <w:t xml:space="preserve">. Available at: </w:t>
      </w:r>
      <w:hyperlink r:id="rId16" w:tgtFrame="_blank" w:history="1">
        <w:r w:rsidRPr="004C02E4">
          <w:rPr>
            <w:rStyle w:val="a4"/>
            <w:lang w:val="en-US"/>
          </w:rPr>
          <w:t>Financial Statement Analysis with Large Language Models</w:t>
        </w:r>
      </w:hyperlink>
      <w:r w:rsidRPr="004C02E4">
        <w:rPr>
          <w:lang w:val="en-US"/>
        </w:rPr>
        <w:t xml:space="preserve"> (Accessed: </w:t>
      </w:r>
      <w:r>
        <w:rPr>
          <w:lang w:val="en-US"/>
        </w:rPr>
        <w:t>3</w:t>
      </w:r>
      <w:r w:rsidRPr="004C02E4">
        <w:rPr>
          <w:lang w:val="en-US"/>
        </w:rPr>
        <w:t xml:space="preserve"> August 2026).</w:t>
      </w:r>
    </w:p>
    <w:p w14:paraId="009DC6A8" w14:textId="77777777" w:rsidR="004C02E4" w:rsidRPr="004C02E4" w:rsidRDefault="004C02E4" w:rsidP="004C02E4">
      <w:pPr>
        <w:rPr>
          <w:lang w:val="en-US"/>
        </w:rPr>
      </w:pPr>
      <w:r w:rsidRPr="004C02E4">
        <w:rPr>
          <w:lang w:val="en-US"/>
        </w:rPr>
        <w:t xml:space="preserve">Marriott International, Inc. (2025) </w:t>
      </w:r>
      <w:r w:rsidRPr="004C02E4">
        <w:rPr>
          <w:i/>
          <w:iCs/>
          <w:lang w:val="en-US"/>
        </w:rPr>
        <w:t>Annual Report 2024</w:t>
      </w:r>
      <w:r w:rsidRPr="004C02E4">
        <w:rPr>
          <w:lang w:val="en-US"/>
        </w:rPr>
        <w:t xml:space="preserve">. Available at: </w:t>
      </w:r>
      <w:hyperlink r:id="rId17" w:tgtFrame="_blank" w:history="1">
        <w:r w:rsidRPr="004C02E4">
          <w:rPr>
            <w:rStyle w:val="a4"/>
            <w:lang w:val="en-US"/>
          </w:rPr>
          <w:t>Marriott International – Annual Reports</w:t>
        </w:r>
      </w:hyperlink>
      <w:r w:rsidRPr="004C02E4">
        <w:rPr>
          <w:lang w:val="en-US"/>
        </w:rPr>
        <w:t xml:space="preserve"> (Accessed: 16 July 2026).</w:t>
      </w:r>
    </w:p>
    <w:p w14:paraId="3FDAC105" w14:textId="77777777" w:rsidR="004C02E4" w:rsidRPr="004C02E4" w:rsidRDefault="004C02E4" w:rsidP="004C02E4">
      <w:pPr>
        <w:rPr>
          <w:lang w:val="en-US"/>
        </w:rPr>
      </w:pPr>
      <w:r w:rsidRPr="004C02E4">
        <w:rPr>
          <w:lang w:val="en-US"/>
        </w:rPr>
        <w:lastRenderedPageBreak/>
        <w:t xml:space="preserve">Marriott International, Inc. (2026) </w:t>
      </w:r>
      <w:r w:rsidRPr="004C02E4">
        <w:rPr>
          <w:i/>
          <w:iCs/>
          <w:lang w:val="en-US"/>
        </w:rPr>
        <w:t>Annual Report 2025</w:t>
      </w:r>
      <w:r w:rsidRPr="004C02E4">
        <w:rPr>
          <w:lang w:val="en-US"/>
        </w:rPr>
        <w:t xml:space="preserve">. Available at: </w:t>
      </w:r>
      <w:hyperlink r:id="rId18" w:tgtFrame="_blank" w:history="1">
        <w:r w:rsidRPr="004C02E4">
          <w:rPr>
            <w:rStyle w:val="a4"/>
            <w:lang w:val="en-US"/>
          </w:rPr>
          <w:t>Marriott International – 2025 Annual Report / Form 10-K</w:t>
        </w:r>
      </w:hyperlink>
      <w:r w:rsidRPr="004C02E4">
        <w:rPr>
          <w:lang w:val="en-US"/>
        </w:rPr>
        <w:t xml:space="preserve"> (Accessed: 16 July 2026).</w:t>
      </w:r>
    </w:p>
    <w:p w14:paraId="462BBA2E" w14:textId="77777777" w:rsidR="004C02E4" w:rsidRPr="004C02E4" w:rsidRDefault="004C02E4" w:rsidP="004C02E4">
      <w:pPr>
        <w:rPr>
          <w:lang w:val="en-US"/>
        </w:rPr>
      </w:pPr>
      <w:r w:rsidRPr="004C02E4">
        <w:rPr>
          <w:lang w:val="en-US"/>
        </w:rPr>
        <w:t xml:space="preserve">UN Tourism (2025) </w:t>
      </w:r>
      <w:r w:rsidRPr="004C02E4">
        <w:rPr>
          <w:i/>
          <w:iCs/>
          <w:lang w:val="en-US"/>
        </w:rPr>
        <w:t>World Tourism Barometer, January 2025</w:t>
      </w:r>
      <w:r w:rsidRPr="004C02E4">
        <w:rPr>
          <w:lang w:val="en-US"/>
        </w:rPr>
        <w:t xml:space="preserve">. Madrid: UN Tourism. Available at: </w:t>
      </w:r>
      <w:hyperlink r:id="rId19" w:tgtFrame="_blank" w:history="1">
        <w:r w:rsidRPr="004C02E4">
          <w:rPr>
            <w:rStyle w:val="a4"/>
            <w:lang w:val="en-US"/>
          </w:rPr>
          <w:t>UN Tourism – World Tourism Barometer January 2025</w:t>
        </w:r>
      </w:hyperlink>
      <w:r w:rsidRPr="004C02E4">
        <w:rPr>
          <w:lang w:val="en-US"/>
        </w:rPr>
        <w:t xml:space="preserve"> (Accessed: 4 August 2026).</w:t>
      </w:r>
    </w:p>
    <w:p w14:paraId="16924217" w14:textId="1A2CDBC8" w:rsidR="004C02E4" w:rsidRPr="004C02E4" w:rsidRDefault="004C02E4" w:rsidP="004C02E4">
      <w:pPr>
        <w:rPr>
          <w:lang w:val="en-US"/>
        </w:rPr>
      </w:pPr>
      <w:r w:rsidRPr="004C02E4">
        <w:rPr>
          <w:lang w:val="en-US"/>
        </w:rPr>
        <w:t xml:space="preserve">Wang, J.J. and Wang, V.X. (2025) ‘Assessing Consistency and Reproducibility in the Outputs of Large Language Models: Evidence Across Diverse Finance and Accounting Tasks’. </w:t>
      </w:r>
      <w:r w:rsidRPr="004C02E4">
        <w:rPr>
          <w:i/>
          <w:iCs/>
          <w:lang w:val="en-US"/>
        </w:rPr>
        <w:t>arXiv</w:t>
      </w:r>
      <w:r w:rsidRPr="004C02E4">
        <w:rPr>
          <w:lang w:val="en-US"/>
        </w:rPr>
        <w:t xml:space="preserve">. Available at: </w:t>
      </w:r>
      <w:hyperlink r:id="rId20" w:tgtFrame="_blank" w:history="1">
        <w:r w:rsidRPr="004C02E4">
          <w:rPr>
            <w:rStyle w:val="a4"/>
            <w:lang w:val="en-US"/>
          </w:rPr>
          <w:t>Assessing Consistency and Reproducibility in LLM Outputs</w:t>
        </w:r>
      </w:hyperlink>
      <w:r w:rsidRPr="004C02E4">
        <w:rPr>
          <w:lang w:val="en-US"/>
        </w:rPr>
        <w:t xml:space="preserve"> (Accessed: </w:t>
      </w:r>
      <w:r>
        <w:rPr>
          <w:lang w:val="en-US"/>
        </w:rPr>
        <w:t>1</w:t>
      </w:r>
      <w:r w:rsidRPr="004C02E4">
        <w:rPr>
          <w:lang w:val="en-US"/>
        </w:rPr>
        <w:t xml:space="preserve"> August 2026).</w:t>
      </w:r>
    </w:p>
    <w:p w14:paraId="1E77C1B3" w14:textId="77777777" w:rsidR="00B9519C" w:rsidRDefault="00B9519C" w:rsidP="00E366A9">
      <w:pPr>
        <w:rPr>
          <w:lang w:val="en-US"/>
        </w:rPr>
      </w:pPr>
    </w:p>
    <w:p w14:paraId="1A921C99" w14:textId="77777777" w:rsidR="003067D2" w:rsidRDefault="003067D2" w:rsidP="00E366A9">
      <w:pPr>
        <w:rPr>
          <w:lang w:val="en-US"/>
        </w:rPr>
      </w:pPr>
    </w:p>
    <w:p w14:paraId="71A64175" w14:textId="77777777" w:rsidR="005025C3" w:rsidRDefault="005025C3" w:rsidP="00E366A9">
      <w:pPr>
        <w:rPr>
          <w:lang w:val="en-US"/>
        </w:rPr>
      </w:pPr>
    </w:p>
    <w:p w14:paraId="75BBE516" w14:textId="77777777" w:rsidR="005025C3" w:rsidRDefault="005025C3" w:rsidP="00E366A9">
      <w:pPr>
        <w:rPr>
          <w:lang w:val="en-US"/>
        </w:rPr>
      </w:pPr>
    </w:p>
    <w:p w14:paraId="59824A31" w14:textId="77777777" w:rsidR="005025C3" w:rsidRDefault="005025C3" w:rsidP="00E366A9">
      <w:pPr>
        <w:rPr>
          <w:lang w:val="en-US"/>
        </w:rPr>
      </w:pPr>
    </w:p>
    <w:p w14:paraId="13D0BC0A" w14:textId="77777777" w:rsidR="005025C3" w:rsidRDefault="005025C3" w:rsidP="00E366A9">
      <w:pPr>
        <w:rPr>
          <w:lang w:val="en-US"/>
        </w:rPr>
      </w:pPr>
    </w:p>
    <w:p w14:paraId="1A0265A2" w14:textId="77777777" w:rsidR="005025C3" w:rsidRDefault="005025C3" w:rsidP="00E366A9">
      <w:pPr>
        <w:rPr>
          <w:lang w:val="en-US"/>
        </w:rPr>
      </w:pPr>
    </w:p>
    <w:p w14:paraId="7EB65BAA" w14:textId="77777777" w:rsidR="005025C3" w:rsidRDefault="005025C3" w:rsidP="00E366A9">
      <w:pPr>
        <w:rPr>
          <w:lang w:val="en-US"/>
        </w:rPr>
      </w:pPr>
    </w:p>
    <w:p w14:paraId="60B1CDEC" w14:textId="77777777" w:rsidR="005025C3" w:rsidRDefault="005025C3" w:rsidP="00E366A9">
      <w:pPr>
        <w:rPr>
          <w:lang w:val="en-US"/>
        </w:rPr>
      </w:pPr>
    </w:p>
    <w:p w14:paraId="359AA3F9" w14:textId="77777777" w:rsidR="005025C3" w:rsidRDefault="005025C3" w:rsidP="00E366A9">
      <w:pPr>
        <w:rPr>
          <w:lang w:val="en-US"/>
        </w:rPr>
      </w:pPr>
    </w:p>
    <w:p w14:paraId="502E4108" w14:textId="77777777" w:rsidR="005025C3" w:rsidRDefault="005025C3" w:rsidP="00E366A9">
      <w:pPr>
        <w:rPr>
          <w:lang w:val="en-US"/>
        </w:rPr>
      </w:pPr>
    </w:p>
    <w:p w14:paraId="792CB821" w14:textId="77777777" w:rsidR="005025C3" w:rsidRDefault="005025C3" w:rsidP="00E366A9">
      <w:pPr>
        <w:rPr>
          <w:lang w:val="en-US"/>
        </w:rPr>
      </w:pPr>
    </w:p>
    <w:p w14:paraId="1E13255C" w14:textId="77777777" w:rsidR="005025C3" w:rsidRDefault="005025C3" w:rsidP="00E366A9">
      <w:pPr>
        <w:rPr>
          <w:lang w:val="en-US"/>
        </w:rPr>
      </w:pPr>
    </w:p>
    <w:p w14:paraId="33A37D8A" w14:textId="77777777" w:rsidR="005025C3" w:rsidRDefault="005025C3" w:rsidP="00E366A9">
      <w:pPr>
        <w:rPr>
          <w:lang w:val="en-US"/>
        </w:rPr>
      </w:pPr>
    </w:p>
    <w:p w14:paraId="3C7E30BC" w14:textId="77777777" w:rsidR="005025C3" w:rsidRDefault="005025C3" w:rsidP="00E366A9">
      <w:pPr>
        <w:rPr>
          <w:lang w:val="en-US"/>
        </w:rPr>
      </w:pPr>
    </w:p>
    <w:p w14:paraId="4759CC2D" w14:textId="77777777" w:rsidR="005025C3" w:rsidRDefault="005025C3" w:rsidP="00E366A9">
      <w:pPr>
        <w:rPr>
          <w:lang w:val="en-US"/>
        </w:rPr>
      </w:pPr>
    </w:p>
    <w:p w14:paraId="1B137B12" w14:textId="77777777" w:rsidR="005025C3" w:rsidRDefault="005025C3" w:rsidP="00E366A9">
      <w:pPr>
        <w:rPr>
          <w:lang w:val="en-US"/>
        </w:rPr>
      </w:pPr>
    </w:p>
    <w:p w14:paraId="5FD22A18" w14:textId="77777777" w:rsidR="005025C3" w:rsidRDefault="005025C3" w:rsidP="00E366A9">
      <w:pPr>
        <w:rPr>
          <w:lang w:val="en-US"/>
        </w:rPr>
      </w:pPr>
    </w:p>
    <w:p w14:paraId="1903B6E8" w14:textId="77777777" w:rsidR="005025C3" w:rsidRDefault="005025C3" w:rsidP="00E366A9">
      <w:pPr>
        <w:rPr>
          <w:lang w:val="en-US"/>
        </w:rPr>
      </w:pPr>
    </w:p>
    <w:p w14:paraId="0A7DA0A1" w14:textId="77777777" w:rsidR="005025C3" w:rsidRDefault="005025C3" w:rsidP="00E366A9">
      <w:pPr>
        <w:rPr>
          <w:lang w:val="en-US"/>
        </w:rPr>
      </w:pPr>
    </w:p>
    <w:p w14:paraId="00D8E506" w14:textId="77777777" w:rsidR="005025C3" w:rsidRDefault="005025C3" w:rsidP="00E366A9">
      <w:pPr>
        <w:rPr>
          <w:lang w:val="en-US"/>
        </w:rPr>
      </w:pPr>
    </w:p>
    <w:p w14:paraId="679EE1FE" w14:textId="77777777" w:rsidR="005025C3" w:rsidRDefault="005025C3" w:rsidP="00E366A9">
      <w:pPr>
        <w:rPr>
          <w:lang w:val="en-US"/>
        </w:rPr>
      </w:pPr>
    </w:p>
    <w:p w14:paraId="5D90FB73" w14:textId="77777777" w:rsidR="003067D2" w:rsidRPr="00FE0D43" w:rsidRDefault="003067D2" w:rsidP="005025C3">
      <w:pPr>
        <w:pStyle w:val="1"/>
        <w:rPr>
          <w:lang w:val="en-US"/>
        </w:rPr>
      </w:pPr>
      <w:bookmarkStart w:id="35" w:name="_Toc237258777"/>
      <w:r w:rsidRPr="005025C3">
        <w:lastRenderedPageBreak/>
        <w:t>Appendices</w:t>
      </w:r>
      <w:bookmarkEnd w:id="35"/>
    </w:p>
    <w:p w14:paraId="554BA2A1" w14:textId="77777777" w:rsidR="00B9519C" w:rsidRDefault="00B9519C" w:rsidP="00B9519C">
      <w:pPr>
        <w:rPr>
          <w:b/>
          <w:bCs/>
          <w:lang w:val="en-US"/>
        </w:rPr>
      </w:pPr>
      <w:r w:rsidRPr="00B9519C">
        <w:rPr>
          <w:b/>
          <w:bCs/>
          <w:lang w:val="en-US"/>
        </w:rPr>
        <w:t>Appendix A – Consolidated Income Statements (2021–2025)</w:t>
      </w:r>
    </w:p>
    <w:tbl>
      <w:tblPr>
        <w:tblW w:w="9929" w:type="dxa"/>
        <w:tblLook w:val="04A0" w:firstRow="1" w:lastRow="0" w:firstColumn="1" w:lastColumn="0" w:noHBand="0" w:noVBand="1"/>
      </w:tblPr>
      <w:tblGrid>
        <w:gridCol w:w="3724"/>
        <w:gridCol w:w="1241"/>
        <w:gridCol w:w="1241"/>
        <w:gridCol w:w="1241"/>
        <w:gridCol w:w="1241"/>
        <w:gridCol w:w="1241"/>
      </w:tblGrid>
      <w:tr w:rsidR="0088157C" w:rsidRPr="0088157C" w14:paraId="20BC545E" w14:textId="77777777" w:rsidTr="0088157C">
        <w:trPr>
          <w:trHeight w:val="305"/>
        </w:trPr>
        <w:tc>
          <w:tcPr>
            <w:tcW w:w="3724" w:type="dxa"/>
            <w:tcBorders>
              <w:top w:val="single" w:sz="4" w:space="0" w:color="808080"/>
              <w:left w:val="single" w:sz="4" w:space="0" w:color="808080"/>
              <w:bottom w:val="nil"/>
              <w:right w:val="single" w:sz="4" w:space="0" w:color="808080"/>
            </w:tcBorders>
            <w:shd w:val="clear" w:color="000000" w:fill="1F4E78"/>
            <w:noWrap/>
            <w:vAlign w:val="bottom"/>
            <w:hideMark/>
          </w:tcPr>
          <w:p w14:paraId="0B48FE4D" w14:textId="77777777" w:rsidR="0088157C" w:rsidRPr="0088157C" w:rsidRDefault="0088157C" w:rsidP="0088157C">
            <w:pPr>
              <w:spacing w:after="0" w:line="240" w:lineRule="auto"/>
              <w:jc w:val="center"/>
              <w:rPr>
                <w:rFonts w:ascii="Calibri" w:eastAsia="Times New Roman" w:hAnsi="Calibri" w:cs="Calibri"/>
                <w:b/>
                <w:bCs/>
                <w:color w:val="FFFFFF"/>
                <w:sz w:val="22"/>
                <w:szCs w:val="22"/>
                <w:lang w:val="en-US" w:eastAsia="en-US"/>
              </w:rPr>
            </w:pPr>
            <w:r w:rsidRPr="0088157C">
              <w:rPr>
                <w:rFonts w:ascii="Calibri" w:eastAsia="Times New Roman" w:hAnsi="Calibri" w:cs="Calibri"/>
                <w:b/>
                <w:bCs/>
                <w:color w:val="FFFFFF"/>
                <w:sz w:val="22"/>
                <w:szCs w:val="22"/>
                <w:lang w:val="en-US" w:eastAsia="en-US"/>
              </w:rPr>
              <w:t>Income Statement (USD millions)</w:t>
            </w:r>
          </w:p>
        </w:tc>
        <w:tc>
          <w:tcPr>
            <w:tcW w:w="1241" w:type="dxa"/>
            <w:tcBorders>
              <w:top w:val="single" w:sz="4" w:space="0" w:color="808080"/>
              <w:left w:val="nil"/>
              <w:bottom w:val="nil"/>
              <w:right w:val="single" w:sz="4" w:space="0" w:color="808080"/>
            </w:tcBorders>
            <w:shd w:val="clear" w:color="000000" w:fill="1F4E78"/>
            <w:noWrap/>
            <w:vAlign w:val="bottom"/>
            <w:hideMark/>
          </w:tcPr>
          <w:p w14:paraId="0A508B8B" w14:textId="77777777" w:rsidR="0088157C" w:rsidRPr="0088157C" w:rsidRDefault="0088157C" w:rsidP="0088157C">
            <w:pPr>
              <w:spacing w:after="0" w:line="240" w:lineRule="auto"/>
              <w:jc w:val="center"/>
              <w:rPr>
                <w:rFonts w:ascii="Calibri" w:eastAsia="Times New Roman" w:hAnsi="Calibri" w:cs="Calibri"/>
                <w:b/>
                <w:bCs/>
                <w:color w:val="FFFFFF"/>
                <w:sz w:val="22"/>
                <w:szCs w:val="22"/>
                <w:lang w:val="en-US" w:eastAsia="en-US"/>
              </w:rPr>
            </w:pPr>
            <w:r w:rsidRPr="0088157C">
              <w:rPr>
                <w:rFonts w:ascii="Calibri" w:eastAsia="Times New Roman" w:hAnsi="Calibri" w:cs="Calibri"/>
                <w:b/>
                <w:bCs/>
                <w:color w:val="FFFFFF"/>
                <w:sz w:val="22"/>
                <w:szCs w:val="22"/>
                <w:lang w:val="en-US" w:eastAsia="en-US"/>
              </w:rPr>
              <w:t>2025</w:t>
            </w:r>
          </w:p>
        </w:tc>
        <w:tc>
          <w:tcPr>
            <w:tcW w:w="1241" w:type="dxa"/>
            <w:tcBorders>
              <w:top w:val="single" w:sz="4" w:space="0" w:color="808080"/>
              <w:left w:val="nil"/>
              <w:bottom w:val="nil"/>
              <w:right w:val="single" w:sz="4" w:space="0" w:color="808080"/>
            </w:tcBorders>
            <w:shd w:val="clear" w:color="000000" w:fill="1F4E78"/>
            <w:noWrap/>
            <w:vAlign w:val="bottom"/>
            <w:hideMark/>
          </w:tcPr>
          <w:p w14:paraId="4F06167B" w14:textId="77777777" w:rsidR="0088157C" w:rsidRPr="0088157C" w:rsidRDefault="0088157C" w:rsidP="0088157C">
            <w:pPr>
              <w:spacing w:after="0" w:line="240" w:lineRule="auto"/>
              <w:jc w:val="center"/>
              <w:rPr>
                <w:rFonts w:ascii="Calibri" w:eastAsia="Times New Roman" w:hAnsi="Calibri" w:cs="Calibri"/>
                <w:b/>
                <w:bCs/>
                <w:color w:val="FFFFFF"/>
                <w:sz w:val="22"/>
                <w:szCs w:val="22"/>
                <w:lang w:val="en-US" w:eastAsia="en-US"/>
              </w:rPr>
            </w:pPr>
            <w:r w:rsidRPr="0088157C">
              <w:rPr>
                <w:rFonts w:ascii="Calibri" w:eastAsia="Times New Roman" w:hAnsi="Calibri" w:cs="Calibri"/>
                <w:b/>
                <w:bCs/>
                <w:color w:val="FFFFFF"/>
                <w:sz w:val="22"/>
                <w:szCs w:val="22"/>
                <w:lang w:val="en-US" w:eastAsia="en-US"/>
              </w:rPr>
              <w:t>2024</w:t>
            </w:r>
          </w:p>
        </w:tc>
        <w:tc>
          <w:tcPr>
            <w:tcW w:w="1241" w:type="dxa"/>
            <w:tcBorders>
              <w:top w:val="single" w:sz="4" w:space="0" w:color="808080"/>
              <w:left w:val="nil"/>
              <w:bottom w:val="nil"/>
              <w:right w:val="single" w:sz="4" w:space="0" w:color="808080"/>
            </w:tcBorders>
            <w:shd w:val="clear" w:color="000000" w:fill="1F4E78"/>
            <w:noWrap/>
            <w:vAlign w:val="bottom"/>
            <w:hideMark/>
          </w:tcPr>
          <w:p w14:paraId="3799555C" w14:textId="77777777" w:rsidR="0088157C" w:rsidRPr="0088157C" w:rsidRDefault="0088157C" w:rsidP="0088157C">
            <w:pPr>
              <w:spacing w:after="0" w:line="240" w:lineRule="auto"/>
              <w:jc w:val="center"/>
              <w:rPr>
                <w:rFonts w:ascii="Calibri" w:eastAsia="Times New Roman" w:hAnsi="Calibri" w:cs="Calibri"/>
                <w:b/>
                <w:bCs/>
                <w:color w:val="FFFFFF"/>
                <w:sz w:val="22"/>
                <w:szCs w:val="22"/>
                <w:lang w:val="en-US" w:eastAsia="en-US"/>
              </w:rPr>
            </w:pPr>
            <w:r w:rsidRPr="0088157C">
              <w:rPr>
                <w:rFonts w:ascii="Calibri" w:eastAsia="Times New Roman" w:hAnsi="Calibri" w:cs="Calibri"/>
                <w:b/>
                <w:bCs/>
                <w:color w:val="FFFFFF"/>
                <w:sz w:val="22"/>
                <w:szCs w:val="22"/>
                <w:lang w:val="en-US" w:eastAsia="en-US"/>
              </w:rPr>
              <w:t>2023</w:t>
            </w:r>
          </w:p>
        </w:tc>
        <w:tc>
          <w:tcPr>
            <w:tcW w:w="1241" w:type="dxa"/>
            <w:tcBorders>
              <w:top w:val="single" w:sz="4" w:space="0" w:color="808080"/>
              <w:left w:val="nil"/>
              <w:bottom w:val="nil"/>
              <w:right w:val="single" w:sz="4" w:space="0" w:color="808080"/>
            </w:tcBorders>
            <w:shd w:val="clear" w:color="000000" w:fill="1F4E78"/>
            <w:noWrap/>
            <w:vAlign w:val="bottom"/>
            <w:hideMark/>
          </w:tcPr>
          <w:p w14:paraId="106C7AC0" w14:textId="77777777" w:rsidR="0088157C" w:rsidRPr="0088157C" w:rsidRDefault="0088157C" w:rsidP="0088157C">
            <w:pPr>
              <w:spacing w:after="0" w:line="240" w:lineRule="auto"/>
              <w:jc w:val="center"/>
              <w:rPr>
                <w:rFonts w:ascii="Calibri" w:eastAsia="Times New Roman" w:hAnsi="Calibri" w:cs="Calibri"/>
                <w:b/>
                <w:bCs/>
                <w:color w:val="FFFFFF"/>
                <w:sz w:val="22"/>
                <w:szCs w:val="22"/>
                <w:lang w:val="en-US" w:eastAsia="en-US"/>
              </w:rPr>
            </w:pPr>
            <w:r w:rsidRPr="0088157C">
              <w:rPr>
                <w:rFonts w:ascii="Calibri" w:eastAsia="Times New Roman" w:hAnsi="Calibri" w:cs="Calibri"/>
                <w:b/>
                <w:bCs/>
                <w:color w:val="FFFFFF"/>
                <w:sz w:val="22"/>
                <w:szCs w:val="22"/>
                <w:lang w:val="en-US" w:eastAsia="en-US"/>
              </w:rPr>
              <w:t>2022</w:t>
            </w:r>
          </w:p>
        </w:tc>
        <w:tc>
          <w:tcPr>
            <w:tcW w:w="1241" w:type="dxa"/>
            <w:tcBorders>
              <w:top w:val="single" w:sz="4" w:space="0" w:color="808080"/>
              <w:left w:val="nil"/>
              <w:bottom w:val="nil"/>
              <w:right w:val="single" w:sz="4" w:space="0" w:color="808080"/>
            </w:tcBorders>
            <w:shd w:val="clear" w:color="000000" w:fill="1F4E78"/>
            <w:noWrap/>
            <w:vAlign w:val="bottom"/>
            <w:hideMark/>
          </w:tcPr>
          <w:p w14:paraId="2CADC070" w14:textId="77777777" w:rsidR="0088157C" w:rsidRPr="0088157C" w:rsidRDefault="0088157C" w:rsidP="0088157C">
            <w:pPr>
              <w:spacing w:after="0" w:line="240" w:lineRule="auto"/>
              <w:jc w:val="center"/>
              <w:rPr>
                <w:rFonts w:ascii="Calibri" w:eastAsia="Times New Roman" w:hAnsi="Calibri" w:cs="Calibri"/>
                <w:b/>
                <w:bCs/>
                <w:color w:val="FFFFFF"/>
                <w:sz w:val="22"/>
                <w:szCs w:val="22"/>
                <w:lang w:val="en-US" w:eastAsia="en-US"/>
              </w:rPr>
            </w:pPr>
            <w:r w:rsidRPr="0088157C">
              <w:rPr>
                <w:rFonts w:ascii="Calibri" w:eastAsia="Times New Roman" w:hAnsi="Calibri" w:cs="Calibri"/>
                <w:b/>
                <w:bCs/>
                <w:color w:val="FFFFFF"/>
                <w:sz w:val="22"/>
                <w:szCs w:val="22"/>
                <w:lang w:val="en-US" w:eastAsia="en-US"/>
              </w:rPr>
              <w:t>2021</w:t>
            </w:r>
          </w:p>
        </w:tc>
      </w:tr>
      <w:tr w:rsidR="0088157C" w:rsidRPr="0088157C" w14:paraId="23BC20E3" w14:textId="77777777" w:rsidTr="0088157C">
        <w:trPr>
          <w:trHeight w:val="305"/>
        </w:trPr>
        <w:tc>
          <w:tcPr>
            <w:tcW w:w="3724" w:type="dxa"/>
            <w:tcBorders>
              <w:top w:val="single" w:sz="4" w:space="0" w:color="808080"/>
              <w:left w:val="single" w:sz="4" w:space="0" w:color="808080"/>
              <w:bottom w:val="nil"/>
              <w:right w:val="single" w:sz="4" w:space="0" w:color="808080"/>
            </w:tcBorders>
            <w:shd w:val="clear" w:color="000000" w:fill="C6EFCE"/>
            <w:noWrap/>
            <w:vAlign w:val="bottom"/>
            <w:hideMark/>
          </w:tcPr>
          <w:p w14:paraId="73FD5F28"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INCOME STATEMENT</w:t>
            </w:r>
          </w:p>
        </w:tc>
        <w:tc>
          <w:tcPr>
            <w:tcW w:w="1241" w:type="dxa"/>
            <w:tcBorders>
              <w:top w:val="single" w:sz="4" w:space="0" w:color="808080"/>
              <w:left w:val="nil"/>
              <w:bottom w:val="nil"/>
              <w:right w:val="single" w:sz="4" w:space="0" w:color="808080"/>
            </w:tcBorders>
            <w:shd w:val="clear" w:color="000000" w:fill="C6EFCE"/>
            <w:noWrap/>
            <w:vAlign w:val="bottom"/>
            <w:hideMark/>
          </w:tcPr>
          <w:p w14:paraId="5A386689"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40C269EA"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7D660F2B"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4F60EAAB"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54177A50"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r>
      <w:tr w:rsidR="0088157C" w:rsidRPr="0088157C" w14:paraId="607B7892" w14:textId="77777777" w:rsidTr="0088157C">
        <w:trPr>
          <w:trHeight w:val="305"/>
        </w:trPr>
        <w:tc>
          <w:tcPr>
            <w:tcW w:w="3724" w:type="dxa"/>
            <w:tcBorders>
              <w:top w:val="single" w:sz="4" w:space="0" w:color="808080"/>
              <w:left w:val="single" w:sz="4" w:space="0" w:color="808080"/>
              <w:bottom w:val="nil"/>
              <w:right w:val="single" w:sz="4" w:space="0" w:color="808080"/>
            </w:tcBorders>
            <w:noWrap/>
            <w:vAlign w:val="bottom"/>
            <w:hideMark/>
          </w:tcPr>
          <w:p w14:paraId="0346656F"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Total Revenues</w:t>
            </w:r>
          </w:p>
        </w:tc>
        <w:tc>
          <w:tcPr>
            <w:tcW w:w="1241" w:type="dxa"/>
            <w:tcBorders>
              <w:top w:val="single" w:sz="4" w:space="0" w:color="808080"/>
              <w:left w:val="nil"/>
              <w:bottom w:val="nil"/>
              <w:right w:val="single" w:sz="4" w:space="0" w:color="808080"/>
            </w:tcBorders>
            <w:noWrap/>
            <w:vAlign w:val="bottom"/>
            <w:hideMark/>
          </w:tcPr>
          <w:p w14:paraId="3EADF2F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26 186</w:t>
            </w:r>
          </w:p>
        </w:tc>
        <w:tc>
          <w:tcPr>
            <w:tcW w:w="1241" w:type="dxa"/>
            <w:tcBorders>
              <w:top w:val="single" w:sz="4" w:space="0" w:color="808080"/>
              <w:left w:val="nil"/>
              <w:bottom w:val="nil"/>
              <w:right w:val="single" w:sz="4" w:space="0" w:color="808080"/>
            </w:tcBorders>
            <w:noWrap/>
            <w:vAlign w:val="bottom"/>
            <w:hideMark/>
          </w:tcPr>
          <w:p w14:paraId="324DFA6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25 100</w:t>
            </w:r>
          </w:p>
        </w:tc>
        <w:tc>
          <w:tcPr>
            <w:tcW w:w="1241" w:type="dxa"/>
            <w:tcBorders>
              <w:top w:val="single" w:sz="4" w:space="0" w:color="808080"/>
              <w:left w:val="nil"/>
              <w:bottom w:val="nil"/>
              <w:right w:val="single" w:sz="4" w:space="0" w:color="808080"/>
            </w:tcBorders>
            <w:noWrap/>
            <w:vAlign w:val="bottom"/>
            <w:hideMark/>
          </w:tcPr>
          <w:p w14:paraId="748CB6C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23 713</w:t>
            </w:r>
          </w:p>
        </w:tc>
        <w:tc>
          <w:tcPr>
            <w:tcW w:w="1241" w:type="dxa"/>
            <w:tcBorders>
              <w:top w:val="single" w:sz="4" w:space="0" w:color="808080"/>
              <w:left w:val="nil"/>
              <w:bottom w:val="nil"/>
              <w:right w:val="single" w:sz="4" w:space="0" w:color="808080"/>
            </w:tcBorders>
            <w:noWrap/>
            <w:vAlign w:val="bottom"/>
            <w:hideMark/>
          </w:tcPr>
          <w:p w14:paraId="554DF82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20 773</w:t>
            </w:r>
          </w:p>
        </w:tc>
        <w:tc>
          <w:tcPr>
            <w:tcW w:w="1241" w:type="dxa"/>
            <w:tcBorders>
              <w:top w:val="single" w:sz="4" w:space="0" w:color="808080"/>
              <w:left w:val="nil"/>
              <w:bottom w:val="nil"/>
              <w:right w:val="single" w:sz="4" w:space="0" w:color="808080"/>
            </w:tcBorders>
            <w:noWrap/>
            <w:vAlign w:val="bottom"/>
            <w:hideMark/>
          </w:tcPr>
          <w:p w14:paraId="2B3662D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13 857</w:t>
            </w:r>
          </w:p>
        </w:tc>
      </w:tr>
      <w:tr w:rsidR="0088157C" w:rsidRPr="0088157C" w14:paraId="1A49B341" w14:textId="77777777" w:rsidTr="0088157C">
        <w:trPr>
          <w:trHeight w:val="305"/>
        </w:trPr>
        <w:tc>
          <w:tcPr>
            <w:tcW w:w="3724" w:type="dxa"/>
            <w:tcBorders>
              <w:top w:val="single" w:sz="4" w:space="0" w:color="808080"/>
              <w:left w:val="single" w:sz="4" w:space="0" w:color="808080"/>
              <w:bottom w:val="nil"/>
              <w:right w:val="single" w:sz="4" w:space="0" w:color="808080"/>
            </w:tcBorders>
            <w:noWrap/>
            <w:vAlign w:val="bottom"/>
            <w:hideMark/>
          </w:tcPr>
          <w:p w14:paraId="7BCD7365"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Cost of Revenues</w:t>
            </w:r>
          </w:p>
        </w:tc>
        <w:tc>
          <w:tcPr>
            <w:tcW w:w="1241" w:type="dxa"/>
            <w:tcBorders>
              <w:top w:val="single" w:sz="4" w:space="0" w:color="808080"/>
              <w:left w:val="nil"/>
              <w:bottom w:val="nil"/>
              <w:right w:val="single" w:sz="4" w:space="0" w:color="808080"/>
            </w:tcBorders>
            <w:noWrap/>
            <w:vAlign w:val="bottom"/>
            <w:hideMark/>
          </w:tcPr>
          <w:p w14:paraId="13D0DB4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20 964</w:t>
            </w:r>
          </w:p>
        </w:tc>
        <w:tc>
          <w:tcPr>
            <w:tcW w:w="1241" w:type="dxa"/>
            <w:tcBorders>
              <w:top w:val="single" w:sz="4" w:space="0" w:color="808080"/>
              <w:left w:val="nil"/>
              <w:bottom w:val="nil"/>
              <w:right w:val="single" w:sz="4" w:space="0" w:color="808080"/>
            </w:tcBorders>
            <w:noWrap/>
            <w:vAlign w:val="bottom"/>
            <w:hideMark/>
          </w:tcPr>
          <w:p w14:paraId="4E794115"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20 128</w:t>
            </w:r>
          </w:p>
        </w:tc>
        <w:tc>
          <w:tcPr>
            <w:tcW w:w="1241" w:type="dxa"/>
            <w:tcBorders>
              <w:top w:val="single" w:sz="4" w:space="0" w:color="808080"/>
              <w:left w:val="nil"/>
              <w:bottom w:val="nil"/>
              <w:right w:val="single" w:sz="4" w:space="0" w:color="808080"/>
            </w:tcBorders>
            <w:noWrap/>
            <w:vAlign w:val="bottom"/>
            <w:hideMark/>
          </w:tcPr>
          <w:p w14:paraId="1CC299FF"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18 733</w:t>
            </w:r>
          </w:p>
        </w:tc>
        <w:tc>
          <w:tcPr>
            <w:tcW w:w="1241" w:type="dxa"/>
            <w:tcBorders>
              <w:top w:val="single" w:sz="4" w:space="0" w:color="808080"/>
              <w:left w:val="nil"/>
              <w:bottom w:val="nil"/>
              <w:right w:val="single" w:sz="4" w:space="0" w:color="808080"/>
            </w:tcBorders>
            <w:noWrap/>
            <w:vAlign w:val="bottom"/>
            <w:hideMark/>
          </w:tcPr>
          <w:p w14:paraId="709A9D8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16 215</w:t>
            </w:r>
          </w:p>
        </w:tc>
        <w:tc>
          <w:tcPr>
            <w:tcW w:w="1241" w:type="dxa"/>
            <w:tcBorders>
              <w:top w:val="single" w:sz="4" w:space="0" w:color="808080"/>
              <w:left w:val="nil"/>
              <w:bottom w:val="nil"/>
              <w:right w:val="single" w:sz="4" w:space="0" w:color="808080"/>
            </w:tcBorders>
            <w:noWrap/>
            <w:vAlign w:val="bottom"/>
            <w:hideMark/>
          </w:tcPr>
          <w:p w14:paraId="769A58B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11 056</w:t>
            </w:r>
          </w:p>
        </w:tc>
      </w:tr>
      <w:tr w:rsidR="0088157C" w:rsidRPr="0088157C" w14:paraId="7FB1A701" w14:textId="77777777" w:rsidTr="0088157C">
        <w:trPr>
          <w:trHeight w:val="315"/>
        </w:trPr>
        <w:tc>
          <w:tcPr>
            <w:tcW w:w="3724" w:type="dxa"/>
            <w:tcBorders>
              <w:top w:val="single" w:sz="4" w:space="0" w:color="808080"/>
              <w:left w:val="single" w:sz="4" w:space="0" w:color="808080"/>
              <w:bottom w:val="double" w:sz="6" w:space="0" w:color="auto"/>
              <w:right w:val="single" w:sz="4" w:space="0" w:color="808080"/>
            </w:tcBorders>
            <w:noWrap/>
            <w:vAlign w:val="bottom"/>
            <w:hideMark/>
          </w:tcPr>
          <w:p w14:paraId="186E9191"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Gross Profit</w:t>
            </w:r>
          </w:p>
        </w:tc>
        <w:tc>
          <w:tcPr>
            <w:tcW w:w="1241" w:type="dxa"/>
            <w:tcBorders>
              <w:top w:val="single" w:sz="4" w:space="0" w:color="808080"/>
              <w:left w:val="nil"/>
              <w:bottom w:val="double" w:sz="6" w:space="0" w:color="auto"/>
              <w:right w:val="single" w:sz="4" w:space="0" w:color="808080"/>
            </w:tcBorders>
            <w:noWrap/>
            <w:vAlign w:val="bottom"/>
            <w:hideMark/>
          </w:tcPr>
          <w:p w14:paraId="64D3300E"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5 222</w:t>
            </w:r>
          </w:p>
        </w:tc>
        <w:tc>
          <w:tcPr>
            <w:tcW w:w="1241" w:type="dxa"/>
            <w:tcBorders>
              <w:top w:val="single" w:sz="4" w:space="0" w:color="808080"/>
              <w:left w:val="nil"/>
              <w:bottom w:val="double" w:sz="6" w:space="0" w:color="auto"/>
              <w:right w:val="single" w:sz="4" w:space="0" w:color="808080"/>
            </w:tcBorders>
            <w:noWrap/>
            <w:vAlign w:val="bottom"/>
            <w:hideMark/>
          </w:tcPr>
          <w:p w14:paraId="14E774C3"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4 972</w:t>
            </w:r>
          </w:p>
        </w:tc>
        <w:tc>
          <w:tcPr>
            <w:tcW w:w="1241" w:type="dxa"/>
            <w:tcBorders>
              <w:top w:val="single" w:sz="4" w:space="0" w:color="808080"/>
              <w:left w:val="nil"/>
              <w:bottom w:val="double" w:sz="6" w:space="0" w:color="auto"/>
              <w:right w:val="single" w:sz="4" w:space="0" w:color="808080"/>
            </w:tcBorders>
            <w:noWrap/>
            <w:vAlign w:val="bottom"/>
            <w:hideMark/>
          </w:tcPr>
          <w:p w14:paraId="0E7710FE"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4 980</w:t>
            </w:r>
          </w:p>
        </w:tc>
        <w:tc>
          <w:tcPr>
            <w:tcW w:w="1241" w:type="dxa"/>
            <w:tcBorders>
              <w:top w:val="single" w:sz="4" w:space="0" w:color="808080"/>
              <w:left w:val="nil"/>
              <w:bottom w:val="double" w:sz="6" w:space="0" w:color="auto"/>
              <w:right w:val="single" w:sz="4" w:space="0" w:color="808080"/>
            </w:tcBorders>
            <w:noWrap/>
            <w:vAlign w:val="bottom"/>
            <w:hideMark/>
          </w:tcPr>
          <w:p w14:paraId="08D3A3F0"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4 558</w:t>
            </w:r>
          </w:p>
        </w:tc>
        <w:tc>
          <w:tcPr>
            <w:tcW w:w="1241" w:type="dxa"/>
            <w:tcBorders>
              <w:top w:val="single" w:sz="4" w:space="0" w:color="808080"/>
              <w:left w:val="nil"/>
              <w:bottom w:val="double" w:sz="6" w:space="0" w:color="auto"/>
              <w:right w:val="single" w:sz="4" w:space="0" w:color="808080"/>
            </w:tcBorders>
            <w:noWrap/>
            <w:vAlign w:val="bottom"/>
            <w:hideMark/>
          </w:tcPr>
          <w:p w14:paraId="3A44E27D"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2 801</w:t>
            </w:r>
          </w:p>
        </w:tc>
      </w:tr>
      <w:tr w:rsidR="0088157C" w:rsidRPr="0088157C" w14:paraId="47DC001D" w14:textId="77777777" w:rsidTr="0088157C">
        <w:trPr>
          <w:trHeight w:val="315"/>
        </w:trPr>
        <w:tc>
          <w:tcPr>
            <w:tcW w:w="3724" w:type="dxa"/>
            <w:tcBorders>
              <w:top w:val="single" w:sz="4" w:space="0" w:color="808080"/>
              <w:left w:val="single" w:sz="4" w:space="0" w:color="808080"/>
              <w:bottom w:val="nil"/>
              <w:right w:val="single" w:sz="4" w:space="0" w:color="808080"/>
            </w:tcBorders>
            <w:shd w:val="clear" w:color="000000" w:fill="C6EFCE"/>
            <w:noWrap/>
            <w:vAlign w:val="bottom"/>
            <w:hideMark/>
          </w:tcPr>
          <w:p w14:paraId="5D60CA25"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6537E626"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2C85318C"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0CCA975D"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531D738C"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2BE69482"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r>
      <w:tr w:rsidR="0088157C" w:rsidRPr="0088157C" w14:paraId="48D96B47" w14:textId="77777777" w:rsidTr="0088157C">
        <w:trPr>
          <w:trHeight w:val="305"/>
        </w:trPr>
        <w:tc>
          <w:tcPr>
            <w:tcW w:w="3724" w:type="dxa"/>
            <w:tcBorders>
              <w:top w:val="single" w:sz="4" w:space="0" w:color="808080"/>
              <w:left w:val="single" w:sz="4" w:space="0" w:color="808080"/>
              <w:bottom w:val="nil"/>
              <w:right w:val="single" w:sz="4" w:space="0" w:color="808080"/>
            </w:tcBorders>
            <w:shd w:val="clear" w:color="000000" w:fill="C6EFCE"/>
            <w:noWrap/>
            <w:vAlign w:val="bottom"/>
            <w:hideMark/>
          </w:tcPr>
          <w:p w14:paraId="5DFD3DE9"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OPERATING EXPENSES</w:t>
            </w:r>
          </w:p>
        </w:tc>
        <w:tc>
          <w:tcPr>
            <w:tcW w:w="1241" w:type="dxa"/>
            <w:tcBorders>
              <w:top w:val="single" w:sz="4" w:space="0" w:color="808080"/>
              <w:left w:val="nil"/>
              <w:bottom w:val="nil"/>
              <w:right w:val="single" w:sz="4" w:space="0" w:color="808080"/>
            </w:tcBorders>
            <w:shd w:val="clear" w:color="000000" w:fill="C6EFCE"/>
            <w:noWrap/>
            <w:vAlign w:val="bottom"/>
            <w:hideMark/>
          </w:tcPr>
          <w:p w14:paraId="573D0AA1"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5BCDAD69"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7C8276B3"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34109DE6"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7C86578B"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r>
      <w:tr w:rsidR="0088157C" w:rsidRPr="0088157C" w14:paraId="286E09D5" w14:textId="77777777" w:rsidTr="0088157C">
        <w:trPr>
          <w:trHeight w:val="305"/>
        </w:trPr>
        <w:tc>
          <w:tcPr>
            <w:tcW w:w="3724" w:type="dxa"/>
            <w:tcBorders>
              <w:top w:val="single" w:sz="4" w:space="0" w:color="808080"/>
              <w:left w:val="single" w:sz="4" w:space="0" w:color="808080"/>
              <w:bottom w:val="nil"/>
              <w:right w:val="single" w:sz="4" w:space="0" w:color="808080"/>
            </w:tcBorders>
            <w:noWrap/>
            <w:vAlign w:val="bottom"/>
            <w:hideMark/>
          </w:tcPr>
          <w:p w14:paraId="57F55F54"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General, Administrative &amp; Other Expenses</w:t>
            </w:r>
          </w:p>
        </w:tc>
        <w:tc>
          <w:tcPr>
            <w:tcW w:w="1241" w:type="dxa"/>
            <w:tcBorders>
              <w:top w:val="single" w:sz="4" w:space="0" w:color="808080"/>
              <w:left w:val="nil"/>
              <w:bottom w:val="nil"/>
              <w:right w:val="single" w:sz="4" w:space="0" w:color="808080"/>
            </w:tcBorders>
            <w:noWrap/>
            <w:vAlign w:val="bottom"/>
            <w:hideMark/>
          </w:tcPr>
          <w:p w14:paraId="7B56FFD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1 083</w:t>
            </w:r>
          </w:p>
        </w:tc>
        <w:tc>
          <w:tcPr>
            <w:tcW w:w="1241" w:type="dxa"/>
            <w:tcBorders>
              <w:top w:val="single" w:sz="4" w:space="0" w:color="808080"/>
              <w:left w:val="nil"/>
              <w:bottom w:val="nil"/>
              <w:right w:val="single" w:sz="4" w:space="0" w:color="808080"/>
            </w:tcBorders>
            <w:noWrap/>
            <w:vAlign w:val="bottom"/>
            <w:hideMark/>
          </w:tcPr>
          <w:p w14:paraId="53A2C62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1 128</w:t>
            </w:r>
          </w:p>
        </w:tc>
        <w:tc>
          <w:tcPr>
            <w:tcW w:w="1241" w:type="dxa"/>
            <w:tcBorders>
              <w:top w:val="single" w:sz="4" w:space="0" w:color="808080"/>
              <w:left w:val="nil"/>
              <w:bottom w:val="nil"/>
              <w:right w:val="single" w:sz="4" w:space="0" w:color="808080"/>
            </w:tcBorders>
            <w:noWrap/>
            <w:vAlign w:val="bottom"/>
            <w:hideMark/>
          </w:tcPr>
          <w:p w14:paraId="2697E224"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1 045</w:t>
            </w:r>
          </w:p>
        </w:tc>
        <w:tc>
          <w:tcPr>
            <w:tcW w:w="1241" w:type="dxa"/>
            <w:tcBorders>
              <w:top w:val="single" w:sz="4" w:space="0" w:color="808080"/>
              <w:left w:val="nil"/>
              <w:bottom w:val="nil"/>
              <w:right w:val="single" w:sz="4" w:space="0" w:color="808080"/>
            </w:tcBorders>
            <w:noWrap/>
            <w:vAlign w:val="bottom"/>
            <w:hideMark/>
          </w:tcPr>
          <w:p w14:paraId="2BCB461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1 084</w:t>
            </w:r>
          </w:p>
        </w:tc>
        <w:tc>
          <w:tcPr>
            <w:tcW w:w="1241" w:type="dxa"/>
            <w:tcBorders>
              <w:top w:val="single" w:sz="4" w:space="0" w:color="808080"/>
              <w:left w:val="nil"/>
              <w:bottom w:val="nil"/>
              <w:right w:val="single" w:sz="4" w:space="0" w:color="808080"/>
            </w:tcBorders>
            <w:noWrap/>
            <w:vAlign w:val="bottom"/>
            <w:hideMark/>
          </w:tcPr>
          <w:p w14:paraId="304D8181"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1 043</w:t>
            </w:r>
          </w:p>
        </w:tc>
      </w:tr>
      <w:tr w:rsidR="0088157C" w:rsidRPr="0088157C" w14:paraId="7A0EABF6" w14:textId="77777777" w:rsidTr="0088157C">
        <w:trPr>
          <w:trHeight w:val="315"/>
        </w:trPr>
        <w:tc>
          <w:tcPr>
            <w:tcW w:w="3724" w:type="dxa"/>
            <w:tcBorders>
              <w:top w:val="single" w:sz="4" w:space="0" w:color="808080"/>
              <w:left w:val="single" w:sz="4" w:space="0" w:color="808080"/>
              <w:bottom w:val="double" w:sz="6" w:space="0" w:color="auto"/>
              <w:right w:val="single" w:sz="4" w:space="0" w:color="808080"/>
            </w:tcBorders>
            <w:noWrap/>
            <w:vAlign w:val="bottom"/>
            <w:hideMark/>
          </w:tcPr>
          <w:p w14:paraId="207BED4C"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Operating Income</w:t>
            </w:r>
          </w:p>
        </w:tc>
        <w:tc>
          <w:tcPr>
            <w:tcW w:w="1241" w:type="dxa"/>
            <w:tcBorders>
              <w:top w:val="single" w:sz="4" w:space="0" w:color="808080"/>
              <w:left w:val="nil"/>
              <w:bottom w:val="double" w:sz="6" w:space="0" w:color="auto"/>
              <w:right w:val="single" w:sz="4" w:space="0" w:color="808080"/>
            </w:tcBorders>
            <w:noWrap/>
            <w:vAlign w:val="bottom"/>
            <w:hideMark/>
          </w:tcPr>
          <w:p w14:paraId="4D4B49EF"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4 139</w:t>
            </w:r>
          </w:p>
        </w:tc>
        <w:tc>
          <w:tcPr>
            <w:tcW w:w="1241" w:type="dxa"/>
            <w:tcBorders>
              <w:top w:val="single" w:sz="4" w:space="0" w:color="808080"/>
              <w:left w:val="nil"/>
              <w:bottom w:val="double" w:sz="6" w:space="0" w:color="auto"/>
              <w:right w:val="single" w:sz="4" w:space="0" w:color="808080"/>
            </w:tcBorders>
            <w:noWrap/>
            <w:vAlign w:val="bottom"/>
            <w:hideMark/>
          </w:tcPr>
          <w:p w14:paraId="5C60410C"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3 844</w:t>
            </w:r>
          </w:p>
        </w:tc>
        <w:tc>
          <w:tcPr>
            <w:tcW w:w="1241" w:type="dxa"/>
            <w:tcBorders>
              <w:top w:val="single" w:sz="4" w:space="0" w:color="808080"/>
              <w:left w:val="nil"/>
              <w:bottom w:val="double" w:sz="6" w:space="0" w:color="auto"/>
              <w:right w:val="single" w:sz="4" w:space="0" w:color="808080"/>
            </w:tcBorders>
            <w:noWrap/>
            <w:vAlign w:val="bottom"/>
            <w:hideMark/>
          </w:tcPr>
          <w:p w14:paraId="73AC406C"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3 935</w:t>
            </w:r>
          </w:p>
        </w:tc>
        <w:tc>
          <w:tcPr>
            <w:tcW w:w="1241" w:type="dxa"/>
            <w:tcBorders>
              <w:top w:val="single" w:sz="4" w:space="0" w:color="808080"/>
              <w:left w:val="nil"/>
              <w:bottom w:val="double" w:sz="6" w:space="0" w:color="auto"/>
              <w:right w:val="single" w:sz="4" w:space="0" w:color="808080"/>
            </w:tcBorders>
            <w:noWrap/>
            <w:vAlign w:val="bottom"/>
            <w:hideMark/>
          </w:tcPr>
          <w:p w14:paraId="323071FC"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3 474</w:t>
            </w:r>
          </w:p>
        </w:tc>
        <w:tc>
          <w:tcPr>
            <w:tcW w:w="1241" w:type="dxa"/>
            <w:tcBorders>
              <w:top w:val="single" w:sz="4" w:space="0" w:color="808080"/>
              <w:left w:val="nil"/>
              <w:bottom w:val="double" w:sz="6" w:space="0" w:color="auto"/>
              <w:right w:val="single" w:sz="4" w:space="0" w:color="808080"/>
            </w:tcBorders>
            <w:noWrap/>
            <w:vAlign w:val="bottom"/>
            <w:hideMark/>
          </w:tcPr>
          <w:p w14:paraId="0791A90A"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1 758</w:t>
            </w:r>
          </w:p>
        </w:tc>
      </w:tr>
      <w:tr w:rsidR="0088157C" w:rsidRPr="0088157C" w14:paraId="63B38F3B" w14:textId="77777777" w:rsidTr="0088157C">
        <w:trPr>
          <w:trHeight w:val="315"/>
        </w:trPr>
        <w:tc>
          <w:tcPr>
            <w:tcW w:w="3724" w:type="dxa"/>
            <w:tcBorders>
              <w:top w:val="single" w:sz="4" w:space="0" w:color="808080"/>
              <w:left w:val="single" w:sz="4" w:space="0" w:color="808080"/>
              <w:bottom w:val="nil"/>
              <w:right w:val="single" w:sz="4" w:space="0" w:color="808080"/>
            </w:tcBorders>
            <w:shd w:val="clear" w:color="000000" w:fill="C6EFCE"/>
            <w:noWrap/>
            <w:vAlign w:val="bottom"/>
            <w:hideMark/>
          </w:tcPr>
          <w:p w14:paraId="1FE7F993"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215E43F6"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3861F9C0"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21B71C3C"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08C2E957"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387E6348"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r>
      <w:tr w:rsidR="0088157C" w:rsidRPr="0088157C" w14:paraId="42639609" w14:textId="77777777" w:rsidTr="0088157C">
        <w:trPr>
          <w:trHeight w:val="305"/>
        </w:trPr>
        <w:tc>
          <w:tcPr>
            <w:tcW w:w="3724" w:type="dxa"/>
            <w:tcBorders>
              <w:top w:val="single" w:sz="4" w:space="0" w:color="808080"/>
              <w:left w:val="single" w:sz="4" w:space="0" w:color="808080"/>
              <w:bottom w:val="nil"/>
              <w:right w:val="single" w:sz="4" w:space="0" w:color="808080"/>
            </w:tcBorders>
            <w:shd w:val="clear" w:color="000000" w:fill="C6EFCE"/>
            <w:noWrap/>
            <w:vAlign w:val="bottom"/>
            <w:hideMark/>
          </w:tcPr>
          <w:p w14:paraId="7A8AAE9C"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OTHER INCOME / EXPENSE</w:t>
            </w:r>
          </w:p>
        </w:tc>
        <w:tc>
          <w:tcPr>
            <w:tcW w:w="1241" w:type="dxa"/>
            <w:tcBorders>
              <w:top w:val="single" w:sz="4" w:space="0" w:color="808080"/>
              <w:left w:val="nil"/>
              <w:bottom w:val="nil"/>
              <w:right w:val="single" w:sz="4" w:space="0" w:color="808080"/>
            </w:tcBorders>
            <w:shd w:val="clear" w:color="000000" w:fill="C6EFCE"/>
            <w:noWrap/>
            <w:vAlign w:val="bottom"/>
            <w:hideMark/>
          </w:tcPr>
          <w:p w14:paraId="35599141"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48264ABF"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000E5CF4"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4210AEC5"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c>
          <w:tcPr>
            <w:tcW w:w="1241" w:type="dxa"/>
            <w:tcBorders>
              <w:top w:val="single" w:sz="4" w:space="0" w:color="808080"/>
              <w:left w:val="nil"/>
              <w:bottom w:val="nil"/>
              <w:right w:val="single" w:sz="4" w:space="0" w:color="808080"/>
            </w:tcBorders>
            <w:shd w:val="clear" w:color="000000" w:fill="C6EFCE"/>
            <w:noWrap/>
            <w:vAlign w:val="bottom"/>
            <w:hideMark/>
          </w:tcPr>
          <w:p w14:paraId="150D82E7"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 </w:t>
            </w:r>
          </w:p>
        </w:tc>
      </w:tr>
      <w:tr w:rsidR="0088157C" w:rsidRPr="0088157C" w14:paraId="77B5FEEA" w14:textId="77777777" w:rsidTr="0088157C">
        <w:trPr>
          <w:trHeight w:val="305"/>
        </w:trPr>
        <w:tc>
          <w:tcPr>
            <w:tcW w:w="3724" w:type="dxa"/>
            <w:tcBorders>
              <w:top w:val="single" w:sz="4" w:space="0" w:color="808080"/>
              <w:left w:val="single" w:sz="4" w:space="0" w:color="808080"/>
              <w:bottom w:val="nil"/>
              <w:right w:val="single" w:sz="4" w:space="0" w:color="808080"/>
            </w:tcBorders>
            <w:noWrap/>
            <w:vAlign w:val="bottom"/>
            <w:hideMark/>
          </w:tcPr>
          <w:p w14:paraId="017FA101"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Interest Expense (Net)</w:t>
            </w:r>
          </w:p>
        </w:tc>
        <w:tc>
          <w:tcPr>
            <w:tcW w:w="1241" w:type="dxa"/>
            <w:tcBorders>
              <w:top w:val="single" w:sz="4" w:space="0" w:color="808080"/>
              <w:left w:val="nil"/>
              <w:bottom w:val="nil"/>
              <w:right w:val="single" w:sz="4" w:space="0" w:color="808080"/>
            </w:tcBorders>
            <w:noWrap/>
            <w:vAlign w:val="bottom"/>
            <w:hideMark/>
          </w:tcPr>
          <w:p w14:paraId="18504CA7"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(738)</w:t>
            </w:r>
          </w:p>
        </w:tc>
        <w:tc>
          <w:tcPr>
            <w:tcW w:w="1241" w:type="dxa"/>
            <w:tcBorders>
              <w:top w:val="single" w:sz="4" w:space="0" w:color="808080"/>
              <w:left w:val="nil"/>
              <w:bottom w:val="nil"/>
              <w:right w:val="single" w:sz="4" w:space="0" w:color="808080"/>
            </w:tcBorders>
            <w:noWrap/>
            <w:vAlign w:val="bottom"/>
            <w:hideMark/>
          </w:tcPr>
          <w:p w14:paraId="5B99595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(655)</w:t>
            </w:r>
          </w:p>
        </w:tc>
        <w:tc>
          <w:tcPr>
            <w:tcW w:w="1241" w:type="dxa"/>
            <w:tcBorders>
              <w:top w:val="single" w:sz="4" w:space="0" w:color="808080"/>
              <w:left w:val="nil"/>
              <w:bottom w:val="nil"/>
              <w:right w:val="single" w:sz="4" w:space="0" w:color="808080"/>
            </w:tcBorders>
            <w:noWrap/>
            <w:vAlign w:val="bottom"/>
            <w:hideMark/>
          </w:tcPr>
          <w:p w14:paraId="2506410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(535)</w:t>
            </w:r>
          </w:p>
        </w:tc>
        <w:tc>
          <w:tcPr>
            <w:tcW w:w="1241" w:type="dxa"/>
            <w:tcBorders>
              <w:top w:val="single" w:sz="4" w:space="0" w:color="808080"/>
              <w:left w:val="nil"/>
              <w:bottom w:val="nil"/>
              <w:right w:val="single" w:sz="4" w:space="0" w:color="808080"/>
            </w:tcBorders>
            <w:noWrap/>
            <w:vAlign w:val="bottom"/>
            <w:hideMark/>
          </w:tcPr>
          <w:p w14:paraId="7BFA866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(377)</w:t>
            </w:r>
          </w:p>
        </w:tc>
        <w:tc>
          <w:tcPr>
            <w:tcW w:w="1241" w:type="dxa"/>
            <w:tcBorders>
              <w:top w:val="single" w:sz="4" w:space="0" w:color="808080"/>
              <w:left w:val="nil"/>
              <w:bottom w:val="nil"/>
              <w:right w:val="single" w:sz="4" w:space="0" w:color="808080"/>
            </w:tcBorders>
            <w:noWrap/>
            <w:vAlign w:val="bottom"/>
            <w:hideMark/>
          </w:tcPr>
          <w:p w14:paraId="55033931"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(392)</w:t>
            </w:r>
          </w:p>
        </w:tc>
      </w:tr>
      <w:tr w:rsidR="0088157C" w:rsidRPr="0088157C" w14:paraId="7B44B629" w14:textId="77777777" w:rsidTr="0088157C">
        <w:trPr>
          <w:trHeight w:val="305"/>
        </w:trPr>
        <w:tc>
          <w:tcPr>
            <w:tcW w:w="3724" w:type="dxa"/>
            <w:tcBorders>
              <w:top w:val="single" w:sz="4" w:space="0" w:color="808080"/>
              <w:left w:val="single" w:sz="4" w:space="0" w:color="808080"/>
              <w:bottom w:val="nil"/>
              <w:right w:val="single" w:sz="4" w:space="0" w:color="808080"/>
            </w:tcBorders>
            <w:noWrap/>
            <w:vAlign w:val="bottom"/>
            <w:hideMark/>
          </w:tcPr>
          <w:p w14:paraId="1C01495A"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Other Income (Expense), Net</w:t>
            </w:r>
          </w:p>
        </w:tc>
        <w:tc>
          <w:tcPr>
            <w:tcW w:w="1241" w:type="dxa"/>
            <w:tcBorders>
              <w:top w:val="single" w:sz="4" w:space="0" w:color="808080"/>
              <w:left w:val="nil"/>
              <w:bottom w:val="nil"/>
              <w:right w:val="single" w:sz="4" w:space="0" w:color="808080"/>
            </w:tcBorders>
            <w:noWrap/>
            <w:vAlign w:val="bottom"/>
            <w:hideMark/>
          </w:tcPr>
          <w:p w14:paraId="7867BC5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11</w:t>
            </w:r>
          </w:p>
        </w:tc>
        <w:tc>
          <w:tcPr>
            <w:tcW w:w="1241" w:type="dxa"/>
            <w:tcBorders>
              <w:top w:val="single" w:sz="4" w:space="0" w:color="808080"/>
              <w:left w:val="nil"/>
              <w:bottom w:val="nil"/>
              <w:right w:val="single" w:sz="4" w:space="0" w:color="808080"/>
            </w:tcBorders>
            <w:noWrap/>
            <w:vAlign w:val="bottom"/>
            <w:hideMark/>
          </w:tcPr>
          <w:p w14:paraId="3EB21E3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(38)</w:t>
            </w:r>
          </w:p>
        </w:tc>
        <w:tc>
          <w:tcPr>
            <w:tcW w:w="1241" w:type="dxa"/>
            <w:tcBorders>
              <w:top w:val="single" w:sz="4" w:space="0" w:color="808080"/>
              <w:left w:val="nil"/>
              <w:bottom w:val="nil"/>
              <w:right w:val="single" w:sz="4" w:space="0" w:color="808080"/>
            </w:tcBorders>
            <w:noWrap/>
            <w:vAlign w:val="bottom"/>
            <w:hideMark/>
          </w:tcPr>
          <w:p w14:paraId="523EFE1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(11)</w:t>
            </w:r>
          </w:p>
        </w:tc>
        <w:tc>
          <w:tcPr>
            <w:tcW w:w="1241" w:type="dxa"/>
            <w:tcBorders>
              <w:top w:val="single" w:sz="4" w:space="0" w:color="808080"/>
              <w:left w:val="nil"/>
              <w:bottom w:val="nil"/>
              <w:right w:val="single" w:sz="4" w:space="0" w:color="808080"/>
            </w:tcBorders>
            <w:noWrap/>
            <w:vAlign w:val="bottom"/>
            <w:hideMark/>
          </w:tcPr>
          <w:p w14:paraId="55A5F8A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17</w:t>
            </w:r>
          </w:p>
        </w:tc>
        <w:tc>
          <w:tcPr>
            <w:tcW w:w="1241" w:type="dxa"/>
            <w:tcBorders>
              <w:top w:val="single" w:sz="4" w:space="0" w:color="808080"/>
              <w:left w:val="nil"/>
              <w:bottom w:val="nil"/>
              <w:right w:val="single" w:sz="4" w:space="0" w:color="808080"/>
            </w:tcBorders>
            <w:noWrap/>
            <w:vAlign w:val="bottom"/>
            <w:hideMark/>
          </w:tcPr>
          <w:p w14:paraId="5B4182D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(186)</w:t>
            </w:r>
          </w:p>
        </w:tc>
      </w:tr>
      <w:tr w:rsidR="0088157C" w:rsidRPr="0088157C" w14:paraId="3D0E0FE1" w14:textId="77777777" w:rsidTr="0088157C">
        <w:trPr>
          <w:trHeight w:val="315"/>
        </w:trPr>
        <w:tc>
          <w:tcPr>
            <w:tcW w:w="3724" w:type="dxa"/>
            <w:tcBorders>
              <w:top w:val="single" w:sz="4" w:space="0" w:color="808080"/>
              <w:left w:val="single" w:sz="4" w:space="0" w:color="808080"/>
              <w:bottom w:val="double" w:sz="6" w:space="0" w:color="auto"/>
              <w:right w:val="single" w:sz="4" w:space="0" w:color="808080"/>
            </w:tcBorders>
            <w:noWrap/>
            <w:vAlign w:val="bottom"/>
            <w:hideMark/>
          </w:tcPr>
          <w:p w14:paraId="160D371C"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Income Before Taxes</w:t>
            </w:r>
          </w:p>
        </w:tc>
        <w:tc>
          <w:tcPr>
            <w:tcW w:w="1241" w:type="dxa"/>
            <w:tcBorders>
              <w:top w:val="single" w:sz="4" w:space="0" w:color="808080"/>
              <w:left w:val="nil"/>
              <w:bottom w:val="double" w:sz="6" w:space="0" w:color="auto"/>
              <w:right w:val="single" w:sz="4" w:space="0" w:color="808080"/>
            </w:tcBorders>
            <w:noWrap/>
            <w:vAlign w:val="bottom"/>
            <w:hideMark/>
          </w:tcPr>
          <w:p w14:paraId="1407FC86"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3 412</w:t>
            </w:r>
          </w:p>
        </w:tc>
        <w:tc>
          <w:tcPr>
            <w:tcW w:w="1241" w:type="dxa"/>
            <w:tcBorders>
              <w:top w:val="single" w:sz="4" w:space="0" w:color="808080"/>
              <w:left w:val="nil"/>
              <w:bottom w:val="double" w:sz="6" w:space="0" w:color="auto"/>
              <w:right w:val="single" w:sz="4" w:space="0" w:color="808080"/>
            </w:tcBorders>
            <w:noWrap/>
            <w:vAlign w:val="bottom"/>
            <w:hideMark/>
          </w:tcPr>
          <w:p w14:paraId="116F61DF"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3 151</w:t>
            </w:r>
          </w:p>
        </w:tc>
        <w:tc>
          <w:tcPr>
            <w:tcW w:w="1241" w:type="dxa"/>
            <w:tcBorders>
              <w:top w:val="single" w:sz="4" w:space="0" w:color="808080"/>
              <w:left w:val="nil"/>
              <w:bottom w:val="double" w:sz="6" w:space="0" w:color="auto"/>
              <w:right w:val="single" w:sz="4" w:space="0" w:color="808080"/>
            </w:tcBorders>
            <w:noWrap/>
            <w:vAlign w:val="bottom"/>
            <w:hideMark/>
          </w:tcPr>
          <w:p w14:paraId="790A5C89"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3 389</w:t>
            </w:r>
          </w:p>
        </w:tc>
        <w:tc>
          <w:tcPr>
            <w:tcW w:w="1241" w:type="dxa"/>
            <w:tcBorders>
              <w:top w:val="single" w:sz="4" w:space="0" w:color="808080"/>
              <w:left w:val="nil"/>
              <w:bottom w:val="double" w:sz="6" w:space="0" w:color="auto"/>
              <w:right w:val="single" w:sz="4" w:space="0" w:color="808080"/>
            </w:tcBorders>
            <w:noWrap/>
            <w:vAlign w:val="bottom"/>
            <w:hideMark/>
          </w:tcPr>
          <w:p w14:paraId="1D8CDA46"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3 114</w:t>
            </w:r>
          </w:p>
        </w:tc>
        <w:tc>
          <w:tcPr>
            <w:tcW w:w="1241" w:type="dxa"/>
            <w:tcBorders>
              <w:top w:val="single" w:sz="4" w:space="0" w:color="808080"/>
              <w:left w:val="nil"/>
              <w:bottom w:val="double" w:sz="6" w:space="0" w:color="auto"/>
              <w:right w:val="single" w:sz="4" w:space="0" w:color="808080"/>
            </w:tcBorders>
            <w:noWrap/>
            <w:vAlign w:val="bottom"/>
            <w:hideMark/>
          </w:tcPr>
          <w:p w14:paraId="3F9E757D"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1 180</w:t>
            </w:r>
          </w:p>
        </w:tc>
      </w:tr>
      <w:tr w:rsidR="0088157C" w:rsidRPr="0088157C" w14:paraId="28C15632" w14:textId="77777777" w:rsidTr="0088157C">
        <w:trPr>
          <w:trHeight w:val="315"/>
        </w:trPr>
        <w:tc>
          <w:tcPr>
            <w:tcW w:w="3724" w:type="dxa"/>
            <w:tcBorders>
              <w:top w:val="single" w:sz="4" w:space="0" w:color="808080"/>
              <w:left w:val="single" w:sz="4" w:space="0" w:color="808080"/>
              <w:bottom w:val="nil"/>
              <w:right w:val="single" w:sz="4" w:space="0" w:color="808080"/>
            </w:tcBorders>
            <w:noWrap/>
            <w:vAlign w:val="bottom"/>
            <w:hideMark/>
          </w:tcPr>
          <w:p w14:paraId="5F8411EA"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Income Tax Expense</w:t>
            </w:r>
          </w:p>
        </w:tc>
        <w:tc>
          <w:tcPr>
            <w:tcW w:w="1241" w:type="dxa"/>
            <w:tcBorders>
              <w:top w:val="single" w:sz="4" w:space="0" w:color="808080"/>
              <w:left w:val="nil"/>
              <w:bottom w:val="nil"/>
              <w:right w:val="single" w:sz="4" w:space="0" w:color="808080"/>
            </w:tcBorders>
            <w:noWrap/>
            <w:vAlign w:val="bottom"/>
            <w:hideMark/>
          </w:tcPr>
          <w:p w14:paraId="68B01C6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(793)</w:t>
            </w:r>
          </w:p>
        </w:tc>
        <w:tc>
          <w:tcPr>
            <w:tcW w:w="1241" w:type="dxa"/>
            <w:tcBorders>
              <w:top w:val="single" w:sz="4" w:space="0" w:color="808080"/>
              <w:left w:val="nil"/>
              <w:bottom w:val="nil"/>
              <w:right w:val="single" w:sz="4" w:space="0" w:color="808080"/>
            </w:tcBorders>
            <w:noWrap/>
            <w:vAlign w:val="bottom"/>
            <w:hideMark/>
          </w:tcPr>
          <w:p w14:paraId="473F099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(739)</w:t>
            </w:r>
          </w:p>
        </w:tc>
        <w:tc>
          <w:tcPr>
            <w:tcW w:w="1241" w:type="dxa"/>
            <w:tcBorders>
              <w:top w:val="single" w:sz="4" w:space="0" w:color="808080"/>
              <w:left w:val="nil"/>
              <w:bottom w:val="nil"/>
              <w:right w:val="single" w:sz="4" w:space="0" w:color="808080"/>
            </w:tcBorders>
            <w:noWrap/>
            <w:vAlign w:val="bottom"/>
            <w:hideMark/>
          </w:tcPr>
          <w:p w14:paraId="5860B695"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(309)</w:t>
            </w:r>
          </w:p>
        </w:tc>
        <w:tc>
          <w:tcPr>
            <w:tcW w:w="1241" w:type="dxa"/>
            <w:tcBorders>
              <w:top w:val="single" w:sz="4" w:space="0" w:color="808080"/>
              <w:left w:val="nil"/>
              <w:bottom w:val="nil"/>
              <w:right w:val="single" w:sz="4" w:space="0" w:color="808080"/>
            </w:tcBorders>
            <w:noWrap/>
            <w:vAlign w:val="bottom"/>
            <w:hideMark/>
          </w:tcPr>
          <w:p w14:paraId="1149573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(526)</w:t>
            </w:r>
          </w:p>
        </w:tc>
        <w:tc>
          <w:tcPr>
            <w:tcW w:w="1241" w:type="dxa"/>
            <w:tcBorders>
              <w:top w:val="single" w:sz="4" w:space="0" w:color="808080"/>
              <w:left w:val="nil"/>
              <w:bottom w:val="nil"/>
              <w:right w:val="single" w:sz="4" w:space="0" w:color="808080"/>
            </w:tcBorders>
            <w:noWrap/>
            <w:vAlign w:val="bottom"/>
            <w:hideMark/>
          </w:tcPr>
          <w:p w14:paraId="45A3675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(152)</w:t>
            </w:r>
          </w:p>
        </w:tc>
      </w:tr>
      <w:tr w:rsidR="0088157C" w:rsidRPr="0088157C" w14:paraId="1C757C15" w14:textId="77777777" w:rsidTr="0088157C">
        <w:trPr>
          <w:trHeight w:val="315"/>
        </w:trPr>
        <w:tc>
          <w:tcPr>
            <w:tcW w:w="3724" w:type="dxa"/>
            <w:tcBorders>
              <w:top w:val="single" w:sz="4" w:space="0" w:color="808080"/>
              <w:left w:val="single" w:sz="4" w:space="0" w:color="808080"/>
              <w:bottom w:val="double" w:sz="6" w:space="0" w:color="auto"/>
              <w:right w:val="single" w:sz="4" w:space="0" w:color="808080"/>
            </w:tcBorders>
            <w:noWrap/>
            <w:vAlign w:val="bottom"/>
            <w:hideMark/>
          </w:tcPr>
          <w:p w14:paraId="1C1475DD" w14:textId="77777777" w:rsidR="0088157C" w:rsidRPr="0088157C" w:rsidRDefault="0088157C" w:rsidP="0088157C">
            <w:pPr>
              <w:spacing w:after="0" w:line="240" w:lineRule="auto"/>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NET INCOME</w:t>
            </w:r>
          </w:p>
        </w:tc>
        <w:tc>
          <w:tcPr>
            <w:tcW w:w="1241" w:type="dxa"/>
            <w:tcBorders>
              <w:top w:val="single" w:sz="4" w:space="0" w:color="808080"/>
              <w:left w:val="nil"/>
              <w:bottom w:val="double" w:sz="6" w:space="0" w:color="auto"/>
              <w:right w:val="single" w:sz="4" w:space="0" w:color="808080"/>
            </w:tcBorders>
            <w:noWrap/>
            <w:vAlign w:val="bottom"/>
            <w:hideMark/>
          </w:tcPr>
          <w:p w14:paraId="57FA4D84"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2 601</w:t>
            </w:r>
          </w:p>
        </w:tc>
        <w:tc>
          <w:tcPr>
            <w:tcW w:w="1241" w:type="dxa"/>
            <w:tcBorders>
              <w:top w:val="single" w:sz="4" w:space="0" w:color="808080"/>
              <w:left w:val="nil"/>
              <w:bottom w:val="double" w:sz="6" w:space="0" w:color="auto"/>
              <w:right w:val="single" w:sz="4" w:space="0" w:color="808080"/>
            </w:tcBorders>
            <w:noWrap/>
            <w:vAlign w:val="bottom"/>
            <w:hideMark/>
          </w:tcPr>
          <w:p w14:paraId="387C9D91"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2 375</w:t>
            </w:r>
          </w:p>
        </w:tc>
        <w:tc>
          <w:tcPr>
            <w:tcW w:w="1241" w:type="dxa"/>
            <w:tcBorders>
              <w:top w:val="single" w:sz="4" w:space="0" w:color="808080"/>
              <w:left w:val="nil"/>
              <w:bottom w:val="double" w:sz="6" w:space="0" w:color="auto"/>
              <w:right w:val="single" w:sz="4" w:space="0" w:color="808080"/>
            </w:tcBorders>
            <w:noWrap/>
            <w:vAlign w:val="bottom"/>
            <w:hideMark/>
          </w:tcPr>
          <w:p w14:paraId="1FB58AA3"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3 083</w:t>
            </w:r>
          </w:p>
        </w:tc>
        <w:tc>
          <w:tcPr>
            <w:tcW w:w="1241" w:type="dxa"/>
            <w:tcBorders>
              <w:top w:val="single" w:sz="4" w:space="0" w:color="808080"/>
              <w:left w:val="nil"/>
              <w:bottom w:val="double" w:sz="6" w:space="0" w:color="auto"/>
              <w:right w:val="single" w:sz="4" w:space="0" w:color="808080"/>
            </w:tcBorders>
            <w:noWrap/>
            <w:vAlign w:val="bottom"/>
            <w:hideMark/>
          </w:tcPr>
          <w:p w14:paraId="12944338"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2 357</w:t>
            </w:r>
          </w:p>
        </w:tc>
        <w:tc>
          <w:tcPr>
            <w:tcW w:w="1241" w:type="dxa"/>
            <w:tcBorders>
              <w:top w:val="single" w:sz="4" w:space="0" w:color="808080"/>
              <w:left w:val="nil"/>
              <w:bottom w:val="double" w:sz="6" w:space="0" w:color="auto"/>
              <w:right w:val="single" w:sz="4" w:space="0" w:color="808080"/>
            </w:tcBorders>
            <w:noWrap/>
            <w:vAlign w:val="bottom"/>
            <w:hideMark/>
          </w:tcPr>
          <w:p w14:paraId="5CE37111" w14:textId="77777777" w:rsidR="0088157C" w:rsidRPr="0088157C" w:rsidRDefault="0088157C" w:rsidP="0088157C">
            <w:pPr>
              <w:spacing w:after="0" w:line="240" w:lineRule="auto"/>
              <w:jc w:val="right"/>
              <w:rPr>
                <w:rFonts w:ascii="Calibri" w:eastAsia="Times New Roman" w:hAnsi="Calibri" w:cs="Calibri"/>
                <w:b/>
                <w:bCs/>
                <w:sz w:val="22"/>
                <w:szCs w:val="22"/>
                <w:lang w:val="en-US" w:eastAsia="en-US"/>
              </w:rPr>
            </w:pPr>
            <w:r w:rsidRPr="0088157C">
              <w:rPr>
                <w:rFonts w:ascii="Calibri" w:eastAsia="Times New Roman" w:hAnsi="Calibri" w:cs="Calibri"/>
                <w:b/>
                <w:bCs/>
                <w:sz w:val="22"/>
                <w:szCs w:val="22"/>
                <w:lang w:val="en-US" w:eastAsia="en-US"/>
              </w:rPr>
              <w:t>1 099</w:t>
            </w:r>
          </w:p>
        </w:tc>
      </w:tr>
    </w:tbl>
    <w:p w14:paraId="65F2C5B6" w14:textId="77777777" w:rsidR="003067D2" w:rsidRDefault="003067D2" w:rsidP="00B9519C">
      <w:pPr>
        <w:rPr>
          <w:b/>
          <w:bCs/>
          <w:lang w:val="en-US"/>
        </w:rPr>
      </w:pPr>
    </w:p>
    <w:p w14:paraId="3354CBAC" w14:textId="77777777" w:rsidR="003067D2" w:rsidRDefault="003067D2" w:rsidP="00B9519C">
      <w:pPr>
        <w:rPr>
          <w:b/>
          <w:bCs/>
          <w:lang w:val="en-US"/>
        </w:rPr>
      </w:pPr>
    </w:p>
    <w:p w14:paraId="0E0F1EF4" w14:textId="77777777" w:rsidR="003067D2" w:rsidRDefault="003067D2" w:rsidP="00B9519C">
      <w:pPr>
        <w:rPr>
          <w:b/>
          <w:bCs/>
          <w:lang w:val="en-US"/>
        </w:rPr>
      </w:pPr>
    </w:p>
    <w:p w14:paraId="5F47A743" w14:textId="77777777" w:rsidR="003067D2" w:rsidRDefault="003067D2" w:rsidP="00B9519C">
      <w:pPr>
        <w:rPr>
          <w:b/>
          <w:bCs/>
          <w:lang w:val="en-US"/>
        </w:rPr>
      </w:pPr>
    </w:p>
    <w:p w14:paraId="27D21D7D" w14:textId="77777777" w:rsidR="003067D2" w:rsidRDefault="003067D2" w:rsidP="00B9519C">
      <w:pPr>
        <w:rPr>
          <w:b/>
          <w:bCs/>
          <w:lang w:val="en-US"/>
        </w:rPr>
      </w:pPr>
    </w:p>
    <w:p w14:paraId="26EACA28" w14:textId="77777777" w:rsidR="003067D2" w:rsidRDefault="003067D2" w:rsidP="00B9519C">
      <w:pPr>
        <w:rPr>
          <w:b/>
          <w:bCs/>
          <w:lang w:val="en-US"/>
        </w:rPr>
      </w:pPr>
    </w:p>
    <w:p w14:paraId="53D255FB" w14:textId="77777777" w:rsidR="003067D2" w:rsidRDefault="003067D2" w:rsidP="00B9519C">
      <w:pPr>
        <w:rPr>
          <w:b/>
          <w:bCs/>
          <w:lang w:val="en-US"/>
        </w:rPr>
      </w:pPr>
    </w:p>
    <w:p w14:paraId="6A17ED78" w14:textId="77777777" w:rsidR="005025C3" w:rsidRDefault="005025C3" w:rsidP="00B9519C">
      <w:pPr>
        <w:rPr>
          <w:lang w:val="en-US"/>
        </w:rPr>
      </w:pPr>
    </w:p>
    <w:p w14:paraId="56C73AEC" w14:textId="77777777" w:rsidR="005025C3" w:rsidRDefault="005025C3" w:rsidP="00B9519C">
      <w:pPr>
        <w:rPr>
          <w:b/>
          <w:bCs/>
          <w:lang w:val="en-US"/>
        </w:rPr>
      </w:pPr>
    </w:p>
    <w:p w14:paraId="2168A594" w14:textId="77777777" w:rsidR="005025C3" w:rsidRDefault="005025C3" w:rsidP="00B9519C">
      <w:pPr>
        <w:rPr>
          <w:b/>
          <w:bCs/>
          <w:lang w:val="en-US"/>
        </w:rPr>
      </w:pPr>
    </w:p>
    <w:p w14:paraId="3D6457B6" w14:textId="77777777" w:rsidR="005025C3" w:rsidRDefault="005025C3" w:rsidP="00B9519C">
      <w:pPr>
        <w:rPr>
          <w:b/>
          <w:bCs/>
          <w:lang w:val="en-US"/>
        </w:rPr>
      </w:pPr>
    </w:p>
    <w:p w14:paraId="1E22DD86" w14:textId="77777777" w:rsidR="005025C3" w:rsidRDefault="005025C3" w:rsidP="00B9519C">
      <w:pPr>
        <w:rPr>
          <w:b/>
          <w:bCs/>
          <w:lang w:val="en-US"/>
        </w:rPr>
      </w:pPr>
    </w:p>
    <w:p w14:paraId="1F3965ED" w14:textId="77777777" w:rsidR="005025C3" w:rsidRDefault="005025C3" w:rsidP="00B9519C">
      <w:pPr>
        <w:rPr>
          <w:b/>
          <w:bCs/>
          <w:lang w:val="en-US"/>
        </w:rPr>
      </w:pPr>
    </w:p>
    <w:p w14:paraId="663235E1" w14:textId="77777777" w:rsidR="005025C3" w:rsidRDefault="005025C3" w:rsidP="00B9519C">
      <w:pPr>
        <w:rPr>
          <w:b/>
          <w:bCs/>
          <w:lang w:val="en-US"/>
        </w:rPr>
      </w:pPr>
    </w:p>
    <w:p w14:paraId="3EC14232" w14:textId="77777777" w:rsidR="005025C3" w:rsidRDefault="005025C3" w:rsidP="00B9519C">
      <w:pPr>
        <w:rPr>
          <w:b/>
          <w:bCs/>
          <w:lang w:val="en-US"/>
        </w:rPr>
      </w:pPr>
    </w:p>
    <w:p w14:paraId="51AAE230" w14:textId="088EE15A" w:rsidR="00B9519C" w:rsidRDefault="00B9519C" w:rsidP="00B9519C">
      <w:pPr>
        <w:rPr>
          <w:b/>
          <w:bCs/>
          <w:lang w:val="en-US"/>
        </w:rPr>
      </w:pPr>
      <w:r w:rsidRPr="00B9519C">
        <w:rPr>
          <w:b/>
          <w:bCs/>
          <w:lang w:val="en-US"/>
        </w:rPr>
        <w:lastRenderedPageBreak/>
        <w:t>Appendix B – Consolidated Balance Sheets (2021–2025)</w:t>
      </w:r>
    </w:p>
    <w:tbl>
      <w:tblPr>
        <w:tblW w:w="9923" w:type="dxa"/>
        <w:tblLook w:val="04A0" w:firstRow="1" w:lastRow="0" w:firstColumn="1" w:lastColumn="0" w:noHBand="0" w:noVBand="1"/>
      </w:tblPr>
      <w:tblGrid>
        <w:gridCol w:w="3883"/>
        <w:gridCol w:w="1208"/>
        <w:gridCol w:w="1208"/>
        <w:gridCol w:w="1208"/>
        <w:gridCol w:w="1208"/>
        <w:gridCol w:w="1208"/>
      </w:tblGrid>
      <w:tr w:rsidR="0088157C" w:rsidRPr="0088157C" w14:paraId="6E133565" w14:textId="77777777" w:rsidTr="0088157C">
        <w:trPr>
          <w:trHeight w:val="700"/>
        </w:trPr>
        <w:tc>
          <w:tcPr>
            <w:tcW w:w="9923" w:type="dxa"/>
            <w:gridSpan w:val="6"/>
            <w:tcBorders>
              <w:top w:val="nil"/>
              <w:left w:val="nil"/>
              <w:bottom w:val="nil"/>
              <w:right w:val="nil"/>
            </w:tcBorders>
            <w:shd w:val="clear" w:color="000000" w:fill="1F4E78"/>
            <w:vAlign w:val="center"/>
            <w:hideMark/>
          </w:tcPr>
          <w:p w14:paraId="3F95BA27" w14:textId="77777777" w:rsidR="0088157C" w:rsidRPr="0088157C" w:rsidRDefault="0088157C" w:rsidP="0088157C">
            <w:pPr>
              <w:spacing w:after="0" w:line="240" w:lineRule="auto"/>
              <w:rPr>
                <w:rFonts w:ascii="Carlito" w:eastAsia="Times New Roman" w:hAnsi="Carlito" w:cs="Calibri"/>
                <w:b/>
                <w:bCs/>
                <w:color w:val="FFFFFF"/>
                <w:sz w:val="32"/>
                <w:szCs w:val="32"/>
                <w:lang w:val="en-US" w:eastAsia="en-US"/>
              </w:rPr>
            </w:pPr>
            <w:r w:rsidRPr="0088157C">
              <w:rPr>
                <w:rFonts w:ascii="Carlito" w:eastAsia="Times New Roman" w:hAnsi="Carlito" w:cs="Calibri"/>
                <w:b/>
                <w:bCs/>
                <w:color w:val="FFFFFF"/>
                <w:sz w:val="32"/>
                <w:szCs w:val="32"/>
                <w:lang w:val="en-US" w:eastAsia="en-US"/>
              </w:rPr>
              <w:t>MARRIOTT INTERNATIONAL, INC.</w:t>
            </w:r>
          </w:p>
        </w:tc>
      </w:tr>
      <w:tr w:rsidR="0088157C" w:rsidRPr="0088157C" w14:paraId="4405C3D7" w14:textId="77777777" w:rsidTr="0088157C">
        <w:trPr>
          <w:trHeight w:val="550"/>
        </w:trPr>
        <w:tc>
          <w:tcPr>
            <w:tcW w:w="9923" w:type="dxa"/>
            <w:gridSpan w:val="6"/>
            <w:tcBorders>
              <w:top w:val="nil"/>
              <w:left w:val="nil"/>
              <w:bottom w:val="nil"/>
              <w:right w:val="nil"/>
            </w:tcBorders>
            <w:shd w:val="clear" w:color="000000" w:fill="1F4E78"/>
            <w:vAlign w:val="bottom"/>
            <w:hideMark/>
          </w:tcPr>
          <w:p w14:paraId="71F44B9D" w14:textId="77777777" w:rsidR="0088157C" w:rsidRPr="0088157C" w:rsidRDefault="0088157C" w:rsidP="0088157C">
            <w:pPr>
              <w:spacing w:after="0" w:line="240" w:lineRule="auto"/>
              <w:rPr>
                <w:rFonts w:ascii="Carlito" w:eastAsia="Times New Roman" w:hAnsi="Carlito" w:cs="Calibri"/>
                <w:b/>
                <w:bCs/>
                <w:color w:val="FFFFFF"/>
                <w:lang w:val="en-US" w:eastAsia="en-US"/>
              </w:rPr>
            </w:pPr>
            <w:r w:rsidRPr="0088157C">
              <w:rPr>
                <w:rFonts w:ascii="Carlito" w:eastAsia="Times New Roman" w:hAnsi="Carlito" w:cs="Calibri"/>
                <w:b/>
                <w:bCs/>
                <w:color w:val="FFFFFF"/>
                <w:lang w:val="en-US" w:eastAsia="en-US"/>
              </w:rPr>
              <w:t>Consolidated Balance Sheets - 5 Year Comparison (USD millions)</w:t>
            </w:r>
          </w:p>
        </w:tc>
      </w:tr>
      <w:tr w:rsidR="0088157C" w:rsidRPr="0088157C" w14:paraId="33356607" w14:textId="77777777" w:rsidTr="0088157C">
        <w:trPr>
          <w:trHeight w:val="450"/>
        </w:trPr>
        <w:tc>
          <w:tcPr>
            <w:tcW w:w="3883" w:type="dxa"/>
            <w:tcBorders>
              <w:top w:val="nil"/>
              <w:left w:val="nil"/>
              <w:bottom w:val="nil"/>
              <w:right w:val="nil"/>
            </w:tcBorders>
            <w:shd w:val="clear" w:color="000000" w:fill="5B9BD5"/>
            <w:vAlign w:val="bottom"/>
            <w:hideMark/>
          </w:tcPr>
          <w:p w14:paraId="2C36E80C" w14:textId="77777777" w:rsidR="0088157C" w:rsidRPr="0088157C" w:rsidRDefault="0088157C" w:rsidP="0088157C">
            <w:pPr>
              <w:spacing w:after="0" w:line="240" w:lineRule="auto"/>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As of December 31</w:t>
            </w:r>
          </w:p>
        </w:tc>
        <w:tc>
          <w:tcPr>
            <w:tcW w:w="1208" w:type="dxa"/>
            <w:tcBorders>
              <w:top w:val="nil"/>
              <w:left w:val="nil"/>
              <w:bottom w:val="nil"/>
              <w:right w:val="nil"/>
            </w:tcBorders>
            <w:shd w:val="clear" w:color="000000" w:fill="5B9BD5"/>
            <w:vAlign w:val="bottom"/>
            <w:hideMark/>
          </w:tcPr>
          <w:p w14:paraId="5170DF23"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2025</w:t>
            </w:r>
          </w:p>
        </w:tc>
        <w:tc>
          <w:tcPr>
            <w:tcW w:w="1208" w:type="dxa"/>
            <w:tcBorders>
              <w:top w:val="nil"/>
              <w:left w:val="nil"/>
              <w:bottom w:val="nil"/>
              <w:right w:val="nil"/>
            </w:tcBorders>
            <w:shd w:val="clear" w:color="000000" w:fill="5B9BD5"/>
            <w:vAlign w:val="bottom"/>
            <w:hideMark/>
          </w:tcPr>
          <w:p w14:paraId="722D2631"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2024</w:t>
            </w:r>
          </w:p>
        </w:tc>
        <w:tc>
          <w:tcPr>
            <w:tcW w:w="1208" w:type="dxa"/>
            <w:tcBorders>
              <w:top w:val="nil"/>
              <w:left w:val="nil"/>
              <w:bottom w:val="nil"/>
              <w:right w:val="nil"/>
            </w:tcBorders>
            <w:shd w:val="clear" w:color="000000" w:fill="5B9BD5"/>
            <w:vAlign w:val="bottom"/>
            <w:hideMark/>
          </w:tcPr>
          <w:p w14:paraId="491F15E5"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2023</w:t>
            </w:r>
          </w:p>
        </w:tc>
        <w:tc>
          <w:tcPr>
            <w:tcW w:w="1208" w:type="dxa"/>
            <w:tcBorders>
              <w:top w:val="nil"/>
              <w:left w:val="nil"/>
              <w:bottom w:val="nil"/>
              <w:right w:val="nil"/>
            </w:tcBorders>
            <w:shd w:val="clear" w:color="000000" w:fill="5B9BD5"/>
            <w:vAlign w:val="bottom"/>
            <w:hideMark/>
          </w:tcPr>
          <w:p w14:paraId="4897C1D7"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2022</w:t>
            </w:r>
          </w:p>
        </w:tc>
        <w:tc>
          <w:tcPr>
            <w:tcW w:w="1208" w:type="dxa"/>
            <w:tcBorders>
              <w:top w:val="nil"/>
              <w:left w:val="nil"/>
              <w:bottom w:val="nil"/>
              <w:right w:val="nil"/>
            </w:tcBorders>
            <w:shd w:val="clear" w:color="000000" w:fill="5B9BD5"/>
            <w:vAlign w:val="bottom"/>
            <w:hideMark/>
          </w:tcPr>
          <w:p w14:paraId="00F4322C"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2021</w:t>
            </w:r>
          </w:p>
        </w:tc>
      </w:tr>
      <w:tr w:rsidR="0088157C" w:rsidRPr="0088157C" w14:paraId="6EA009F6" w14:textId="77777777" w:rsidTr="0088157C">
        <w:trPr>
          <w:trHeight w:val="450"/>
        </w:trPr>
        <w:tc>
          <w:tcPr>
            <w:tcW w:w="3883" w:type="dxa"/>
            <w:tcBorders>
              <w:top w:val="nil"/>
              <w:left w:val="nil"/>
              <w:bottom w:val="nil"/>
              <w:right w:val="nil"/>
            </w:tcBorders>
            <w:vAlign w:val="bottom"/>
            <w:hideMark/>
          </w:tcPr>
          <w:p w14:paraId="2297DC2F"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p>
        </w:tc>
        <w:tc>
          <w:tcPr>
            <w:tcW w:w="1208" w:type="dxa"/>
            <w:tcBorders>
              <w:top w:val="nil"/>
              <w:left w:val="nil"/>
              <w:bottom w:val="nil"/>
              <w:right w:val="nil"/>
            </w:tcBorders>
            <w:vAlign w:val="bottom"/>
            <w:hideMark/>
          </w:tcPr>
          <w:p w14:paraId="36E6BA8C" w14:textId="77777777" w:rsidR="0088157C" w:rsidRPr="0088157C" w:rsidRDefault="0088157C" w:rsidP="0088157C">
            <w:pPr>
              <w:spacing w:after="0" w:line="240" w:lineRule="auto"/>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4C8F6948"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34C6DE33"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4C472BB5"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6164AF25"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r>
      <w:tr w:rsidR="0088157C" w:rsidRPr="0088157C" w14:paraId="39EDB2FA" w14:textId="77777777" w:rsidTr="0088157C">
        <w:trPr>
          <w:trHeight w:val="450"/>
        </w:trPr>
        <w:tc>
          <w:tcPr>
            <w:tcW w:w="3883" w:type="dxa"/>
            <w:tcBorders>
              <w:top w:val="nil"/>
              <w:left w:val="nil"/>
              <w:bottom w:val="nil"/>
              <w:right w:val="nil"/>
            </w:tcBorders>
            <w:shd w:val="clear" w:color="000000" w:fill="D9EAD3"/>
            <w:vAlign w:val="bottom"/>
            <w:hideMark/>
          </w:tcPr>
          <w:p w14:paraId="0CAB1550" w14:textId="77777777" w:rsidR="0088157C" w:rsidRPr="0088157C" w:rsidRDefault="0088157C" w:rsidP="0088157C">
            <w:pPr>
              <w:spacing w:after="0" w:line="240" w:lineRule="auto"/>
              <w:rPr>
                <w:rFonts w:ascii="Carlito" w:eastAsia="Times New Roman" w:hAnsi="Carlito" w:cs="Calibri"/>
                <w:b/>
                <w:bCs/>
                <w:color w:val="38761D"/>
                <w:sz w:val="26"/>
                <w:szCs w:val="26"/>
                <w:lang w:val="en-US" w:eastAsia="en-US"/>
              </w:rPr>
            </w:pPr>
            <w:r w:rsidRPr="0088157C">
              <w:rPr>
                <w:rFonts w:ascii="Carlito" w:eastAsia="Times New Roman" w:hAnsi="Carlito" w:cs="Calibri"/>
                <w:b/>
                <w:bCs/>
                <w:color w:val="38761D"/>
                <w:sz w:val="26"/>
                <w:szCs w:val="26"/>
                <w:lang w:val="en-US" w:eastAsia="en-US"/>
              </w:rPr>
              <w:t>ASSETS</w:t>
            </w:r>
          </w:p>
        </w:tc>
        <w:tc>
          <w:tcPr>
            <w:tcW w:w="1208" w:type="dxa"/>
            <w:tcBorders>
              <w:top w:val="nil"/>
              <w:left w:val="nil"/>
              <w:bottom w:val="nil"/>
              <w:right w:val="nil"/>
            </w:tcBorders>
            <w:shd w:val="clear" w:color="000000" w:fill="D9EAD3"/>
            <w:vAlign w:val="bottom"/>
            <w:hideMark/>
          </w:tcPr>
          <w:p w14:paraId="1A5D43C1" w14:textId="77777777" w:rsidR="0088157C" w:rsidRPr="0088157C" w:rsidRDefault="0088157C" w:rsidP="0088157C">
            <w:pPr>
              <w:spacing w:after="0" w:line="240" w:lineRule="auto"/>
              <w:rPr>
                <w:rFonts w:ascii="Carlito" w:eastAsia="Times New Roman" w:hAnsi="Carlito" w:cs="Calibri"/>
                <w:b/>
                <w:bCs/>
                <w:color w:val="38761D"/>
                <w:sz w:val="26"/>
                <w:szCs w:val="26"/>
                <w:lang w:val="en-US" w:eastAsia="en-US"/>
              </w:rPr>
            </w:pPr>
            <w:r w:rsidRPr="0088157C">
              <w:rPr>
                <w:rFonts w:ascii="Carlito" w:eastAsia="Times New Roman" w:hAnsi="Carlito" w:cs="Calibri"/>
                <w:b/>
                <w:bCs/>
                <w:color w:val="38761D"/>
                <w:sz w:val="26"/>
                <w:szCs w:val="26"/>
                <w:lang w:val="en-US" w:eastAsia="en-US"/>
              </w:rPr>
              <w:t> </w:t>
            </w:r>
          </w:p>
        </w:tc>
        <w:tc>
          <w:tcPr>
            <w:tcW w:w="1208" w:type="dxa"/>
            <w:tcBorders>
              <w:top w:val="nil"/>
              <w:left w:val="nil"/>
              <w:bottom w:val="nil"/>
              <w:right w:val="nil"/>
            </w:tcBorders>
            <w:shd w:val="clear" w:color="000000" w:fill="D9EAD3"/>
            <w:vAlign w:val="bottom"/>
            <w:hideMark/>
          </w:tcPr>
          <w:p w14:paraId="06FD049B" w14:textId="77777777" w:rsidR="0088157C" w:rsidRPr="0088157C" w:rsidRDefault="0088157C" w:rsidP="0088157C">
            <w:pPr>
              <w:spacing w:after="0" w:line="240" w:lineRule="auto"/>
              <w:rPr>
                <w:rFonts w:ascii="Carlito" w:eastAsia="Times New Roman" w:hAnsi="Carlito" w:cs="Calibri"/>
                <w:b/>
                <w:bCs/>
                <w:color w:val="38761D"/>
                <w:sz w:val="26"/>
                <w:szCs w:val="26"/>
                <w:lang w:val="en-US" w:eastAsia="en-US"/>
              </w:rPr>
            </w:pPr>
            <w:r w:rsidRPr="0088157C">
              <w:rPr>
                <w:rFonts w:ascii="Carlito" w:eastAsia="Times New Roman" w:hAnsi="Carlito" w:cs="Calibri"/>
                <w:b/>
                <w:bCs/>
                <w:color w:val="38761D"/>
                <w:sz w:val="26"/>
                <w:szCs w:val="26"/>
                <w:lang w:val="en-US" w:eastAsia="en-US"/>
              </w:rPr>
              <w:t> </w:t>
            </w:r>
          </w:p>
        </w:tc>
        <w:tc>
          <w:tcPr>
            <w:tcW w:w="1208" w:type="dxa"/>
            <w:tcBorders>
              <w:top w:val="nil"/>
              <w:left w:val="nil"/>
              <w:bottom w:val="nil"/>
              <w:right w:val="nil"/>
            </w:tcBorders>
            <w:shd w:val="clear" w:color="000000" w:fill="D9EAD3"/>
            <w:vAlign w:val="bottom"/>
            <w:hideMark/>
          </w:tcPr>
          <w:p w14:paraId="33A65858" w14:textId="77777777" w:rsidR="0088157C" w:rsidRPr="0088157C" w:rsidRDefault="0088157C" w:rsidP="0088157C">
            <w:pPr>
              <w:spacing w:after="0" w:line="240" w:lineRule="auto"/>
              <w:rPr>
                <w:rFonts w:ascii="Carlito" w:eastAsia="Times New Roman" w:hAnsi="Carlito" w:cs="Calibri"/>
                <w:b/>
                <w:bCs/>
                <w:color w:val="38761D"/>
                <w:sz w:val="26"/>
                <w:szCs w:val="26"/>
                <w:lang w:val="en-US" w:eastAsia="en-US"/>
              </w:rPr>
            </w:pPr>
            <w:r w:rsidRPr="0088157C">
              <w:rPr>
                <w:rFonts w:ascii="Carlito" w:eastAsia="Times New Roman" w:hAnsi="Carlito" w:cs="Calibri"/>
                <w:b/>
                <w:bCs/>
                <w:color w:val="38761D"/>
                <w:sz w:val="26"/>
                <w:szCs w:val="26"/>
                <w:lang w:val="en-US" w:eastAsia="en-US"/>
              </w:rPr>
              <w:t> </w:t>
            </w:r>
          </w:p>
        </w:tc>
        <w:tc>
          <w:tcPr>
            <w:tcW w:w="1208" w:type="dxa"/>
            <w:tcBorders>
              <w:top w:val="nil"/>
              <w:left w:val="nil"/>
              <w:bottom w:val="nil"/>
              <w:right w:val="nil"/>
            </w:tcBorders>
            <w:shd w:val="clear" w:color="000000" w:fill="D9EAD3"/>
            <w:vAlign w:val="bottom"/>
            <w:hideMark/>
          </w:tcPr>
          <w:p w14:paraId="0F97FDFD" w14:textId="77777777" w:rsidR="0088157C" w:rsidRPr="0088157C" w:rsidRDefault="0088157C" w:rsidP="0088157C">
            <w:pPr>
              <w:spacing w:after="0" w:line="240" w:lineRule="auto"/>
              <w:rPr>
                <w:rFonts w:ascii="Carlito" w:eastAsia="Times New Roman" w:hAnsi="Carlito" w:cs="Calibri"/>
                <w:b/>
                <w:bCs/>
                <w:color w:val="38761D"/>
                <w:sz w:val="26"/>
                <w:szCs w:val="26"/>
                <w:lang w:val="en-US" w:eastAsia="en-US"/>
              </w:rPr>
            </w:pPr>
            <w:r w:rsidRPr="0088157C">
              <w:rPr>
                <w:rFonts w:ascii="Carlito" w:eastAsia="Times New Roman" w:hAnsi="Carlito" w:cs="Calibri"/>
                <w:b/>
                <w:bCs/>
                <w:color w:val="38761D"/>
                <w:sz w:val="26"/>
                <w:szCs w:val="26"/>
                <w:lang w:val="en-US" w:eastAsia="en-US"/>
              </w:rPr>
              <w:t> </w:t>
            </w:r>
          </w:p>
        </w:tc>
        <w:tc>
          <w:tcPr>
            <w:tcW w:w="1208" w:type="dxa"/>
            <w:tcBorders>
              <w:top w:val="nil"/>
              <w:left w:val="nil"/>
              <w:bottom w:val="nil"/>
              <w:right w:val="nil"/>
            </w:tcBorders>
            <w:shd w:val="clear" w:color="000000" w:fill="D9EAD3"/>
            <w:vAlign w:val="bottom"/>
            <w:hideMark/>
          </w:tcPr>
          <w:p w14:paraId="54F79A77" w14:textId="77777777" w:rsidR="0088157C" w:rsidRPr="0088157C" w:rsidRDefault="0088157C" w:rsidP="0088157C">
            <w:pPr>
              <w:spacing w:after="0" w:line="240" w:lineRule="auto"/>
              <w:rPr>
                <w:rFonts w:ascii="Carlito" w:eastAsia="Times New Roman" w:hAnsi="Carlito" w:cs="Calibri"/>
                <w:b/>
                <w:bCs/>
                <w:color w:val="38761D"/>
                <w:sz w:val="26"/>
                <w:szCs w:val="26"/>
                <w:lang w:val="en-US" w:eastAsia="en-US"/>
              </w:rPr>
            </w:pPr>
            <w:r w:rsidRPr="0088157C">
              <w:rPr>
                <w:rFonts w:ascii="Carlito" w:eastAsia="Times New Roman" w:hAnsi="Carlito" w:cs="Calibri"/>
                <w:b/>
                <w:bCs/>
                <w:color w:val="38761D"/>
                <w:sz w:val="26"/>
                <w:szCs w:val="26"/>
                <w:lang w:val="en-US" w:eastAsia="en-US"/>
              </w:rPr>
              <w:t> </w:t>
            </w:r>
          </w:p>
        </w:tc>
      </w:tr>
      <w:tr w:rsidR="0088157C" w:rsidRPr="0088157C" w14:paraId="6DC56280" w14:textId="77777777" w:rsidTr="0088157C">
        <w:trPr>
          <w:trHeight w:val="450"/>
        </w:trPr>
        <w:tc>
          <w:tcPr>
            <w:tcW w:w="3883" w:type="dxa"/>
            <w:tcBorders>
              <w:top w:val="nil"/>
              <w:left w:val="nil"/>
              <w:bottom w:val="nil"/>
              <w:right w:val="nil"/>
            </w:tcBorders>
            <w:shd w:val="clear" w:color="000000" w:fill="E7E6E6"/>
            <w:vAlign w:val="bottom"/>
            <w:hideMark/>
          </w:tcPr>
          <w:p w14:paraId="6EF8024D"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Current assets</w:t>
            </w:r>
          </w:p>
        </w:tc>
        <w:tc>
          <w:tcPr>
            <w:tcW w:w="1208" w:type="dxa"/>
            <w:tcBorders>
              <w:top w:val="nil"/>
              <w:left w:val="nil"/>
              <w:bottom w:val="nil"/>
              <w:right w:val="nil"/>
            </w:tcBorders>
            <w:shd w:val="clear" w:color="000000" w:fill="E7E6E6"/>
            <w:vAlign w:val="bottom"/>
            <w:hideMark/>
          </w:tcPr>
          <w:p w14:paraId="3B7D29E0"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4BBC516A"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128C1D96"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2457C14F"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559FC7EB"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r>
      <w:tr w:rsidR="0088157C" w:rsidRPr="0088157C" w14:paraId="3586AB31" w14:textId="77777777" w:rsidTr="0088157C">
        <w:trPr>
          <w:trHeight w:val="450"/>
        </w:trPr>
        <w:tc>
          <w:tcPr>
            <w:tcW w:w="3883" w:type="dxa"/>
            <w:tcBorders>
              <w:top w:val="nil"/>
              <w:left w:val="nil"/>
              <w:bottom w:val="nil"/>
              <w:right w:val="nil"/>
            </w:tcBorders>
            <w:vAlign w:val="bottom"/>
            <w:hideMark/>
          </w:tcPr>
          <w:p w14:paraId="4860CA6D"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Cash and equivalents</w:t>
            </w:r>
          </w:p>
        </w:tc>
        <w:tc>
          <w:tcPr>
            <w:tcW w:w="1208" w:type="dxa"/>
            <w:tcBorders>
              <w:top w:val="nil"/>
              <w:left w:val="nil"/>
              <w:bottom w:val="nil"/>
              <w:right w:val="nil"/>
            </w:tcBorders>
            <w:vAlign w:val="bottom"/>
            <w:hideMark/>
          </w:tcPr>
          <w:p w14:paraId="4442903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358</w:t>
            </w:r>
          </w:p>
        </w:tc>
        <w:tc>
          <w:tcPr>
            <w:tcW w:w="1208" w:type="dxa"/>
            <w:tcBorders>
              <w:top w:val="nil"/>
              <w:left w:val="nil"/>
              <w:bottom w:val="nil"/>
              <w:right w:val="nil"/>
            </w:tcBorders>
            <w:vAlign w:val="bottom"/>
            <w:hideMark/>
          </w:tcPr>
          <w:p w14:paraId="48A4496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396</w:t>
            </w:r>
          </w:p>
        </w:tc>
        <w:tc>
          <w:tcPr>
            <w:tcW w:w="1208" w:type="dxa"/>
            <w:tcBorders>
              <w:top w:val="nil"/>
              <w:left w:val="nil"/>
              <w:bottom w:val="nil"/>
              <w:right w:val="nil"/>
            </w:tcBorders>
            <w:vAlign w:val="bottom"/>
            <w:hideMark/>
          </w:tcPr>
          <w:p w14:paraId="61A1CF8F"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338</w:t>
            </w:r>
          </w:p>
        </w:tc>
        <w:tc>
          <w:tcPr>
            <w:tcW w:w="1208" w:type="dxa"/>
            <w:tcBorders>
              <w:top w:val="nil"/>
              <w:left w:val="nil"/>
              <w:bottom w:val="nil"/>
              <w:right w:val="nil"/>
            </w:tcBorders>
            <w:vAlign w:val="bottom"/>
            <w:hideMark/>
          </w:tcPr>
          <w:p w14:paraId="17A48F8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507</w:t>
            </w:r>
          </w:p>
        </w:tc>
        <w:tc>
          <w:tcPr>
            <w:tcW w:w="1208" w:type="dxa"/>
            <w:tcBorders>
              <w:top w:val="nil"/>
              <w:left w:val="nil"/>
              <w:bottom w:val="nil"/>
              <w:right w:val="nil"/>
            </w:tcBorders>
            <w:vAlign w:val="bottom"/>
            <w:hideMark/>
          </w:tcPr>
          <w:p w14:paraId="1F23A53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1 393</w:t>
            </w:r>
          </w:p>
        </w:tc>
      </w:tr>
      <w:tr w:rsidR="0088157C" w:rsidRPr="0088157C" w14:paraId="0AA4C935" w14:textId="77777777" w:rsidTr="0088157C">
        <w:trPr>
          <w:trHeight w:val="450"/>
        </w:trPr>
        <w:tc>
          <w:tcPr>
            <w:tcW w:w="3883" w:type="dxa"/>
            <w:tcBorders>
              <w:top w:val="nil"/>
              <w:left w:val="nil"/>
              <w:bottom w:val="nil"/>
              <w:right w:val="nil"/>
            </w:tcBorders>
            <w:vAlign w:val="bottom"/>
            <w:hideMark/>
          </w:tcPr>
          <w:p w14:paraId="0A6239B7"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Accounts and notes receivable, net</w:t>
            </w:r>
          </w:p>
        </w:tc>
        <w:tc>
          <w:tcPr>
            <w:tcW w:w="1208" w:type="dxa"/>
            <w:tcBorders>
              <w:top w:val="nil"/>
              <w:left w:val="nil"/>
              <w:bottom w:val="nil"/>
              <w:right w:val="nil"/>
            </w:tcBorders>
            <w:vAlign w:val="bottom"/>
            <w:hideMark/>
          </w:tcPr>
          <w:p w14:paraId="754CDCD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2 909</w:t>
            </w:r>
          </w:p>
        </w:tc>
        <w:tc>
          <w:tcPr>
            <w:tcW w:w="1208" w:type="dxa"/>
            <w:tcBorders>
              <w:top w:val="nil"/>
              <w:left w:val="nil"/>
              <w:bottom w:val="nil"/>
              <w:right w:val="nil"/>
            </w:tcBorders>
            <w:vAlign w:val="bottom"/>
            <w:hideMark/>
          </w:tcPr>
          <w:p w14:paraId="20C05F1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2 795</w:t>
            </w:r>
          </w:p>
        </w:tc>
        <w:tc>
          <w:tcPr>
            <w:tcW w:w="1208" w:type="dxa"/>
            <w:tcBorders>
              <w:top w:val="nil"/>
              <w:left w:val="nil"/>
              <w:bottom w:val="nil"/>
              <w:right w:val="nil"/>
            </w:tcBorders>
            <w:vAlign w:val="bottom"/>
            <w:hideMark/>
          </w:tcPr>
          <w:p w14:paraId="0F0D10D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2 712</w:t>
            </w:r>
          </w:p>
        </w:tc>
        <w:tc>
          <w:tcPr>
            <w:tcW w:w="1208" w:type="dxa"/>
            <w:tcBorders>
              <w:top w:val="nil"/>
              <w:left w:val="nil"/>
              <w:bottom w:val="nil"/>
              <w:right w:val="nil"/>
            </w:tcBorders>
            <w:vAlign w:val="bottom"/>
            <w:hideMark/>
          </w:tcPr>
          <w:p w14:paraId="034B918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2 571</w:t>
            </w:r>
          </w:p>
        </w:tc>
        <w:tc>
          <w:tcPr>
            <w:tcW w:w="1208" w:type="dxa"/>
            <w:tcBorders>
              <w:top w:val="nil"/>
              <w:left w:val="nil"/>
              <w:bottom w:val="nil"/>
              <w:right w:val="nil"/>
            </w:tcBorders>
            <w:vAlign w:val="bottom"/>
            <w:hideMark/>
          </w:tcPr>
          <w:p w14:paraId="051B7D5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1 982</w:t>
            </w:r>
          </w:p>
        </w:tc>
      </w:tr>
      <w:tr w:rsidR="0088157C" w:rsidRPr="0088157C" w14:paraId="4795903F" w14:textId="77777777" w:rsidTr="0088157C">
        <w:trPr>
          <w:trHeight w:val="450"/>
        </w:trPr>
        <w:tc>
          <w:tcPr>
            <w:tcW w:w="3883" w:type="dxa"/>
            <w:tcBorders>
              <w:top w:val="nil"/>
              <w:left w:val="nil"/>
              <w:bottom w:val="nil"/>
              <w:right w:val="nil"/>
            </w:tcBorders>
            <w:vAlign w:val="bottom"/>
            <w:hideMark/>
          </w:tcPr>
          <w:p w14:paraId="6EC7A2C0"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Prepaid expenses and other</w:t>
            </w:r>
          </w:p>
        </w:tc>
        <w:tc>
          <w:tcPr>
            <w:tcW w:w="1208" w:type="dxa"/>
            <w:tcBorders>
              <w:top w:val="nil"/>
              <w:left w:val="nil"/>
              <w:bottom w:val="nil"/>
              <w:right w:val="nil"/>
            </w:tcBorders>
            <w:vAlign w:val="bottom"/>
            <w:hideMark/>
          </w:tcPr>
          <w:p w14:paraId="7BBB8CA5"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317</w:t>
            </w:r>
          </w:p>
        </w:tc>
        <w:tc>
          <w:tcPr>
            <w:tcW w:w="1208" w:type="dxa"/>
            <w:tcBorders>
              <w:top w:val="nil"/>
              <w:left w:val="nil"/>
              <w:bottom w:val="nil"/>
              <w:right w:val="nil"/>
            </w:tcBorders>
            <w:vAlign w:val="bottom"/>
            <w:hideMark/>
          </w:tcPr>
          <w:p w14:paraId="650F9AA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294</w:t>
            </w:r>
          </w:p>
        </w:tc>
        <w:tc>
          <w:tcPr>
            <w:tcW w:w="1208" w:type="dxa"/>
            <w:tcBorders>
              <w:top w:val="nil"/>
              <w:left w:val="nil"/>
              <w:bottom w:val="nil"/>
              <w:right w:val="nil"/>
            </w:tcBorders>
            <w:vAlign w:val="bottom"/>
            <w:hideMark/>
          </w:tcPr>
          <w:p w14:paraId="22AC536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261</w:t>
            </w:r>
          </w:p>
        </w:tc>
        <w:tc>
          <w:tcPr>
            <w:tcW w:w="1208" w:type="dxa"/>
            <w:tcBorders>
              <w:top w:val="nil"/>
              <w:left w:val="nil"/>
              <w:bottom w:val="nil"/>
              <w:right w:val="nil"/>
            </w:tcBorders>
            <w:vAlign w:val="bottom"/>
            <w:hideMark/>
          </w:tcPr>
          <w:p w14:paraId="4809723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235</w:t>
            </w:r>
          </w:p>
        </w:tc>
        <w:tc>
          <w:tcPr>
            <w:tcW w:w="1208" w:type="dxa"/>
            <w:tcBorders>
              <w:top w:val="nil"/>
              <w:left w:val="nil"/>
              <w:bottom w:val="nil"/>
              <w:right w:val="nil"/>
            </w:tcBorders>
            <w:vAlign w:val="bottom"/>
            <w:hideMark/>
          </w:tcPr>
          <w:p w14:paraId="2D70486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251</w:t>
            </w:r>
          </w:p>
        </w:tc>
      </w:tr>
      <w:tr w:rsidR="0088157C" w:rsidRPr="0088157C" w14:paraId="58595DBD" w14:textId="77777777" w:rsidTr="0088157C">
        <w:trPr>
          <w:trHeight w:val="450"/>
        </w:trPr>
        <w:tc>
          <w:tcPr>
            <w:tcW w:w="3883" w:type="dxa"/>
            <w:tcBorders>
              <w:top w:val="nil"/>
              <w:left w:val="nil"/>
              <w:bottom w:val="nil"/>
              <w:right w:val="nil"/>
            </w:tcBorders>
            <w:shd w:val="clear" w:color="000000" w:fill="F3F4F6"/>
            <w:vAlign w:val="bottom"/>
            <w:hideMark/>
          </w:tcPr>
          <w:p w14:paraId="4FCBA703" w14:textId="77777777" w:rsidR="0088157C" w:rsidRPr="0088157C" w:rsidRDefault="0088157C" w:rsidP="0088157C">
            <w:pPr>
              <w:spacing w:after="0" w:line="240" w:lineRule="auto"/>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Total current assets</w:t>
            </w:r>
          </w:p>
        </w:tc>
        <w:tc>
          <w:tcPr>
            <w:tcW w:w="1208" w:type="dxa"/>
            <w:tcBorders>
              <w:top w:val="nil"/>
              <w:left w:val="nil"/>
              <w:bottom w:val="nil"/>
              <w:right w:val="nil"/>
            </w:tcBorders>
            <w:shd w:val="clear" w:color="000000" w:fill="F3F4F6"/>
            <w:vAlign w:val="bottom"/>
            <w:hideMark/>
          </w:tcPr>
          <w:p w14:paraId="52D30E08"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3 584</w:t>
            </w:r>
          </w:p>
        </w:tc>
        <w:tc>
          <w:tcPr>
            <w:tcW w:w="1208" w:type="dxa"/>
            <w:tcBorders>
              <w:top w:val="nil"/>
              <w:left w:val="nil"/>
              <w:bottom w:val="nil"/>
              <w:right w:val="nil"/>
            </w:tcBorders>
            <w:shd w:val="clear" w:color="000000" w:fill="F3F4F6"/>
            <w:vAlign w:val="bottom"/>
            <w:hideMark/>
          </w:tcPr>
          <w:p w14:paraId="05CE30FC"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3 485</w:t>
            </w:r>
          </w:p>
        </w:tc>
        <w:tc>
          <w:tcPr>
            <w:tcW w:w="1208" w:type="dxa"/>
            <w:tcBorders>
              <w:top w:val="nil"/>
              <w:left w:val="nil"/>
              <w:bottom w:val="nil"/>
              <w:right w:val="nil"/>
            </w:tcBorders>
            <w:shd w:val="clear" w:color="000000" w:fill="F3F4F6"/>
            <w:vAlign w:val="bottom"/>
            <w:hideMark/>
          </w:tcPr>
          <w:p w14:paraId="5239F27C"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3 311</w:t>
            </w:r>
          </w:p>
        </w:tc>
        <w:tc>
          <w:tcPr>
            <w:tcW w:w="1208" w:type="dxa"/>
            <w:tcBorders>
              <w:top w:val="nil"/>
              <w:left w:val="nil"/>
              <w:bottom w:val="nil"/>
              <w:right w:val="nil"/>
            </w:tcBorders>
            <w:shd w:val="clear" w:color="000000" w:fill="F3F4F6"/>
            <w:vAlign w:val="bottom"/>
            <w:hideMark/>
          </w:tcPr>
          <w:p w14:paraId="14186F11"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3 313</w:t>
            </w:r>
          </w:p>
        </w:tc>
        <w:tc>
          <w:tcPr>
            <w:tcW w:w="1208" w:type="dxa"/>
            <w:tcBorders>
              <w:top w:val="nil"/>
              <w:left w:val="nil"/>
              <w:bottom w:val="nil"/>
              <w:right w:val="nil"/>
            </w:tcBorders>
            <w:shd w:val="clear" w:color="000000" w:fill="F3F4F6"/>
            <w:vAlign w:val="bottom"/>
            <w:hideMark/>
          </w:tcPr>
          <w:p w14:paraId="0869A7DC"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3 626</w:t>
            </w:r>
          </w:p>
        </w:tc>
      </w:tr>
      <w:tr w:rsidR="0088157C" w:rsidRPr="0088157C" w14:paraId="768EC79A" w14:textId="77777777" w:rsidTr="0088157C">
        <w:trPr>
          <w:trHeight w:val="450"/>
        </w:trPr>
        <w:tc>
          <w:tcPr>
            <w:tcW w:w="3883" w:type="dxa"/>
            <w:tcBorders>
              <w:top w:val="nil"/>
              <w:left w:val="nil"/>
              <w:bottom w:val="nil"/>
              <w:right w:val="nil"/>
            </w:tcBorders>
            <w:shd w:val="clear" w:color="000000" w:fill="E7E6E6"/>
            <w:vAlign w:val="bottom"/>
            <w:hideMark/>
          </w:tcPr>
          <w:p w14:paraId="776E0C0D"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Non-current assets</w:t>
            </w:r>
          </w:p>
        </w:tc>
        <w:tc>
          <w:tcPr>
            <w:tcW w:w="1208" w:type="dxa"/>
            <w:tcBorders>
              <w:top w:val="nil"/>
              <w:left w:val="nil"/>
              <w:bottom w:val="nil"/>
              <w:right w:val="nil"/>
            </w:tcBorders>
            <w:shd w:val="clear" w:color="000000" w:fill="E7E6E6"/>
            <w:vAlign w:val="bottom"/>
            <w:hideMark/>
          </w:tcPr>
          <w:p w14:paraId="53D13A3E"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1CB44F8A"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4C5C3401"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0843E029"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2EFB378C"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r>
      <w:tr w:rsidR="0088157C" w:rsidRPr="0088157C" w14:paraId="106F0636" w14:textId="77777777" w:rsidTr="0088157C">
        <w:trPr>
          <w:trHeight w:val="450"/>
        </w:trPr>
        <w:tc>
          <w:tcPr>
            <w:tcW w:w="3883" w:type="dxa"/>
            <w:tcBorders>
              <w:top w:val="nil"/>
              <w:left w:val="nil"/>
              <w:bottom w:val="nil"/>
              <w:right w:val="nil"/>
            </w:tcBorders>
            <w:vAlign w:val="bottom"/>
            <w:hideMark/>
          </w:tcPr>
          <w:p w14:paraId="5E8C65AA"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Property and equipment, net</w:t>
            </w:r>
          </w:p>
        </w:tc>
        <w:tc>
          <w:tcPr>
            <w:tcW w:w="1208" w:type="dxa"/>
            <w:tcBorders>
              <w:top w:val="nil"/>
              <w:left w:val="nil"/>
              <w:bottom w:val="nil"/>
              <w:right w:val="nil"/>
            </w:tcBorders>
            <w:vAlign w:val="bottom"/>
            <w:hideMark/>
          </w:tcPr>
          <w:p w14:paraId="4B251B6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1 954</w:t>
            </w:r>
          </w:p>
        </w:tc>
        <w:tc>
          <w:tcPr>
            <w:tcW w:w="1208" w:type="dxa"/>
            <w:tcBorders>
              <w:top w:val="nil"/>
              <w:left w:val="nil"/>
              <w:bottom w:val="nil"/>
              <w:right w:val="nil"/>
            </w:tcBorders>
            <w:vAlign w:val="bottom"/>
            <w:hideMark/>
          </w:tcPr>
          <w:p w14:paraId="69980BF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1 833</w:t>
            </w:r>
          </w:p>
        </w:tc>
        <w:tc>
          <w:tcPr>
            <w:tcW w:w="1208" w:type="dxa"/>
            <w:tcBorders>
              <w:top w:val="nil"/>
              <w:left w:val="nil"/>
              <w:bottom w:val="nil"/>
              <w:right w:val="nil"/>
            </w:tcBorders>
            <w:vAlign w:val="bottom"/>
            <w:hideMark/>
          </w:tcPr>
          <w:p w14:paraId="090EDCC5"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1 581</w:t>
            </w:r>
          </w:p>
        </w:tc>
        <w:tc>
          <w:tcPr>
            <w:tcW w:w="1208" w:type="dxa"/>
            <w:tcBorders>
              <w:top w:val="nil"/>
              <w:left w:val="nil"/>
              <w:bottom w:val="nil"/>
              <w:right w:val="nil"/>
            </w:tcBorders>
            <w:vAlign w:val="bottom"/>
            <w:hideMark/>
          </w:tcPr>
          <w:p w14:paraId="1A38183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1 585</w:t>
            </w:r>
          </w:p>
        </w:tc>
        <w:tc>
          <w:tcPr>
            <w:tcW w:w="1208" w:type="dxa"/>
            <w:tcBorders>
              <w:top w:val="nil"/>
              <w:left w:val="nil"/>
              <w:bottom w:val="nil"/>
              <w:right w:val="nil"/>
            </w:tcBorders>
            <w:vAlign w:val="bottom"/>
            <w:hideMark/>
          </w:tcPr>
          <w:p w14:paraId="75065EC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1 503</w:t>
            </w:r>
          </w:p>
        </w:tc>
      </w:tr>
      <w:tr w:rsidR="0088157C" w:rsidRPr="0088157C" w14:paraId="2697DE10" w14:textId="77777777" w:rsidTr="0088157C">
        <w:trPr>
          <w:trHeight w:val="450"/>
        </w:trPr>
        <w:tc>
          <w:tcPr>
            <w:tcW w:w="3883" w:type="dxa"/>
            <w:tcBorders>
              <w:top w:val="nil"/>
              <w:left w:val="nil"/>
              <w:bottom w:val="nil"/>
              <w:right w:val="nil"/>
            </w:tcBorders>
            <w:shd w:val="clear" w:color="000000" w:fill="E7E6E6"/>
            <w:vAlign w:val="bottom"/>
            <w:hideMark/>
          </w:tcPr>
          <w:p w14:paraId="0E4DFA4C"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Intangible assets</w:t>
            </w:r>
          </w:p>
        </w:tc>
        <w:tc>
          <w:tcPr>
            <w:tcW w:w="1208" w:type="dxa"/>
            <w:tcBorders>
              <w:top w:val="nil"/>
              <w:left w:val="nil"/>
              <w:bottom w:val="nil"/>
              <w:right w:val="nil"/>
            </w:tcBorders>
            <w:shd w:val="clear" w:color="000000" w:fill="E7E6E6"/>
            <w:vAlign w:val="bottom"/>
            <w:hideMark/>
          </w:tcPr>
          <w:p w14:paraId="6087DD52"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574276F8"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2BDADC51"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0642C933"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4B2D5EBA"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r>
      <w:tr w:rsidR="0088157C" w:rsidRPr="0088157C" w14:paraId="20BCBF68" w14:textId="77777777" w:rsidTr="0088157C">
        <w:trPr>
          <w:trHeight w:val="450"/>
        </w:trPr>
        <w:tc>
          <w:tcPr>
            <w:tcW w:w="3883" w:type="dxa"/>
            <w:tcBorders>
              <w:top w:val="nil"/>
              <w:left w:val="nil"/>
              <w:bottom w:val="nil"/>
              <w:right w:val="nil"/>
            </w:tcBorders>
            <w:vAlign w:val="bottom"/>
            <w:hideMark/>
          </w:tcPr>
          <w:p w14:paraId="2B2ED325"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Brands</w:t>
            </w:r>
          </w:p>
        </w:tc>
        <w:tc>
          <w:tcPr>
            <w:tcW w:w="1208" w:type="dxa"/>
            <w:tcBorders>
              <w:top w:val="nil"/>
              <w:left w:val="nil"/>
              <w:bottom w:val="nil"/>
              <w:right w:val="nil"/>
            </w:tcBorders>
            <w:vAlign w:val="bottom"/>
            <w:hideMark/>
          </w:tcPr>
          <w:p w14:paraId="3E67094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6 207</w:t>
            </w:r>
          </w:p>
        </w:tc>
        <w:tc>
          <w:tcPr>
            <w:tcW w:w="1208" w:type="dxa"/>
            <w:tcBorders>
              <w:top w:val="nil"/>
              <w:left w:val="nil"/>
              <w:bottom w:val="nil"/>
              <w:right w:val="nil"/>
            </w:tcBorders>
            <w:vAlign w:val="bottom"/>
            <w:hideMark/>
          </w:tcPr>
          <w:p w14:paraId="11DBFD01"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5 770</w:t>
            </w:r>
          </w:p>
        </w:tc>
        <w:tc>
          <w:tcPr>
            <w:tcW w:w="1208" w:type="dxa"/>
            <w:tcBorders>
              <w:top w:val="nil"/>
              <w:left w:val="nil"/>
              <w:bottom w:val="nil"/>
              <w:right w:val="nil"/>
            </w:tcBorders>
            <w:vAlign w:val="bottom"/>
            <w:hideMark/>
          </w:tcPr>
          <w:p w14:paraId="3F85CDC7"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5 907</w:t>
            </w:r>
          </w:p>
        </w:tc>
        <w:tc>
          <w:tcPr>
            <w:tcW w:w="1208" w:type="dxa"/>
            <w:tcBorders>
              <w:top w:val="nil"/>
              <w:left w:val="nil"/>
              <w:bottom w:val="nil"/>
              <w:right w:val="nil"/>
            </w:tcBorders>
            <w:vAlign w:val="bottom"/>
            <w:hideMark/>
          </w:tcPr>
          <w:p w14:paraId="0B3430E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5 812</w:t>
            </w:r>
          </w:p>
        </w:tc>
        <w:tc>
          <w:tcPr>
            <w:tcW w:w="1208" w:type="dxa"/>
            <w:tcBorders>
              <w:top w:val="nil"/>
              <w:left w:val="nil"/>
              <w:bottom w:val="nil"/>
              <w:right w:val="nil"/>
            </w:tcBorders>
            <w:vAlign w:val="bottom"/>
            <w:hideMark/>
          </w:tcPr>
          <w:p w14:paraId="6C44A6B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5 979</w:t>
            </w:r>
          </w:p>
        </w:tc>
      </w:tr>
      <w:tr w:rsidR="0088157C" w:rsidRPr="0088157C" w14:paraId="148C8D61" w14:textId="77777777" w:rsidTr="0088157C">
        <w:trPr>
          <w:trHeight w:val="450"/>
        </w:trPr>
        <w:tc>
          <w:tcPr>
            <w:tcW w:w="3883" w:type="dxa"/>
            <w:tcBorders>
              <w:top w:val="nil"/>
              <w:left w:val="nil"/>
              <w:bottom w:val="nil"/>
              <w:right w:val="nil"/>
            </w:tcBorders>
            <w:vAlign w:val="bottom"/>
            <w:hideMark/>
          </w:tcPr>
          <w:p w14:paraId="0407B541"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Contract acquisition costs and other</w:t>
            </w:r>
          </w:p>
        </w:tc>
        <w:tc>
          <w:tcPr>
            <w:tcW w:w="1208" w:type="dxa"/>
            <w:tcBorders>
              <w:top w:val="nil"/>
              <w:left w:val="nil"/>
              <w:bottom w:val="nil"/>
              <w:right w:val="nil"/>
            </w:tcBorders>
            <w:vAlign w:val="bottom"/>
            <w:hideMark/>
          </w:tcPr>
          <w:p w14:paraId="36C12221"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4 129</w:t>
            </w:r>
          </w:p>
        </w:tc>
        <w:tc>
          <w:tcPr>
            <w:tcW w:w="1208" w:type="dxa"/>
            <w:tcBorders>
              <w:top w:val="nil"/>
              <w:left w:val="nil"/>
              <w:bottom w:val="nil"/>
              <w:right w:val="nil"/>
            </w:tcBorders>
            <w:vAlign w:val="bottom"/>
            <w:hideMark/>
          </w:tcPr>
          <w:p w14:paraId="2A47299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3 718</w:t>
            </w:r>
          </w:p>
        </w:tc>
        <w:tc>
          <w:tcPr>
            <w:tcW w:w="1208" w:type="dxa"/>
            <w:tcBorders>
              <w:top w:val="nil"/>
              <w:left w:val="nil"/>
              <w:bottom w:val="nil"/>
              <w:right w:val="nil"/>
            </w:tcBorders>
            <w:vAlign w:val="bottom"/>
            <w:hideMark/>
          </w:tcPr>
          <w:p w14:paraId="0712C13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3 283</w:t>
            </w:r>
          </w:p>
        </w:tc>
        <w:tc>
          <w:tcPr>
            <w:tcW w:w="1208" w:type="dxa"/>
            <w:tcBorders>
              <w:top w:val="nil"/>
              <w:left w:val="nil"/>
              <w:bottom w:val="nil"/>
              <w:right w:val="nil"/>
            </w:tcBorders>
            <w:vAlign w:val="bottom"/>
            <w:hideMark/>
          </w:tcPr>
          <w:p w14:paraId="758B72D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2 935</w:t>
            </w:r>
          </w:p>
        </w:tc>
        <w:tc>
          <w:tcPr>
            <w:tcW w:w="1208" w:type="dxa"/>
            <w:tcBorders>
              <w:top w:val="nil"/>
              <w:left w:val="nil"/>
              <w:bottom w:val="nil"/>
              <w:right w:val="nil"/>
            </w:tcBorders>
            <w:vAlign w:val="bottom"/>
            <w:hideMark/>
          </w:tcPr>
          <w:p w14:paraId="01C242E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2 947</w:t>
            </w:r>
          </w:p>
        </w:tc>
      </w:tr>
      <w:tr w:rsidR="0088157C" w:rsidRPr="0088157C" w14:paraId="42A79ED9" w14:textId="77777777" w:rsidTr="0088157C">
        <w:trPr>
          <w:trHeight w:val="450"/>
        </w:trPr>
        <w:tc>
          <w:tcPr>
            <w:tcW w:w="3883" w:type="dxa"/>
            <w:tcBorders>
              <w:top w:val="nil"/>
              <w:left w:val="nil"/>
              <w:bottom w:val="nil"/>
              <w:right w:val="nil"/>
            </w:tcBorders>
            <w:vAlign w:val="bottom"/>
            <w:hideMark/>
          </w:tcPr>
          <w:p w14:paraId="6F187B55"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Goodwill</w:t>
            </w:r>
          </w:p>
        </w:tc>
        <w:tc>
          <w:tcPr>
            <w:tcW w:w="1208" w:type="dxa"/>
            <w:tcBorders>
              <w:top w:val="nil"/>
              <w:left w:val="nil"/>
              <w:bottom w:val="nil"/>
              <w:right w:val="nil"/>
            </w:tcBorders>
            <w:vAlign w:val="bottom"/>
            <w:hideMark/>
          </w:tcPr>
          <w:p w14:paraId="19406C75"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8 907</w:t>
            </w:r>
          </w:p>
        </w:tc>
        <w:tc>
          <w:tcPr>
            <w:tcW w:w="1208" w:type="dxa"/>
            <w:tcBorders>
              <w:top w:val="nil"/>
              <w:left w:val="nil"/>
              <w:bottom w:val="nil"/>
              <w:right w:val="nil"/>
            </w:tcBorders>
            <w:vAlign w:val="bottom"/>
            <w:hideMark/>
          </w:tcPr>
          <w:p w14:paraId="578D92A7"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8 731</w:t>
            </w:r>
          </w:p>
        </w:tc>
        <w:tc>
          <w:tcPr>
            <w:tcW w:w="1208" w:type="dxa"/>
            <w:tcBorders>
              <w:top w:val="nil"/>
              <w:left w:val="nil"/>
              <w:bottom w:val="nil"/>
              <w:right w:val="nil"/>
            </w:tcBorders>
            <w:vAlign w:val="bottom"/>
            <w:hideMark/>
          </w:tcPr>
          <w:p w14:paraId="6D3FFBD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8 886</w:t>
            </w:r>
          </w:p>
        </w:tc>
        <w:tc>
          <w:tcPr>
            <w:tcW w:w="1208" w:type="dxa"/>
            <w:tcBorders>
              <w:top w:val="nil"/>
              <w:left w:val="nil"/>
              <w:bottom w:val="nil"/>
              <w:right w:val="nil"/>
            </w:tcBorders>
            <w:vAlign w:val="bottom"/>
            <w:hideMark/>
          </w:tcPr>
          <w:p w14:paraId="4AAC510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8 872</w:t>
            </w:r>
          </w:p>
        </w:tc>
        <w:tc>
          <w:tcPr>
            <w:tcW w:w="1208" w:type="dxa"/>
            <w:tcBorders>
              <w:top w:val="nil"/>
              <w:left w:val="nil"/>
              <w:bottom w:val="nil"/>
              <w:right w:val="nil"/>
            </w:tcBorders>
            <w:vAlign w:val="bottom"/>
            <w:hideMark/>
          </w:tcPr>
          <w:p w14:paraId="4FAD33C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9 073</w:t>
            </w:r>
          </w:p>
        </w:tc>
      </w:tr>
      <w:tr w:rsidR="0088157C" w:rsidRPr="0088157C" w14:paraId="7A56165F" w14:textId="77777777" w:rsidTr="0088157C">
        <w:trPr>
          <w:trHeight w:val="450"/>
        </w:trPr>
        <w:tc>
          <w:tcPr>
            <w:tcW w:w="3883" w:type="dxa"/>
            <w:tcBorders>
              <w:top w:val="nil"/>
              <w:left w:val="nil"/>
              <w:bottom w:val="nil"/>
              <w:right w:val="nil"/>
            </w:tcBorders>
            <w:shd w:val="clear" w:color="000000" w:fill="F3F4F6"/>
            <w:vAlign w:val="bottom"/>
            <w:hideMark/>
          </w:tcPr>
          <w:p w14:paraId="3385D0F6" w14:textId="77777777" w:rsidR="0088157C" w:rsidRPr="0088157C" w:rsidRDefault="0088157C" w:rsidP="0088157C">
            <w:pPr>
              <w:spacing w:after="0" w:line="240" w:lineRule="auto"/>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Total intangible assets</w:t>
            </w:r>
          </w:p>
        </w:tc>
        <w:tc>
          <w:tcPr>
            <w:tcW w:w="1208" w:type="dxa"/>
            <w:tcBorders>
              <w:top w:val="nil"/>
              <w:left w:val="nil"/>
              <w:bottom w:val="nil"/>
              <w:right w:val="nil"/>
            </w:tcBorders>
            <w:shd w:val="clear" w:color="000000" w:fill="F3F4F6"/>
            <w:vAlign w:val="bottom"/>
            <w:hideMark/>
          </w:tcPr>
          <w:p w14:paraId="2FAE36F3"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19 243</w:t>
            </w:r>
          </w:p>
        </w:tc>
        <w:tc>
          <w:tcPr>
            <w:tcW w:w="1208" w:type="dxa"/>
            <w:tcBorders>
              <w:top w:val="nil"/>
              <w:left w:val="nil"/>
              <w:bottom w:val="nil"/>
              <w:right w:val="nil"/>
            </w:tcBorders>
            <w:shd w:val="clear" w:color="000000" w:fill="F3F4F6"/>
            <w:vAlign w:val="bottom"/>
            <w:hideMark/>
          </w:tcPr>
          <w:p w14:paraId="497EC9FD"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18 219</w:t>
            </w:r>
          </w:p>
        </w:tc>
        <w:tc>
          <w:tcPr>
            <w:tcW w:w="1208" w:type="dxa"/>
            <w:tcBorders>
              <w:top w:val="nil"/>
              <w:left w:val="nil"/>
              <w:bottom w:val="nil"/>
              <w:right w:val="nil"/>
            </w:tcBorders>
            <w:shd w:val="clear" w:color="000000" w:fill="F3F4F6"/>
            <w:vAlign w:val="bottom"/>
            <w:hideMark/>
          </w:tcPr>
          <w:p w14:paraId="2017D437"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18 076</w:t>
            </w:r>
          </w:p>
        </w:tc>
        <w:tc>
          <w:tcPr>
            <w:tcW w:w="1208" w:type="dxa"/>
            <w:tcBorders>
              <w:top w:val="nil"/>
              <w:left w:val="nil"/>
              <w:bottom w:val="nil"/>
              <w:right w:val="nil"/>
            </w:tcBorders>
            <w:shd w:val="clear" w:color="000000" w:fill="F3F4F6"/>
            <w:vAlign w:val="bottom"/>
            <w:hideMark/>
          </w:tcPr>
          <w:p w14:paraId="4D350BA2"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17 619</w:t>
            </w:r>
          </w:p>
        </w:tc>
        <w:tc>
          <w:tcPr>
            <w:tcW w:w="1208" w:type="dxa"/>
            <w:tcBorders>
              <w:top w:val="nil"/>
              <w:left w:val="nil"/>
              <w:bottom w:val="nil"/>
              <w:right w:val="nil"/>
            </w:tcBorders>
            <w:shd w:val="clear" w:color="000000" w:fill="F3F4F6"/>
            <w:vAlign w:val="bottom"/>
            <w:hideMark/>
          </w:tcPr>
          <w:p w14:paraId="070C34E6"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17 999</w:t>
            </w:r>
          </w:p>
        </w:tc>
      </w:tr>
      <w:tr w:rsidR="0088157C" w:rsidRPr="0088157C" w14:paraId="38140FF6" w14:textId="77777777" w:rsidTr="0088157C">
        <w:trPr>
          <w:trHeight w:val="450"/>
        </w:trPr>
        <w:tc>
          <w:tcPr>
            <w:tcW w:w="3883" w:type="dxa"/>
            <w:tcBorders>
              <w:top w:val="nil"/>
              <w:left w:val="nil"/>
              <w:bottom w:val="nil"/>
              <w:right w:val="nil"/>
            </w:tcBorders>
            <w:vAlign w:val="bottom"/>
            <w:hideMark/>
          </w:tcPr>
          <w:p w14:paraId="53A52AE7"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Equity method investments</w:t>
            </w:r>
          </w:p>
        </w:tc>
        <w:tc>
          <w:tcPr>
            <w:tcW w:w="1208" w:type="dxa"/>
            <w:tcBorders>
              <w:top w:val="nil"/>
              <w:left w:val="nil"/>
              <w:bottom w:val="nil"/>
              <w:right w:val="nil"/>
            </w:tcBorders>
            <w:vAlign w:val="bottom"/>
            <w:hideMark/>
          </w:tcPr>
          <w:p w14:paraId="026BCB7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298</w:t>
            </w:r>
          </w:p>
        </w:tc>
        <w:tc>
          <w:tcPr>
            <w:tcW w:w="1208" w:type="dxa"/>
            <w:tcBorders>
              <w:top w:val="nil"/>
              <w:left w:val="nil"/>
              <w:bottom w:val="nil"/>
              <w:right w:val="nil"/>
            </w:tcBorders>
            <w:vAlign w:val="bottom"/>
            <w:hideMark/>
          </w:tcPr>
          <w:p w14:paraId="7C687AA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298</w:t>
            </w:r>
          </w:p>
        </w:tc>
        <w:tc>
          <w:tcPr>
            <w:tcW w:w="1208" w:type="dxa"/>
            <w:tcBorders>
              <w:top w:val="nil"/>
              <w:left w:val="nil"/>
              <w:bottom w:val="nil"/>
              <w:right w:val="nil"/>
            </w:tcBorders>
            <w:vAlign w:val="bottom"/>
            <w:hideMark/>
          </w:tcPr>
          <w:p w14:paraId="4F353E64"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308</w:t>
            </w:r>
          </w:p>
        </w:tc>
        <w:tc>
          <w:tcPr>
            <w:tcW w:w="1208" w:type="dxa"/>
            <w:tcBorders>
              <w:top w:val="nil"/>
              <w:left w:val="nil"/>
              <w:bottom w:val="nil"/>
              <w:right w:val="nil"/>
            </w:tcBorders>
            <w:vAlign w:val="bottom"/>
            <w:hideMark/>
          </w:tcPr>
          <w:p w14:paraId="48A7733F"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335</w:t>
            </w:r>
          </w:p>
        </w:tc>
        <w:tc>
          <w:tcPr>
            <w:tcW w:w="1208" w:type="dxa"/>
            <w:tcBorders>
              <w:top w:val="nil"/>
              <w:left w:val="nil"/>
              <w:bottom w:val="nil"/>
              <w:right w:val="nil"/>
            </w:tcBorders>
            <w:vAlign w:val="bottom"/>
            <w:hideMark/>
          </w:tcPr>
          <w:p w14:paraId="5AFD077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387</w:t>
            </w:r>
          </w:p>
        </w:tc>
      </w:tr>
      <w:tr w:rsidR="0088157C" w:rsidRPr="0088157C" w14:paraId="5ABE9756" w14:textId="77777777" w:rsidTr="0088157C">
        <w:trPr>
          <w:trHeight w:val="450"/>
        </w:trPr>
        <w:tc>
          <w:tcPr>
            <w:tcW w:w="3883" w:type="dxa"/>
            <w:tcBorders>
              <w:top w:val="nil"/>
              <w:left w:val="nil"/>
              <w:bottom w:val="nil"/>
              <w:right w:val="nil"/>
            </w:tcBorders>
            <w:vAlign w:val="bottom"/>
            <w:hideMark/>
          </w:tcPr>
          <w:p w14:paraId="74B51EE4"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Notes receivable, net</w:t>
            </w:r>
          </w:p>
        </w:tc>
        <w:tc>
          <w:tcPr>
            <w:tcW w:w="1208" w:type="dxa"/>
            <w:tcBorders>
              <w:top w:val="nil"/>
              <w:left w:val="nil"/>
              <w:bottom w:val="nil"/>
              <w:right w:val="nil"/>
            </w:tcBorders>
            <w:vAlign w:val="bottom"/>
            <w:hideMark/>
          </w:tcPr>
          <w:p w14:paraId="636EF874"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151</w:t>
            </w:r>
          </w:p>
        </w:tc>
        <w:tc>
          <w:tcPr>
            <w:tcW w:w="1208" w:type="dxa"/>
            <w:tcBorders>
              <w:top w:val="nil"/>
              <w:left w:val="nil"/>
              <w:bottom w:val="nil"/>
              <w:right w:val="nil"/>
            </w:tcBorders>
            <w:vAlign w:val="bottom"/>
            <w:hideMark/>
          </w:tcPr>
          <w:p w14:paraId="333E5C1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136</w:t>
            </w:r>
          </w:p>
        </w:tc>
        <w:tc>
          <w:tcPr>
            <w:tcW w:w="1208" w:type="dxa"/>
            <w:tcBorders>
              <w:top w:val="nil"/>
              <w:left w:val="nil"/>
              <w:bottom w:val="nil"/>
              <w:right w:val="nil"/>
            </w:tcBorders>
            <w:vAlign w:val="bottom"/>
            <w:hideMark/>
          </w:tcPr>
          <w:p w14:paraId="7A5F07E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138</w:t>
            </w:r>
          </w:p>
        </w:tc>
        <w:tc>
          <w:tcPr>
            <w:tcW w:w="1208" w:type="dxa"/>
            <w:tcBorders>
              <w:top w:val="nil"/>
              <w:left w:val="nil"/>
              <w:bottom w:val="nil"/>
              <w:right w:val="nil"/>
            </w:tcBorders>
            <w:vAlign w:val="bottom"/>
            <w:hideMark/>
          </w:tcPr>
          <w:p w14:paraId="2ABE7824"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152</w:t>
            </w:r>
          </w:p>
        </w:tc>
        <w:tc>
          <w:tcPr>
            <w:tcW w:w="1208" w:type="dxa"/>
            <w:tcBorders>
              <w:top w:val="nil"/>
              <w:left w:val="nil"/>
              <w:bottom w:val="nil"/>
              <w:right w:val="nil"/>
            </w:tcBorders>
            <w:vAlign w:val="bottom"/>
            <w:hideMark/>
          </w:tcPr>
          <w:p w14:paraId="6813CD7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144</w:t>
            </w:r>
          </w:p>
        </w:tc>
      </w:tr>
      <w:tr w:rsidR="0088157C" w:rsidRPr="0088157C" w14:paraId="4ED51BB1" w14:textId="77777777" w:rsidTr="0088157C">
        <w:trPr>
          <w:trHeight w:val="450"/>
        </w:trPr>
        <w:tc>
          <w:tcPr>
            <w:tcW w:w="3883" w:type="dxa"/>
            <w:tcBorders>
              <w:top w:val="nil"/>
              <w:left w:val="nil"/>
              <w:bottom w:val="nil"/>
              <w:right w:val="nil"/>
            </w:tcBorders>
            <w:vAlign w:val="bottom"/>
            <w:hideMark/>
          </w:tcPr>
          <w:p w14:paraId="5CC0AC29"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Deferred tax assets</w:t>
            </w:r>
          </w:p>
        </w:tc>
        <w:tc>
          <w:tcPr>
            <w:tcW w:w="1208" w:type="dxa"/>
            <w:tcBorders>
              <w:top w:val="nil"/>
              <w:left w:val="nil"/>
              <w:bottom w:val="nil"/>
              <w:right w:val="nil"/>
            </w:tcBorders>
            <w:vAlign w:val="bottom"/>
            <w:hideMark/>
          </w:tcPr>
          <w:p w14:paraId="66998CA4"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570</w:t>
            </w:r>
          </w:p>
        </w:tc>
        <w:tc>
          <w:tcPr>
            <w:tcW w:w="1208" w:type="dxa"/>
            <w:tcBorders>
              <w:top w:val="nil"/>
              <w:left w:val="nil"/>
              <w:bottom w:val="nil"/>
              <w:right w:val="nil"/>
            </w:tcBorders>
            <w:vAlign w:val="bottom"/>
            <w:hideMark/>
          </w:tcPr>
          <w:p w14:paraId="2BB5511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650</w:t>
            </w:r>
          </w:p>
        </w:tc>
        <w:tc>
          <w:tcPr>
            <w:tcW w:w="1208" w:type="dxa"/>
            <w:tcBorders>
              <w:top w:val="nil"/>
              <w:left w:val="nil"/>
              <w:bottom w:val="nil"/>
              <w:right w:val="nil"/>
            </w:tcBorders>
            <w:vAlign w:val="bottom"/>
            <w:hideMark/>
          </w:tcPr>
          <w:p w14:paraId="65F3925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673</w:t>
            </w:r>
          </w:p>
        </w:tc>
        <w:tc>
          <w:tcPr>
            <w:tcW w:w="1208" w:type="dxa"/>
            <w:tcBorders>
              <w:top w:val="nil"/>
              <w:left w:val="nil"/>
              <w:bottom w:val="nil"/>
              <w:right w:val="nil"/>
            </w:tcBorders>
            <w:vAlign w:val="bottom"/>
            <w:hideMark/>
          </w:tcPr>
          <w:p w14:paraId="4C4261B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240</w:t>
            </w:r>
          </w:p>
        </w:tc>
        <w:tc>
          <w:tcPr>
            <w:tcW w:w="1208" w:type="dxa"/>
            <w:tcBorders>
              <w:top w:val="nil"/>
              <w:left w:val="nil"/>
              <w:bottom w:val="nil"/>
              <w:right w:val="nil"/>
            </w:tcBorders>
            <w:vAlign w:val="bottom"/>
            <w:hideMark/>
          </w:tcPr>
          <w:p w14:paraId="29AC376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228</w:t>
            </w:r>
          </w:p>
        </w:tc>
      </w:tr>
      <w:tr w:rsidR="0088157C" w:rsidRPr="0088157C" w14:paraId="1F389741" w14:textId="77777777" w:rsidTr="0088157C">
        <w:trPr>
          <w:trHeight w:val="450"/>
        </w:trPr>
        <w:tc>
          <w:tcPr>
            <w:tcW w:w="3883" w:type="dxa"/>
            <w:tcBorders>
              <w:top w:val="nil"/>
              <w:left w:val="nil"/>
              <w:bottom w:val="nil"/>
              <w:right w:val="nil"/>
            </w:tcBorders>
            <w:vAlign w:val="bottom"/>
            <w:hideMark/>
          </w:tcPr>
          <w:p w14:paraId="60942985"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Operating lease assets</w:t>
            </w:r>
          </w:p>
        </w:tc>
        <w:tc>
          <w:tcPr>
            <w:tcW w:w="1208" w:type="dxa"/>
            <w:tcBorders>
              <w:top w:val="nil"/>
              <w:left w:val="nil"/>
              <w:bottom w:val="nil"/>
              <w:right w:val="nil"/>
            </w:tcBorders>
            <w:vAlign w:val="bottom"/>
            <w:hideMark/>
          </w:tcPr>
          <w:p w14:paraId="2F09B37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941</w:t>
            </w:r>
          </w:p>
        </w:tc>
        <w:tc>
          <w:tcPr>
            <w:tcW w:w="1208" w:type="dxa"/>
            <w:tcBorders>
              <w:top w:val="nil"/>
              <w:left w:val="nil"/>
              <w:bottom w:val="nil"/>
              <w:right w:val="nil"/>
            </w:tcBorders>
            <w:vAlign w:val="bottom"/>
            <w:hideMark/>
          </w:tcPr>
          <w:p w14:paraId="22361E5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845</w:t>
            </w:r>
          </w:p>
        </w:tc>
        <w:tc>
          <w:tcPr>
            <w:tcW w:w="1208" w:type="dxa"/>
            <w:tcBorders>
              <w:top w:val="nil"/>
              <w:left w:val="nil"/>
              <w:bottom w:val="nil"/>
              <w:right w:val="nil"/>
            </w:tcBorders>
            <w:vAlign w:val="bottom"/>
            <w:hideMark/>
          </w:tcPr>
          <w:p w14:paraId="1136C81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929</w:t>
            </w:r>
          </w:p>
        </w:tc>
        <w:tc>
          <w:tcPr>
            <w:tcW w:w="1208" w:type="dxa"/>
            <w:tcBorders>
              <w:top w:val="nil"/>
              <w:left w:val="nil"/>
              <w:bottom w:val="nil"/>
              <w:right w:val="nil"/>
            </w:tcBorders>
            <w:vAlign w:val="bottom"/>
            <w:hideMark/>
          </w:tcPr>
          <w:p w14:paraId="7DA72E6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987</w:t>
            </w:r>
          </w:p>
        </w:tc>
        <w:tc>
          <w:tcPr>
            <w:tcW w:w="1208" w:type="dxa"/>
            <w:tcBorders>
              <w:top w:val="nil"/>
              <w:left w:val="nil"/>
              <w:bottom w:val="nil"/>
              <w:right w:val="nil"/>
            </w:tcBorders>
            <w:vAlign w:val="bottom"/>
            <w:hideMark/>
          </w:tcPr>
          <w:p w14:paraId="11AC6F5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1 062</w:t>
            </w:r>
          </w:p>
        </w:tc>
      </w:tr>
      <w:tr w:rsidR="0088157C" w:rsidRPr="0088157C" w14:paraId="10768B69" w14:textId="77777777" w:rsidTr="0088157C">
        <w:trPr>
          <w:trHeight w:val="450"/>
        </w:trPr>
        <w:tc>
          <w:tcPr>
            <w:tcW w:w="3883" w:type="dxa"/>
            <w:tcBorders>
              <w:top w:val="nil"/>
              <w:left w:val="nil"/>
              <w:bottom w:val="nil"/>
              <w:right w:val="nil"/>
            </w:tcBorders>
            <w:vAlign w:val="bottom"/>
            <w:hideMark/>
          </w:tcPr>
          <w:p w14:paraId="590F5DFF"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Other noncurrent assets</w:t>
            </w:r>
          </w:p>
        </w:tc>
        <w:tc>
          <w:tcPr>
            <w:tcW w:w="1208" w:type="dxa"/>
            <w:tcBorders>
              <w:top w:val="nil"/>
              <w:left w:val="nil"/>
              <w:bottom w:val="nil"/>
              <w:right w:val="nil"/>
            </w:tcBorders>
            <w:vAlign w:val="bottom"/>
            <w:hideMark/>
          </w:tcPr>
          <w:p w14:paraId="3D95E11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799</w:t>
            </w:r>
          </w:p>
        </w:tc>
        <w:tc>
          <w:tcPr>
            <w:tcW w:w="1208" w:type="dxa"/>
            <w:tcBorders>
              <w:top w:val="nil"/>
              <w:left w:val="nil"/>
              <w:bottom w:val="nil"/>
              <w:right w:val="nil"/>
            </w:tcBorders>
            <w:vAlign w:val="bottom"/>
            <w:hideMark/>
          </w:tcPr>
          <w:p w14:paraId="39EA21C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716</w:t>
            </w:r>
          </w:p>
        </w:tc>
        <w:tc>
          <w:tcPr>
            <w:tcW w:w="1208" w:type="dxa"/>
            <w:tcBorders>
              <w:top w:val="nil"/>
              <w:left w:val="nil"/>
              <w:bottom w:val="nil"/>
              <w:right w:val="nil"/>
            </w:tcBorders>
            <w:vAlign w:val="bottom"/>
            <w:hideMark/>
          </w:tcPr>
          <w:p w14:paraId="661F908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658</w:t>
            </w:r>
          </w:p>
        </w:tc>
        <w:tc>
          <w:tcPr>
            <w:tcW w:w="1208" w:type="dxa"/>
            <w:tcBorders>
              <w:top w:val="nil"/>
              <w:left w:val="nil"/>
              <w:bottom w:val="nil"/>
              <w:right w:val="nil"/>
            </w:tcBorders>
            <w:vAlign w:val="bottom"/>
            <w:hideMark/>
          </w:tcPr>
          <w:p w14:paraId="63F7BFA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584</w:t>
            </w:r>
          </w:p>
        </w:tc>
        <w:tc>
          <w:tcPr>
            <w:tcW w:w="1208" w:type="dxa"/>
            <w:tcBorders>
              <w:top w:val="nil"/>
              <w:left w:val="nil"/>
              <w:bottom w:val="nil"/>
              <w:right w:val="nil"/>
            </w:tcBorders>
            <w:vAlign w:val="bottom"/>
            <w:hideMark/>
          </w:tcPr>
          <w:p w14:paraId="3280C0F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604</w:t>
            </w:r>
          </w:p>
        </w:tc>
      </w:tr>
      <w:tr w:rsidR="0088157C" w:rsidRPr="0088157C" w14:paraId="6F5392BF" w14:textId="77777777" w:rsidTr="0088157C">
        <w:trPr>
          <w:trHeight w:val="450"/>
        </w:trPr>
        <w:tc>
          <w:tcPr>
            <w:tcW w:w="3883" w:type="dxa"/>
            <w:tcBorders>
              <w:top w:val="nil"/>
              <w:left w:val="nil"/>
              <w:bottom w:val="nil"/>
              <w:right w:val="nil"/>
            </w:tcBorders>
            <w:shd w:val="clear" w:color="000000" w:fill="E2F0D9"/>
            <w:vAlign w:val="bottom"/>
            <w:hideMark/>
          </w:tcPr>
          <w:p w14:paraId="2ECEF4EA" w14:textId="77777777" w:rsidR="0088157C" w:rsidRPr="0088157C" w:rsidRDefault="0088157C" w:rsidP="0088157C">
            <w:pPr>
              <w:spacing w:after="0" w:line="240" w:lineRule="auto"/>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TOTAL ASSETS</w:t>
            </w:r>
          </w:p>
        </w:tc>
        <w:tc>
          <w:tcPr>
            <w:tcW w:w="1208" w:type="dxa"/>
            <w:tcBorders>
              <w:top w:val="nil"/>
              <w:left w:val="nil"/>
              <w:bottom w:val="nil"/>
              <w:right w:val="nil"/>
            </w:tcBorders>
            <w:shd w:val="clear" w:color="000000" w:fill="E2F0D9"/>
            <w:vAlign w:val="bottom"/>
            <w:hideMark/>
          </w:tcPr>
          <w:p w14:paraId="54969092"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27 540</w:t>
            </w:r>
          </w:p>
        </w:tc>
        <w:tc>
          <w:tcPr>
            <w:tcW w:w="1208" w:type="dxa"/>
            <w:tcBorders>
              <w:top w:val="nil"/>
              <w:left w:val="nil"/>
              <w:bottom w:val="nil"/>
              <w:right w:val="nil"/>
            </w:tcBorders>
            <w:shd w:val="clear" w:color="000000" w:fill="E2F0D9"/>
            <w:vAlign w:val="bottom"/>
            <w:hideMark/>
          </w:tcPr>
          <w:p w14:paraId="2F350988"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26 182</w:t>
            </w:r>
          </w:p>
        </w:tc>
        <w:tc>
          <w:tcPr>
            <w:tcW w:w="1208" w:type="dxa"/>
            <w:tcBorders>
              <w:top w:val="nil"/>
              <w:left w:val="nil"/>
              <w:bottom w:val="nil"/>
              <w:right w:val="nil"/>
            </w:tcBorders>
            <w:shd w:val="clear" w:color="000000" w:fill="E2F0D9"/>
            <w:vAlign w:val="bottom"/>
            <w:hideMark/>
          </w:tcPr>
          <w:p w14:paraId="20BB6DBD"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25 674</w:t>
            </w:r>
          </w:p>
        </w:tc>
        <w:tc>
          <w:tcPr>
            <w:tcW w:w="1208" w:type="dxa"/>
            <w:tcBorders>
              <w:top w:val="nil"/>
              <w:left w:val="nil"/>
              <w:bottom w:val="nil"/>
              <w:right w:val="nil"/>
            </w:tcBorders>
            <w:shd w:val="clear" w:color="000000" w:fill="E2F0D9"/>
            <w:vAlign w:val="bottom"/>
            <w:hideMark/>
          </w:tcPr>
          <w:p w14:paraId="516DC280"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24 815</w:t>
            </w:r>
          </w:p>
        </w:tc>
        <w:tc>
          <w:tcPr>
            <w:tcW w:w="1208" w:type="dxa"/>
            <w:tcBorders>
              <w:top w:val="nil"/>
              <w:left w:val="nil"/>
              <w:bottom w:val="nil"/>
              <w:right w:val="nil"/>
            </w:tcBorders>
            <w:shd w:val="clear" w:color="000000" w:fill="E2F0D9"/>
            <w:vAlign w:val="bottom"/>
            <w:hideMark/>
          </w:tcPr>
          <w:p w14:paraId="7ACB9657"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25 553</w:t>
            </w:r>
          </w:p>
        </w:tc>
      </w:tr>
      <w:tr w:rsidR="0088157C" w:rsidRPr="0088157C" w14:paraId="6A3FAB96" w14:textId="77777777" w:rsidTr="0088157C">
        <w:trPr>
          <w:trHeight w:val="450"/>
        </w:trPr>
        <w:tc>
          <w:tcPr>
            <w:tcW w:w="3883" w:type="dxa"/>
            <w:tcBorders>
              <w:top w:val="nil"/>
              <w:left w:val="nil"/>
              <w:bottom w:val="nil"/>
              <w:right w:val="nil"/>
            </w:tcBorders>
            <w:vAlign w:val="bottom"/>
            <w:hideMark/>
          </w:tcPr>
          <w:p w14:paraId="74318F10"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p>
        </w:tc>
        <w:tc>
          <w:tcPr>
            <w:tcW w:w="1208" w:type="dxa"/>
            <w:tcBorders>
              <w:top w:val="nil"/>
              <w:left w:val="nil"/>
              <w:bottom w:val="nil"/>
              <w:right w:val="nil"/>
            </w:tcBorders>
            <w:vAlign w:val="bottom"/>
            <w:hideMark/>
          </w:tcPr>
          <w:p w14:paraId="2C4A4563" w14:textId="77777777" w:rsidR="0088157C" w:rsidRPr="0088157C" w:rsidRDefault="0088157C" w:rsidP="0088157C">
            <w:pPr>
              <w:spacing w:after="0" w:line="240" w:lineRule="auto"/>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3854A216"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21DAE589"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65A46D71"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70077C7D"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r>
      <w:tr w:rsidR="0088157C" w:rsidRPr="0088157C" w14:paraId="05731F34" w14:textId="77777777" w:rsidTr="0088157C">
        <w:trPr>
          <w:trHeight w:val="450"/>
        </w:trPr>
        <w:tc>
          <w:tcPr>
            <w:tcW w:w="3883" w:type="dxa"/>
            <w:tcBorders>
              <w:top w:val="nil"/>
              <w:left w:val="nil"/>
              <w:bottom w:val="nil"/>
              <w:right w:val="nil"/>
            </w:tcBorders>
            <w:shd w:val="clear" w:color="000000" w:fill="DDEBF7"/>
            <w:vAlign w:val="bottom"/>
            <w:hideMark/>
          </w:tcPr>
          <w:p w14:paraId="27A69427" w14:textId="77777777" w:rsidR="0088157C" w:rsidRPr="0088157C" w:rsidRDefault="0088157C" w:rsidP="0088157C">
            <w:pPr>
              <w:spacing w:after="0" w:line="240" w:lineRule="auto"/>
              <w:rPr>
                <w:rFonts w:ascii="Carlito" w:eastAsia="Times New Roman" w:hAnsi="Carlito" w:cs="Calibri"/>
                <w:b/>
                <w:bCs/>
                <w:color w:val="1F4E79"/>
                <w:sz w:val="26"/>
                <w:szCs w:val="26"/>
                <w:lang w:val="en-US" w:eastAsia="en-US"/>
              </w:rPr>
            </w:pPr>
            <w:r w:rsidRPr="0088157C">
              <w:rPr>
                <w:rFonts w:ascii="Carlito" w:eastAsia="Times New Roman" w:hAnsi="Carlito" w:cs="Calibri"/>
                <w:b/>
                <w:bCs/>
                <w:color w:val="1F4E79"/>
                <w:sz w:val="26"/>
                <w:szCs w:val="26"/>
                <w:lang w:val="en-US" w:eastAsia="en-US"/>
              </w:rPr>
              <w:t>LIABILITIES</w:t>
            </w:r>
          </w:p>
        </w:tc>
        <w:tc>
          <w:tcPr>
            <w:tcW w:w="1208" w:type="dxa"/>
            <w:tcBorders>
              <w:top w:val="nil"/>
              <w:left w:val="nil"/>
              <w:bottom w:val="nil"/>
              <w:right w:val="nil"/>
            </w:tcBorders>
            <w:shd w:val="clear" w:color="000000" w:fill="DDEBF7"/>
            <w:vAlign w:val="bottom"/>
            <w:hideMark/>
          </w:tcPr>
          <w:p w14:paraId="3C8E5CE8" w14:textId="77777777" w:rsidR="0088157C" w:rsidRPr="0088157C" w:rsidRDefault="0088157C" w:rsidP="0088157C">
            <w:pPr>
              <w:spacing w:after="0" w:line="240" w:lineRule="auto"/>
              <w:rPr>
                <w:rFonts w:ascii="Carlito" w:eastAsia="Times New Roman" w:hAnsi="Carlito" w:cs="Calibri"/>
                <w:b/>
                <w:bCs/>
                <w:color w:val="1F4E79"/>
                <w:sz w:val="26"/>
                <w:szCs w:val="26"/>
                <w:lang w:val="en-US" w:eastAsia="en-US"/>
              </w:rPr>
            </w:pPr>
            <w:r w:rsidRPr="0088157C">
              <w:rPr>
                <w:rFonts w:ascii="Carlito" w:eastAsia="Times New Roman" w:hAnsi="Carlito" w:cs="Calibri"/>
                <w:b/>
                <w:bCs/>
                <w:color w:val="1F4E79"/>
                <w:sz w:val="26"/>
                <w:szCs w:val="26"/>
                <w:lang w:val="en-US" w:eastAsia="en-US"/>
              </w:rPr>
              <w:t> </w:t>
            </w:r>
          </w:p>
        </w:tc>
        <w:tc>
          <w:tcPr>
            <w:tcW w:w="1208" w:type="dxa"/>
            <w:tcBorders>
              <w:top w:val="nil"/>
              <w:left w:val="nil"/>
              <w:bottom w:val="nil"/>
              <w:right w:val="nil"/>
            </w:tcBorders>
            <w:shd w:val="clear" w:color="000000" w:fill="DDEBF7"/>
            <w:vAlign w:val="bottom"/>
            <w:hideMark/>
          </w:tcPr>
          <w:p w14:paraId="3C8F07B9" w14:textId="77777777" w:rsidR="0088157C" w:rsidRPr="0088157C" w:rsidRDefault="0088157C" w:rsidP="0088157C">
            <w:pPr>
              <w:spacing w:after="0" w:line="240" w:lineRule="auto"/>
              <w:rPr>
                <w:rFonts w:ascii="Carlito" w:eastAsia="Times New Roman" w:hAnsi="Carlito" w:cs="Calibri"/>
                <w:b/>
                <w:bCs/>
                <w:color w:val="1F4E79"/>
                <w:sz w:val="26"/>
                <w:szCs w:val="26"/>
                <w:lang w:val="en-US" w:eastAsia="en-US"/>
              </w:rPr>
            </w:pPr>
            <w:r w:rsidRPr="0088157C">
              <w:rPr>
                <w:rFonts w:ascii="Carlito" w:eastAsia="Times New Roman" w:hAnsi="Carlito" w:cs="Calibri"/>
                <w:b/>
                <w:bCs/>
                <w:color w:val="1F4E79"/>
                <w:sz w:val="26"/>
                <w:szCs w:val="26"/>
                <w:lang w:val="en-US" w:eastAsia="en-US"/>
              </w:rPr>
              <w:t> </w:t>
            </w:r>
          </w:p>
        </w:tc>
        <w:tc>
          <w:tcPr>
            <w:tcW w:w="1208" w:type="dxa"/>
            <w:tcBorders>
              <w:top w:val="nil"/>
              <w:left w:val="nil"/>
              <w:bottom w:val="nil"/>
              <w:right w:val="nil"/>
            </w:tcBorders>
            <w:shd w:val="clear" w:color="000000" w:fill="DDEBF7"/>
            <w:vAlign w:val="bottom"/>
            <w:hideMark/>
          </w:tcPr>
          <w:p w14:paraId="56281D12" w14:textId="77777777" w:rsidR="0088157C" w:rsidRPr="0088157C" w:rsidRDefault="0088157C" w:rsidP="0088157C">
            <w:pPr>
              <w:spacing w:after="0" w:line="240" w:lineRule="auto"/>
              <w:rPr>
                <w:rFonts w:ascii="Carlito" w:eastAsia="Times New Roman" w:hAnsi="Carlito" w:cs="Calibri"/>
                <w:b/>
                <w:bCs/>
                <w:color w:val="1F4E79"/>
                <w:sz w:val="26"/>
                <w:szCs w:val="26"/>
                <w:lang w:val="en-US" w:eastAsia="en-US"/>
              </w:rPr>
            </w:pPr>
            <w:r w:rsidRPr="0088157C">
              <w:rPr>
                <w:rFonts w:ascii="Carlito" w:eastAsia="Times New Roman" w:hAnsi="Carlito" w:cs="Calibri"/>
                <w:b/>
                <w:bCs/>
                <w:color w:val="1F4E79"/>
                <w:sz w:val="26"/>
                <w:szCs w:val="26"/>
                <w:lang w:val="en-US" w:eastAsia="en-US"/>
              </w:rPr>
              <w:t> </w:t>
            </w:r>
          </w:p>
        </w:tc>
        <w:tc>
          <w:tcPr>
            <w:tcW w:w="1208" w:type="dxa"/>
            <w:tcBorders>
              <w:top w:val="nil"/>
              <w:left w:val="nil"/>
              <w:bottom w:val="nil"/>
              <w:right w:val="nil"/>
            </w:tcBorders>
            <w:shd w:val="clear" w:color="000000" w:fill="DDEBF7"/>
            <w:vAlign w:val="bottom"/>
            <w:hideMark/>
          </w:tcPr>
          <w:p w14:paraId="5BF025B6" w14:textId="77777777" w:rsidR="0088157C" w:rsidRPr="0088157C" w:rsidRDefault="0088157C" w:rsidP="0088157C">
            <w:pPr>
              <w:spacing w:after="0" w:line="240" w:lineRule="auto"/>
              <w:rPr>
                <w:rFonts w:ascii="Carlito" w:eastAsia="Times New Roman" w:hAnsi="Carlito" w:cs="Calibri"/>
                <w:b/>
                <w:bCs/>
                <w:color w:val="1F4E79"/>
                <w:sz w:val="26"/>
                <w:szCs w:val="26"/>
                <w:lang w:val="en-US" w:eastAsia="en-US"/>
              </w:rPr>
            </w:pPr>
            <w:r w:rsidRPr="0088157C">
              <w:rPr>
                <w:rFonts w:ascii="Carlito" w:eastAsia="Times New Roman" w:hAnsi="Carlito" w:cs="Calibri"/>
                <w:b/>
                <w:bCs/>
                <w:color w:val="1F4E79"/>
                <w:sz w:val="26"/>
                <w:szCs w:val="26"/>
                <w:lang w:val="en-US" w:eastAsia="en-US"/>
              </w:rPr>
              <w:t> </w:t>
            </w:r>
          </w:p>
        </w:tc>
        <w:tc>
          <w:tcPr>
            <w:tcW w:w="1208" w:type="dxa"/>
            <w:tcBorders>
              <w:top w:val="nil"/>
              <w:left w:val="nil"/>
              <w:bottom w:val="nil"/>
              <w:right w:val="nil"/>
            </w:tcBorders>
            <w:shd w:val="clear" w:color="000000" w:fill="DDEBF7"/>
            <w:vAlign w:val="bottom"/>
            <w:hideMark/>
          </w:tcPr>
          <w:p w14:paraId="26E39FB8" w14:textId="77777777" w:rsidR="0088157C" w:rsidRPr="0088157C" w:rsidRDefault="0088157C" w:rsidP="0088157C">
            <w:pPr>
              <w:spacing w:after="0" w:line="240" w:lineRule="auto"/>
              <w:rPr>
                <w:rFonts w:ascii="Carlito" w:eastAsia="Times New Roman" w:hAnsi="Carlito" w:cs="Calibri"/>
                <w:b/>
                <w:bCs/>
                <w:color w:val="1F4E79"/>
                <w:sz w:val="26"/>
                <w:szCs w:val="26"/>
                <w:lang w:val="en-US" w:eastAsia="en-US"/>
              </w:rPr>
            </w:pPr>
            <w:r w:rsidRPr="0088157C">
              <w:rPr>
                <w:rFonts w:ascii="Carlito" w:eastAsia="Times New Roman" w:hAnsi="Carlito" w:cs="Calibri"/>
                <w:b/>
                <w:bCs/>
                <w:color w:val="1F4E79"/>
                <w:sz w:val="26"/>
                <w:szCs w:val="26"/>
                <w:lang w:val="en-US" w:eastAsia="en-US"/>
              </w:rPr>
              <w:t> </w:t>
            </w:r>
          </w:p>
        </w:tc>
      </w:tr>
      <w:tr w:rsidR="0088157C" w:rsidRPr="0088157C" w14:paraId="35273C6C" w14:textId="77777777" w:rsidTr="0088157C">
        <w:trPr>
          <w:trHeight w:val="450"/>
        </w:trPr>
        <w:tc>
          <w:tcPr>
            <w:tcW w:w="3883" w:type="dxa"/>
            <w:tcBorders>
              <w:top w:val="nil"/>
              <w:left w:val="nil"/>
              <w:bottom w:val="nil"/>
              <w:right w:val="nil"/>
            </w:tcBorders>
            <w:shd w:val="clear" w:color="000000" w:fill="E7E6E6"/>
            <w:vAlign w:val="bottom"/>
            <w:hideMark/>
          </w:tcPr>
          <w:p w14:paraId="2C80BAB3"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Current liabilities</w:t>
            </w:r>
          </w:p>
        </w:tc>
        <w:tc>
          <w:tcPr>
            <w:tcW w:w="1208" w:type="dxa"/>
            <w:tcBorders>
              <w:top w:val="nil"/>
              <w:left w:val="nil"/>
              <w:bottom w:val="nil"/>
              <w:right w:val="nil"/>
            </w:tcBorders>
            <w:shd w:val="clear" w:color="000000" w:fill="E7E6E6"/>
            <w:vAlign w:val="bottom"/>
            <w:hideMark/>
          </w:tcPr>
          <w:p w14:paraId="61873054"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1A55F56A"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6EB49063"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20141E9A"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3EE6BE81"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r>
      <w:tr w:rsidR="0088157C" w:rsidRPr="0088157C" w14:paraId="30B99F41" w14:textId="77777777" w:rsidTr="0088157C">
        <w:trPr>
          <w:trHeight w:val="450"/>
        </w:trPr>
        <w:tc>
          <w:tcPr>
            <w:tcW w:w="3883" w:type="dxa"/>
            <w:tcBorders>
              <w:top w:val="nil"/>
              <w:left w:val="nil"/>
              <w:bottom w:val="nil"/>
              <w:right w:val="nil"/>
            </w:tcBorders>
            <w:vAlign w:val="bottom"/>
            <w:hideMark/>
          </w:tcPr>
          <w:p w14:paraId="3D45C1BE"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Current portion of long-term debt</w:t>
            </w:r>
          </w:p>
        </w:tc>
        <w:tc>
          <w:tcPr>
            <w:tcW w:w="1208" w:type="dxa"/>
            <w:tcBorders>
              <w:top w:val="nil"/>
              <w:left w:val="nil"/>
              <w:bottom w:val="nil"/>
              <w:right w:val="nil"/>
            </w:tcBorders>
            <w:vAlign w:val="bottom"/>
            <w:hideMark/>
          </w:tcPr>
          <w:p w14:paraId="38266CF1"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1 209</w:t>
            </w:r>
          </w:p>
        </w:tc>
        <w:tc>
          <w:tcPr>
            <w:tcW w:w="1208" w:type="dxa"/>
            <w:tcBorders>
              <w:top w:val="nil"/>
              <w:left w:val="nil"/>
              <w:bottom w:val="nil"/>
              <w:right w:val="nil"/>
            </w:tcBorders>
            <w:vAlign w:val="bottom"/>
            <w:hideMark/>
          </w:tcPr>
          <w:p w14:paraId="352E280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1 309</w:t>
            </w:r>
          </w:p>
        </w:tc>
        <w:tc>
          <w:tcPr>
            <w:tcW w:w="1208" w:type="dxa"/>
            <w:tcBorders>
              <w:top w:val="nil"/>
              <w:left w:val="nil"/>
              <w:bottom w:val="nil"/>
              <w:right w:val="nil"/>
            </w:tcBorders>
            <w:vAlign w:val="bottom"/>
            <w:hideMark/>
          </w:tcPr>
          <w:p w14:paraId="46C168A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553</w:t>
            </w:r>
          </w:p>
        </w:tc>
        <w:tc>
          <w:tcPr>
            <w:tcW w:w="1208" w:type="dxa"/>
            <w:tcBorders>
              <w:top w:val="nil"/>
              <w:left w:val="nil"/>
              <w:bottom w:val="nil"/>
              <w:right w:val="nil"/>
            </w:tcBorders>
            <w:vAlign w:val="bottom"/>
            <w:hideMark/>
          </w:tcPr>
          <w:p w14:paraId="04D8DB0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684</w:t>
            </w:r>
          </w:p>
        </w:tc>
        <w:tc>
          <w:tcPr>
            <w:tcW w:w="1208" w:type="dxa"/>
            <w:tcBorders>
              <w:top w:val="nil"/>
              <w:left w:val="nil"/>
              <w:bottom w:val="nil"/>
              <w:right w:val="nil"/>
            </w:tcBorders>
            <w:vAlign w:val="bottom"/>
            <w:hideMark/>
          </w:tcPr>
          <w:p w14:paraId="0E56BDB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805</w:t>
            </w:r>
          </w:p>
        </w:tc>
      </w:tr>
      <w:tr w:rsidR="0088157C" w:rsidRPr="0088157C" w14:paraId="29BC2495" w14:textId="77777777" w:rsidTr="0088157C">
        <w:trPr>
          <w:trHeight w:val="450"/>
        </w:trPr>
        <w:tc>
          <w:tcPr>
            <w:tcW w:w="3883" w:type="dxa"/>
            <w:tcBorders>
              <w:top w:val="nil"/>
              <w:left w:val="nil"/>
              <w:bottom w:val="nil"/>
              <w:right w:val="nil"/>
            </w:tcBorders>
            <w:vAlign w:val="bottom"/>
            <w:hideMark/>
          </w:tcPr>
          <w:p w14:paraId="5C1F3ECD"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Accounts payable</w:t>
            </w:r>
          </w:p>
        </w:tc>
        <w:tc>
          <w:tcPr>
            <w:tcW w:w="1208" w:type="dxa"/>
            <w:tcBorders>
              <w:top w:val="nil"/>
              <w:left w:val="nil"/>
              <w:bottom w:val="nil"/>
              <w:right w:val="nil"/>
            </w:tcBorders>
            <w:vAlign w:val="bottom"/>
            <w:hideMark/>
          </w:tcPr>
          <w:p w14:paraId="35B9358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814</w:t>
            </w:r>
          </w:p>
        </w:tc>
        <w:tc>
          <w:tcPr>
            <w:tcW w:w="1208" w:type="dxa"/>
            <w:tcBorders>
              <w:top w:val="nil"/>
              <w:left w:val="nil"/>
              <w:bottom w:val="nil"/>
              <w:right w:val="nil"/>
            </w:tcBorders>
            <w:vAlign w:val="bottom"/>
            <w:hideMark/>
          </w:tcPr>
          <w:p w14:paraId="1D47944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763</w:t>
            </w:r>
          </w:p>
        </w:tc>
        <w:tc>
          <w:tcPr>
            <w:tcW w:w="1208" w:type="dxa"/>
            <w:tcBorders>
              <w:top w:val="nil"/>
              <w:left w:val="nil"/>
              <w:bottom w:val="nil"/>
              <w:right w:val="nil"/>
            </w:tcBorders>
            <w:vAlign w:val="bottom"/>
            <w:hideMark/>
          </w:tcPr>
          <w:p w14:paraId="5E11050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738</w:t>
            </w:r>
          </w:p>
        </w:tc>
        <w:tc>
          <w:tcPr>
            <w:tcW w:w="1208" w:type="dxa"/>
            <w:tcBorders>
              <w:top w:val="nil"/>
              <w:left w:val="nil"/>
              <w:bottom w:val="nil"/>
              <w:right w:val="nil"/>
            </w:tcBorders>
            <w:vAlign w:val="bottom"/>
            <w:hideMark/>
          </w:tcPr>
          <w:p w14:paraId="4DFB643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746</w:t>
            </w:r>
          </w:p>
        </w:tc>
        <w:tc>
          <w:tcPr>
            <w:tcW w:w="1208" w:type="dxa"/>
            <w:tcBorders>
              <w:top w:val="nil"/>
              <w:left w:val="nil"/>
              <w:bottom w:val="nil"/>
              <w:right w:val="nil"/>
            </w:tcBorders>
            <w:vAlign w:val="bottom"/>
            <w:hideMark/>
          </w:tcPr>
          <w:p w14:paraId="404171E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726</w:t>
            </w:r>
          </w:p>
        </w:tc>
      </w:tr>
      <w:tr w:rsidR="0088157C" w:rsidRPr="0088157C" w14:paraId="00E5BC74" w14:textId="77777777" w:rsidTr="0088157C">
        <w:trPr>
          <w:trHeight w:val="450"/>
        </w:trPr>
        <w:tc>
          <w:tcPr>
            <w:tcW w:w="3883" w:type="dxa"/>
            <w:tcBorders>
              <w:top w:val="nil"/>
              <w:left w:val="nil"/>
              <w:bottom w:val="nil"/>
              <w:right w:val="nil"/>
            </w:tcBorders>
            <w:vAlign w:val="bottom"/>
            <w:hideMark/>
          </w:tcPr>
          <w:p w14:paraId="31D4244C"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Accrued payroll and benefits</w:t>
            </w:r>
          </w:p>
        </w:tc>
        <w:tc>
          <w:tcPr>
            <w:tcW w:w="1208" w:type="dxa"/>
            <w:tcBorders>
              <w:top w:val="nil"/>
              <w:left w:val="nil"/>
              <w:bottom w:val="nil"/>
              <w:right w:val="nil"/>
            </w:tcBorders>
            <w:vAlign w:val="bottom"/>
            <w:hideMark/>
          </w:tcPr>
          <w:p w14:paraId="32814BF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1 438</w:t>
            </w:r>
          </w:p>
        </w:tc>
        <w:tc>
          <w:tcPr>
            <w:tcW w:w="1208" w:type="dxa"/>
            <w:tcBorders>
              <w:top w:val="nil"/>
              <w:left w:val="nil"/>
              <w:bottom w:val="nil"/>
              <w:right w:val="nil"/>
            </w:tcBorders>
            <w:vAlign w:val="bottom"/>
            <w:hideMark/>
          </w:tcPr>
          <w:p w14:paraId="254CA3E4"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1 449</w:t>
            </w:r>
          </w:p>
        </w:tc>
        <w:tc>
          <w:tcPr>
            <w:tcW w:w="1208" w:type="dxa"/>
            <w:tcBorders>
              <w:top w:val="nil"/>
              <w:left w:val="nil"/>
              <w:bottom w:val="nil"/>
              <w:right w:val="nil"/>
            </w:tcBorders>
            <w:vAlign w:val="bottom"/>
            <w:hideMark/>
          </w:tcPr>
          <w:p w14:paraId="08383527"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1 390</w:t>
            </w:r>
          </w:p>
        </w:tc>
        <w:tc>
          <w:tcPr>
            <w:tcW w:w="1208" w:type="dxa"/>
            <w:tcBorders>
              <w:top w:val="nil"/>
              <w:left w:val="nil"/>
              <w:bottom w:val="nil"/>
              <w:right w:val="nil"/>
            </w:tcBorders>
            <w:vAlign w:val="bottom"/>
            <w:hideMark/>
          </w:tcPr>
          <w:p w14:paraId="6F5BCC0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1 299</w:t>
            </w:r>
          </w:p>
        </w:tc>
        <w:tc>
          <w:tcPr>
            <w:tcW w:w="1208" w:type="dxa"/>
            <w:tcBorders>
              <w:top w:val="nil"/>
              <w:left w:val="nil"/>
              <w:bottom w:val="nil"/>
              <w:right w:val="nil"/>
            </w:tcBorders>
            <w:vAlign w:val="bottom"/>
            <w:hideMark/>
          </w:tcPr>
          <w:p w14:paraId="2FAFA8A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1 187</w:t>
            </w:r>
          </w:p>
        </w:tc>
      </w:tr>
      <w:tr w:rsidR="0088157C" w:rsidRPr="0088157C" w14:paraId="38CBBD79" w14:textId="77777777" w:rsidTr="0088157C">
        <w:trPr>
          <w:trHeight w:val="450"/>
        </w:trPr>
        <w:tc>
          <w:tcPr>
            <w:tcW w:w="3883" w:type="dxa"/>
            <w:tcBorders>
              <w:top w:val="nil"/>
              <w:left w:val="nil"/>
              <w:bottom w:val="nil"/>
              <w:right w:val="nil"/>
            </w:tcBorders>
            <w:vAlign w:val="bottom"/>
            <w:hideMark/>
          </w:tcPr>
          <w:p w14:paraId="087B60F2"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lastRenderedPageBreak/>
              <w:t>Liability for guest loyalty program (current)</w:t>
            </w:r>
          </w:p>
        </w:tc>
        <w:tc>
          <w:tcPr>
            <w:tcW w:w="1208" w:type="dxa"/>
            <w:tcBorders>
              <w:top w:val="nil"/>
              <w:left w:val="nil"/>
              <w:bottom w:val="nil"/>
              <w:right w:val="nil"/>
            </w:tcBorders>
            <w:vAlign w:val="bottom"/>
            <w:hideMark/>
          </w:tcPr>
          <w:p w14:paraId="0042DD3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3 497</w:t>
            </w:r>
          </w:p>
        </w:tc>
        <w:tc>
          <w:tcPr>
            <w:tcW w:w="1208" w:type="dxa"/>
            <w:tcBorders>
              <w:top w:val="nil"/>
              <w:left w:val="nil"/>
              <w:bottom w:val="nil"/>
              <w:right w:val="nil"/>
            </w:tcBorders>
            <w:vAlign w:val="bottom"/>
            <w:hideMark/>
          </w:tcPr>
          <w:p w14:paraId="202E2A6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3 487</w:t>
            </w:r>
          </w:p>
        </w:tc>
        <w:tc>
          <w:tcPr>
            <w:tcW w:w="1208" w:type="dxa"/>
            <w:tcBorders>
              <w:top w:val="nil"/>
              <w:left w:val="nil"/>
              <w:bottom w:val="nil"/>
              <w:right w:val="nil"/>
            </w:tcBorders>
            <w:vAlign w:val="bottom"/>
            <w:hideMark/>
          </w:tcPr>
          <w:p w14:paraId="261DFE0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3 328</w:t>
            </w:r>
          </w:p>
        </w:tc>
        <w:tc>
          <w:tcPr>
            <w:tcW w:w="1208" w:type="dxa"/>
            <w:tcBorders>
              <w:top w:val="nil"/>
              <w:left w:val="nil"/>
              <w:bottom w:val="nil"/>
              <w:right w:val="nil"/>
            </w:tcBorders>
            <w:vAlign w:val="bottom"/>
            <w:hideMark/>
          </w:tcPr>
          <w:p w14:paraId="67A68CF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3 314</w:t>
            </w:r>
          </w:p>
        </w:tc>
        <w:tc>
          <w:tcPr>
            <w:tcW w:w="1208" w:type="dxa"/>
            <w:tcBorders>
              <w:top w:val="nil"/>
              <w:left w:val="nil"/>
              <w:bottom w:val="nil"/>
              <w:right w:val="nil"/>
            </w:tcBorders>
            <w:vAlign w:val="bottom"/>
            <w:hideMark/>
          </w:tcPr>
          <w:p w14:paraId="7B7B006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2 522</w:t>
            </w:r>
          </w:p>
        </w:tc>
      </w:tr>
      <w:tr w:rsidR="0088157C" w:rsidRPr="0088157C" w14:paraId="389F4879" w14:textId="77777777" w:rsidTr="0088157C">
        <w:trPr>
          <w:trHeight w:val="450"/>
        </w:trPr>
        <w:tc>
          <w:tcPr>
            <w:tcW w:w="3883" w:type="dxa"/>
            <w:tcBorders>
              <w:top w:val="nil"/>
              <w:left w:val="nil"/>
              <w:bottom w:val="nil"/>
              <w:right w:val="nil"/>
            </w:tcBorders>
            <w:vAlign w:val="bottom"/>
            <w:hideMark/>
          </w:tcPr>
          <w:p w14:paraId="7B309236"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Accrued expenses and other</w:t>
            </w:r>
          </w:p>
        </w:tc>
        <w:tc>
          <w:tcPr>
            <w:tcW w:w="1208" w:type="dxa"/>
            <w:tcBorders>
              <w:top w:val="nil"/>
              <w:left w:val="nil"/>
              <w:bottom w:val="nil"/>
              <w:right w:val="nil"/>
            </w:tcBorders>
            <w:vAlign w:val="bottom"/>
            <w:hideMark/>
          </w:tcPr>
          <w:p w14:paraId="116617D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1 440</w:t>
            </w:r>
          </w:p>
        </w:tc>
        <w:tc>
          <w:tcPr>
            <w:tcW w:w="1208" w:type="dxa"/>
            <w:tcBorders>
              <w:top w:val="nil"/>
              <w:left w:val="nil"/>
              <w:bottom w:val="nil"/>
              <w:right w:val="nil"/>
            </w:tcBorders>
            <w:vAlign w:val="bottom"/>
            <w:hideMark/>
          </w:tcPr>
          <w:p w14:paraId="14ADF85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1 641</w:t>
            </w:r>
          </w:p>
        </w:tc>
        <w:tc>
          <w:tcPr>
            <w:tcW w:w="1208" w:type="dxa"/>
            <w:tcBorders>
              <w:top w:val="nil"/>
              <w:left w:val="nil"/>
              <w:bottom w:val="nil"/>
              <w:right w:val="nil"/>
            </w:tcBorders>
            <w:vAlign w:val="bottom"/>
            <w:hideMark/>
          </w:tcPr>
          <w:p w14:paraId="711BE10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1 753</w:t>
            </w:r>
          </w:p>
        </w:tc>
        <w:tc>
          <w:tcPr>
            <w:tcW w:w="1208" w:type="dxa"/>
            <w:tcBorders>
              <w:top w:val="nil"/>
              <w:left w:val="nil"/>
              <w:bottom w:val="nil"/>
              <w:right w:val="nil"/>
            </w:tcBorders>
            <w:vAlign w:val="bottom"/>
            <w:hideMark/>
          </w:tcPr>
          <w:p w14:paraId="55951D84"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1 296</w:t>
            </w:r>
          </w:p>
        </w:tc>
        <w:tc>
          <w:tcPr>
            <w:tcW w:w="1208" w:type="dxa"/>
            <w:tcBorders>
              <w:top w:val="nil"/>
              <w:left w:val="nil"/>
              <w:bottom w:val="nil"/>
              <w:right w:val="nil"/>
            </w:tcBorders>
            <w:vAlign w:val="bottom"/>
            <w:hideMark/>
          </w:tcPr>
          <w:p w14:paraId="549A258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1 167</w:t>
            </w:r>
          </w:p>
        </w:tc>
      </w:tr>
      <w:tr w:rsidR="0088157C" w:rsidRPr="0088157C" w14:paraId="03472040" w14:textId="77777777" w:rsidTr="0088157C">
        <w:trPr>
          <w:trHeight w:val="450"/>
        </w:trPr>
        <w:tc>
          <w:tcPr>
            <w:tcW w:w="3883" w:type="dxa"/>
            <w:tcBorders>
              <w:top w:val="nil"/>
              <w:left w:val="nil"/>
              <w:bottom w:val="nil"/>
              <w:right w:val="nil"/>
            </w:tcBorders>
            <w:shd w:val="clear" w:color="000000" w:fill="F3F4F6"/>
            <w:vAlign w:val="bottom"/>
            <w:hideMark/>
          </w:tcPr>
          <w:p w14:paraId="51AC10EA" w14:textId="77777777" w:rsidR="0088157C" w:rsidRPr="0088157C" w:rsidRDefault="0088157C" w:rsidP="0088157C">
            <w:pPr>
              <w:spacing w:after="0" w:line="240" w:lineRule="auto"/>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Total current liabilities</w:t>
            </w:r>
          </w:p>
        </w:tc>
        <w:tc>
          <w:tcPr>
            <w:tcW w:w="1208" w:type="dxa"/>
            <w:tcBorders>
              <w:top w:val="nil"/>
              <w:left w:val="nil"/>
              <w:bottom w:val="nil"/>
              <w:right w:val="nil"/>
            </w:tcBorders>
            <w:shd w:val="clear" w:color="000000" w:fill="F3F4F6"/>
            <w:vAlign w:val="bottom"/>
            <w:hideMark/>
          </w:tcPr>
          <w:p w14:paraId="5111BB5F"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8 398</w:t>
            </w:r>
          </w:p>
        </w:tc>
        <w:tc>
          <w:tcPr>
            <w:tcW w:w="1208" w:type="dxa"/>
            <w:tcBorders>
              <w:top w:val="nil"/>
              <w:left w:val="nil"/>
              <w:bottom w:val="nil"/>
              <w:right w:val="nil"/>
            </w:tcBorders>
            <w:shd w:val="clear" w:color="000000" w:fill="F3F4F6"/>
            <w:vAlign w:val="bottom"/>
            <w:hideMark/>
          </w:tcPr>
          <w:p w14:paraId="304E079A"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8 649</w:t>
            </w:r>
          </w:p>
        </w:tc>
        <w:tc>
          <w:tcPr>
            <w:tcW w:w="1208" w:type="dxa"/>
            <w:tcBorders>
              <w:top w:val="nil"/>
              <w:left w:val="nil"/>
              <w:bottom w:val="nil"/>
              <w:right w:val="nil"/>
            </w:tcBorders>
            <w:shd w:val="clear" w:color="000000" w:fill="F3F4F6"/>
            <w:vAlign w:val="bottom"/>
            <w:hideMark/>
          </w:tcPr>
          <w:p w14:paraId="3C865B7D"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7 762</w:t>
            </w:r>
          </w:p>
        </w:tc>
        <w:tc>
          <w:tcPr>
            <w:tcW w:w="1208" w:type="dxa"/>
            <w:tcBorders>
              <w:top w:val="nil"/>
              <w:left w:val="nil"/>
              <w:bottom w:val="nil"/>
              <w:right w:val="nil"/>
            </w:tcBorders>
            <w:shd w:val="clear" w:color="000000" w:fill="F3F4F6"/>
            <w:vAlign w:val="bottom"/>
            <w:hideMark/>
          </w:tcPr>
          <w:p w14:paraId="09709B43"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7 339</w:t>
            </w:r>
          </w:p>
        </w:tc>
        <w:tc>
          <w:tcPr>
            <w:tcW w:w="1208" w:type="dxa"/>
            <w:tcBorders>
              <w:top w:val="nil"/>
              <w:left w:val="nil"/>
              <w:bottom w:val="nil"/>
              <w:right w:val="nil"/>
            </w:tcBorders>
            <w:shd w:val="clear" w:color="000000" w:fill="F3F4F6"/>
            <w:vAlign w:val="bottom"/>
            <w:hideMark/>
          </w:tcPr>
          <w:p w14:paraId="40010C71"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6 407</w:t>
            </w:r>
          </w:p>
        </w:tc>
      </w:tr>
      <w:tr w:rsidR="0088157C" w:rsidRPr="0088157C" w14:paraId="4E3EF528" w14:textId="77777777" w:rsidTr="0088157C">
        <w:trPr>
          <w:trHeight w:val="450"/>
        </w:trPr>
        <w:tc>
          <w:tcPr>
            <w:tcW w:w="3883" w:type="dxa"/>
            <w:tcBorders>
              <w:top w:val="nil"/>
              <w:left w:val="nil"/>
              <w:bottom w:val="nil"/>
              <w:right w:val="nil"/>
            </w:tcBorders>
            <w:shd w:val="clear" w:color="000000" w:fill="E7E6E6"/>
            <w:vAlign w:val="bottom"/>
            <w:hideMark/>
          </w:tcPr>
          <w:p w14:paraId="5AACD884"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Non-current liabilities</w:t>
            </w:r>
          </w:p>
        </w:tc>
        <w:tc>
          <w:tcPr>
            <w:tcW w:w="1208" w:type="dxa"/>
            <w:tcBorders>
              <w:top w:val="nil"/>
              <w:left w:val="nil"/>
              <w:bottom w:val="nil"/>
              <w:right w:val="nil"/>
            </w:tcBorders>
            <w:shd w:val="clear" w:color="000000" w:fill="E7E6E6"/>
            <w:vAlign w:val="bottom"/>
            <w:hideMark/>
          </w:tcPr>
          <w:p w14:paraId="33FB32AC"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46D3BE7C"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443F7842"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51F55451"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c>
          <w:tcPr>
            <w:tcW w:w="1208" w:type="dxa"/>
            <w:tcBorders>
              <w:top w:val="nil"/>
              <w:left w:val="nil"/>
              <w:bottom w:val="nil"/>
              <w:right w:val="nil"/>
            </w:tcBorders>
            <w:shd w:val="clear" w:color="000000" w:fill="E7E6E6"/>
            <w:vAlign w:val="bottom"/>
            <w:hideMark/>
          </w:tcPr>
          <w:p w14:paraId="4BB0872F" w14:textId="77777777" w:rsidR="0088157C" w:rsidRPr="0088157C" w:rsidRDefault="0088157C" w:rsidP="0088157C">
            <w:pPr>
              <w:spacing w:after="0" w:line="240" w:lineRule="auto"/>
              <w:rPr>
                <w:rFonts w:ascii="Carlito" w:eastAsia="Times New Roman" w:hAnsi="Carlito" w:cs="Calibri"/>
                <w:b/>
                <w:bCs/>
                <w:i/>
                <w:iCs/>
                <w:sz w:val="22"/>
                <w:szCs w:val="22"/>
                <w:lang w:val="en-US" w:eastAsia="en-US"/>
              </w:rPr>
            </w:pPr>
            <w:r w:rsidRPr="0088157C">
              <w:rPr>
                <w:rFonts w:ascii="Carlito" w:eastAsia="Times New Roman" w:hAnsi="Carlito" w:cs="Calibri"/>
                <w:b/>
                <w:bCs/>
                <w:i/>
                <w:iCs/>
                <w:sz w:val="22"/>
                <w:szCs w:val="22"/>
                <w:lang w:val="en-US" w:eastAsia="en-US"/>
              </w:rPr>
              <w:t> </w:t>
            </w:r>
          </w:p>
        </w:tc>
      </w:tr>
      <w:tr w:rsidR="0088157C" w:rsidRPr="0088157C" w14:paraId="2D04FAA0" w14:textId="77777777" w:rsidTr="0088157C">
        <w:trPr>
          <w:trHeight w:val="450"/>
        </w:trPr>
        <w:tc>
          <w:tcPr>
            <w:tcW w:w="3883" w:type="dxa"/>
            <w:tcBorders>
              <w:top w:val="nil"/>
              <w:left w:val="nil"/>
              <w:bottom w:val="nil"/>
              <w:right w:val="nil"/>
            </w:tcBorders>
            <w:vAlign w:val="bottom"/>
            <w:hideMark/>
          </w:tcPr>
          <w:p w14:paraId="604FECA0"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Long-term debt</w:t>
            </w:r>
          </w:p>
        </w:tc>
        <w:tc>
          <w:tcPr>
            <w:tcW w:w="1208" w:type="dxa"/>
            <w:tcBorders>
              <w:top w:val="nil"/>
              <w:left w:val="nil"/>
              <w:bottom w:val="nil"/>
              <w:right w:val="nil"/>
            </w:tcBorders>
            <w:vAlign w:val="bottom"/>
            <w:hideMark/>
          </w:tcPr>
          <w:p w14:paraId="7535A1F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14 995</w:t>
            </w:r>
          </w:p>
        </w:tc>
        <w:tc>
          <w:tcPr>
            <w:tcW w:w="1208" w:type="dxa"/>
            <w:tcBorders>
              <w:top w:val="nil"/>
              <w:left w:val="nil"/>
              <w:bottom w:val="nil"/>
              <w:right w:val="nil"/>
            </w:tcBorders>
            <w:vAlign w:val="bottom"/>
            <w:hideMark/>
          </w:tcPr>
          <w:p w14:paraId="2592A95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13 138</w:t>
            </w:r>
          </w:p>
        </w:tc>
        <w:tc>
          <w:tcPr>
            <w:tcW w:w="1208" w:type="dxa"/>
            <w:tcBorders>
              <w:top w:val="nil"/>
              <w:left w:val="nil"/>
              <w:bottom w:val="nil"/>
              <w:right w:val="nil"/>
            </w:tcBorders>
            <w:vAlign w:val="bottom"/>
            <w:hideMark/>
          </w:tcPr>
          <w:p w14:paraId="067836B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11 320</w:t>
            </w:r>
          </w:p>
        </w:tc>
        <w:tc>
          <w:tcPr>
            <w:tcW w:w="1208" w:type="dxa"/>
            <w:tcBorders>
              <w:top w:val="nil"/>
              <w:left w:val="nil"/>
              <w:bottom w:val="nil"/>
              <w:right w:val="nil"/>
            </w:tcBorders>
            <w:vAlign w:val="bottom"/>
            <w:hideMark/>
          </w:tcPr>
          <w:p w14:paraId="4CD7F3D4"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9 380</w:t>
            </w:r>
          </w:p>
        </w:tc>
        <w:tc>
          <w:tcPr>
            <w:tcW w:w="1208" w:type="dxa"/>
            <w:tcBorders>
              <w:top w:val="nil"/>
              <w:left w:val="nil"/>
              <w:bottom w:val="nil"/>
              <w:right w:val="nil"/>
            </w:tcBorders>
            <w:vAlign w:val="bottom"/>
            <w:hideMark/>
          </w:tcPr>
          <w:p w14:paraId="13B1F4B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9 333</w:t>
            </w:r>
          </w:p>
        </w:tc>
      </w:tr>
      <w:tr w:rsidR="0088157C" w:rsidRPr="0088157C" w14:paraId="34262754" w14:textId="77777777" w:rsidTr="0088157C">
        <w:trPr>
          <w:trHeight w:val="450"/>
        </w:trPr>
        <w:tc>
          <w:tcPr>
            <w:tcW w:w="3883" w:type="dxa"/>
            <w:tcBorders>
              <w:top w:val="nil"/>
              <w:left w:val="nil"/>
              <w:bottom w:val="nil"/>
              <w:right w:val="nil"/>
            </w:tcBorders>
            <w:vAlign w:val="bottom"/>
            <w:hideMark/>
          </w:tcPr>
          <w:p w14:paraId="330F9B2D"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Liability for guest loyalty program (non-current)</w:t>
            </w:r>
          </w:p>
        </w:tc>
        <w:tc>
          <w:tcPr>
            <w:tcW w:w="1208" w:type="dxa"/>
            <w:tcBorders>
              <w:top w:val="nil"/>
              <w:left w:val="nil"/>
              <w:bottom w:val="nil"/>
              <w:right w:val="nil"/>
            </w:tcBorders>
            <w:vAlign w:val="bottom"/>
            <w:hideMark/>
          </w:tcPr>
          <w:p w14:paraId="78C0D90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4 495</w:t>
            </w:r>
          </w:p>
        </w:tc>
        <w:tc>
          <w:tcPr>
            <w:tcW w:w="1208" w:type="dxa"/>
            <w:tcBorders>
              <w:top w:val="nil"/>
              <w:left w:val="nil"/>
              <w:bottom w:val="nil"/>
              <w:right w:val="nil"/>
            </w:tcBorders>
            <w:vAlign w:val="bottom"/>
            <w:hideMark/>
          </w:tcPr>
          <w:p w14:paraId="1952A68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4 032</w:t>
            </w:r>
          </w:p>
        </w:tc>
        <w:tc>
          <w:tcPr>
            <w:tcW w:w="1208" w:type="dxa"/>
            <w:tcBorders>
              <w:top w:val="nil"/>
              <w:left w:val="nil"/>
              <w:bottom w:val="nil"/>
              <w:right w:val="nil"/>
            </w:tcBorders>
            <w:vAlign w:val="bottom"/>
            <w:hideMark/>
          </w:tcPr>
          <w:p w14:paraId="12CC544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3 678</w:t>
            </w:r>
          </w:p>
        </w:tc>
        <w:tc>
          <w:tcPr>
            <w:tcW w:w="1208" w:type="dxa"/>
            <w:tcBorders>
              <w:top w:val="nil"/>
              <w:left w:val="nil"/>
              <w:bottom w:val="nil"/>
              <w:right w:val="nil"/>
            </w:tcBorders>
            <w:vAlign w:val="bottom"/>
            <w:hideMark/>
          </w:tcPr>
          <w:p w14:paraId="43CAE91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3 280</w:t>
            </w:r>
          </w:p>
        </w:tc>
        <w:tc>
          <w:tcPr>
            <w:tcW w:w="1208" w:type="dxa"/>
            <w:tcBorders>
              <w:top w:val="nil"/>
              <w:left w:val="nil"/>
              <w:bottom w:val="nil"/>
              <w:right w:val="nil"/>
            </w:tcBorders>
            <w:vAlign w:val="bottom"/>
            <w:hideMark/>
          </w:tcPr>
          <w:p w14:paraId="5A5CC60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3 949</w:t>
            </w:r>
          </w:p>
        </w:tc>
      </w:tr>
      <w:tr w:rsidR="0088157C" w:rsidRPr="0088157C" w14:paraId="48AA0087" w14:textId="77777777" w:rsidTr="0088157C">
        <w:trPr>
          <w:trHeight w:val="450"/>
        </w:trPr>
        <w:tc>
          <w:tcPr>
            <w:tcW w:w="3883" w:type="dxa"/>
            <w:tcBorders>
              <w:top w:val="nil"/>
              <w:left w:val="nil"/>
              <w:bottom w:val="nil"/>
              <w:right w:val="nil"/>
            </w:tcBorders>
            <w:vAlign w:val="bottom"/>
            <w:hideMark/>
          </w:tcPr>
          <w:p w14:paraId="36BF961C"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Deferred tax liabilities</w:t>
            </w:r>
          </w:p>
        </w:tc>
        <w:tc>
          <w:tcPr>
            <w:tcW w:w="1208" w:type="dxa"/>
            <w:tcBorders>
              <w:top w:val="nil"/>
              <w:left w:val="nil"/>
              <w:bottom w:val="nil"/>
              <w:right w:val="nil"/>
            </w:tcBorders>
            <w:vAlign w:val="bottom"/>
            <w:hideMark/>
          </w:tcPr>
          <w:p w14:paraId="6EEE8CC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79</w:t>
            </w:r>
          </w:p>
        </w:tc>
        <w:tc>
          <w:tcPr>
            <w:tcW w:w="1208" w:type="dxa"/>
            <w:tcBorders>
              <w:top w:val="nil"/>
              <w:left w:val="nil"/>
              <w:bottom w:val="nil"/>
              <w:right w:val="nil"/>
            </w:tcBorders>
            <w:vAlign w:val="bottom"/>
            <w:hideMark/>
          </w:tcPr>
          <w:p w14:paraId="509BC1F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81</w:t>
            </w:r>
          </w:p>
        </w:tc>
        <w:tc>
          <w:tcPr>
            <w:tcW w:w="1208" w:type="dxa"/>
            <w:tcBorders>
              <w:top w:val="nil"/>
              <w:left w:val="nil"/>
              <w:bottom w:val="nil"/>
              <w:right w:val="nil"/>
            </w:tcBorders>
            <w:vAlign w:val="bottom"/>
            <w:hideMark/>
          </w:tcPr>
          <w:p w14:paraId="026D6E4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209</w:t>
            </w:r>
          </w:p>
        </w:tc>
        <w:tc>
          <w:tcPr>
            <w:tcW w:w="1208" w:type="dxa"/>
            <w:tcBorders>
              <w:top w:val="nil"/>
              <w:left w:val="nil"/>
              <w:bottom w:val="nil"/>
              <w:right w:val="nil"/>
            </w:tcBorders>
            <w:vAlign w:val="bottom"/>
            <w:hideMark/>
          </w:tcPr>
          <w:p w14:paraId="3B2BBD0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313</w:t>
            </w:r>
          </w:p>
        </w:tc>
        <w:tc>
          <w:tcPr>
            <w:tcW w:w="1208" w:type="dxa"/>
            <w:tcBorders>
              <w:top w:val="nil"/>
              <w:left w:val="nil"/>
              <w:bottom w:val="nil"/>
              <w:right w:val="nil"/>
            </w:tcBorders>
            <w:vAlign w:val="bottom"/>
            <w:hideMark/>
          </w:tcPr>
          <w:p w14:paraId="17FFBAB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169</w:t>
            </w:r>
          </w:p>
        </w:tc>
      </w:tr>
      <w:tr w:rsidR="0088157C" w:rsidRPr="0088157C" w14:paraId="635BEE99" w14:textId="77777777" w:rsidTr="0088157C">
        <w:trPr>
          <w:trHeight w:val="450"/>
        </w:trPr>
        <w:tc>
          <w:tcPr>
            <w:tcW w:w="3883" w:type="dxa"/>
            <w:tcBorders>
              <w:top w:val="nil"/>
              <w:left w:val="nil"/>
              <w:bottom w:val="nil"/>
              <w:right w:val="nil"/>
            </w:tcBorders>
            <w:vAlign w:val="bottom"/>
            <w:hideMark/>
          </w:tcPr>
          <w:p w14:paraId="3CE307EB"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Deferred revenue</w:t>
            </w:r>
          </w:p>
        </w:tc>
        <w:tc>
          <w:tcPr>
            <w:tcW w:w="1208" w:type="dxa"/>
            <w:tcBorders>
              <w:top w:val="nil"/>
              <w:left w:val="nil"/>
              <w:bottom w:val="nil"/>
              <w:right w:val="nil"/>
            </w:tcBorders>
            <w:vAlign w:val="bottom"/>
            <w:hideMark/>
          </w:tcPr>
          <w:p w14:paraId="6CB3AA25"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1 200</w:t>
            </w:r>
          </w:p>
        </w:tc>
        <w:tc>
          <w:tcPr>
            <w:tcW w:w="1208" w:type="dxa"/>
            <w:tcBorders>
              <w:top w:val="nil"/>
              <w:left w:val="nil"/>
              <w:bottom w:val="nil"/>
              <w:right w:val="nil"/>
            </w:tcBorders>
            <w:vAlign w:val="bottom"/>
            <w:hideMark/>
          </w:tcPr>
          <w:p w14:paraId="43933D3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1 103</w:t>
            </w:r>
          </w:p>
        </w:tc>
        <w:tc>
          <w:tcPr>
            <w:tcW w:w="1208" w:type="dxa"/>
            <w:tcBorders>
              <w:top w:val="nil"/>
              <w:left w:val="nil"/>
              <w:bottom w:val="nil"/>
              <w:right w:val="nil"/>
            </w:tcBorders>
            <w:vAlign w:val="bottom"/>
            <w:hideMark/>
          </w:tcPr>
          <w:p w14:paraId="02A100F1"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1 018</w:t>
            </w:r>
          </w:p>
        </w:tc>
        <w:tc>
          <w:tcPr>
            <w:tcW w:w="1208" w:type="dxa"/>
            <w:tcBorders>
              <w:top w:val="nil"/>
              <w:left w:val="nil"/>
              <w:bottom w:val="nil"/>
              <w:right w:val="nil"/>
            </w:tcBorders>
            <w:vAlign w:val="bottom"/>
            <w:hideMark/>
          </w:tcPr>
          <w:p w14:paraId="75ADBE5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1 059</w:t>
            </w:r>
          </w:p>
        </w:tc>
        <w:tc>
          <w:tcPr>
            <w:tcW w:w="1208" w:type="dxa"/>
            <w:tcBorders>
              <w:top w:val="nil"/>
              <w:left w:val="nil"/>
              <w:bottom w:val="nil"/>
              <w:right w:val="nil"/>
            </w:tcBorders>
            <w:vAlign w:val="bottom"/>
            <w:hideMark/>
          </w:tcPr>
          <w:p w14:paraId="256D0B6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1 181</w:t>
            </w:r>
          </w:p>
        </w:tc>
      </w:tr>
      <w:tr w:rsidR="0088157C" w:rsidRPr="0088157C" w14:paraId="4AA90A1C" w14:textId="77777777" w:rsidTr="0088157C">
        <w:trPr>
          <w:trHeight w:val="450"/>
        </w:trPr>
        <w:tc>
          <w:tcPr>
            <w:tcW w:w="3883" w:type="dxa"/>
            <w:tcBorders>
              <w:top w:val="nil"/>
              <w:left w:val="nil"/>
              <w:bottom w:val="nil"/>
              <w:right w:val="nil"/>
            </w:tcBorders>
            <w:vAlign w:val="bottom"/>
            <w:hideMark/>
          </w:tcPr>
          <w:p w14:paraId="58DD3E8B"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Operating lease liabilities</w:t>
            </w:r>
          </w:p>
        </w:tc>
        <w:tc>
          <w:tcPr>
            <w:tcW w:w="1208" w:type="dxa"/>
            <w:tcBorders>
              <w:top w:val="nil"/>
              <w:left w:val="nil"/>
              <w:bottom w:val="nil"/>
              <w:right w:val="nil"/>
            </w:tcBorders>
            <w:vAlign w:val="bottom"/>
            <w:hideMark/>
          </w:tcPr>
          <w:p w14:paraId="3AB547F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879</w:t>
            </w:r>
          </w:p>
        </w:tc>
        <w:tc>
          <w:tcPr>
            <w:tcW w:w="1208" w:type="dxa"/>
            <w:tcBorders>
              <w:top w:val="nil"/>
              <w:left w:val="nil"/>
              <w:bottom w:val="nil"/>
              <w:right w:val="nil"/>
            </w:tcBorders>
            <w:vAlign w:val="bottom"/>
            <w:hideMark/>
          </w:tcPr>
          <w:p w14:paraId="5796B70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794</w:t>
            </w:r>
          </w:p>
        </w:tc>
        <w:tc>
          <w:tcPr>
            <w:tcW w:w="1208" w:type="dxa"/>
            <w:tcBorders>
              <w:top w:val="nil"/>
              <w:left w:val="nil"/>
              <w:bottom w:val="nil"/>
              <w:right w:val="nil"/>
            </w:tcBorders>
            <w:vAlign w:val="bottom"/>
            <w:hideMark/>
          </w:tcPr>
          <w:p w14:paraId="4BF881C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887</w:t>
            </w:r>
          </w:p>
        </w:tc>
        <w:tc>
          <w:tcPr>
            <w:tcW w:w="1208" w:type="dxa"/>
            <w:tcBorders>
              <w:top w:val="nil"/>
              <w:left w:val="nil"/>
              <w:bottom w:val="nil"/>
              <w:right w:val="nil"/>
            </w:tcBorders>
            <w:vAlign w:val="bottom"/>
            <w:hideMark/>
          </w:tcPr>
          <w:p w14:paraId="1796866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1 034</w:t>
            </w:r>
          </w:p>
        </w:tc>
        <w:tc>
          <w:tcPr>
            <w:tcW w:w="1208" w:type="dxa"/>
            <w:tcBorders>
              <w:top w:val="nil"/>
              <w:left w:val="nil"/>
              <w:bottom w:val="nil"/>
              <w:right w:val="nil"/>
            </w:tcBorders>
            <w:vAlign w:val="bottom"/>
            <w:hideMark/>
          </w:tcPr>
          <w:p w14:paraId="04AF0D97"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1 098</w:t>
            </w:r>
          </w:p>
        </w:tc>
      </w:tr>
      <w:tr w:rsidR="0088157C" w:rsidRPr="0088157C" w14:paraId="50C974AF" w14:textId="77777777" w:rsidTr="0088157C">
        <w:trPr>
          <w:trHeight w:val="450"/>
        </w:trPr>
        <w:tc>
          <w:tcPr>
            <w:tcW w:w="3883" w:type="dxa"/>
            <w:tcBorders>
              <w:top w:val="nil"/>
              <w:left w:val="nil"/>
              <w:bottom w:val="nil"/>
              <w:right w:val="nil"/>
            </w:tcBorders>
            <w:vAlign w:val="bottom"/>
            <w:hideMark/>
          </w:tcPr>
          <w:p w14:paraId="51F5AD1C"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Other noncurrent liabilities</w:t>
            </w:r>
          </w:p>
        </w:tc>
        <w:tc>
          <w:tcPr>
            <w:tcW w:w="1208" w:type="dxa"/>
            <w:tcBorders>
              <w:top w:val="nil"/>
              <w:left w:val="nil"/>
              <w:bottom w:val="nil"/>
              <w:right w:val="nil"/>
            </w:tcBorders>
            <w:vAlign w:val="bottom"/>
            <w:hideMark/>
          </w:tcPr>
          <w:p w14:paraId="58FEFC5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1 265</w:t>
            </w:r>
          </w:p>
        </w:tc>
        <w:tc>
          <w:tcPr>
            <w:tcW w:w="1208" w:type="dxa"/>
            <w:tcBorders>
              <w:top w:val="nil"/>
              <w:left w:val="nil"/>
              <w:bottom w:val="nil"/>
              <w:right w:val="nil"/>
            </w:tcBorders>
            <w:vAlign w:val="bottom"/>
            <w:hideMark/>
          </w:tcPr>
          <w:p w14:paraId="49226D8B"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1 377</w:t>
            </w:r>
          </w:p>
        </w:tc>
        <w:tc>
          <w:tcPr>
            <w:tcW w:w="1208" w:type="dxa"/>
            <w:tcBorders>
              <w:top w:val="nil"/>
              <w:left w:val="nil"/>
              <w:bottom w:val="nil"/>
              <w:right w:val="nil"/>
            </w:tcBorders>
            <w:vAlign w:val="bottom"/>
            <w:hideMark/>
          </w:tcPr>
          <w:p w14:paraId="48D1373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1 482</w:t>
            </w:r>
          </w:p>
        </w:tc>
        <w:tc>
          <w:tcPr>
            <w:tcW w:w="1208" w:type="dxa"/>
            <w:tcBorders>
              <w:top w:val="nil"/>
              <w:left w:val="nil"/>
              <w:bottom w:val="nil"/>
              <w:right w:val="nil"/>
            </w:tcBorders>
            <w:vAlign w:val="bottom"/>
            <w:hideMark/>
          </w:tcPr>
          <w:p w14:paraId="1D407BB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1 842</w:t>
            </w:r>
          </w:p>
        </w:tc>
        <w:tc>
          <w:tcPr>
            <w:tcW w:w="1208" w:type="dxa"/>
            <w:tcBorders>
              <w:top w:val="nil"/>
              <w:left w:val="nil"/>
              <w:bottom w:val="nil"/>
              <w:right w:val="nil"/>
            </w:tcBorders>
            <w:vAlign w:val="bottom"/>
            <w:hideMark/>
          </w:tcPr>
          <w:p w14:paraId="4DD71EE7"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2 002</w:t>
            </w:r>
          </w:p>
        </w:tc>
      </w:tr>
      <w:tr w:rsidR="0088157C" w:rsidRPr="0088157C" w14:paraId="50B90F32" w14:textId="77777777" w:rsidTr="0088157C">
        <w:trPr>
          <w:trHeight w:val="450"/>
        </w:trPr>
        <w:tc>
          <w:tcPr>
            <w:tcW w:w="3883" w:type="dxa"/>
            <w:tcBorders>
              <w:top w:val="nil"/>
              <w:left w:val="nil"/>
              <w:bottom w:val="nil"/>
              <w:right w:val="nil"/>
            </w:tcBorders>
            <w:shd w:val="clear" w:color="000000" w:fill="DDEBF7"/>
            <w:vAlign w:val="bottom"/>
            <w:hideMark/>
          </w:tcPr>
          <w:p w14:paraId="5B8E4593" w14:textId="77777777" w:rsidR="0088157C" w:rsidRPr="0088157C" w:rsidRDefault="0088157C" w:rsidP="0088157C">
            <w:pPr>
              <w:spacing w:after="0" w:line="240" w:lineRule="auto"/>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TOTAL LIABILITIES</w:t>
            </w:r>
          </w:p>
        </w:tc>
        <w:tc>
          <w:tcPr>
            <w:tcW w:w="1208" w:type="dxa"/>
            <w:tcBorders>
              <w:top w:val="nil"/>
              <w:left w:val="nil"/>
              <w:bottom w:val="nil"/>
              <w:right w:val="nil"/>
            </w:tcBorders>
            <w:shd w:val="clear" w:color="000000" w:fill="DDEBF7"/>
            <w:vAlign w:val="bottom"/>
            <w:hideMark/>
          </w:tcPr>
          <w:p w14:paraId="7C0FF6BC"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31 311</w:t>
            </w:r>
          </w:p>
        </w:tc>
        <w:tc>
          <w:tcPr>
            <w:tcW w:w="1208" w:type="dxa"/>
            <w:tcBorders>
              <w:top w:val="nil"/>
              <w:left w:val="nil"/>
              <w:bottom w:val="nil"/>
              <w:right w:val="nil"/>
            </w:tcBorders>
            <w:shd w:val="clear" w:color="000000" w:fill="DDEBF7"/>
            <w:vAlign w:val="bottom"/>
            <w:hideMark/>
          </w:tcPr>
          <w:p w14:paraId="0B797E70"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29 174</w:t>
            </w:r>
          </w:p>
        </w:tc>
        <w:tc>
          <w:tcPr>
            <w:tcW w:w="1208" w:type="dxa"/>
            <w:tcBorders>
              <w:top w:val="nil"/>
              <w:left w:val="nil"/>
              <w:bottom w:val="nil"/>
              <w:right w:val="nil"/>
            </w:tcBorders>
            <w:shd w:val="clear" w:color="000000" w:fill="DDEBF7"/>
            <w:vAlign w:val="bottom"/>
            <w:hideMark/>
          </w:tcPr>
          <w:p w14:paraId="4EF45724"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26 356</w:t>
            </w:r>
          </w:p>
        </w:tc>
        <w:tc>
          <w:tcPr>
            <w:tcW w:w="1208" w:type="dxa"/>
            <w:tcBorders>
              <w:top w:val="nil"/>
              <w:left w:val="nil"/>
              <w:bottom w:val="nil"/>
              <w:right w:val="nil"/>
            </w:tcBorders>
            <w:shd w:val="clear" w:color="000000" w:fill="DDEBF7"/>
            <w:vAlign w:val="bottom"/>
            <w:hideMark/>
          </w:tcPr>
          <w:p w14:paraId="0EBFF2B9"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24 247</w:t>
            </w:r>
          </w:p>
        </w:tc>
        <w:tc>
          <w:tcPr>
            <w:tcW w:w="1208" w:type="dxa"/>
            <w:tcBorders>
              <w:top w:val="nil"/>
              <w:left w:val="nil"/>
              <w:bottom w:val="nil"/>
              <w:right w:val="nil"/>
            </w:tcBorders>
            <w:shd w:val="clear" w:color="000000" w:fill="DDEBF7"/>
            <w:vAlign w:val="bottom"/>
            <w:hideMark/>
          </w:tcPr>
          <w:p w14:paraId="74CF533C"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24 139</w:t>
            </w:r>
          </w:p>
        </w:tc>
      </w:tr>
      <w:tr w:rsidR="0088157C" w:rsidRPr="0088157C" w14:paraId="48B9A5C8" w14:textId="77777777" w:rsidTr="0088157C">
        <w:trPr>
          <w:trHeight w:val="450"/>
        </w:trPr>
        <w:tc>
          <w:tcPr>
            <w:tcW w:w="3883" w:type="dxa"/>
            <w:tcBorders>
              <w:top w:val="nil"/>
              <w:left w:val="nil"/>
              <w:bottom w:val="nil"/>
              <w:right w:val="nil"/>
            </w:tcBorders>
            <w:vAlign w:val="bottom"/>
            <w:hideMark/>
          </w:tcPr>
          <w:p w14:paraId="6688C84E"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p>
        </w:tc>
        <w:tc>
          <w:tcPr>
            <w:tcW w:w="1208" w:type="dxa"/>
            <w:tcBorders>
              <w:top w:val="nil"/>
              <w:left w:val="nil"/>
              <w:bottom w:val="nil"/>
              <w:right w:val="nil"/>
            </w:tcBorders>
            <w:vAlign w:val="bottom"/>
            <w:hideMark/>
          </w:tcPr>
          <w:p w14:paraId="28793BB1" w14:textId="77777777" w:rsidR="0088157C" w:rsidRPr="0088157C" w:rsidRDefault="0088157C" w:rsidP="0088157C">
            <w:pPr>
              <w:spacing w:after="0" w:line="240" w:lineRule="auto"/>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4DF3C998"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1C89B353"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69B1283A"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4C61384C"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r>
      <w:tr w:rsidR="0088157C" w:rsidRPr="0088157C" w14:paraId="26212E14" w14:textId="77777777" w:rsidTr="0088157C">
        <w:trPr>
          <w:trHeight w:val="450"/>
        </w:trPr>
        <w:tc>
          <w:tcPr>
            <w:tcW w:w="3883" w:type="dxa"/>
            <w:tcBorders>
              <w:top w:val="nil"/>
              <w:left w:val="nil"/>
              <w:bottom w:val="nil"/>
              <w:right w:val="nil"/>
            </w:tcBorders>
            <w:shd w:val="clear" w:color="000000" w:fill="FCE4D6"/>
            <w:vAlign w:val="bottom"/>
            <w:hideMark/>
          </w:tcPr>
          <w:p w14:paraId="1519D242" w14:textId="77777777" w:rsidR="0088157C" w:rsidRPr="0088157C" w:rsidRDefault="0088157C" w:rsidP="0088157C">
            <w:pPr>
              <w:spacing w:after="0" w:line="240" w:lineRule="auto"/>
              <w:rPr>
                <w:rFonts w:ascii="Carlito" w:eastAsia="Times New Roman" w:hAnsi="Carlito" w:cs="Calibri"/>
                <w:b/>
                <w:bCs/>
                <w:color w:val="C65911"/>
                <w:sz w:val="26"/>
                <w:szCs w:val="26"/>
                <w:lang w:val="en-US" w:eastAsia="en-US"/>
              </w:rPr>
            </w:pPr>
            <w:r w:rsidRPr="0088157C">
              <w:rPr>
                <w:rFonts w:ascii="Carlito" w:eastAsia="Times New Roman" w:hAnsi="Carlito" w:cs="Calibri"/>
                <w:b/>
                <w:bCs/>
                <w:color w:val="C65911"/>
                <w:sz w:val="26"/>
                <w:szCs w:val="26"/>
                <w:lang w:val="en-US" w:eastAsia="en-US"/>
              </w:rPr>
              <w:t>SHAREHOLDERS' EQUITY (DEFICIT)</w:t>
            </w:r>
          </w:p>
        </w:tc>
        <w:tc>
          <w:tcPr>
            <w:tcW w:w="1208" w:type="dxa"/>
            <w:tcBorders>
              <w:top w:val="nil"/>
              <w:left w:val="nil"/>
              <w:bottom w:val="nil"/>
              <w:right w:val="nil"/>
            </w:tcBorders>
            <w:shd w:val="clear" w:color="000000" w:fill="FCE4D6"/>
            <w:vAlign w:val="bottom"/>
            <w:hideMark/>
          </w:tcPr>
          <w:p w14:paraId="1AA3F755" w14:textId="77777777" w:rsidR="0088157C" w:rsidRPr="0088157C" w:rsidRDefault="0088157C" w:rsidP="0088157C">
            <w:pPr>
              <w:spacing w:after="0" w:line="240" w:lineRule="auto"/>
              <w:rPr>
                <w:rFonts w:ascii="Carlito" w:eastAsia="Times New Roman" w:hAnsi="Carlito" w:cs="Calibri"/>
                <w:b/>
                <w:bCs/>
                <w:color w:val="C65911"/>
                <w:sz w:val="26"/>
                <w:szCs w:val="26"/>
                <w:lang w:val="en-US" w:eastAsia="en-US"/>
              </w:rPr>
            </w:pPr>
            <w:r w:rsidRPr="0088157C">
              <w:rPr>
                <w:rFonts w:ascii="Carlito" w:eastAsia="Times New Roman" w:hAnsi="Carlito" w:cs="Calibri"/>
                <w:b/>
                <w:bCs/>
                <w:color w:val="C65911"/>
                <w:sz w:val="26"/>
                <w:szCs w:val="26"/>
                <w:lang w:val="en-US" w:eastAsia="en-US"/>
              </w:rPr>
              <w:t> </w:t>
            </w:r>
          </w:p>
        </w:tc>
        <w:tc>
          <w:tcPr>
            <w:tcW w:w="1208" w:type="dxa"/>
            <w:tcBorders>
              <w:top w:val="nil"/>
              <w:left w:val="nil"/>
              <w:bottom w:val="nil"/>
              <w:right w:val="nil"/>
            </w:tcBorders>
            <w:shd w:val="clear" w:color="000000" w:fill="FCE4D6"/>
            <w:vAlign w:val="bottom"/>
            <w:hideMark/>
          </w:tcPr>
          <w:p w14:paraId="1F544B0D" w14:textId="77777777" w:rsidR="0088157C" w:rsidRPr="0088157C" w:rsidRDefault="0088157C" w:rsidP="0088157C">
            <w:pPr>
              <w:spacing w:after="0" w:line="240" w:lineRule="auto"/>
              <w:rPr>
                <w:rFonts w:ascii="Carlito" w:eastAsia="Times New Roman" w:hAnsi="Carlito" w:cs="Calibri"/>
                <w:b/>
                <w:bCs/>
                <w:color w:val="C65911"/>
                <w:sz w:val="26"/>
                <w:szCs w:val="26"/>
                <w:lang w:val="en-US" w:eastAsia="en-US"/>
              </w:rPr>
            </w:pPr>
            <w:r w:rsidRPr="0088157C">
              <w:rPr>
                <w:rFonts w:ascii="Carlito" w:eastAsia="Times New Roman" w:hAnsi="Carlito" w:cs="Calibri"/>
                <w:b/>
                <w:bCs/>
                <w:color w:val="C65911"/>
                <w:sz w:val="26"/>
                <w:szCs w:val="26"/>
                <w:lang w:val="en-US" w:eastAsia="en-US"/>
              </w:rPr>
              <w:t> </w:t>
            </w:r>
          </w:p>
        </w:tc>
        <w:tc>
          <w:tcPr>
            <w:tcW w:w="1208" w:type="dxa"/>
            <w:tcBorders>
              <w:top w:val="nil"/>
              <w:left w:val="nil"/>
              <w:bottom w:val="nil"/>
              <w:right w:val="nil"/>
            </w:tcBorders>
            <w:shd w:val="clear" w:color="000000" w:fill="FCE4D6"/>
            <w:vAlign w:val="bottom"/>
            <w:hideMark/>
          </w:tcPr>
          <w:p w14:paraId="7FCFFD06" w14:textId="77777777" w:rsidR="0088157C" w:rsidRPr="0088157C" w:rsidRDefault="0088157C" w:rsidP="0088157C">
            <w:pPr>
              <w:spacing w:after="0" w:line="240" w:lineRule="auto"/>
              <w:rPr>
                <w:rFonts w:ascii="Carlito" w:eastAsia="Times New Roman" w:hAnsi="Carlito" w:cs="Calibri"/>
                <w:b/>
                <w:bCs/>
                <w:color w:val="C65911"/>
                <w:sz w:val="26"/>
                <w:szCs w:val="26"/>
                <w:lang w:val="en-US" w:eastAsia="en-US"/>
              </w:rPr>
            </w:pPr>
            <w:r w:rsidRPr="0088157C">
              <w:rPr>
                <w:rFonts w:ascii="Carlito" w:eastAsia="Times New Roman" w:hAnsi="Carlito" w:cs="Calibri"/>
                <w:b/>
                <w:bCs/>
                <w:color w:val="C65911"/>
                <w:sz w:val="26"/>
                <w:szCs w:val="26"/>
                <w:lang w:val="en-US" w:eastAsia="en-US"/>
              </w:rPr>
              <w:t> </w:t>
            </w:r>
          </w:p>
        </w:tc>
        <w:tc>
          <w:tcPr>
            <w:tcW w:w="1208" w:type="dxa"/>
            <w:tcBorders>
              <w:top w:val="nil"/>
              <w:left w:val="nil"/>
              <w:bottom w:val="nil"/>
              <w:right w:val="nil"/>
            </w:tcBorders>
            <w:shd w:val="clear" w:color="000000" w:fill="FCE4D6"/>
            <w:vAlign w:val="bottom"/>
            <w:hideMark/>
          </w:tcPr>
          <w:p w14:paraId="692ABE12" w14:textId="77777777" w:rsidR="0088157C" w:rsidRPr="0088157C" w:rsidRDefault="0088157C" w:rsidP="0088157C">
            <w:pPr>
              <w:spacing w:after="0" w:line="240" w:lineRule="auto"/>
              <w:rPr>
                <w:rFonts w:ascii="Carlito" w:eastAsia="Times New Roman" w:hAnsi="Carlito" w:cs="Calibri"/>
                <w:b/>
                <w:bCs/>
                <w:color w:val="C65911"/>
                <w:sz w:val="26"/>
                <w:szCs w:val="26"/>
                <w:lang w:val="en-US" w:eastAsia="en-US"/>
              </w:rPr>
            </w:pPr>
            <w:r w:rsidRPr="0088157C">
              <w:rPr>
                <w:rFonts w:ascii="Carlito" w:eastAsia="Times New Roman" w:hAnsi="Carlito" w:cs="Calibri"/>
                <w:b/>
                <w:bCs/>
                <w:color w:val="C65911"/>
                <w:sz w:val="26"/>
                <w:szCs w:val="26"/>
                <w:lang w:val="en-US" w:eastAsia="en-US"/>
              </w:rPr>
              <w:t> </w:t>
            </w:r>
          </w:p>
        </w:tc>
        <w:tc>
          <w:tcPr>
            <w:tcW w:w="1208" w:type="dxa"/>
            <w:tcBorders>
              <w:top w:val="nil"/>
              <w:left w:val="nil"/>
              <w:bottom w:val="nil"/>
              <w:right w:val="nil"/>
            </w:tcBorders>
            <w:shd w:val="clear" w:color="000000" w:fill="FCE4D6"/>
            <w:vAlign w:val="bottom"/>
            <w:hideMark/>
          </w:tcPr>
          <w:p w14:paraId="27CAB226" w14:textId="77777777" w:rsidR="0088157C" w:rsidRPr="0088157C" w:rsidRDefault="0088157C" w:rsidP="0088157C">
            <w:pPr>
              <w:spacing w:after="0" w:line="240" w:lineRule="auto"/>
              <w:rPr>
                <w:rFonts w:ascii="Carlito" w:eastAsia="Times New Roman" w:hAnsi="Carlito" w:cs="Calibri"/>
                <w:b/>
                <w:bCs/>
                <w:color w:val="C65911"/>
                <w:sz w:val="26"/>
                <w:szCs w:val="26"/>
                <w:lang w:val="en-US" w:eastAsia="en-US"/>
              </w:rPr>
            </w:pPr>
            <w:r w:rsidRPr="0088157C">
              <w:rPr>
                <w:rFonts w:ascii="Carlito" w:eastAsia="Times New Roman" w:hAnsi="Carlito" w:cs="Calibri"/>
                <w:b/>
                <w:bCs/>
                <w:color w:val="C65911"/>
                <w:sz w:val="26"/>
                <w:szCs w:val="26"/>
                <w:lang w:val="en-US" w:eastAsia="en-US"/>
              </w:rPr>
              <w:t> </w:t>
            </w:r>
          </w:p>
        </w:tc>
      </w:tr>
      <w:tr w:rsidR="0088157C" w:rsidRPr="0088157C" w14:paraId="5C8B2594" w14:textId="77777777" w:rsidTr="0088157C">
        <w:trPr>
          <w:trHeight w:val="450"/>
        </w:trPr>
        <w:tc>
          <w:tcPr>
            <w:tcW w:w="3883" w:type="dxa"/>
            <w:tcBorders>
              <w:top w:val="nil"/>
              <w:left w:val="nil"/>
              <w:bottom w:val="nil"/>
              <w:right w:val="nil"/>
            </w:tcBorders>
            <w:vAlign w:val="bottom"/>
            <w:hideMark/>
          </w:tcPr>
          <w:p w14:paraId="61F179AC"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Class A Common Stock</w:t>
            </w:r>
          </w:p>
        </w:tc>
        <w:tc>
          <w:tcPr>
            <w:tcW w:w="1208" w:type="dxa"/>
            <w:tcBorders>
              <w:top w:val="nil"/>
              <w:left w:val="nil"/>
              <w:bottom w:val="nil"/>
              <w:right w:val="nil"/>
            </w:tcBorders>
            <w:vAlign w:val="bottom"/>
            <w:hideMark/>
          </w:tcPr>
          <w:p w14:paraId="07D5B57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w:t>
            </w:r>
          </w:p>
        </w:tc>
        <w:tc>
          <w:tcPr>
            <w:tcW w:w="1208" w:type="dxa"/>
            <w:tcBorders>
              <w:top w:val="nil"/>
              <w:left w:val="nil"/>
              <w:bottom w:val="nil"/>
              <w:right w:val="nil"/>
            </w:tcBorders>
            <w:vAlign w:val="bottom"/>
            <w:hideMark/>
          </w:tcPr>
          <w:p w14:paraId="2C9F8B5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w:t>
            </w:r>
          </w:p>
        </w:tc>
        <w:tc>
          <w:tcPr>
            <w:tcW w:w="1208" w:type="dxa"/>
            <w:tcBorders>
              <w:top w:val="nil"/>
              <w:left w:val="nil"/>
              <w:bottom w:val="nil"/>
              <w:right w:val="nil"/>
            </w:tcBorders>
            <w:vAlign w:val="bottom"/>
            <w:hideMark/>
          </w:tcPr>
          <w:p w14:paraId="7FB1852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w:t>
            </w:r>
          </w:p>
        </w:tc>
        <w:tc>
          <w:tcPr>
            <w:tcW w:w="1208" w:type="dxa"/>
            <w:tcBorders>
              <w:top w:val="nil"/>
              <w:left w:val="nil"/>
              <w:bottom w:val="nil"/>
              <w:right w:val="nil"/>
            </w:tcBorders>
            <w:vAlign w:val="bottom"/>
            <w:hideMark/>
          </w:tcPr>
          <w:p w14:paraId="584D6535"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w:t>
            </w:r>
          </w:p>
        </w:tc>
        <w:tc>
          <w:tcPr>
            <w:tcW w:w="1208" w:type="dxa"/>
            <w:tcBorders>
              <w:top w:val="nil"/>
              <w:left w:val="nil"/>
              <w:bottom w:val="nil"/>
              <w:right w:val="nil"/>
            </w:tcBorders>
            <w:vAlign w:val="bottom"/>
            <w:hideMark/>
          </w:tcPr>
          <w:p w14:paraId="2C3085D6"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w:t>
            </w:r>
          </w:p>
        </w:tc>
      </w:tr>
      <w:tr w:rsidR="0088157C" w:rsidRPr="0088157C" w14:paraId="0CC1C164" w14:textId="77777777" w:rsidTr="0088157C">
        <w:trPr>
          <w:trHeight w:val="450"/>
        </w:trPr>
        <w:tc>
          <w:tcPr>
            <w:tcW w:w="3883" w:type="dxa"/>
            <w:tcBorders>
              <w:top w:val="nil"/>
              <w:left w:val="nil"/>
              <w:bottom w:val="nil"/>
              <w:right w:val="nil"/>
            </w:tcBorders>
            <w:vAlign w:val="bottom"/>
            <w:hideMark/>
          </w:tcPr>
          <w:p w14:paraId="612D7981"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Additional paid-in-capital</w:t>
            </w:r>
          </w:p>
        </w:tc>
        <w:tc>
          <w:tcPr>
            <w:tcW w:w="1208" w:type="dxa"/>
            <w:tcBorders>
              <w:top w:val="nil"/>
              <w:left w:val="nil"/>
              <w:bottom w:val="nil"/>
              <w:right w:val="nil"/>
            </w:tcBorders>
            <w:vAlign w:val="bottom"/>
            <w:hideMark/>
          </w:tcPr>
          <w:p w14:paraId="289B226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6 352</w:t>
            </w:r>
          </w:p>
        </w:tc>
        <w:tc>
          <w:tcPr>
            <w:tcW w:w="1208" w:type="dxa"/>
            <w:tcBorders>
              <w:top w:val="nil"/>
              <w:left w:val="nil"/>
              <w:bottom w:val="nil"/>
              <w:right w:val="nil"/>
            </w:tcBorders>
            <w:vAlign w:val="bottom"/>
            <w:hideMark/>
          </w:tcPr>
          <w:p w14:paraId="6284A44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6 179</w:t>
            </w:r>
          </w:p>
        </w:tc>
        <w:tc>
          <w:tcPr>
            <w:tcW w:w="1208" w:type="dxa"/>
            <w:tcBorders>
              <w:top w:val="nil"/>
              <w:left w:val="nil"/>
              <w:bottom w:val="nil"/>
              <w:right w:val="nil"/>
            </w:tcBorders>
            <w:vAlign w:val="bottom"/>
            <w:hideMark/>
          </w:tcPr>
          <w:p w14:paraId="159E711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6 051</w:t>
            </w:r>
          </w:p>
        </w:tc>
        <w:tc>
          <w:tcPr>
            <w:tcW w:w="1208" w:type="dxa"/>
            <w:tcBorders>
              <w:top w:val="nil"/>
              <w:left w:val="nil"/>
              <w:bottom w:val="nil"/>
              <w:right w:val="nil"/>
            </w:tcBorders>
            <w:vAlign w:val="bottom"/>
            <w:hideMark/>
          </w:tcPr>
          <w:p w14:paraId="7A643AA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5 965</w:t>
            </w:r>
          </w:p>
        </w:tc>
        <w:tc>
          <w:tcPr>
            <w:tcW w:w="1208" w:type="dxa"/>
            <w:tcBorders>
              <w:top w:val="nil"/>
              <w:left w:val="nil"/>
              <w:bottom w:val="nil"/>
              <w:right w:val="nil"/>
            </w:tcBorders>
            <w:vAlign w:val="bottom"/>
            <w:hideMark/>
          </w:tcPr>
          <w:p w14:paraId="722B936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5 892</w:t>
            </w:r>
          </w:p>
        </w:tc>
      </w:tr>
      <w:tr w:rsidR="0088157C" w:rsidRPr="0088157C" w14:paraId="6268790D" w14:textId="77777777" w:rsidTr="0088157C">
        <w:trPr>
          <w:trHeight w:val="450"/>
        </w:trPr>
        <w:tc>
          <w:tcPr>
            <w:tcW w:w="3883" w:type="dxa"/>
            <w:tcBorders>
              <w:top w:val="nil"/>
              <w:left w:val="nil"/>
              <w:bottom w:val="nil"/>
              <w:right w:val="nil"/>
            </w:tcBorders>
            <w:vAlign w:val="bottom"/>
            <w:hideMark/>
          </w:tcPr>
          <w:p w14:paraId="0024C205"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Retained earnings</w:t>
            </w:r>
          </w:p>
        </w:tc>
        <w:tc>
          <w:tcPr>
            <w:tcW w:w="1208" w:type="dxa"/>
            <w:tcBorders>
              <w:top w:val="nil"/>
              <w:left w:val="nil"/>
              <w:bottom w:val="nil"/>
              <w:right w:val="nil"/>
            </w:tcBorders>
            <w:vAlign w:val="bottom"/>
            <w:hideMark/>
          </w:tcPr>
          <w:p w14:paraId="1D33DF2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18 414</w:t>
            </w:r>
          </w:p>
        </w:tc>
        <w:tc>
          <w:tcPr>
            <w:tcW w:w="1208" w:type="dxa"/>
            <w:tcBorders>
              <w:top w:val="nil"/>
              <w:left w:val="nil"/>
              <w:bottom w:val="nil"/>
              <w:right w:val="nil"/>
            </w:tcBorders>
            <w:vAlign w:val="bottom"/>
            <w:hideMark/>
          </w:tcPr>
          <w:p w14:paraId="6A03E05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16 531</w:t>
            </w:r>
          </w:p>
        </w:tc>
        <w:tc>
          <w:tcPr>
            <w:tcW w:w="1208" w:type="dxa"/>
            <w:tcBorders>
              <w:top w:val="nil"/>
              <w:left w:val="nil"/>
              <w:bottom w:val="nil"/>
              <w:right w:val="nil"/>
            </w:tcBorders>
            <w:vAlign w:val="bottom"/>
            <w:hideMark/>
          </w:tcPr>
          <w:p w14:paraId="31C31CD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14 838</w:t>
            </w:r>
          </w:p>
        </w:tc>
        <w:tc>
          <w:tcPr>
            <w:tcW w:w="1208" w:type="dxa"/>
            <w:tcBorders>
              <w:top w:val="nil"/>
              <w:left w:val="nil"/>
              <w:bottom w:val="nil"/>
              <w:right w:val="nil"/>
            </w:tcBorders>
            <w:vAlign w:val="bottom"/>
            <w:hideMark/>
          </w:tcPr>
          <w:p w14:paraId="253526EA"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12 342</w:t>
            </w:r>
          </w:p>
        </w:tc>
        <w:tc>
          <w:tcPr>
            <w:tcW w:w="1208" w:type="dxa"/>
            <w:tcBorders>
              <w:top w:val="nil"/>
              <w:left w:val="nil"/>
              <w:bottom w:val="nil"/>
              <w:right w:val="nil"/>
            </w:tcBorders>
            <w:vAlign w:val="bottom"/>
            <w:hideMark/>
          </w:tcPr>
          <w:p w14:paraId="0322A033"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10 305</w:t>
            </w:r>
          </w:p>
        </w:tc>
      </w:tr>
      <w:tr w:rsidR="0088157C" w:rsidRPr="0088157C" w14:paraId="408805D7" w14:textId="77777777" w:rsidTr="0088157C">
        <w:trPr>
          <w:trHeight w:val="450"/>
        </w:trPr>
        <w:tc>
          <w:tcPr>
            <w:tcW w:w="3883" w:type="dxa"/>
            <w:tcBorders>
              <w:top w:val="nil"/>
              <w:left w:val="nil"/>
              <w:bottom w:val="nil"/>
              <w:right w:val="nil"/>
            </w:tcBorders>
            <w:vAlign w:val="bottom"/>
            <w:hideMark/>
          </w:tcPr>
          <w:p w14:paraId="5CF8CE3A"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Treasury stock, at cost</w:t>
            </w:r>
          </w:p>
        </w:tc>
        <w:tc>
          <w:tcPr>
            <w:tcW w:w="1208" w:type="dxa"/>
            <w:tcBorders>
              <w:top w:val="nil"/>
              <w:left w:val="nil"/>
              <w:bottom w:val="nil"/>
              <w:right w:val="nil"/>
            </w:tcBorders>
            <w:vAlign w:val="bottom"/>
            <w:hideMark/>
          </w:tcPr>
          <w:p w14:paraId="500C6421"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(27 900)</w:t>
            </w:r>
          </w:p>
        </w:tc>
        <w:tc>
          <w:tcPr>
            <w:tcW w:w="1208" w:type="dxa"/>
            <w:tcBorders>
              <w:top w:val="nil"/>
              <w:left w:val="nil"/>
              <w:bottom w:val="nil"/>
              <w:right w:val="nil"/>
            </w:tcBorders>
            <w:vAlign w:val="bottom"/>
            <w:hideMark/>
          </w:tcPr>
          <w:p w14:paraId="066A36C2"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(24 644)</w:t>
            </w:r>
          </w:p>
        </w:tc>
        <w:tc>
          <w:tcPr>
            <w:tcW w:w="1208" w:type="dxa"/>
            <w:tcBorders>
              <w:top w:val="nil"/>
              <w:left w:val="nil"/>
              <w:bottom w:val="nil"/>
              <w:right w:val="nil"/>
            </w:tcBorders>
            <w:vAlign w:val="bottom"/>
            <w:hideMark/>
          </w:tcPr>
          <w:p w14:paraId="33C3721D"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(20 929)</w:t>
            </w:r>
          </w:p>
        </w:tc>
        <w:tc>
          <w:tcPr>
            <w:tcW w:w="1208" w:type="dxa"/>
            <w:tcBorders>
              <w:top w:val="nil"/>
              <w:left w:val="nil"/>
              <w:bottom w:val="nil"/>
              <w:right w:val="nil"/>
            </w:tcBorders>
            <w:vAlign w:val="bottom"/>
            <w:hideMark/>
          </w:tcPr>
          <w:p w14:paraId="6BFDA0DE"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(17 015)</w:t>
            </w:r>
          </w:p>
        </w:tc>
        <w:tc>
          <w:tcPr>
            <w:tcW w:w="1208" w:type="dxa"/>
            <w:tcBorders>
              <w:top w:val="nil"/>
              <w:left w:val="nil"/>
              <w:bottom w:val="nil"/>
              <w:right w:val="nil"/>
            </w:tcBorders>
            <w:vAlign w:val="bottom"/>
            <w:hideMark/>
          </w:tcPr>
          <w:p w14:paraId="7C1158C9"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(14 446)</w:t>
            </w:r>
          </w:p>
        </w:tc>
      </w:tr>
      <w:tr w:rsidR="0088157C" w:rsidRPr="0088157C" w14:paraId="59F10647" w14:textId="77777777" w:rsidTr="0088157C">
        <w:trPr>
          <w:trHeight w:val="450"/>
        </w:trPr>
        <w:tc>
          <w:tcPr>
            <w:tcW w:w="3883" w:type="dxa"/>
            <w:tcBorders>
              <w:top w:val="nil"/>
              <w:left w:val="nil"/>
              <w:bottom w:val="nil"/>
              <w:right w:val="nil"/>
            </w:tcBorders>
            <w:vAlign w:val="bottom"/>
            <w:hideMark/>
          </w:tcPr>
          <w:p w14:paraId="3D54D575" w14:textId="77777777" w:rsidR="0088157C" w:rsidRPr="0088157C" w:rsidRDefault="0088157C" w:rsidP="0088157C">
            <w:pPr>
              <w:spacing w:after="0" w:line="240" w:lineRule="auto"/>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Accumulated other comprehensive loss</w:t>
            </w:r>
          </w:p>
        </w:tc>
        <w:tc>
          <w:tcPr>
            <w:tcW w:w="1208" w:type="dxa"/>
            <w:tcBorders>
              <w:top w:val="nil"/>
              <w:left w:val="nil"/>
              <w:bottom w:val="nil"/>
              <w:right w:val="nil"/>
            </w:tcBorders>
            <w:vAlign w:val="bottom"/>
            <w:hideMark/>
          </w:tcPr>
          <w:p w14:paraId="7A8DC6DC"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(642)</w:t>
            </w:r>
          </w:p>
        </w:tc>
        <w:tc>
          <w:tcPr>
            <w:tcW w:w="1208" w:type="dxa"/>
            <w:tcBorders>
              <w:top w:val="nil"/>
              <w:left w:val="nil"/>
              <w:bottom w:val="nil"/>
              <w:right w:val="nil"/>
            </w:tcBorders>
            <w:vAlign w:val="bottom"/>
            <w:hideMark/>
          </w:tcPr>
          <w:p w14:paraId="2C12F290"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(1 063)</w:t>
            </w:r>
          </w:p>
        </w:tc>
        <w:tc>
          <w:tcPr>
            <w:tcW w:w="1208" w:type="dxa"/>
            <w:tcBorders>
              <w:top w:val="nil"/>
              <w:left w:val="nil"/>
              <w:bottom w:val="nil"/>
              <w:right w:val="nil"/>
            </w:tcBorders>
            <w:vAlign w:val="bottom"/>
            <w:hideMark/>
          </w:tcPr>
          <w:p w14:paraId="6DF055E7"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(647)</w:t>
            </w:r>
          </w:p>
        </w:tc>
        <w:tc>
          <w:tcPr>
            <w:tcW w:w="1208" w:type="dxa"/>
            <w:tcBorders>
              <w:top w:val="nil"/>
              <w:left w:val="nil"/>
              <w:bottom w:val="nil"/>
              <w:right w:val="nil"/>
            </w:tcBorders>
            <w:vAlign w:val="bottom"/>
            <w:hideMark/>
          </w:tcPr>
          <w:p w14:paraId="381C65B8"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(729)</w:t>
            </w:r>
          </w:p>
        </w:tc>
        <w:tc>
          <w:tcPr>
            <w:tcW w:w="1208" w:type="dxa"/>
            <w:tcBorders>
              <w:top w:val="nil"/>
              <w:left w:val="nil"/>
              <w:bottom w:val="nil"/>
              <w:right w:val="nil"/>
            </w:tcBorders>
            <w:vAlign w:val="bottom"/>
            <w:hideMark/>
          </w:tcPr>
          <w:p w14:paraId="347725C7" w14:textId="77777777" w:rsidR="0088157C" w:rsidRPr="0088157C" w:rsidRDefault="0088157C" w:rsidP="0088157C">
            <w:pPr>
              <w:spacing w:after="0" w:line="240" w:lineRule="auto"/>
              <w:jc w:val="right"/>
              <w:rPr>
                <w:rFonts w:ascii="Calibri" w:eastAsia="Times New Roman" w:hAnsi="Calibri" w:cs="Calibri"/>
                <w:color w:val="000000"/>
                <w:sz w:val="22"/>
                <w:szCs w:val="22"/>
                <w:lang w:val="en-US" w:eastAsia="en-US"/>
              </w:rPr>
            </w:pPr>
            <w:r w:rsidRPr="0088157C">
              <w:rPr>
                <w:rFonts w:ascii="Calibri" w:eastAsia="Times New Roman" w:hAnsi="Calibri" w:cs="Calibri"/>
                <w:color w:val="000000"/>
                <w:sz w:val="22"/>
                <w:szCs w:val="22"/>
                <w:lang w:val="en-US" w:eastAsia="en-US"/>
              </w:rPr>
              <w:t>(342)</w:t>
            </w:r>
          </w:p>
        </w:tc>
      </w:tr>
      <w:tr w:rsidR="0088157C" w:rsidRPr="0088157C" w14:paraId="3B5459DA" w14:textId="77777777" w:rsidTr="0088157C">
        <w:trPr>
          <w:trHeight w:val="450"/>
        </w:trPr>
        <w:tc>
          <w:tcPr>
            <w:tcW w:w="3883" w:type="dxa"/>
            <w:tcBorders>
              <w:top w:val="nil"/>
              <w:left w:val="nil"/>
              <w:bottom w:val="nil"/>
              <w:right w:val="nil"/>
            </w:tcBorders>
            <w:shd w:val="clear" w:color="000000" w:fill="FCE4D6"/>
            <w:vAlign w:val="bottom"/>
            <w:hideMark/>
          </w:tcPr>
          <w:p w14:paraId="0E8ABA79" w14:textId="77777777" w:rsidR="0088157C" w:rsidRPr="0088157C" w:rsidRDefault="0088157C" w:rsidP="0088157C">
            <w:pPr>
              <w:spacing w:after="0" w:line="240" w:lineRule="auto"/>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TOTAL SHAREHOLDERS' EQUITY (DEFICIT)</w:t>
            </w:r>
          </w:p>
        </w:tc>
        <w:tc>
          <w:tcPr>
            <w:tcW w:w="1208" w:type="dxa"/>
            <w:tcBorders>
              <w:top w:val="nil"/>
              <w:left w:val="nil"/>
              <w:bottom w:val="nil"/>
              <w:right w:val="nil"/>
            </w:tcBorders>
            <w:shd w:val="clear" w:color="000000" w:fill="FCE4D6"/>
            <w:vAlign w:val="bottom"/>
            <w:hideMark/>
          </w:tcPr>
          <w:p w14:paraId="7B205DEA"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(3 771)</w:t>
            </w:r>
          </w:p>
        </w:tc>
        <w:tc>
          <w:tcPr>
            <w:tcW w:w="1208" w:type="dxa"/>
            <w:tcBorders>
              <w:top w:val="nil"/>
              <w:left w:val="nil"/>
              <w:bottom w:val="nil"/>
              <w:right w:val="nil"/>
            </w:tcBorders>
            <w:shd w:val="clear" w:color="000000" w:fill="FCE4D6"/>
            <w:vAlign w:val="bottom"/>
            <w:hideMark/>
          </w:tcPr>
          <w:p w14:paraId="23BFCF6C"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(2 992)</w:t>
            </w:r>
          </w:p>
        </w:tc>
        <w:tc>
          <w:tcPr>
            <w:tcW w:w="1208" w:type="dxa"/>
            <w:tcBorders>
              <w:top w:val="nil"/>
              <w:left w:val="nil"/>
              <w:bottom w:val="nil"/>
              <w:right w:val="nil"/>
            </w:tcBorders>
            <w:shd w:val="clear" w:color="000000" w:fill="FCE4D6"/>
            <w:vAlign w:val="bottom"/>
            <w:hideMark/>
          </w:tcPr>
          <w:p w14:paraId="10852DFD"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(682)</w:t>
            </w:r>
          </w:p>
        </w:tc>
        <w:tc>
          <w:tcPr>
            <w:tcW w:w="1208" w:type="dxa"/>
            <w:tcBorders>
              <w:top w:val="nil"/>
              <w:left w:val="nil"/>
              <w:bottom w:val="nil"/>
              <w:right w:val="nil"/>
            </w:tcBorders>
            <w:shd w:val="clear" w:color="000000" w:fill="FCE4D6"/>
            <w:vAlign w:val="bottom"/>
            <w:hideMark/>
          </w:tcPr>
          <w:p w14:paraId="60420EE3"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568</w:t>
            </w:r>
          </w:p>
        </w:tc>
        <w:tc>
          <w:tcPr>
            <w:tcW w:w="1208" w:type="dxa"/>
            <w:tcBorders>
              <w:top w:val="nil"/>
              <w:left w:val="nil"/>
              <w:bottom w:val="nil"/>
              <w:right w:val="nil"/>
            </w:tcBorders>
            <w:shd w:val="clear" w:color="000000" w:fill="FCE4D6"/>
            <w:vAlign w:val="bottom"/>
            <w:hideMark/>
          </w:tcPr>
          <w:p w14:paraId="6141FB58"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r w:rsidRPr="0088157C">
              <w:rPr>
                <w:rFonts w:ascii="Carlito" w:eastAsia="Times New Roman" w:hAnsi="Carlito" w:cs="Calibri"/>
                <w:b/>
                <w:bCs/>
                <w:color w:val="000000"/>
                <w:sz w:val="22"/>
                <w:szCs w:val="22"/>
                <w:lang w:val="en-US" w:eastAsia="en-US"/>
              </w:rPr>
              <w:t>1 414</w:t>
            </w:r>
          </w:p>
        </w:tc>
      </w:tr>
      <w:tr w:rsidR="0088157C" w:rsidRPr="0088157C" w14:paraId="1755D1DA" w14:textId="77777777" w:rsidTr="0088157C">
        <w:trPr>
          <w:trHeight w:val="450"/>
        </w:trPr>
        <w:tc>
          <w:tcPr>
            <w:tcW w:w="3883" w:type="dxa"/>
            <w:tcBorders>
              <w:top w:val="nil"/>
              <w:left w:val="nil"/>
              <w:bottom w:val="nil"/>
              <w:right w:val="nil"/>
            </w:tcBorders>
            <w:vAlign w:val="bottom"/>
            <w:hideMark/>
          </w:tcPr>
          <w:p w14:paraId="2E07D5D7" w14:textId="77777777" w:rsidR="0088157C" w:rsidRPr="0088157C" w:rsidRDefault="0088157C" w:rsidP="0088157C">
            <w:pPr>
              <w:spacing w:after="0" w:line="240" w:lineRule="auto"/>
              <w:jc w:val="right"/>
              <w:rPr>
                <w:rFonts w:ascii="Carlito" w:eastAsia="Times New Roman" w:hAnsi="Carlito" w:cs="Calibri"/>
                <w:b/>
                <w:bCs/>
                <w:color w:val="000000"/>
                <w:sz w:val="22"/>
                <w:szCs w:val="22"/>
                <w:lang w:val="en-US" w:eastAsia="en-US"/>
              </w:rPr>
            </w:pPr>
          </w:p>
        </w:tc>
        <w:tc>
          <w:tcPr>
            <w:tcW w:w="1208" w:type="dxa"/>
            <w:tcBorders>
              <w:top w:val="nil"/>
              <w:left w:val="nil"/>
              <w:bottom w:val="nil"/>
              <w:right w:val="nil"/>
            </w:tcBorders>
            <w:vAlign w:val="bottom"/>
            <w:hideMark/>
          </w:tcPr>
          <w:p w14:paraId="7DA3642E" w14:textId="77777777" w:rsidR="0088157C" w:rsidRPr="0088157C" w:rsidRDefault="0088157C" w:rsidP="0088157C">
            <w:pPr>
              <w:spacing w:after="0" w:line="240" w:lineRule="auto"/>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00473911"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4764FA7F"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07EAB242"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51C540DA"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r>
      <w:tr w:rsidR="0088157C" w:rsidRPr="0088157C" w14:paraId="54BF9FFE" w14:textId="77777777" w:rsidTr="0088157C">
        <w:trPr>
          <w:trHeight w:val="450"/>
        </w:trPr>
        <w:tc>
          <w:tcPr>
            <w:tcW w:w="3883" w:type="dxa"/>
            <w:tcBorders>
              <w:top w:val="nil"/>
              <w:left w:val="nil"/>
              <w:bottom w:val="nil"/>
              <w:right w:val="nil"/>
            </w:tcBorders>
            <w:shd w:val="clear" w:color="000000" w:fill="1F4E78"/>
            <w:vAlign w:val="bottom"/>
            <w:hideMark/>
          </w:tcPr>
          <w:p w14:paraId="526045D3" w14:textId="77777777" w:rsidR="0088157C" w:rsidRPr="0088157C" w:rsidRDefault="0088157C" w:rsidP="0088157C">
            <w:pPr>
              <w:spacing w:after="0" w:line="240" w:lineRule="auto"/>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TOTAL LIABILITIES &amp; SHAREHOLDERS' EQUITY</w:t>
            </w:r>
          </w:p>
        </w:tc>
        <w:tc>
          <w:tcPr>
            <w:tcW w:w="1208" w:type="dxa"/>
            <w:tcBorders>
              <w:top w:val="nil"/>
              <w:left w:val="nil"/>
              <w:bottom w:val="nil"/>
              <w:right w:val="nil"/>
            </w:tcBorders>
            <w:shd w:val="clear" w:color="000000" w:fill="1F4E78"/>
            <w:vAlign w:val="bottom"/>
            <w:hideMark/>
          </w:tcPr>
          <w:p w14:paraId="5263A13E"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27 540</w:t>
            </w:r>
          </w:p>
        </w:tc>
        <w:tc>
          <w:tcPr>
            <w:tcW w:w="1208" w:type="dxa"/>
            <w:tcBorders>
              <w:top w:val="nil"/>
              <w:left w:val="nil"/>
              <w:bottom w:val="nil"/>
              <w:right w:val="nil"/>
            </w:tcBorders>
            <w:shd w:val="clear" w:color="000000" w:fill="1F4E78"/>
            <w:vAlign w:val="bottom"/>
            <w:hideMark/>
          </w:tcPr>
          <w:p w14:paraId="532DAF73"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26 182</w:t>
            </w:r>
          </w:p>
        </w:tc>
        <w:tc>
          <w:tcPr>
            <w:tcW w:w="1208" w:type="dxa"/>
            <w:tcBorders>
              <w:top w:val="nil"/>
              <w:left w:val="nil"/>
              <w:bottom w:val="nil"/>
              <w:right w:val="nil"/>
            </w:tcBorders>
            <w:shd w:val="clear" w:color="000000" w:fill="1F4E78"/>
            <w:vAlign w:val="bottom"/>
            <w:hideMark/>
          </w:tcPr>
          <w:p w14:paraId="1AB0A625"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25 674</w:t>
            </w:r>
          </w:p>
        </w:tc>
        <w:tc>
          <w:tcPr>
            <w:tcW w:w="1208" w:type="dxa"/>
            <w:tcBorders>
              <w:top w:val="nil"/>
              <w:left w:val="nil"/>
              <w:bottom w:val="nil"/>
              <w:right w:val="nil"/>
            </w:tcBorders>
            <w:shd w:val="clear" w:color="000000" w:fill="1F4E78"/>
            <w:vAlign w:val="bottom"/>
            <w:hideMark/>
          </w:tcPr>
          <w:p w14:paraId="05E2AB58"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24 815</w:t>
            </w:r>
          </w:p>
        </w:tc>
        <w:tc>
          <w:tcPr>
            <w:tcW w:w="1208" w:type="dxa"/>
            <w:tcBorders>
              <w:top w:val="nil"/>
              <w:left w:val="nil"/>
              <w:bottom w:val="nil"/>
              <w:right w:val="nil"/>
            </w:tcBorders>
            <w:shd w:val="clear" w:color="000000" w:fill="1F4E78"/>
            <w:vAlign w:val="bottom"/>
            <w:hideMark/>
          </w:tcPr>
          <w:p w14:paraId="63D3F089"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r w:rsidRPr="0088157C">
              <w:rPr>
                <w:rFonts w:ascii="Carlito" w:eastAsia="Times New Roman" w:hAnsi="Carlito" w:cs="Calibri"/>
                <w:b/>
                <w:bCs/>
                <w:color w:val="FFFFFF"/>
                <w:sz w:val="22"/>
                <w:szCs w:val="22"/>
                <w:lang w:val="en-US" w:eastAsia="en-US"/>
              </w:rPr>
              <w:t>25 553</w:t>
            </w:r>
          </w:p>
        </w:tc>
      </w:tr>
      <w:tr w:rsidR="0088157C" w:rsidRPr="0088157C" w14:paraId="6FA13E33" w14:textId="77777777" w:rsidTr="0088157C">
        <w:trPr>
          <w:trHeight w:val="450"/>
        </w:trPr>
        <w:tc>
          <w:tcPr>
            <w:tcW w:w="3883" w:type="dxa"/>
            <w:tcBorders>
              <w:top w:val="nil"/>
              <w:left w:val="nil"/>
              <w:bottom w:val="nil"/>
              <w:right w:val="nil"/>
            </w:tcBorders>
            <w:vAlign w:val="bottom"/>
            <w:hideMark/>
          </w:tcPr>
          <w:p w14:paraId="5669C683" w14:textId="77777777" w:rsidR="0088157C" w:rsidRPr="0088157C" w:rsidRDefault="0088157C" w:rsidP="0088157C">
            <w:pPr>
              <w:spacing w:after="0" w:line="240" w:lineRule="auto"/>
              <w:jc w:val="right"/>
              <w:rPr>
                <w:rFonts w:ascii="Carlito" w:eastAsia="Times New Roman" w:hAnsi="Carlito" w:cs="Calibri"/>
                <w:b/>
                <w:bCs/>
                <w:color w:val="FFFFFF"/>
                <w:sz w:val="22"/>
                <w:szCs w:val="22"/>
                <w:lang w:val="en-US" w:eastAsia="en-US"/>
              </w:rPr>
            </w:pPr>
          </w:p>
        </w:tc>
        <w:tc>
          <w:tcPr>
            <w:tcW w:w="1208" w:type="dxa"/>
            <w:tcBorders>
              <w:top w:val="nil"/>
              <w:left w:val="nil"/>
              <w:bottom w:val="nil"/>
              <w:right w:val="nil"/>
            </w:tcBorders>
            <w:vAlign w:val="bottom"/>
            <w:hideMark/>
          </w:tcPr>
          <w:p w14:paraId="32F1775E" w14:textId="77777777" w:rsidR="0088157C" w:rsidRPr="0088157C" w:rsidRDefault="0088157C" w:rsidP="0088157C">
            <w:pPr>
              <w:spacing w:after="0" w:line="240" w:lineRule="auto"/>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747D1A93"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7E7179E7"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625E8089"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c>
          <w:tcPr>
            <w:tcW w:w="1208" w:type="dxa"/>
            <w:tcBorders>
              <w:top w:val="nil"/>
              <w:left w:val="nil"/>
              <w:bottom w:val="nil"/>
              <w:right w:val="nil"/>
            </w:tcBorders>
            <w:vAlign w:val="bottom"/>
            <w:hideMark/>
          </w:tcPr>
          <w:p w14:paraId="5E75FE14" w14:textId="77777777" w:rsidR="0088157C" w:rsidRPr="0088157C" w:rsidRDefault="0088157C" w:rsidP="0088157C">
            <w:pPr>
              <w:spacing w:after="0" w:line="240" w:lineRule="auto"/>
              <w:jc w:val="right"/>
              <w:rPr>
                <w:rFonts w:ascii="Times New Roman" w:eastAsia="Times New Roman" w:hAnsi="Times New Roman" w:cs="Times New Roman"/>
                <w:sz w:val="20"/>
                <w:szCs w:val="20"/>
                <w:lang w:val="en-US" w:eastAsia="en-US"/>
              </w:rPr>
            </w:pPr>
          </w:p>
        </w:tc>
      </w:tr>
      <w:tr w:rsidR="0088157C" w:rsidRPr="0088157C" w14:paraId="2499D326" w14:textId="77777777" w:rsidTr="0088157C">
        <w:trPr>
          <w:trHeight w:val="450"/>
        </w:trPr>
        <w:tc>
          <w:tcPr>
            <w:tcW w:w="3883" w:type="dxa"/>
            <w:tcBorders>
              <w:top w:val="nil"/>
              <w:left w:val="nil"/>
              <w:bottom w:val="nil"/>
              <w:right w:val="nil"/>
            </w:tcBorders>
            <w:shd w:val="clear" w:color="000000" w:fill="FFF2CC"/>
            <w:vAlign w:val="bottom"/>
            <w:hideMark/>
          </w:tcPr>
          <w:p w14:paraId="17DC0AD0" w14:textId="77777777" w:rsidR="0088157C" w:rsidRPr="0088157C" w:rsidRDefault="0088157C" w:rsidP="0088157C">
            <w:pPr>
              <w:spacing w:after="0" w:line="240" w:lineRule="auto"/>
              <w:rPr>
                <w:rFonts w:ascii="Carlito" w:eastAsia="Times New Roman" w:hAnsi="Carlito" w:cs="Calibri"/>
                <w:sz w:val="20"/>
                <w:szCs w:val="20"/>
                <w:lang w:val="en-US" w:eastAsia="en-US"/>
              </w:rPr>
            </w:pPr>
            <w:r w:rsidRPr="0088157C">
              <w:rPr>
                <w:rFonts w:ascii="Carlito" w:eastAsia="Times New Roman" w:hAnsi="Carlito" w:cs="Calibri"/>
                <w:sz w:val="20"/>
                <w:szCs w:val="20"/>
                <w:lang w:val="en-US" w:eastAsia="en-US"/>
              </w:rPr>
              <w:t>Source</w:t>
            </w:r>
          </w:p>
        </w:tc>
        <w:tc>
          <w:tcPr>
            <w:tcW w:w="6040" w:type="dxa"/>
            <w:gridSpan w:val="5"/>
            <w:tcBorders>
              <w:top w:val="nil"/>
              <w:left w:val="nil"/>
              <w:bottom w:val="nil"/>
              <w:right w:val="nil"/>
            </w:tcBorders>
            <w:shd w:val="clear" w:color="000000" w:fill="FFF2CC"/>
            <w:vAlign w:val="bottom"/>
            <w:hideMark/>
          </w:tcPr>
          <w:p w14:paraId="6F9790C5" w14:textId="77777777" w:rsidR="0088157C" w:rsidRPr="0088157C" w:rsidRDefault="0088157C" w:rsidP="0088157C">
            <w:pPr>
              <w:spacing w:after="0" w:line="240" w:lineRule="auto"/>
              <w:jc w:val="right"/>
              <w:rPr>
                <w:rFonts w:ascii="Carlito" w:eastAsia="Times New Roman" w:hAnsi="Carlito" w:cs="Calibri"/>
                <w:sz w:val="20"/>
                <w:szCs w:val="20"/>
                <w:lang w:val="en-US" w:eastAsia="en-US"/>
              </w:rPr>
            </w:pPr>
            <w:r w:rsidRPr="0088157C">
              <w:rPr>
                <w:rFonts w:ascii="Carlito" w:eastAsia="Times New Roman" w:hAnsi="Carlito" w:cs="Calibri"/>
                <w:sz w:val="20"/>
                <w:szCs w:val="20"/>
                <w:lang w:val="en-US" w:eastAsia="en-US"/>
              </w:rPr>
              <w:t>Marriott International Annual Reports 2021-2025, Consolidated Balance Sheets</w:t>
            </w:r>
          </w:p>
        </w:tc>
      </w:tr>
      <w:tr w:rsidR="0088157C" w:rsidRPr="0088157C" w14:paraId="3620595A" w14:textId="77777777" w:rsidTr="0088157C">
        <w:trPr>
          <w:trHeight w:val="450"/>
        </w:trPr>
        <w:tc>
          <w:tcPr>
            <w:tcW w:w="3883" w:type="dxa"/>
            <w:tcBorders>
              <w:top w:val="nil"/>
              <w:left w:val="nil"/>
              <w:bottom w:val="nil"/>
              <w:right w:val="nil"/>
            </w:tcBorders>
            <w:shd w:val="clear" w:color="000000" w:fill="FFF2CC"/>
            <w:vAlign w:val="bottom"/>
            <w:hideMark/>
          </w:tcPr>
          <w:p w14:paraId="3C461CC4" w14:textId="77777777" w:rsidR="0088157C" w:rsidRPr="0088157C" w:rsidRDefault="0088157C" w:rsidP="0088157C">
            <w:pPr>
              <w:spacing w:after="0" w:line="240" w:lineRule="auto"/>
              <w:rPr>
                <w:rFonts w:ascii="Carlito" w:eastAsia="Times New Roman" w:hAnsi="Carlito" w:cs="Calibri"/>
                <w:sz w:val="20"/>
                <w:szCs w:val="20"/>
                <w:lang w:val="en-US" w:eastAsia="en-US"/>
              </w:rPr>
            </w:pPr>
            <w:r w:rsidRPr="0088157C">
              <w:rPr>
                <w:rFonts w:ascii="Carlito" w:eastAsia="Times New Roman" w:hAnsi="Carlito" w:cs="Calibri"/>
                <w:sz w:val="20"/>
                <w:szCs w:val="20"/>
                <w:lang w:val="en-US" w:eastAsia="en-US"/>
              </w:rPr>
              <w:t>Official annual reports page</w:t>
            </w:r>
          </w:p>
        </w:tc>
        <w:tc>
          <w:tcPr>
            <w:tcW w:w="6040" w:type="dxa"/>
            <w:gridSpan w:val="5"/>
            <w:tcBorders>
              <w:top w:val="nil"/>
              <w:left w:val="nil"/>
              <w:bottom w:val="nil"/>
              <w:right w:val="nil"/>
            </w:tcBorders>
            <w:shd w:val="clear" w:color="000000" w:fill="FFF2CC"/>
            <w:vAlign w:val="bottom"/>
            <w:hideMark/>
          </w:tcPr>
          <w:p w14:paraId="68CA5B60" w14:textId="77777777" w:rsidR="0088157C" w:rsidRPr="0088157C" w:rsidRDefault="0088157C" w:rsidP="0088157C">
            <w:pPr>
              <w:spacing w:after="0" w:line="240" w:lineRule="auto"/>
              <w:jc w:val="right"/>
              <w:rPr>
                <w:rFonts w:ascii="Carlito" w:eastAsia="Times New Roman" w:hAnsi="Carlito" w:cs="Calibri"/>
                <w:sz w:val="20"/>
                <w:szCs w:val="20"/>
                <w:lang w:val="en-US" w:eastAsia="en-US"/>
              </w:rPr>
            </w:pPr>
            <w:r w:rsidRPr="0088157C">
              <w:rPr>
                <w:rFonts w:ascii="Carlito" w:eastAsia="Times New Roman" w:hAnsi="Carlito" w:cs="Calibri"/>
                <w:sz w:val="20"/>
                <w:szCs w:val="20"/>
                <w:lang w:val="en-US" w:eastAsia="en-US"/>
              </w:rPr>
              <w:t>https://marriott.gcs-web.com/annual</w:t>
            </w:r>
          </w:p>
        </w:tc>
      </w:tr>
    </w:tbl>
    <w:p w14:paraId="16D9CCA4" w14:textId="77777777" w:rsidR="0088157C" w:rsidRDefault="0088157C" w:rsidP="00B9519C">
      <w:pPr>
        <w:rPr>
          <w:b/>
          <w:bCs/>
          <w:lang w:val="en-US"/>
        </w:rPr>
      </w:pPr>
    </w:p>
    <w:p w14:paraId="70E64013" w14:textId="77777777" w:rsidR="0088157C" w:rsidRDefault="0088157C" w:rsidP="00B9519C">
      <w:pPr>
        <w:rPr>
          <w:b/>
          <w:bCs/>
          <w:lang w:val="en-US"/>
        </w:rPr>
      </w:pPr>
    </w:p>
    <w:p w14:paraId="29B82DA9" w14:textId="77777777" w:rsidR="0088157C" w:rsidRDefault="0088157C" w:rsidP="00B9519C">
      <w:pPr>
        <w:rPr>
          <w:lang w:val="en-US"/>
        </w:rPr>
      </w:pPr>
    </w:p>
    <w:p w14:paraId="61A2C1A3" w14:textId="77777777" w:rsidR="005025C3" w:rsidRDefault="005025C3" w:rsidP="00B9519C">
      <w:pPr>
        <w:rPr>
          <w:lang w:val="en-US"/>
        </w:rPr>
      </w:pPr>
    </w:p>
    <w:p w14:paraId="54471245" w14:textId="77777777" w:rsidR="005025C3" w:rsidRPr="00B9519C" w:rsidRDefault="005025C3" w:rsidP="00B9519C">
      <w:pPr>
        <w:rPr>
          <w:lang w:val="en-US"/>
        </w:rPr>
      </w:pPr>
    </w:p>
    <w:p w14:paraId="23B43444" w14:textId="77777777" w:rsidR="00B9519C" w:rsidRDefault="00B9519C" w:rsidP="00B9519C">
      <w:pPr>
        <w:rPr>
          <w:b/>
          <w:bCs/>
          <w:lang w:val="en-US"/>
        </w:rPr>
      </w:pPr>
      <w:r w:rsidRPr="00B9519C">
        <w:rPr>
          <w:b/>
          <w:bCs/>
          <w:lang w:val="en-US"/>
        </w:rPr>
        <w:lastRenderedPageBreak/>
        <w:t>Appendix C – Consolidated Statements of Cash Flows (2021–2025)</w:t>
      </w:r>
    </w:p>
    <w:p w14:paraId="07E411FC" w14:textId="77777777" w:rsidR="0088157C" w:rsidRDefault="0088157C" w:rsidP="00B9519C">
      <w:pPr>
        <w:rPr>
          <w:b/>
          <w:bCs/>
          <w:lang w:val="en-US"/>
        </w:rPr>
      </w:pPr>
    </w:p>
    <w:tbl>
      <w:tblPr>
        <w:tblW w:w="9800" w:type="dxa"/>
        <w:tblLook w:val="04A0" w:firstRow="1" w:lastRow="0" w:firstColumn="1" w:lastColumn="0" w:noHBand="0" w:noVBand="1"/>
      </w:tblPr>
      <w:tblGrid>
        <w:gridCol w:w="4164"/>
        <w:gridCol w:w="1133"/>
        <w:gridCol w:w="1133"/>
        <w:gridCol w:w="1133"/>
        <w:gridCol w:w="1103"/>
        <w:gridCol w:w="1134"/>
      </w:tblGrid>
      <w:tr w:rsidR="004A45B0" w:rsidRPr="004A45B0" w14:paraId="2B775347" w14:textId="77777777" w:rsidTr="004A45B0">
        <w:trPr>
          <w:trHeight w:val="287"/>
        </w:trPr>
        <w:tc>
          <w:tcPr>
            <w:tcW w:w="9800" w:type="dxa"/>
            <w:gridSpan w:val="6"/>
            <w:tcBorders>
              <w:top w:val="nil"/>
              <w:left w:val="nil"/>
              <w:bottom w:val="nil"/>
              <w:right w:val="nil"/>
            </w:tcBorders>
            <w:shd w:val="clear" w:color="000000" w:fill="1F4E78"/>
            <w:vAlign w:val="center"/>
            <w:hideMark/>
          </w:tcPr>
          <w:p w14:paraId="210DDA2A" w14:textId="77777777" w:rsidR="004A45B0" w:rsidRPr="004A45B0" w:rsidRDefault="004A45B0" w:rsidP="004A45B0">
            <w:pPr>
              <w:spacing w:after="0" w:line="240" w:lineRule="auto"/>
              <w:jc w:val="center"/>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MARRIOTT INTERNATIONAL, INC.</w:t>
            </w:r>
          </w:p>
        </w:tc>
      </w:tr>
      <w:tr w:rsidR="004A45B0" w:rsidRPr="004A45B0" w14:paraId="12754C15" w14:textId="77777777" w:rsidTr="004A45B0">
        <w:trPr>
          <w:trHeight w:val="287"/>
        </w:trPr>
        <w:tc>
          <w:tcPr>
            <w:tcW w:w="9800" w:type="dxa"/>
            <w:gridSpan w:val="6"/>
            <w:tcBorders>
              <w:top w:val="nil"/>
              <w:left w:val="nil"/>
              <w:bottom w:val="nil"/>
              <w:right w:val="nil"/>
            </w:tcBorders>
            <w:shd w:val="clear" w:color="000000" w:fill="1F4E78"/>
            <w:vAlign w:val="center"/>
            <w:hideMark/>
          </w:tcPr>
          <w:p w14:paraId="1BC2925A" w14:textId="77777777" w:rsidR="004A45B0" w:rsidRPr="004A45B0" w:rsidRDefault="004A45B0" w:rsidP="004A45B0">
            <w:pPr>
              <w:spacing w:after="0" w:line="240" w:lineRule="auto"/>
              <w:jc w:val="center"/>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CONSOLIDATED STATEMENTS OF CASH FLOWS</w:t>
            </w:r>
          </w:p>
        </w:tc>
      </w:tr>
      <w:tr w:rsidR="004A45B0" w:rsidRPr="004A45B0" w14:paraId="1662914B" w14:textId="77777777" w:rsidTr="004A45B0">
        <w:trPr>
          <w:trHeight w:val="287"/>
        </w:trPr>
        <w:tc>
          <w:tcPr>
            <w:tcW w:w="9800" w:type="dxa"/>
            <w:gridSpan w:val="6"/>
            <w:tcBorders>
              <w:top w:val="nil"/>
              <w:left w:val="nil"/>
              <w:bottom w:val="nil"/>
              <w:right w:val="nil"/>
            </w:tcBorders>
            <w:shd w:val="clear" w:color="000000" w:fill="1F4E78"/>
            <w:vAlign w:val="center"/>
            <w:hideMark/>
          </w:tcPr>
          <w:p w14:paraId="38F47CC0" w14:textId="77777777" w:rsidR="004A45B0" w:rsidRPr="004A45B0" w:rsidRDefault="004A45B0" w:rsidP="004A45B0">
            <w:pPr>
              <w:spacing w:after="0" w:line="240" w:lineRule="auto"/>
              <w:jc w:val="center"/>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Fiscal Years 2025, 2024, 2023, 2022, and 2021 (in millions)</w:t>
            </w:r>
          </w:p>
        </w:tc>
      </w:tr>
      <w:tr w:rsidR="004A45B0" w:rsidRPr="004A45B0" w14:paraId="32FDC1C9" w14:textId="77777777" w:rsidTr="004A45B0">
        <w:trPr>
          <w:trHeight w:val="287"/>
        </w:trPr>
        <w:tc>
          <w:tcPr>
            <w:tcW w:w="4164" w:type="dxa"/>
            <w:tcBorders>
              <w:top w:val="nil"/>
              <w:left w:val="nil"/>
              <w:bottom w:val="nil"/>
              <w:right w:val="nil"/>
            </w:tcBorders>
            <w:vAlign w:val="center"/>
            <w:hideMark/>
          </w:tcPr>
          <w:p w14:paraId="5E6C9EEB" w14:textId="77777777" w:rsidR="004A45B0" w:rsidRPr="004A45B0" w:rsidRDefault="004A45B0" w:rsidP="004A45B0">
            <w:pPr>
              <w:spacing w:after="0" w:line="240" w:lineRule="auto"/>
              <w:jc w:val="center"/>
              <w:rPr>
                <w:rFonts w:ascii="Carlito" w:eastAsia="Times New Roman" w:hAnsi="Carlito" w:cs="Calibri"/>
                <w:b/>
                <w:bCs/>
                <w:color w:val="FFFFFF"/>
                <w:sz w:val="22"/>
                <w:szCs w:val="22"/>
                <w:lang w:val="en-US" w:eastAsia="en-US"/>
              </w:rPr>
            </w:pPr>
          </w:p>
        </w:tc>
        <w:tc>
          <w:tcPr>
            <w:tcW w:w="1133" w:type="dxa"/>
            <w:tcBorders>
              <w:top w:val="nil"/>
              <w:left w:val="nil"/>
              <w:bottom w:val="nil"/>
              <w:right w:val="nil"/>
            </w:tcBorders>
            <w:vAlign w:val="center"/>
            <w:hideMark/>
          </w:tcPr>
          <w:p w14:paraId="081991D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57FB966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69C4DB7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03" w:type="dxa"/>
            <w:tcBorders>
              <w:top w:val="nil"/>
              <w:left w:val="nil"/>
              <w:bottom w:val="nil"/>
              <w:right w:val="nil"/>
            </w:tcBorders>
            <w:vAlign w:val="center"/>
            <w:hideMark/>
          </w:tcPr>
          <w:p w14:paraId="4023F7A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3EE003C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13DE8495" w14:textId="77777777" w:rsidTr="004A45B0">
        <w:trPr>
          <w:trHeight w:val="287"/>
        </w:trPr>
        <w:tc>
          <w:tcPr>
            <w:tcW w:w="4164" w:type="dxa"/>
            <w:tcBorders>
              <w:top w:val="nil"/>
              <w:left w:val="nil"/>
              <w:bottom w:val="nil"/>
              <w:right w:val="nil"/>
            </w:tcBorders>
            <w:shd w:val="clear" w:color="000000" w:fill="1F4E78"/>
            <w:vAlign w:val="center"/>
            <w:hideMark/>
          </w:tcPr>
          <w:p w14:paraId="4C00035A" w14:textId="77777777" w:rsidR="004A45B0" w:rsidRPr="004A45B0" w:rsidRDefault="004A45B0" w:rsidP="004A45B0">
            <w:pPr>
              <w:spacing w:after="0" w:line="240" w:lineRule="auto"/>
              <w:jc w:val="center"/>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Cash Flow Statement (USD millions)</w:t>
            </w:r>
          </w:p>
        </w:tc>
        <w:tc>
          <w:tcPr>
            <w:tcW w:w="1133" w:type="dxa"/>
            <w:tcBorders>
              <w:top w:val="nil"/>
              <w:left w:val="nil"/>
              <w:bottom w:val="nil"/>
              <w:right w:val="nil"/>
            </w:tcBorders>
            <w:shd w:val="clear" w:color="000000" w:fill="1F4E78"/>
            <w:vAlign w:val="center"/>
            <w:hideMark/>
          </w:tcPr>
          <w:p w14:paraId="378D6A8A" w14:textId="77777777" w:rsidR="004A45B0" w:rsidRPr="004A45B0" w:rsidRDefault="004A45B0" w:rsidP="004A45B0">
            <w:pPr>
              <w:spacing w:after="0" w:line="240" w:lineRule="auto"/>
              <w:jc w:val="right"/>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2025</w:t>
            </w:r>
          </w:p>
        </w:tc>
        <w:tc>
          <w:tcPr>
            <w:tcW w:w="1133" w:type="dxa"/>
            <w:tcBorders>
              <w:top w:val="nil"/>
              <w:left w:val="nil"/>
              <w:bottom w:val="nil"/>
              <w:right w:val="nil"/>
            </w:tcBorders>
            <w:shd w:val="clear" w:color="000000" w:fill="1F4E78"/>
            <w:vAlign w:val="center"/>
            <w:hideMark/>
          </w:tcPr>
          <w:p w14:paraId="473CF79D" w14:textId="77777777" w:rsidR="004A45B0" w:rsidRPr="004A45B0" w:rsidRDefault="004A45B0" w:rsidP="004A45B0">
            <w:pPr>
              <w:spacing w:after="0" w:line="240" w:lineRule="auto"/>
              <w:jc w:val="right"/>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2024</w:t>
            </w:r>
          </w:p>
        </w:tc>
        <w:tc>
          <w:tcPr>
            <w:tcW w:w="1133" w:type="dxa"/>
            <w:tcBorders>
              <w:top w:val="nil"/>
              <w:left w:val="nil"/>
              <w:bottom w:val="nil"/>
              <w:right w:val="nil"/>
            </w:tcBorders>
            <w:shd w:val="clear" w:color="000000" w:fill="1F4E78"/>
            <w:vAlign w:val="center"/>
            <w:hideMark/>
          </w:tcPr>
          <w:p w14:paraId="08F426D1" w14:textId="77777777" w:rsidR="004A45B0" w:rsidRPr="004A45B0" w:rsidRDefault="004A45B0" w:rsidP="004A45B0">
            <w:pPr>
              <w:spacing w:after="0" w:line="240" w:lineRule="auto"/>
              <w:jc w:val="right"/>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2023</w:t>
            </w:r>
          </w:p>
        </w:tc>
        <w:tc>
          <w:tcPr>
            <w:tcW w:w="1103" w:type="dxa"/>
            <w:tcBorders>
              <w:top w:val="nil"/>
              <w:left w:val="nil"/>
              <w:bottom w:val="nil"/>
              <w:right w:val="nil"/>
            </w:tcBorders>
            <w:shd w:val="clear" w:color="000000" w:fill="1F4E78"/>
            <w:vAlign w:val="center"/>
            <w:hideMark/>
          </w:tcPr>
          <w:p w14:paraId="1981DF2B" w14:textId="77777777" w:rsidR="004A45B0" w:rsidRPr="004A45B0" w:rsidRDefault="004A45B0" w:rsidP="004A45B0">
            <w:pPr>
              <w:spacing w:after="0" w:line="240" w:lineRule="auto"/>
              <w:jc w:val="right"/>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2022</w:t>
            </w:r>
          </w:p>
        </w:tc>
        <w:tc>
          <w:tcPr>
            <w:tcW w:w="1133" w:type="dxa"/>
            <w:tcBorders>
              <w:top w:val="nil"/>
              <w:left w:val="nil"/>
              <w:bottom w:val="nil"/>
              <w:right w:val="nil"/>
            </w:tcBorders>
            <w:shd w:val="clear" w:color="000000" w:fill="1F4E78"/>
            <w:vAlign w:val="center"/>
            <w:hideMark/>
          </w:tcPr>
          <w:p w14:paraId="265B33CA" w14:textId="77777777" w:rsidR="004A45B0" w:rsidRPr="004A45B0" w:rsidRDefault="004A45B0" w:rsidP="004A45B0">
            <w:pPr>
              <w:spacing w:after="0" w:line="240" w:lineRule="auto"/>
              <w:jc w:val="right"/>
              <w:rPr>
                <w:rFonts w:ascii="Carlito" w:eastAsia="Times New Roman" w:hAnsi="Carlito" w:cs="Calibri"/>
                <w:b/>
                <w:bCs/>
                <w:color w:val="FFFFFF"/>
                <w:sz w:val="22"/>
                <w:szCs w:val="22"/>
                <w:lang w:val="en-US" w:eastAsia="en-US"/>
              </w:rPr>
            </w:pPr>
            <w:r w:rsidRPr="004A45B0">
              <w:rPr>
                <w:rFonts w:ascii="Carlito" w:eastAsia="Times New Roman" w:hAnsi="Carlito" w:cs="Calibri"/>
                <w:b/>
                <w:bCs/>
                <w:color w:val="FFFFFF"/>
                <w:sz w:val="22"/>
                <w:szCs w:val="22"/>
                <w:lang w:val="en-US" w:eastAsia="en-US"/>
              </w:rPr>
              <w:t>2021</w:t>
            </w:r>
          </w:p>
        </w:tc>
      </w:tr>
      <w:tr w:rsidR="004A45B0" w:rsidRPr="004A45B0" w14:paraId="47811C9C" w14:textId="77777777" w:rsidTr="004A45B0">
        <w:trPr>
          <w:trHeight w:val="287"/>
        </w:trPr>
        <w:tc>
          <w:tcPr>
            <w:tcW w:w="4164" w:type="dxa"/>
            <w:tcBorders>
              <w:top w:val="nil"/>
              <w:left w:val="nil"/>
              <w:bottom w:val="nil"/>
              <w:right w:val="nil"/>
            </w:tcBorders>
            <w:shd w:val="clear" w:color="000000" w:fill="C6EFCE"/>
            <w:vAlign w:val="center"/>
            <w:hideMark/>
          </w:tcPr>
          <w:p w14:paraId="5A910472" w14:textId="77777777" w:rsidR="004A45B0" w:rsidRPr="004A45B0" w:rsidRDefault="004A45B0" w:rsidP="004A45B0">
            <w:pPr>
              <w:spacing w:after="0" w:line="240" w:lineRule="auto"/>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OPERATING ACTIVITIES</w:t>
            </w:r>
          </w:p>
        </w:tc>
        <w:tc>
          <w:tcPr>
            <w:tcW w:w="1133" w:type="dxa"/>
            <w:tcBorders>
              <w:top w:val="nil"/>
              <w:left w:val="nil"/>
              <w:bottom w:val="nil"/>
              <w:right w:val="nil"/>
            </w:tcBorders>
            <w:shd w:val="clear" w:color="000000" w:fill="C6EFCE"/>
            <w:vAlign w:val="center"/>
            <w:hideMark/>
          </w:tcPr>
          <w:p w14:paraId="08646BB9"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C6EFCE"/>
            <w:vAlign w:val="center"/>
            <w:hideMark/>
          </w:tcPr>
          <w:p w14:paraId="0F8557AD"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C6EFCE"/>
            <w:vAlign w:val="center"/>
            <w:hideMark/>
          </w:tcPr>
          <w:p w14:paraId="0981358F"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03" w:type="dxa"/>
            <w:tcBorders>
              <w:top w:val="nil"/>
              <w:left w:val="nil"/>
              <w:bottom w:val="nil"/>
              <w:right w:val="nil"/>
            </w:tcBorders>
            <w:shd w:val="clear" w:color="000000" w:fill="C6EFCE"/>
            <w:vAlign w:val="center"/>
            <w:hideMark/>
          </w:tcPr>
          <w:p w14:paraId="3CF05AC8"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C6EFCE"/>
            <w:vAlign w:val="center"/>
            <w:hideMark/>
          </w:tcPr>
          <w:p w14:paraId="6BD78E75"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r>
      <w:tr w:rsidR="004A45B0" w:rsidRPr="004A45B0" w14:paraId="2CDF6390" w14:textId="77777777" w:rsidTr="004A45B0">
        <w:trPr>
          <w:trHeight w:val="287"/>
        </w:trPr>
        <w:tc>
          <w:tcPr>
            <w:tcW w:w="4164" w:type="dxa"/>
            <w:tcBorders>
              <w:top w:val="nil"/>
              <w:left w:val="nil"/>
              <w:bottom w:val="nil"/>
              <w:right w:val="nil"/>
            </w:tcBorders>
            <w:vAlign w:val="center"/>
            <w:hideMark/>
          </w:tcPr>
          <w:p w14:paraId="3F335B1F"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Net income</w:t>
            </w:r>
          </w:p>
        </w:tc>
        <w:tc>
          <w:tcPr>
            <w:tcW w:w="1133" w:type="dxa"/>
            <w:tcBorders>
              <w:top w:val="nil"/>
              <w:left w:val="nil"/>
              <w:bottom w:val="nil"/>
              <w:right w:val="nil"/>
            </w:tcBorders>
            <w:vAlign w:val="center"/>
            <w:hideMark/>
          </w:tcPr>
          <w:p w14:paraId="303B94E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2 601</w:t>
            </w:r>
          </w:p>
        </w:tc>
        <w:tc>
          <w:tcPr>
            <w:tcW w:w="1133" w:type="dxa"/>
            <w:tcBorders>
              <w:top w:val="nil"/>
              <w:left w:val="nil"/>
              <w:bottom w:val="nil"/>
              <w:right w:val="nil"/>
            </w:tcBorders>
            <w:vAlign w:val="center"/>
            <w:hideMark/>
          </w:tcPr>
          <w:p w14:paraId="78CCE15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2 375</w:t>
            </w:r>
          </w:p>
        </w:tc>
        <w:tc>
          <w:tcPr>
            <w:tcW w:w="1133" w:type="dxa"/>
            <w:tcBorders>
              <w:top w:val="nil"/>
              <w:left w:val="nil"/>
              <w:bottom w:val="nil"/>
              <w:right w:val="nil"/>
            </w:tcBorders>
            <w:vAlign w:val="center"/>
            <w:hideMark/>
          </w:tcPr>
          <w:p w14:paraId="66EDF55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3 083</w:t>
            </w:r>
          </w:p>
        </w:tc>
        <w:tc>
          <w:tcPr>
            <w:tcW w:w="1103" w:type="dxa"/>
            <w:tcBorders>
              <w:top w:val="nil"/>
              <w:left w:val="nil"/>
              <w:bottom w:val="nil"/>
              <w:right w:val="nil"/>
            </w:tcBorders>
            <w:vAlign w:val="center"/>
            <w:hideMark/>
          </w:tcPr>
          <w:p w14:paraId="51E9D48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2 358</w:t>
            </w:r>
          </w:p>
        </w:tc>
        <w:tc>
          <w:tcPr>
            <w:tcW w:w="1133" w:type="dxa"/>
            <w:tcBorders>
              <w:top w:val="nil"/>
              <w:left w:val="nil"/>
              <w:bottom w:val="nil"/>
              <w:right w:val="nil"/>
            </w:tcBorders>
            <w:vAlign w:val="center"/>
            <w:hideMark/>
          </w:tcPr>
          <w:p w14:paraId="128C568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1 099</w:t>
            </w:r>
          </w:p>
        </w:tc>
      </w:tr>
      <w:tr w:rsidR="004A45B0" w:rsidRPr="004A45B0" w14:paraId="63573B8D" w14:textId="77777777" w:rsidTr="004A45B0">
        <w:trPr>
          <w:trHeight w:val="287"/>
        </w:trPr>
        <w:tc>
          <w:tcPr>
            <w:tcW w:w="4164" w:type="dxa"/>
            <w:tcBorders>
              <w:top w:val="nil"/>
              <w:left w:val="nil"/>
              <w:bottom w:val="nil"/>
              <w:right w:val="nil"/>
            </w:tcBorders>
            <w:vAlign w:val="center"/>
            <w:hideMark/>
          </w:tcPr>
          <w:p w14:paraId="10FB56D8"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Depreciation, amortization, and other</w:t>
            </w:r>
          </w:p>
        </w:tc>
        <w:tc>
          <w:tcPr>
            <w:tcW w:w="1133" w:type="dxa"/>
            <w:tcBorders>
              <w:top w:val="nil"/>
              <w:left w:val="nil"/>
              <w:bottom w:val="nil"/>
              <w:right w:val="nil"/>
            </w:tcBorders>
            <w:vAlign w:val="center"/>
            <w:hideMark/>
          </w:tcPr>
          <w:p w14:paraId="153F538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599</w:t>
            </w:r>
          </w:p>
        </w:tc>
        <w:tc>
          <w:tcPr>
            <w:tcW w:w="1133" w:type="dxa"/>
            <w:tcBorders>
              <w:top w:val="nil"/>
              <w:left w:val="nil"/>
              <w:bottom w:val="nil"/>
              <w:right w:val="nil"/>
            </w:tcBorders>
            <w:vAlign w:val="center"/>
            <w:hideMark/>
          </w:tcPr>
          <w:p w14:paraId="3974C26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492</w:t>
            </w:r>
          </w:p>
        </w:tc>
        <w:tc>
          <w:tcPr>
            <w:tcW w:w="1133" w:type="dxa"/>
            <w:tcBorders>
              <w:top w:val="nil"/>
              <w:left w:val="nil"/>
              <w:bottom w:val="nil"/>
              <w:right w:val="nil"/>
            </w:tcBorders>
            <w:vAlign w:val="center"/>
            <w:hideMark/>
          </w:tcPr>
          <w:p w14:paraId="4F51D6A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277</w:t>
            </w:r>
          </w:p>
        </w:tc>
        <w:tc>
          <w:tcPr>
            <w:tcW w:w="1103" w:type="dxa"/>
            <w:tcBorders>
              <w:top w:val="nil"/>
              <w:left w:val="nil"/>
              <w:bottom w:val="nil"/>
              <w:right w:val="nil"/>
            </w:tcBorders>
            <w:vAlign w:val="center"/>
            <w:hideMark/>
          </w:tcPr>
          <w:p w14:paraId="11A3E51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282</w:t>
            </w:r>
          </w:p>
        </w:tc>
        <w:tc>
          <w:tcPr>
            <w:tcW w:w="1133" w:type="dxa"/>
            <w:tcBorders>
              <w:top w:val="nil"/>
              <w:left w:val="nil"/>
              <w:bottom w:val="nil"/>
              <w:right w:val="nil"/>
            </w:tcBorders>
            <w:vAlign w:val="center"/>
            <w:hideMark/>
          </w:tcPr>
          <w:p w14:paraId="579752F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295</w:t>
            </w:r>
          </w:p>
        </w:tc>
      </w:tr>
      <w:tr w:rsidR="004A45B0" w:rsidRPr="004A45B0" w14:paraId="01FD5DCB" w14:textId="77777777" w:rsidTr="004A45B0">
        <w:trPr>
          <w:trHeight w:val="287"/>
        </w:trPr>
        <w:tc>
          <w:tcPr>
            <w:tcW w:w="4164" w:type="dxa"/>
            <w:tcBorders>
              <w:top w:val="nil"/>
              <w:left w:val="nil"/>
              <w:bottom w:val="nil"/>
              <w:right w:val="nil"/>
            </w:tcBorders>
            <w:vAlign w:val="center"/>
            <w:hideMark/>
          </w:tcPr>
          <w:p w14:paraId="24947E4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Stock-based compensation</w:t>
            </w:r>
          </w:p>
        </w:tc>
        <w:tc>
          <w:tcPr>
            <w:tcW w:w="1133" w:type="dxa"/>
            <w:tcBorders>
              <w:top w:val="nil"/>
              <w:left w:val="nil"/>
              <w:bottom w:val="nil"/>
              <w:right w:val="nil"/>
            </w:tcBorders>
            <w:vAlign w:val="center"/>
            <w:hideMark/>
          </w:tcPr>
          <w:p w14:paraId="6FBDD69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236</w:t>
            </w:r>
          </w:p>
        </w:tc>
        <w:tc>
          <w:tcPr>
            <w:tcW w:w="1133" w:type="dxa"/>
            <w:tcBorders>
              <w:top w:val="nil"/>
              <w:left w:val="nil"/>
              <w:bottom w:val="nil"/>
              <w:right w:val="nil"/>
            </w:tcBorders>
            <w:vAlign w:val="center"/>
            <w:hideMark/>
          </w:tcPr>
          <w:p w14:paraId="60DD51E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237</w:t>
            </w:r>
          </w:p>
        </w:tc>
        <w:tc>
          <w:tcPr>
            <w:tcW w:w="1133" w:type="dxa"/>
            <w:tcBorders>
              <w:top w:val="nil"/>
              <w:left w:val="nil"/>
              <w:bottom w:val="nil"/>
              <w:right w:val="nil"/>
            </w:tcBorders>
            <w:vAlign w:val="center"/>
            <w:hideMark/>
          </w:tcPr>
          <w:p w14:paraId="259C64B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205</w:t>
            </w:r>
          </w:p>
        </w:tc>
        <w:tc>
          <w:tcPr>
            <w:tcW w:w="1103" w:type="dxa"/>
            <w:tcBorders>
              <w:top w:val="nil"/>
              <w:left w:val="nil"/>
              <w:bottom w:val="nil"/>
              <w:right w:val="nil"/>
            </w:tcBorders>
            <w:vAlign w:val="center"/>
            <w:hideMark/>
          </w:tcPr>
          <w:p w14:paraId="7BD15B4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192</w:t>
            </w:r>
          </w:p>
        </w:tc>
        <w:tc>
          <w:tcPr>
            <w:tcW w:w="1133" w:type="dxa"/>
            <w:tcBorders>
              <w:top w:val="nil"/>
              <w:left w:val="nil"/>
              <w:bottom w:val="nil"/>
              <w:right w:val="nil"/>
            </w:tcBorders>
            <w:vAlign w:val="center"/>
            <w:hideMark/>
          </w:tcPr>
          <w:p w14:paraId="29A6E07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182</w:t>
            </w:r>
          </w:p>
        </w:tc>
      </w:tr>
      <w:tr w:rsidR="004A45B0" w:rsidRPr="004A45B0" w14:paraId="0D700E1B" w14:textId="77777777" w:rsidTr="004A45B0">
        <w:trPr>
          <w:trHeight w:val="287"/>
        </w:trPr>
        <w:tc>
          <w:tcPr>
            <w:tcW w:w="4164" w:type="dxa"/>
            <w:tcBorders>
              <w:top w:val="nil"/>
              <w:left w:val="nil"/>
              <w:bottom w:val="nil"/>
              <w:right w:val="nil"/>
            </w:tcBorders>
            <w:vAlign w:val="center"/>
            <w:hideMark/>
          </w:tcPr>
          <w:p w14:paraId="7003E931"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Income taxes</w:t>
            </w:r>
          </w:p>
        </w:tc>
        <w:tc>
          <w:tcPr>
            <w:tcW w:w="1133" w:type="dxa"/>
            <w:tcBorders>
              <w:top w:val="nil"/>
              <w:left w:val="nil"/>
              <w:bottom w:val="nil"/>
              <w:right w:val="nil"/>
            </w:tcBorders>
            <w:vAlign w:val="center"/>
            <w:hideMark/>
          </w:tcPr>
          <w:p w14:paraId="611602B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(277)</w:t>
            </w:r>
          </w:p>
        </w:tc>
        <w:tc>
          <w:tcPr>
            <w:tcW w:w="1133" w:type="dxa"/>
            <w:tcBorders>
              <w:top w:val="nil"/>
              <w:left w:val="nil"/>
              <w:bottom w:val="nil"/>
              <w:right w:val="nil"/>
            </w:tcBorders>
            <w:vAlign w:val="center"/>
            <w:hideMark/>
          </w:tcPr>
          <w:p w14:paraId="24726E3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(172)</w:t>
            </w:r>
          </w:p>
        </w:tc>
        <w:tc>
          <w:tcPr>
            <w:tcW w:w="1133" w:type="dxa"/>
            <w:tcBorders>
              <w:top w:val="nil"/>
              <w:left w:val="nil"/>
              <w:bottom w:val="nil"/>
              <w:right w:val="nil"/>
            </w:tcBorders>
            <w:vAlign w:val="center"/>
            <w:hideMark/>
          </w:tcPr>
          <w:p w14:paraId="54FAD7A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(612)</w:t>
            </w:r>
          </w:p>
        </w:tc>
        <w:tc>
          <w:tcPr>
            <w:tcW w:w="1103" w:type="dxa"/>
            <w:tcBorders>
              <w:top w:val="nil"/>
              <w:left w:val="nil"/>
              <w:bottom w:val="nil"/>
              <w:right w:val="nil"/>
            </w:tcBorders>
            <w:vAlign w:val="center"/>
            <w:hideMark/>
          </w:tcPr>
          <w:p w14:paraId="362FC07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280</w:t>
            </w:r>
          </w:p>
        </w:tc>
        <w:tc>
          <w:tcPr>
            <w:tcW w:w="1133" w:type="dxa"/>
            <w:tcBorders>
              <w:top w:val="nil"/>
              <w:left w:val="nil"/>
              <w:bottom w:val="nil"/>
              <w:right w:val="nil"/>
            </w:tcBorders>
            <w:vAlign w:val="center"/>
            <w:hideMark/>
          </w:tcPr>
          <w:p w14:paraId="60F761C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(281)</w:t>
            </w:r>
          </w:p>
        </w:tc>
      </w:tr>
      <w:tr w:rsidR="004A45B0" w:rsidRPr="004A45B0" w14:paraId="2265EC88" w14:textId="77777777" w:rsidTr="004A45B0">
        <w:trPr>
          <w:trHeight w:val="287"/>
        </w:trPr>
        <w:tc>
          <w:tcPr>
            <w:tcW w:w="4164" w:type="dxa"/>
            <w:tcBorders>
              <w:top w:val="nil"/>
              <w:left w:val="nil"/>
              <w:bottom w:val="nil"/>
              <w:right w:val="nil"/>
            </w:tcBorders>
            <w:vAlign w:val="center"/>
            <w:hideMark/>
          </w:tcPr>
          <w:p w14:paraId="1ED9D55D"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Liability for guest loyalty program</w:t>
            </w:r>
          </w:p>
        </w:tc>
        <w:tc>
          <w:tcPr>
            <w:tcW w:w="1133" w:type="dxa"/>
            <w:tcBorders>
              <w:top w:val="nil"/>
              <w:left w:val="nil"/>
              <w:bottom w:val="nil"/>
              <w:right w:val="nil"/>
            </w:tcBorders>
            <w:vAlign w:val="center"/>
            <w:hideMark/>
          </w:tcPr>
          <w:p w14:paraId="25DB031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473</w:t>
            </w:r>
          </w:p>
        </w:tc>
        <w:tc>
          <w:tcPr>
            <w:tcW w:w="1133" w:type="dxa"/>
            <w:tcBorders>
              <w:top w:val="nil"/>
              <w:left w:val="nil"/>
              <w:bottom w:val="nil"/>
              <w:right w:val="nil"/>
            </w:tcBorders>
            <w:vAlign w:val="center"/>
            <w:hideMark/>
          </w:tcPr>
          <w:p w14:paraId="5E11521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514</w:t>
            </w:r>
          </w:p>
        </w:tc>
        <w:tc>
          <w:tcPr>
            <w:tcW w:w="1133" w:type="dxa"/>
            <w:tcBorders>
              <w:top w:val="nil"/>
              <w:left w:val="nil"/>
              <w:bottom w:val="nil"/>
              <w:right w:val="nil"/>
            </w:tcBorders>
            <w:vAlign w:val="center"/>
            <w:hideMark/>
          </w:tcPr>
          <w:p w14:paraId="5986BE3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301</w:t>
            </w:r>
          </w:p>
        </w:tc>
        <w:tc>
          <w:tcPr>
            <w:tcW w:w="1103" w:type="dxa"/>
            <w:tcBorders>
              <w:top w:val="nil"/>
              <w:left w:val="nil"/>
              <w:bottom w:val="nil"/>
              <w:right w:val="nil"/>
            </w:tcBorders>
            <w:vAlign w:val="center"/>
            <w:hideMark/>
          </w:tcPr>
          <w:p w14:paraId="213CA5A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(119)</w:t>
            </w:r>
          </w:p>
        </w:tc>
        <w:tc>
          <w:tcPr>
            <w:tcW w:w="1133" w:type="dxa"/>
            <w:tcBorders>
              <w:top w:val="nil"/>
              <w:left w:val="nil"/>
              <w:bottom w:val="nil"/>
              <w:right w:val="nil"/>
            </w:tcBorders>
            <w:vAlign w:val="center"/>
            <w:hideMark/>
          </w:tcPr>
          <w:p w14:paraId="2EAC487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(28)</w:t>
            </w:r>
          </w:p>
        </w:tc>
      </w:tr>
      <w:tr w:rsidR="004A45B0" w:rsidRPr="004A45B0" w14:paraId="7552AE22" w14:textId="77777777" w:rsidTr="004A45B0">
        <w:trPr>
          <w:trHeight w:val="287"/>
        </w:trPr>
        <w:tc>
          <w:tcPr>
            <w:tcW w:w="4164" w:type="dxa"/>
            <w:tcBorders>
              <w:top w:val="nil"/>
              <w:left w:val="nil"/>
              <w:bottom w:val="nil"/>
              <w:right w:val="nil"/>
            </w:tcBorders>
            <w:vAlign w:val="center"/>
            <w:hideMark/>
          </w:tcPr>
          <w:p w14:paraId="3B2FE051"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Contract acquisition costs</w:t>
            </w:r>
          </w:p>
        </w:tc>
        <w:tc>
          <w:tcPr>
            <w:tcW w:w="1133" w:type="dxa"/>
            <w:tcBorders>
              <w:top w:val="nil"/>
              <w:left w:val="nil"/>
              <w:bottom w:val="nil"/>
              <w:right w:val="nil"/>
            </w:tcBorders>
            <w:vAlign w:val="center"/>
            <w:hideMark/>
          </w:tcPr>
          <w:p w14:paraId="36BD652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(434)</w:t>
            </w:r>
          </w:p>
        </w:tc>
        <w:tc>
          <w:tcPr>
            <w:tcW w:w="1133" w:type="dxa"/>
            <w:tcBorders>
              <w:top w:val="nil"/>
              <w:left w:val="nil"/>
              <w:bottom w:val="nil"/>
              <w:right w:val="nil"/>
            </w:tcBorders>
            <w:vAlign w:val="center"/>
            <w:hideMark/>
          </w:tcPr>
          <w:p w14:paraId="1ADD9DC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(341)</w:t>
            </w:r>
          </w:p>
        </w:tc>
        <w:tc>
          <w:tcPr>
            <w:tcW w:w="1133" w:type="dxa"/>
            <w:tcBorders>
              <w:top w:val="nil"/>
              <w:left w:val="nil"/>
              <w:bottom w:val="nil"/>
              <w:right w:val="nil"/>
            </w:tcBorders>
            <w:vAlign w:val="center"/>
            <w:hideMark/>
          </w:tcPr>
          <w:p w14:paraId="42FB69C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(221)</w:t>
            </w:r>
          </w:p>
        </w:tc>
        <w:tc>
          <w:tcPr>
            <w:tcW w:w="1103" w:type="dxa"/>
            <w:tcBorders>
              <w:top w:val="nil"/>
              <w:left w:val="nil"/>
              <w:bottom w:val="nil"/>
              <w:right w:val="nil"/>
            </w:tcBorders>
            <w:vAlign w:val="center"/>
            <w:hideMark/>
          </w:tcPr>
          <w:p w14:paraId="4216133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(149)</w:t>
            </w:r>
          </w:p>
        </w:tc>
        <w:tc>
          <w:tcPr>
            <w:tcW w:w="1133" w:type="dxa"/>
            <w:tcBorders>
              <w:top w:val="nil"/>
              <w:left w:val="nil"/>
              <w:bottom w:val="nil"/>
              <w:right w:val="nil"/>
            </w:tcBorders>
            <w:vAlign w:val="center"/>
            <w:hideMark/>
          </w:tcPr>
          <w:p w14:paraId="63EC24F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(210)</w:t>
            </w:r>
          </w:p>
        </w:tc>
      </w:tr>
      <w:tr w:rsidR="004A45B0" w:rsidRPr="004A45B0" w14:paraId="719B91C6" w14:textId="77777777" w:rsidTr="004A45B0">
        <w:trPr>
          <w:trHeight w:val="287"/>
        </w:trPr>
        <w:tc>
          <w:tcPr>
            <w:tcW w:w="4164" w:type="dxa"/>
            <w:tcBorders>
              <w:top w:val="nil"/>
              <w:left w:val="nil"/>
              <w:bottom w:val="nil"/>
              <w:right w:val="nil"/>
            </w:tcBorders>
            <w:vAlign w:val="center"/>
            <w:hideMark/>
          </w:tcPr>
          <w:p w14:paraId="7FEF341A"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Merger-related charges and other</w:t>
            </w:r>
          </w:p>
        </w:tc>
        <w:tc>
          <w:tcPr>
            <w:tcW w:w="1133" w:type="dxa"/>
            <w:tcBorders>
              <w:top w:val="nil"/>
              <w:left w:val="nil"/>
              <w:bottom w:val="nil"/>
              <w:right w:val="nil"/>
            </w:tcBorders>
            <w:vAlign w:val="center"/>
            <w:hideMark/>
          </w:tcPr>
          <w:p w14:paraId="16AEBD1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w:t>
            </w:r>
          </w:p>
        </w:tc>
        <w:tc>
          <w:tcPr>
            <w:tcW w:w="1133" w:type="dxa"/>
            <w:tcBorders>
              <w:top w:val="nil"/>
              <w:left w:val="nil"/>
              <w:bottom w:val="nil"/>
              <w:right w:val="nil"/>
            </w:tcBorders>
            <w:vAlign w:val="center"/>
            <w:hideMark/>
          </w:tcPr>
          <w:p w14:paraId="4897CCC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(278)</w:t>
            </w:r>
          </w:p>
        </w:tc>
        <w:tc>
          <w:tcPr>
            <w:tcW w:w="1133" w:type="dxa"/>
            <w:tcBorders>
              <w:top w:val="nil"/>
              <w:left w:val="nil"/>
              <w:bottom w:val="nil"/>
              <w:right w:val="nil"/>
            </w:tcBorders>
            <w:vAlign w:val="center"/>
            <w:hideMark/>
          </w:tcPr>
          <w:p w14:paraId="0297D07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47</w:t>
            </w:r>
          </w:p>
        </w:tc>
        <w:tc>
          <w:tcPr>
            <w:tcW w:w="1103" w:type="dxa"/>
            <w:tcBorders>
              <w:top w:val="nil"/>
              <w:left w:val="nil"/>
              <w:bottom w:val="nil"/>
              <w:right w:val="nil"/>
            </w:tcBorders>
            <w:vAlign w:val="center"/>
            <w:hideMark/>
          </w:tcPr>
          <w:p w14:paraId="1524A3A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w:t>
            </w:r>
          </w:p>
        </w:tc>
        <w:tc>
          <w:tcPr>
            <w:tcW w:w="1133" w:type="dxa"/>
            <w:tcBorders>
              <w:top w:val="nil"/>
              <w:left w:val="nil"/>
              <w:bottom w:val="nil"/>
              <w:right w:val="nil"/>
            </w:tcBorders>
            <w:vAlign w:val="center"/>
            <w:hideMark/>
          </w:tcPr>
          <w:p w14:paraId="39A7B37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w:t>
            </w:r>
          </w:p>
        </w:tc>
      </w:tr>
      <w:tr w:rsidR="004A45B0" w:rsidRPr="004A45B0" w14:paraId="7423B821" w14:textId="77777777" w:rsidTr="004A45B0">
        <w:trPr>
          <w:trHeight w:val="287"/>
        </w:trPr>
        <w:tc>
          <w:tcPr>
            <w:tcW w:w="4164" w:type="dxa"/>
            <w:tcBorders>
              <w:top w:val="nil"/>
              <w:left w:val="nil"/>
              <w:bottom w:val="nil"/>
              <w:right w:val="nil"/>
            </w:tcBorders>
            <w:vAlign w:val="center"/>
            <w:hideMark/>
          </w:tcPr>
          <w:p w14:paraId="78343AB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Working capital changes</w:t>
            </w:r>
          </w:p>
        </w:tc>
        <w:tc>
          <w:tcPr>
            <w:tcW w:w="1133" w:type="dxa"/>
            <w:tcBorders>
              <w:top w:val="nil"/>
              <w:left w:val="nil"/>
              <w:bottom w:val="nil"/>
              <w:right w:val="nil"/>
            </w:tcBorders>
            <w:vAlign w:val="center"/>
            <w:hideMark/>
          </w:tcPr>
          <w:p w14:paraId="06BD339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(147)</w:t>
            </w:r>
          </w:p>
        </w:tc>
        <w:tc>
          <w:tcPr>
            <w:tcW w:w="1133" w:type="dxa"/>
            <w:tcBorders>
              <w:top w:val="nil"/>
              <w:left w:val="nil"/>
              <w:bottom w:val="nil"/>
              <w:right w:val="nil"/>
            </w:tcBorders>
            <w:vAlign w:val="center"/>
            <w:hideMark/>
          </w:tcPr>
          <w:p w14:paraId="237192E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(82)</w:t>
            </w:r>
          </w:p>
        </w:tc>
        <w:tc>
          <w:tcPr>
            <w:tcW w:w="1133" w:type="dxa"/>
            <w:tcBorders>
              <w:top w:val="nil"/>
              <w:left w:val="nil"/>
              <w:bottom w:val="nil"/>
              <w:right w:val="nil"/>
            </w:tcBorders>
            <w:vAlign w:val="center"/>
            <w:hideMark/>
          </w:tcPr>
          <w:p w14:paraId="571DA0B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69</w:t>
            </w:r>
          </w:p>
        </w:tc>
        <w:tc>
          <w:tcPr>
            <w:tcW w:w="1103" w:type="dxa"/>
            <w:tcBorders>
              <w:top w:val="nil"/>
              <w:left w:val="nil"/>
              <w:bottom w:val="nil"/>
              <w:right w:val="nil"/>
            </w:tcBorders>
            <w:vAlign w:val="center"/>
            <w:hideMark/>
          </w:tcPr>
          <w:p w14:paraId="26AAEBB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(542)</w:t>
            </w:r>
          </w:p>
        </w:tc>
        <w:tc>
          <w:tcPr>
            <w:tcW w:w="1133" w:type="dxa"/>
            <w:tcBorders>
              <w:top w:val="nil"/>
              <w:left w:val="nil"/>
              <w:bottom w:val="nil"/>
              <w:right w:val="nil"/>
            </w:tcBorders>
            <w:vAlign w:val="center"/>
            <w:hideMark/>
          </w:tcPr>
          <w:p w14:paraId="06227D0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110</w:t>
            </w:r>
          </w:p>
        </w:tc>
      </w:tr>
      <w:tr w:rsidR="004A45B0" w:rsidRPr="004A45B0" w14:paraId="1787E15A" w14:textId="77777777" w:rsidTr="004A45B0">
        <w:trPr>
          <w:trHeight w:val="287"/>
        </w:trPr>
        <w:tc>
          <w:tcPr>
            <w:tcW w:w="4164" w:type="dxa"/>
            <w:tcBorders>
              <w:top w:val="nil"/>
              <w:left w:val="nil"/>
              <w:bottom w:val="nil"/>
              <w:right w:val="nil"/>
            </w:tcBorders>
            <w:vAlign w:val="center"/>
            <w:hideMark/>
          </w:tcPr>
          <w:p w14:paraId="195BBF7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Loss on extinguishment of debt</w:t>
            </w:r>
          </w:p>
        </w:tc>
        <w:tc>
          <w:tcPr>
            <w:tcW w:w="1133" w:type="dxa"/>
            <w:tcBorders>
              <w:top w:val="nil"/>
              <w:left w:val="nil"/>
              <w:bottom w:val="nil"/>
              <w:right w:val="nil"/>
            </w:tcBorders>
            <w:vAlign w:val="center"/>
            <w:hideMark/>
          </w:tcPr>
          <w:p w14:paraId="6FCD7DF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396653F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25B0A9B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03" w:type="dxa"/>
            <w:tcBorders>
              <w:top w:val="nil"/>
              <w:left w:val="nil"/>
              <w:bottom w:val="nil"/>
              <w:right w:val="nil"/>
            </w:tcBorders>
            <w:vAlign w:val="center"/>
            <w:hideMark/>
          </w:tcPr>
          <w:p w14:paraId="056B89A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098D948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164</w:t>
            </w:r>
          </w:p>
        </w:tc>
      </w:tr>
      <w:tr w:rsidR="004A45B0" w:rsidRPr="004A45B0" w14:paraId="375F06B1" w14:textId="77777777" w:rsidTr="004A45B0">
        <w:trPr>
          <w:trHeight w:val="287"/>
        </w:trPr>
        <w:tc>
          <w:tcPr>
            <w:tcW w:w="4164" w:type="dxa"/>
            <w:tcBorders>
              <w:top w:val="nil"/>
              <w:left w:val="nil"/>
              <w:bottom w:val="nil"/>
              <w:right w:val="nil"/>
            </w:tcBorders>
            <w:vAlign w:val="center"/>
            <w:hideMark/>
          </w:tcPr>
          <w:p w14:paraId="52DCF92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Other</w:t>
            </w:r>
          </w:p>
        </w:tc>
        <w:tc>
          <w:tcPr>
            <w:tcW w:w="1133" w:type="dxa"/>
            <w:tcBorders>
              <w:top w:val="nil"/>
              <w:left w:val="nil"/>
              <w:bottom w:val="nil"/>
              <w:right w:val="nil"/>
            </w:tcBorders>
            <w:vAlign w:val="center"/>
            <w:hideMark/>
          </w:tcPr>
          <w:p w14:paraId="024F6DF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176</w:t>
            </w:r>
          </w:p>
        </w:tc>
        <w:tc>
          <w:tcPr>
            <w:tcW w:w="1133" w:type="dxa"/>
            <w:tcBorders>
              <w:top w:val="nil"/>
              <w:left w:val="nil"/>
              <w:bottom w:val="nil"/>
              <w:right w:val="nil"/>
            </w:tcBorders>
            <w:vAlign w:val="center"/>
            <w:hideMark/>
          </w:tcPr>
          <w:p w14:paraId="3C3A6EE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w:t>
            </w:r>
          </w:p>
        </w:tc>
        <w:tc>
          <w:tcPr>
            <w:tcW w:w="1133" w:type="dxa"/>
            <w:tcBorders>
              <w:top w:val="nil"/>
              <w:left w:val="nil"/>
              <w:bottom w:val="nil"/>
              <w:right w:val="nil"/>
            </w:tcBorders>
            <w:vAlign w:val="center"/>
            <w:hideMark/>
          </w:tcPr>
          <w:p w14:paraId="28BE5DE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21</w:t>
            </w:r>
          </w:p>
        </w:tc>
        <w:tc>
          <w:tcPr>
            <w:tcW w:w="1103" w:type="dxa"/>
            <w:tcBorders>
              <w:top w:val="nil"/>
              <w:left w:val="nil"/>
              <w:bottom w:val="nil"/>
              <w:right w:val="nil"/>
            </w:tcBorders>
            <w:vAlign w:val="center"/>
            <w:hideMark/>
          </w:tcPr>
          <w:p w14:paraId="2A2555A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69</w:t>
            </w:r>
          </w:p>
        </w:tc>
        <w:tc>
          <w:tcPr>
            <w:tcW w:w="1133" w:type="dxa"/>
            <w:tcBorders>
              <w:top w:val="nil"/>
              <w:left w:val="nil"/>
              <w:bottom w:val="nil"/>
              <w:right w:val="nil"/>
            </w:tcBorders>
            <w:vAlign w:val="center"/>
            <w:hideMark/>
          </w:tcPr>
          <w:p w14:paraId="7554201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(144)</w:t>
            </w:r>
          </w:p>
        </w:tc>
      </w:tr>
      <w:tr w:rsidR="004A45B0" w:rsidRPr="004A45B0" w14:paraId="0126DBEB" w14:textId="77777777" w:rsidTr="004A45B0">
        <w:trPr>
          <w:trHeight w:val="287"/>
        </w:trPr>
        <w:tc>
          <w:tcPr>
            <w:tcW w:w="4164" w:type="dxa"/>
            <w:tcBorders>
              <w:top w:val="nil"/>
              <w:left w:val="nil"/>
              <w:bottom w:val="nil"/>
              <w:right w:val="nil"/>
            </w:tcBorders>
            <w:shd w:val="clear" w:color="000000" w:fill="F2F2F2"/>
            <w:vAlign w:val="center"/>
            <w:hideMark/>
          </w:tcPr>
          <w:p w14:paraId="539077F6" w14:textId="77777777" w:rsidR="004A45B0" w:rsidRPr="004A45B0" w:rsidRDefault="004A45B0" w:rsidP="004A45B0">
            <w:pPr>
              <w:spacing w:after="0" w:line="240" w:lineRule="auto"/>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Net cash provided by operating activities</w:t>
            </w:r>
          </w:p>
        </w:tc>
        <w:tc>
          <w:tcPr>
            <w:tcW w:w="1133" w:type="dxa"/>
            <w:tcBorders>
              <w:top w:val="nil"/>
              <w:left w:val="nil"/>
              <w:bottom w:val="nil"/>
              <w:right w:val="nil"/>
            </w:tcBorders>
            <w:shd w:val="clear" w:color="000000" w:fill="F2F2F2"/>
            <w:vAlign w:val="center"/>
            <w:hideMark/>
          </w:tcPr>
          <w:p w14:paraId="6856F307"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3 212</w:t>
            </w:r>
          </w:p>
        </w:tc>
        <w:tc>
          <w:tcPr>
            <w:tcW w:w="1133" w:type="dxa"/>
            <w:tcBorders>
              <w:top w:val="nil"/>
              <w:left w:val="nil"/>
              <w:bottom w:val="nil"/>
              <w:right w:val="nil"/>
            </w:tcBorders>
            <w:shd w:val="clear" w:color="000000" w:fill="F2F2F2"/>
            <w:vAlign w:val="center"/>
            <w:hideMark/>
          </w:tcPr>
          <w:p w14:paraId="6AB64B80"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2 749</w:t>
            </w:r>
          </w:p>
        </w:tc>
        <w:tc>
          <w:tcPr>
            <w:tcW w:w="1133" w:type="dxa"/>
            <w:tcBorders>
              <w:top w:val="nil"/>
              <w:left w:val="nil"/>
              <w:bottom w:val="nil"/>
              <w:right w:val="nil"/>
            </w:tcBorders>
            <w:shd w:val="clear" w:color="000000" w:fill="F2F2F2"/>
            <w:vAlign w:val="center"/>
            <w:hideMark/>
          </w:tcPr>
          <w:p w14:paraId="6E7B6648"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3 170</w:t>
            </w:r>
          </w:p>
        </w:tc>
        <w:tc>
          <w:tcPr>
            <w:tcW w:w="1103" w:type="dxa"/>
            <w:tcBorders>
              <w:top w:val="nil"/>
              <w:left w:val="nil"/>
              <w:bottom w:val="nil"/>
              <w:right w:val="nil"/>
            </w:tcBorders>
            <w:shd w:val="clear" w:color="000000" w:fill="F2F2F2"/>
            <w:vAlign w:val="center"/>
            <w:hideMark/>
          </w:tcPr>
          <w:p w14:paraId="0F0FD0DE"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2 363</w:t>
            </w:r>
          </w:p>
        </w:tc>
        <w:tc>
          <w:tcPr>
            <w:tcW w:w="1133" w:type="dxa"/>
            <w:tcBorders>
              <w:top w:val="nil"/>
              <w:left w:val="nil"/>
              <w:bottom w:val="nil"/>
              <w:right w:val="nil"/>
            </w:tcBorders>
            <w:shd w:val="clear" w:color="000000" w:fill="F2F2F2"/>
            <w:vAlign w:val="center"/>
            <w:hideMark/>
          </w:tcPr>
          <w:p w14:paraId="6CCCA019"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1 177</w:t>
            </w:r>
          </w:p>
        </w:tc>
      </w:tr>
      <w:tr w:rsidR="004A45B0" w:rsidRPr="004A45B0" w14:paraId="6F5A2161" w14:textId="77777777" w:rsidTr="004A45B0">
        <w:trPr>
          <w:trHeight w:val="287"/>
        </w:trPr>
        <w:tc>
          <w:tcPr>
            <w:tcW w:w="4164" w:type="dxa"/>
            <w:tcBorders>
              <w:top w:val="nil"/>
              <w:left w:val="nil"/>
              <w:bottom w:val="nil"/>
              <w:right w:val="nil"/>
            </w:tcBorders>
            <w:vAlign w:val="center"/>
            <w:hideMark/>
          </w:tcPr>
          <w:p w14:paraId="4ACF6B29"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p>
        </w:tc>
        <w:tc>
          <w:tcPr>
            <w:tcW w:w="1133" w:type="dxa"/>
            <w:tcBorders>
              <w:top w:val="nil"/>
              <w:left w:val="nil"/>
              <w:bottom w:val="nil"/>
              <w:right w:val="nil"/>
            </w:tcBorders>
            <w:vAlign w:val="center"/>
            <w:hideMark/>
          </w:tcPr>
          <w:p w14:paraId="124EE4D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77AE6625"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7891894E"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03" w:type="dxa"/>
            <w:tcBorders>
              <w:top w:val="nil"/>
              <w:left w:val="nil"/>
              <w:bottom w:val="nil"/>
              <w:right w:val="nil"/>
            </w:tcBorders>
            <w:vAlign w:val="center"/>
            <w:hideMark/>
          </w:tcPr>
          <w:p w14:paraId="024D7CE3"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71BCB434"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r>
      <w:tr w:rsidR="004A45B0" w:rsidRPr="004A45B0" w14:paraId="70A81F4B" w14:textId="77777777" w:rsidTr="004A45B0">
        <w:trPr>
          <w:trHeight w:val="287"/>
        </w:trPr>
        <w:tc>
          <w:tcPr>
            <w:tcW w:w="4164" w:type="dxa"/>
            <w:tcBorders>
              <w:top w:val="nil"/>
              <w:left w:val="nil"/>
              <w:bottom w:val="nil"/>
              <w:right w:val="nil"/>
            </w:tcBorders>
            <w:shd w:val="clear" w:color="000000" w:fill="D9EAF7"/>
            <w:vAlign w:val="center"/>
            <w:hideMark/>
          </w:tcPr>
          <w:p w14:paraId="6FBF8C22" w14:textId="77777777" w:rsidR="004A45B0" w:rsidRPr="004A45B0" w:rsidRDefault="004A45B0" w:rsidP="004A45B0">
            <w:pPr>
              <w:spacing w:after="0" w:line="240" w:lineRule="auto"/>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INVESTING ACTIVITIES</w:t>
            </w:r>
          </w:p>
        </w:tc>
        <w:tc>
          <w:tcPr>
            <w:tcW w:w="1133" w:type="dxa"/>
            <w:tcBorders>
              <w:top w:val="nil"/>
              <w:left w:val="nil"/>
              <w:bottom w:val="nil"/>
              <w:right w:val="nil"/>
            </w:tcBorders>
            <w:shd w:val="clear" w:color="000000" w:fill="D9EAF7"/>
            <w:vAlign w:val="center"/>
            <w:hideMark/>
          </w:tcPr>
          <w:p w14:paraId="226FE4F9"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D9EAF7"/>
            <w:vAlign w:val="center"/>
            <w:hideMark/>
          </w:tcPr>
          <w:p w14:paraId="39AFD83C"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D9EAF7"/>
            <w:vAlign w:val="center"/>
            <w:hideMark/>
          </w:tcPr>
          <w:p w14:paraId="2A073CFB"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03" w:type="dxa"/>
            <w:tcBorders>
              <w:top w:val="nil"/>
              <w:left w:val="nil"/>
              <w:bottom w:val="nil"/>
              <w:right w:val="nil"/>
            </w:tcBorders>
            <w:shd w:val="clear" w:color="000000" w:fill="D9EAF7"/>
            <w:vAlign w:val="center"/>
            <w:hideMark/>
          </w:tcPr>
          <w:p w14:paraId="72BB3216"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D9EAF7"/>
            <w:vAlign w:val="center"/>
            <w:hideMark/>
          </w:tcPr>
          <w:p w14:paraId="127D6C15"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r>
      <w:tr w:rsidR="004A45B0" w:rsidRPr="004A45B0" w14:paraId="4E7E7858" w14:textId="77777777" w:rsidTr="004A45B0">
        <w:trPr>
          <w:trHeight w:val="287"/>
        </w:trPr>
        <w:tc>
          <w:tcPr>
            <w:tcW w:w="4164" w:type="dxa"/>
            <w:tcBorders>
              <w:top w:val="nil"/>
              <w:left w:val="nil"/>
              <w:bottom w:val="nil"/>
              <w:right w:val="nil"/>
            </w:tcBorders>
            <w:vAlign w:val="center"/>
            <w:hideMark/>
          </w:tcPr>
          <w:p w14:paraId="7CC56CE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Capital and technology expenditures</w:t>
            </w:r>
          </w:p>
        </w:tc>
        <w:tc>
          <w:tcPr>
            <w:tcW w:w="1133" w:type="dxa"/>
            <w:tcBorders>
              <w:top w:val="nil"/>
              <w:left w:val="nil"/>
              <w:bottom w:val="nil"/>
              <w:right w:val="nil"/>
            </w:tcBorders>
            <w:vAlign w:val="center"/>
            <w:hideMark/>
          </w:tcPr>
          <w:p w14:paraId="3CEF4F5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(604)</w:t>
            </w:r>
          </w:p>
        </w:tc>
        <w:tc>
          <w:tcPr>
            <w:tcW w:w="1133" w:type="dxa"/>
            <w:tcBorders>
              <w:top w:val="nil"/>
              <w:left w:val="nil"/>
              <w:bottom w:val="nil"/>
              <w:right w:val="nil"/>
            </w:tcBorders>
            <w:vAlign w:val="center"/>
            <w:hideMark/>
          </w:tcPr>
          <w:p w14:paraId="43C4188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(750)</w:t>
            </w:r>
          </w:p>
        </w:tc>
        <w:tc>
          <w:tcPr>
            <w:tcW w:w="1133" w:type="dxa"/>
            <w:tcBorders>
              <w:top w:val="nil"/>
              <w:left w:val="nil"/>
              <w:bottom w:val="nil"/>
              <w:right w:val="nil"/>
            </w:tcBorders>
            <w:vAlign w:val="center"/>
            <w:hideMark/>
          </w:tcPr>
          <w:p w14:paraId="54ED849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(452)</w:t>
            </w:r>
          </w:p>
        </w:tc>
        <w:tc>
          <w:tcPr>
            <w:tcW w:w="1103" w:type="dxa"/>
            <w:tcBorders>
              <w:top w:val="nil"/>
              <w:left w:val="nil"/>
              <w:bottom w:val="nil"/>
              <w:right w:val="nil"/>
            </w:tcBorders>
            <w:vAlign w:val="center"/>
            <w:hideMark/>
          </w:tcPr>
          <w:p w14:paraId="3703E89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(332)</w:t>
            </w:r>
          </w:p>
        </w:tc>
        <w:tc>
          <w:tcPr>
            <w:tcW w:w="1133" w:type="dxa"/>
            <w:tcBorders>
              <w:top w:val="nil"/>
              <w:left w:val="nil"/>
              <w:bottom w:val="nil"/>
              <w:right w:val="nil"/>
            </w:tcBorders>
            <w:vAlign w:val="center"/>
            <w:hideMark/>
          </w:tcPr>
          <w:p w14:paraId="2BFE1BD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(183)</w:t>
            </w:r>
          </w:p>
        </w:tc>
      </w:tr>
      <w:tr w:rsidR="004A45B0" w:rsidRPr="004A45B0" w14:paraId="5B48569B" w14:textId="77777777" w:rsidTr="004A45B0">
        <w:trPr>
          <w:trHeight w:val="287"/>
        </w:trPr>
        <w:tc>
          <w:tcPr>
            <w:tcW w:w="4164" w:type="dxa"/>
            <w:tcBorders>
              <w:top w:val="nil"/>
              <w:left w:val="nil"/>
              <w:bottom w:val="nil"/>
              <w:right w:val="nil"/>
            </w:tcBorders>
            <w:vAlign w:val="center"/>
            <w:hideMark/>
          </w:tcPr>
          <w:p w14:paraId="64DBAA1F"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Asset acquisition(s)</w:t>
            </w:r>
          </w:p>
        </w:tc>
        <w:tc>
          <w:tcPr>
            <w:tcW w:w="1133" w:type="dxa"/>
            <w:tcBorders>
              <w:top w:val="nil"/>
              <w:left w:val="nil"/>
              <w:bottom w:val="nil"/>
              <w:right w:val="nil"/>
            </w:tcBorders>
            <w:vAlign w:val="center"/>
            <w:hideMark/>
          </w:tcPr>
          <w:p w14:paraId="5A1A658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(350)</w:t>
            </w:r>
          </w:p>
        </w:tc>
        <w:tc>
          <w:tcPr>
            <w:tcW w:w="1133" w:type="dxa"/>
            <w:tcBorders>
              <w:top w:val="nil"/>
              <w:left w:val="nil"/>
              <w:bottom w:val="nil"/>
              <w:right w:val="nil"/>
            </w:tcBorders>
            <w:vAlign w:val="center"/>
            <w:hideMark/>
          </w:tcPr>
          <w:p w14:paraId="41B5554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(26)</w:t>
            </w:r>
          </w:p>
        </w:tc>
        <w:tc>
          <w:tcPr>
            <w:tcW w:w="1133" w:type="dxa"/>
            <w:tcBorders>
              <w:top w:val="nil"/>
              <w:left w:val="nil"/>
              <w:bottom w:val="nil"/>
              <w:right w:val="nil"/>
            </w:tcBorders>
            <w:vAlign w:val="center"/>
            <w:hideMark/>
          </w:tcPr>
          <w:p w14:paraId="6494E32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(101)</w:t>
            </w:r>
          </w:p>
        </w:tc>
        <w:tc>
          <w:tcPr>
            <w:tcW w:w="1103" w:type="dxa"/>
            <w:tcBorders>
              <w:top w:val="nil"/>
              <w:left w:val="nil"/>
              <w:bottom w:val="nil"/>
              <w:right w:val="nil"/>
            </w:tcBorders>
            <w:vAlign w:val="center"/>
            <w:hideMark/>
          </w:tcPr>
          <w:p w14:paraId="3EDB13A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758DC84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r>
      <w:tr w:rsidR="004A45B0" w:rsidRPr="004A45B0" w14:paraId="0D7CC958" w14:textId="77777777" w:rsidTr="004A45B0">
        <w:trPr>
          <w:trHeight w:val="287"/>
        </w:trPr>
        <w:tc>
          <w:tcPr>
            <w:tcW w:w="4164" w:type="dxa"/>
            <w:tcBorders>
              <w:top w:val="nil"/>
              <w:left w:val="nil"/>
              <w:bottom w:val="nil"/>
              <w:right w:val="nil"/>
            </w:tcBorders>
            <w:vAlign w:val="center"/>
            <w:hideMark/>
          </w:tcPr>
          <w:p w14:paraId="012F4ED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Dispositions</w:t>
            </w:r>
          </w:p>
        </w:tc>
        <w:tc>
          <w:tcPr>
            <w:tcW w:w="1133" w:type="dxa"/>
            <w:tcBorders>
              <w:top w:val="nil"/>
              <w:left w:val="nil"/>
              <w:bottom w:val="nil"/>
              <w:right w:val="nil"/>
            </w:tcBorders>
            <w:vAlign w:val="center"/>
            <w:hideMark/>
          </w:tcPr>
          <w:p w14:paraId="0EF0D32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w:t>
            </w:r>
          </w:p>
        </w:tc>
        <w:tc>
          <w:tcPr>
            <w:tcW w:w="1133" w:type="dxa"/>
            <w:tcBorders>
              <w:top w:val="nil"/>
              <w:left w:val="nil"/>
              <w:bottom w:val="nil"/>
              <w:right w:val="nil"/>
            </w:tcBorders>
            <w:vAlign w:val="center"/>
            <w:hideMark/>
          </w:tcPr>
          <w:p w14:paraId="47E1E78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16</w:t>
            </w:r>
          </w:p>
        </w:tc>
        <w:tc>
          <w:tcPr>
            <w:tcW w:w="1133" w:type="dxa"/>
            <w:tcBorders>
              <w:top w:val="nil"/>
              <w:left w:val="nil"/>
              <w:bottom w:val="nil"/>
              <w:right w:val="nil"/>
            </w:tcBorders>
            <w:vAlign w:val="center"/>
            <w:hideMark/>
          </w:tcPr>
          <w:p w14:paraId="407BC8E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71</w:t>
            </w:r>
          </w:p>
        </w:tc>
        <w:tc>
          <w:tcPr>
            <w:tcW w:w="1103" w:type="dxa"/>
            <w:tcBorders>
              <w:top w:val="nil"/>
              <w:left w:val="nil"/>
              <w:bottom w:val="nil"/>
              <w:right w:val="nil"/>
            </w:tcBorders>
            <w:vAlign w:val="center"/>
            <w:hideMark/>
          </w:tcPr>
          <w:p w14:paraId="67D7E19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w:t>
            </w:r>
          </w:p>
        </w:tc>
        <w:tc>
          <w:tcPr>
            <w:tcW w:w="1133" w:type="dxa"/>
            <w:tcBorders>
              <w:top w:val="nil"/>
              <w:left w:val="nil"/>
              <w:bottom w:val="nil"/>
              <w:right w:val="nil"/>
            </w:tcBorders>
            <w:vAlign w:val="center"/>
            <w:hideMark/>
          </w:tcPr>
          <w:p w14:paraId="5FF6789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12</w:t>
            </w:r>
          </w:p>
        </w:tc>
      </w:tr>
      <w:tr w:rsidR="004A45B0" w:rsidRPr="004A45B0" w14:paraId="4D9AF241" w14:textId="77777777" w:rsidTr="004A45B0">
        <w:trPr>
          <w:trHeight w:val="287"/>
        </w:trPr>
        <w:tc>
          <w:tcPr>
            <w:tcW w:w="4164" w:type="dxa"/>
            <w:tcBorders>
              <w:top w:val="nil"/>
              <w:left w:val="nil"/>
              <w:bottom w:val="nil"/>
              <w:right w:val="nil"/>
            </w:tcBorders>
            <w:vAlign w:val="center"/>
            <w:hideMark/>
          </w:tcPr>
          <w:p w14:paraId="0744E6F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Loan advances</w:t>
            </w:r>
          </w:p>
        </w:tc>
        <w:tc>
          <w:tcPr>
            <w:tcW w:w="1133" w:type="dxa"/>
            <w:tcBorders>
              <w:top w:val="nil"/>
              <w:left w:val="nil"/>
              <w:bottom w:val="nil"/>
              <w:right w:val="nil"/>
            </w:tcBorders>
            <w:vAlign w:val="center"/>
            <w:hideMark/>
          </w:tcPr>
          <w:p w14:paraId="795CB1A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(35)</w:t>
            </w:r>
          </w:p>
        </w:tc>
        <w:tc>
          <w:tcPr>
            <w:tcW w:w="1133" w:type="dxa"/>
            <w:tcBorders>
              <w:top w:val="nil"/>
              <w:left w:val="nil"/>
              <w:bottom w:val="nil"/>
              <w:right w:val="nil"/>
            </w:tcBorders>
            <w:vAlign w:val="center"/>
            <w:hideMark/>
          </w:tcPr>
          <w:p w14:paraId="7418F29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w:t>
            </w:r>
          </w:p>
        </w:tc>
        <w:tc>
          <w:tcPr>
            <w:tcW w:w="1133" w:type="dxa"/>
            <w:tcBorders>
              <w:top w:val="nil"/>
              <w:left w:val="nil"/>
              <w:bottom w:val="nil"/>
              <w:right w:val="nil"/>
            </w:tcBorders>
            <w:vAlign w:val="center"/>
            <w:hideMark/>
          </w:tcPr>
          <w:p w14:paraId="7C1E91D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(77)</w:t>
            </w:r>
          </w:p>
        </w:tc>
        <w:tc>
          <w:tcPr>
            <w:tcW w:w="1103" w:type="dxa"/>
            <w:tcBorders>
              <w:top w:val="nil"/>
              <w:left w:val="nil"/>
              <w:bottom w:val="nil"/>
              <w:right w:val="nil"/>
            </w:tcBorders>
            <w:vAlign w:val="center"/>
            <w:hideMark/>
          </w:tcPr>
          <w:p w14:paraId="3BCDFE5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w:t>
            </w:r>
          </w:p>
        </w:tc>
        <w:tc>
          <w:tcPr>
            <w:tcW w:w="1133" w:type="dxa"/>
            <w:tcBorders>
              <w:top w:val="nil"/>
              <w:left w:val="nil"/>
              <w:bottom w:val="nil"/>
              <w:right w:val="nil"/>
            </w:tcBorders>
            <w:vAlign w:val="center"/>
            <w:hideMark/>
          </w:tcPr>
          <w:p w14:paraId="68A2EE4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(13)</w:t>
            </w:r>
          </w:p>
        </w:tc>
      </w:tr>
      <w:tr w:rsidR="004A45B0" w:rsidRPr="004A45B0" w14:paraId="6F94E0D5" w14:textId="77777777" w:rsidTr="004A45B0">
        <w:trPr>
          <w:trHeight w:val="287"/>
        </w:trPr>
        <w:tc>
          <w:tcPr>
            <w:tcW w:w="4164" w:type="dxa"/>
            <w:tcBorders>
              <w:top w:val="nil"/>
              <w:left w:val="nil"/>
              <w:bottom w:val="nil"/>
              <w:right w:val="nil"/>
            </w:tcBorders>
            <w:vAlign w:val="center"/>
            <w:hideMark/>
          </w:tcPr>
          <w:p w14:paraId="4C4C7BC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Loan collections</w:t>
            </w:r>
          </w:p>
        </w:tc>
        <w:tc>
          <w:tcPr>
            <w:tcW w:w="1133" w:type="dxa"/>
            <w:tcBorders>
              <w:top w:val="nil"/>
              <w:left w:val="nil"/>
              <w:bottom w:val="nil"/>
              <w:right w:val="nil"/>
            </w:tcBorders>
            <w:vAlign w:val="center"/>
            <w:hideMark/>
          </w:tcPr>
          <w:p w14:paraId="2D349AA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22</w:t>
            </w:r>
          </w:p>
        </w:tc>
        <w:tc>
          <w:tcPr>
            <w:tcW w:w="1133" w:type="dxa"/>
            <w:tcBorders>
              <w:top w:val="nil"/>
              <w:left w:val="nil"/>
              <w:bottom w:val="nil"/>
              <w:right w:val="nil"/>
            </w:tcBorders>
            <w:vAlign w:val="center"/>
            <w:hideMark/>
          </w:tcPr>
          <w:p w14:paraId="561D654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36</w:t>
            </w:r>
          </w:p>
        </w:tc>
        <w:tc>
          <w:tcPr>
            <w:tcW w:w="1133" w:type="dxa"/>
            <w:tcBorders>
              <w:top w:val="nil"/>
              <w:left w:val="nil"/>
              <w:bottom w:val="nil"/>
              <w:right w:val="nil"/>
            </w:tcBorders>
            <w:vAlign w:val="center"/>
            <w:hideMark/>
          </w:tcPr>
          <w:p w14:paraId="40C2937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61</w:t>
            </w:r>
          </w:p>
        </w:tc>
        <w:tc>
          <w:tcPr>
            <w:tcW w:w="1103" w:type="dxa"/>
            <w:tcBorders>
              <w:top w:val="nil"/>
              <w:left w:val="nil"/>
              <w:bottom w:val="nil"/>
              <w:right w:val="nil"/>
            </w:tcBorders>
            <w:vAlign w:val="center"/>
            <w:hideMark/>
          </w:tcPr>
          <w:p w14:paraId="039FBA5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14</w:t>
            </w:r>
          </w:p>
        </w:tc>
        <w:tc>
          <w:tcPr>
            <w:tcW w:w="1133" w:type="dxa"/>
            <w:tcBorders>
              <w:top w:val="nil"/>
              <w:left w:val="nil"/>
              <w:bottom w:val="nil"/>
              <w:right w:val="nil"/>
            </w:tcBorders>
            <w:vAlign w:val="center"/>
            <w:hideMark/>
          </w:tcPr>
          <w:p w14:paraId="21BD208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40</w:t>
            </w:r>
          </w:p>
        </w:tc>
      </w:tr>
      <w:tr w:rsidR="004A45B0" w:rsidRPr="004A45B0" w14:paraId="0FC02591" w14:textId="77777777" w:rsidTr="004A45B0">
        <w:trPr>
          <w:trHeight w:val="287"/>
        </w:trPr>
        <w:tc>
          <w:tcPr>
            <w:tcW w:w="4164" w:type="dxa"/>
            <w:tcBorders>
              <w:top w:val="nil"/>
              <w:left w:val="nil"/>
              <w:bottom w:val="nil"/>
              <w:right w:val="nil"/>
            </w:tcBorders>
            <w:vAlign w:val="center"/>
            <w:hideMark/>
          </w:tcPr>
          <w:p w14:paraId="3D8241C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Other</w:t>
            </w:r>
          </w:p>
        </w:tc>
        <w:tc>
          <w:tcPr>
            <w:tcW w:w="1133" w:type="dxa"/>
            <w:tcBorders>
              <w:top w:val="nil"/>
              <w:left w:val="nil"/>
              <w:bottom w:val="nil"/>
              <w:right w:val="nil"/>
            </w:tcBorders>
            <w:vAlign w:val="center"/>
            <w:hideMark/>
          </w:tcPr>
          <w:p w14:paraId="4921D5B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w:t>
            </w:r>
          </w:p>
        </w:tc>
        <w:tc>
          <w:tcPr>
            <w:tcW w:w="1133" w:type="dxa"/>
            <w:tcBorders>
              <w:top w:val="nil"/>
              <w:left w:val="nil"/>
              <w:bottom w:val="nil"/>
              <w:right w:val="nil"/>
            </w:tcBorders>
            <w:vAlign w:val="center"/>
            <w:hideMark/>
          </w:tcPr>
          <w:p w14:paraId="3211B63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6C8712F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33</w:t>
            </w:r>
          </w:p>
        </w:tc>
        <w:tc>
          <w:tcPr>
            <w:tcW w:w="1103" w:type="dxa"/>
            <w:tcBorders>
              <w:top w:val="nil"/>
              <w:left w:val="nil"/>
              <w:bottom w:val="nil"/>
              <w:right w:val="nil"/>
            </w:tcBorders>
            <w:vAlign w:val="center"/>
            <w:hideMark/>
          </w:tcPr>
          <w:p w14:paraId="14EEC10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31</w:t>
            </w:r>
          </w:p>
        </w:tc>
        <w:tc>
          <w:tcPr>
            <w:tcW w:w="1133" w:type="dxa"/>
            <w:tcBorders>
              <w:top w:val="nil"/>
              <w:left w:val="nil"/>
              <w:bottom w:val="nil"/>
              <w:right w:val="nil"/>
            </w:tcBorders>
            <w:vAlign w:val="center"/>
            <w:hideMark/>
          </w:tcPr>
          <w:p w14:paraId="266F1D3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(43)</w:t>
            </w:r>
          </w:p>
        </w:tc>
      </w:tr>
      <w:tr w:rsidR="004A45B0" w:rsidRPr="004A45B0" w14:paraId="4DA40220" w14:textId="77777777" w:rsidTr="004A45B0">
        <w:trPr>
          <w:trHeight w:val="287"/>
        </w:trPr>
        <w:tc>
          <w:tcPr>
            <w:tcW w:w="4164" w:type="dxa"/>
            <w:tcBorders>
              <w:top w:val="nil"/>
              <w:left w:val="nil"/>
              <w:bottom w:val="nil"/>
              <w:right w:val="nil"/>
            </w:tcBorders>
            <w:shd w:val="clear" w:color="000000" w:fill="F2F2F2"/>
            <w:vAlign w:val="center"/>
            <w:hideMark/>
          </w:tcPr>
          <w:p w14:paraId="596DDEB3" w14:textId="77777777" w:rsidR="004A45B0" w:rsidRPr="004A45B0" w:rsidRDefault="004A45B0" w:rsidP="004A45B0">
            <w:pPr>
              <w:spacing w:after="0" w:line="240" w:lineRule="auto"/>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Net cash used in investing activities</w:t>
            </w:r>
          </w:p>
        </w:tc>
        <w:tc>
          <w:tcPr>
            <w:tcW w:w="1133" w:type="dxa"/>
            <w:tcBorders>
              <w:top w:val="nil"/>
              <w:left w:val="nil"/>
              <w:bottom w:val="nil"/>
              <w:right w:val="nil"/>
            </w:tcBorders>
            <w:shd w:val="clear" w:color="000000" w:fill="F2F2F2"/>
            <w:vAlign w:val="center"/>
            <w:hideMark/>
          </w:tcPr>
          <w:p w14:paraId="67056D9D"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(948)</w:t>
            </w:r>
          </w:p>
        </w:tc>
        <w:tc>
          <w:tcPr>
            <w:tcW w:w="1133" w:type="dxa"/>
            <w:tcBorders>
              <w:top w:val="nil"/>
              <w:left w:val="nil"/>
              <w:bottom w:val="nil"/>
              <w:right w:val="nil"/>
            </w:tcBorders>
            <w:shd w:val="clear" w:color="000000" w:fill="F2F2F2"/>
            <w:vAlign w:val="center"/>
            <w:hideMark/>
          </w:tcPr>
          <w:p w14:paraId="564B1226"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(734)</w:t>
            </w:r>
          </w:p>
        </w:tc>
        <w:tc>
          <w:tcPr>
            <w:tcW w:w="1133" w:type="dxa"/>
            <w:tcBorders>
              <w:top w:val="nil"/>
              <w:left w:val="nil"/>
              <w:bottom w:val="nil"/>
              <w:right w:val="nil"/>
            </w:tcBorders>
            <w:shd w:val="clear" w:color="000000" w:fill="F2F2F2"/>
            <w:vAlign w:val="center"/>
            <w:hideMark/>
          </w:tcPr>
          <w:p w14:paraId="19042E26"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(465)</w:t>
            </w:r>
          </w:p>
        </w:tc>
        <w:tc>
          <w:tcPr>
            <w:tcW w:w="1103" w:type="dxa"/>
            <w:tcBorders>
              <w:top w:val="nil"/>
              <w:left w:val="nil"/>
              <w:bottom w:val="nil"/>
              <w:right w:val="nil"/>
            </w:tcBorders>
            <w:shd w:val="clear" w:color="000000" w:fill="F2F2F2"/>
            <w:vAlign w:val="center"/>
            <w:hideMark/>
          </w:tcPr>
          <w:p w14:paraId="506B2253"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(297)</w:t>
            </w:r>
          </w:p>
        </w:tc>
        <w:tc>
          <w:tcPr>
            <w:tcW w:w="1133" w:type="dxa"/>
            <w:tcBorders>
              <w:top w:val="nil"/>
              <w:left w:val="nil"/>
              <w:bottom w:val="nil"/>
              <w:right w:val="nil"/>
            </w:tcBorders>
            <w:shd w:val="clear" w:color="000000" w:fill="F2F2F2"/>
            <w:vAlign w:val="center"/>
            <w:hideMark/>
          </w:tcPr>
          <w:p w14:paraId="39109EAC"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(187)</w:t>
            </w:r>
          </w:p>
        </w:tc>
      </w:tr>
      <w:tr w:rsidR="004A45B0" w:rsidRPr="004A45B0" w14:paraId="5F6A7B85" w14:textId="77777777" w:rsidTr="004A45B0">
        <w:trPr>
          <w:trHeight w:val="287"/>
        </w:trPr>
        <w:tc>
          <w:tcPr>
            <w:tcW w:w="4164" w:type="dxa"/>
            <w:tcBorders>
              <w:top w:val="nil"/>
              <w:left w:val="nil"/>
              <w:bottom w:val="nil"/>
              <w:right w:val="nil"/>
            </w:tcBorders>
            <w:vAlign w:val="center"/>
            <w:hideMark/>
          </w:tcPr>
          <w:p w14:paraId="27F27711"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p>
        </w:tc>
        <w:tc>
          <w:tcPr>
            <w:tcW w:w="1133" w:type="dxa"/>
            <w:tcBorders>
              <w:top w:val="nil"/>
              <w:left w:val="nil"/>
              <w:bottom w:val="nil"/>
              <w:right w:val="nil"/>
            </w:tcBorders>
            <w:vAlign w:val="center"/>
            <w:hideMark/>
          </w:tcPr>
          <w:p w14:paraId="1BCEA12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6109A7DD"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4A79C0CC"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03" w:type="dxa"/>
            <w:tcBorders>
              <w:top w:val="nil"/>
              <w:left w:val="nil"/>
              <w:bottom w:val="nil"/>
              <w:right w:val="nil"/>
            </w:tcBorders>
            <w:vAlign w:val="center"/>
            <w:hideMark/>
          </w:tcPr>
          <w:p w14:paraId="3BE62116"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06900DB5"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r>
      <w:tr w:rsidR="004A45B0" w:rsidRPr="004A45B0" w14:paraId="3CCC4165" w14:textId="77777777" w:rsidTr="004A45B0">
        <w:trPr>
          <w:trHeight w:val="287"/>
        </w:trPr>
        <w:tc>
          <w:tcPr>
            <w:tcW w:w="4164" w:type="dxa"/>
            <w:tcBorders>
              <w:top w:val="nil"/>
              <w:left w:val="nil"/>
              <w:bottom w:val="nil"/>
              <w:right w:val="nil"/>
            </w:tcBorders>
            <w:shd w:val="clear" w:color="000000" w:fill="FCE4D6"/>
            <w:vAlign w:val="center"/>
            <w:hideMark/>
          </w:tcPr>
          <w:p w14:paraId="131181F3" w14:textId="77777777" w:rsidR="004A45B0" w:rsidRPr="004A45B0" w:rsidRDefault="004A45B0" w:rsidP="004A45B0">
            <w:pPr>
              <w:spacing w:after="0" w:line="240" w:lineRule="auto"/>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FINANCING ACTIVITIES</w:t>
            </w:r>
          </w:p>
        </w:tc>
        <w:tc>
          <w:tcPr>
            <w:tcW w:w="1133" w:type="dxa"/>
            <w:tcBorders>
              <w:top w:val="nil"/>
              <w:left w:val="nil"/>
              <w:bottom w:val="nil"/>
              <w:right w:val="nil"/>
            </w:tcBorders>
            <w:shd w:val="clear" w:color="000000" w:fill="FCE4D6"/>
            <w:vAlign w:val="center"/>
            <w:hideMark/>
          </w:tcPr>
          <w:p w14:paraId="21B2F895"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FCE4D6"/>
            <w:vAlign w:val="center"/>
            <w:hideMark/>
          </w:tcPr>
          <w:p w14:paraId="69F73389"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FCE4D6"/>
            <w:vAlign w:val="center"/>
            <w:hideMark/>
          </w:tcPr>
          <w:p w14:paraId="4B80EC94"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03" w:type="dxa"/>
            <w:tcBorders>
              <w:top w:val="nil"/>
              <w:left w:val="nil"/>
              <w:bottom w:val="nil"/>
              <w:right w:val="nil"/>
            </w:tcBorders>
            <w:shd w:val="clear" w:color="000000" w:fill="FCE4D6"/>
            <w:vAlign w:val="center"/>
            <w:hideMark/>
          </w:tcPr>
          <w:p w14:paraId="2C00D37E"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c>
          <w:tcPr>
            <w:tcW w:w="1133" w:type="dxa"/>
            <w:tcBorders>
              <w:top w:val="nil"/>
              <w:left w:val="nil"/>
              <w:bottom w:val="nil"/>
              <w:right w:val="nil"/>
            </w:tcBorders>
            <w:shd w:val="clear" w:color="000000" w:fill="FCE4D6"/>
            <w:vAlign w:val="center"/>
            <w:hideMark/>
          </w:tcPr>
          <w:p w14:paraId="36BE4790"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 </w:t>
            </w:r>
          </w:p>
        </w:tc>
      </w:tr>
      <w:tr w:rsidR="004A45B0" w:rsidRPr="004A45B0" w14:paraId="6414628B" w14:textId="77777777" w:rsidTr="004A45B0">
        <w:trPr>
          <w:trHeight w:val="287"/>
        </w:trPr>
        <w:tc>
          <w:tcPr>
            <w:tcW w:w="4164" w:type="dxa"/>
            <w:tcBorders>
              <w:top w:val="nil"/>
              <w:left w:val="nil"/>
              <w:bottom w:val="nil"/>
              <w:right w:val="nil"/>
            </w:tcBorders>
            <w:vAlign w:val="center"/>
            <w:hideMark/>
          </w:tcPr>
          <w:p w14:paraId="02F5909E"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Commercial paper/Credit Facility, net</w:t>
            </w:r>
          </w:p>
        </w:tc>
        <w:tc>
          <w:tcPr>
            <w:tcW w:w="1133" w:type="dxa"/>
            <w:tcBorders>
              <w:top w:val="nil"/>
              <w:left w:val="nil"/>
              <w:bottom w:val="nil"/>
              <w:right w:val="nil"/>
            </w:tcBorders>
            <w:vAlign w:val="center"/>
            <w:hideMark/>
          </w:tcPr>
          <w:p w14:paraId="21B9B77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(403)</w:t>
            </w:r>
          </w:p>
        </w:tc>
        <w:tc>
          <w:tcPr>
            <w:tcW w:w="1133" w:type="dxa"/>
            <w:tcBorders>
              <w:top w:val="nil"/>
              <w:left w:val="nil"/>
              <w:bottom w:val="nil"/>
              <w:right w:val="nil"/>
            </w:tcBorders>
            <w:vAlign w:val="center"/>
            <w:hideMark/>
          </w:tcPr>
          <w:p w14:paraId="6CC047A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163</w:t>
            </w:r>
          </w:p>
        </w:tc>
        <w:tc>
          <w:tcPr>
            <w:tcW w:w="1133" w:type="dxa"/>
            <w:tcBorders>
              <w:top w:val="nil"/>
              <w:left w:val="nil"/>
              <w:bottom w:val="nil"/>
              <w:right w:val="nil"/>
            </w:tcBorders>
            <w:vAlign w:val="center"/>
            <w:hideMark/>
          </w:tcPr>
          <w:p w14:paraId="278A4A2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546</w:t>
            </w:r>
          </w:p>
        </w:tc>
        <w:tc>
          <w:tcPr>
            <w:tcW w:w="1103" w:type="dxa"/>
            <w:tcBorders>
              <w:top w:val="nil"/>
              <w:left w:val="nil"/>
              <w:bottom w:val="nil"/>
              <w:right w:val="nil"/>
            </w:tcBorders>
            <w:vAlign w:val="center"/>
            <w:hideMark/>
          </w:tcPr>
          <w:p w14:paraId="7F4ABA1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(182)</w:t>
            </w:r>
          </w:p>
        </w:tc>
        <w:tc>
          <w:tcPr>
            <w:tcW w:w="1133" w:type="dxa"/>
            <w:tcBorders>
              <w:top w:val="nil"/>
              <w:left w:val="nil"/>
              <w:bottom w:val="nil"/>
              <w:right w:val="nil"/>
            </w:tcBorders>
            <w:vAlign w:val="center"/>
            <w:hideMark/>
          </w:tcPr>
          <w:p w14:paraId="70D2DA7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150</w:t>
            </w:r>
          </w:p>
        </w:tc>
      </w:tr>
      <w:tr w:rsidR="004A45B0" w:rsidRPr="004A45B0" w14:paraId="4F2EBBC4" w14:textId="77777777" w:rsidTr="004A45B0">
        <w:trPr>
          <w:trHeight w:val="287"/>
        </w:trPr>
        <w:tc>
          <w:tcPr>
            <w:tcW w:w="4164" w:type="dxa"/>
            <w:tcBorders>
              <w:top w:val="nil"/>
              <w:left w:val="nil"/>
              <w:bottom w:val="nil"/>
              <w:right w:val="nil"/>
            </w:tcBorders>
            <w:vAlign w:val="center"/>
            <w:hideMark/>
          </w:tcPr>
          <w:p w14:paraId="7D1561CF"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Issuance of long-term debt</w:t>
            </w:r>
          </w:p>
        </w:tc>
        <w:tc>
          <w:tcPr>
            <w:tcW w:w="1133" w:type="dxa"/>
            <w:tcBorders>
              <w:top w:val="nil"/>
              <w:left w:val="nil"/>
              <w:bottom w:val="nil"/>
              <w:right w:val="nil"/>
            </w:tcBorders>
            <w:vAlign w:val="center"/>
            <w:hideMark/>
          </w:tcPr>
          <w:p w14:paraId="385630F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3 436</w:t>
            </w:r>
          </w:p>
        </w:tc>
        <w:tc>
          <w:tcPr>
            <w:tcW w:w="1133" w:type="dxa"/>
            <w:tcBorders>
              <w:top w:val="nil"/>
              <w:left w:val="nil"/>
              <w:bottom w:val="nil"/>
              <w:right w:val="nil"/>
            </w:tcBorders>
            <w:vAlign w:val="center"/>
            <w:hideMark/>
          </w:tcPr>
          <w:p w14:paraId="5DA0795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2 948</w:t>
            </w:r>
          </w:p>
        </w:tc>
        <w:tc>
          <w:tcPr>
            <w:tcW w:w="1133" w:type="dxa"/>
            <w:tcBorders>
              <w:top w:val="nil"/>
              <w:left w:val="nil"/>
              <w:bottom w:val="nil"/>
              <w:right w:val="nil"/>
            </w:tcBorders>
            <w:vAlign w:val="center"/>
            <w:hideMark/>
          </w:tcPr>
          <w:p w14:paraId="705D19F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1 918</w:t>
            </w:r>
          </w:p>
        </w:tc>
        <w:tc>
          <w:tcPr>
            <w:tcW w:w="1103" w:type="dxa"/>
            <w:tcBorders>
              <w:top w:val="nil"/>
              <w:left w:val="nil"/>
              <w:bottom w:val="nil"/>
              <w:right w:val="nil"/>
            </w:tcBorders>
            <w:vAlign w:val="center"/>
            <w:hideMark/>
          </w:tcPr>
          <w:p w14:paraId="3EB9D42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983</w:t>
            </w:r>
          </w:p>
        </w:tc>
        <w:tc>
          <w:tcPr>
            <w:tcW w:w="1133" w:type="dxa"/>
            <w:tcBorders>
              <w:top w:val="nil"/>
              <w:left w:val="nil"/>
              <w:bottom w:val="nil"/>
              <w:right w:val="nil"/>
            </w:tcBorders>
            <w:vAlign w:val="center"/>
            <w:hideMark/>
          </w:tcPr>
          <w:p w14:paraId="7A0C914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1 793</w:t>
            </w:r>
          </w:p>
        </w:tc>
      </w:tr>
      <w:tr w:rsidR="004A45B0" w:rsidRPr="004A45B0" w14:paraId="4FC96306" w14:textId="77777777" w:rsidTr="004A45B0">
        <w:trPr>
          <w:trHeight w:val="287"/>
        </w:trPr>
        <w:tc>
          <w:tcPr>
            <w:tcW w:w="4164" w:type="dxa"/>
            <w:tcBorders>
              <w:top w:val="nil"/>
              <w:left w:val="nil"/>
              <w:bottom w:val="nil"/>
              <w:right w:val="nil"/>
            </w:tcBorders>
            <w:vAlign w:val="center"/>
            <w:hideMark/>
          </w:tcPr>
          <w:p w14:paraId="4EE6400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Repayment of long-term debt</w:t>
            </w:r>
          </w:p>
        </w:tc>
        <w:tc>
          <w:tcPr>
            <w:tcW w:w="1133" w:type="dxa"/>
            <w:tcBorders>
              <w:top w:val="nil"/>
              <w:left w:val="nil"/>
              <w:bottom w:val="nil"/>
              <w:right w:val="nil"/>
            </w:tcBorders>
            <w:vAlign w:val="center"/>
            <w:hideMark/>
          </w:tcPr>
          <w:p w14:paraId="7232D64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(1 309)</w:t>
            </w:r>
          </w:p>
        </w:tc>
        <w:tc>
          <w:tcPr>
            <w:tcW w:w="1133" w:type="dxa"/>
            <w:tcBorders>
              <w:top w:val="nil"/>
              <w:left w:val="nil"/>
              <w:bottom w:val="nil"/>
              <w:right w:val="nil"/>
            </w:tcBorders>
            <w:vAlign w:val="center"/>
            <w:hideMark/>
          </w:tcPr>
          <w:p w14:paraId="2353798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(558)</w:t>
            </w:r>
          </w:p>
        </w:tc>
        <w:tc>
          <w:tcPr>
            <w:tcW w:w="1133" w:type="dxa"/>
            <w:tcBorders>
              <w:top w:val="nil"/>
              <w:left w:val="nil"/>
              <w:bottom w:val="nil"/>
              <w:right w:val="nil"/>
            </w:tcBorders>
            <w:vAlign w:val="center"/>
            <w:hideMark/>
          </w:tcPr>
          <w:p w14:paraId="5469DCC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(684)</w:t>
            </w:r>
          </w:p>
        </w:tc>
        <w:tc>
          <w:tcPr>
            <w:tcW w:w="1103" w:type="dxa"/>
            <w:tcBorders>
              <w:top w:val="nil"/>
              <w:left w:val="nil"/>
              <w:bottom w:val="nil"/>
              <w:right w:val="nil"/>
            </w:tcBorders>
            <w:vAlign w:val="center"/>
            <w:hideMark/>
          </w:tcPr>
          <w:p w14:paraId="7C4782A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(804)</w:t>
            </w:r>
          </w:p>
        </w:tc>
        <w:tc>
          <w:tcPr>
            <w:tcW w:w="1133" w:type="dxa"/>
            <w:tcBorders>
              <w:top w:val="nil"/>
              <w:left w:val="nil"/>
              <w:bottom w:val="nil"/>
              <w:right w:val="nil"/>
            </w:tcBorders>
            <w:vAlign w:val="center"/>
            <w:hideMark/>
          </w:tcPr>
          <w:p w14:paraId="5E6B272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(2 174)</w:t>
            </w:r>
          </w:p>
        </w:tc>
      </w:tr>
      <w:tr w:rsidR="004A45B0" w:rsidRPr="004A45B0" w14:paraId="32A41521" w14:textId="77777777" w:rsidTr="004A45B0">
        <w:trPr>
          <w:trHeight w:val="287"/>
        </w:trPr>
        <w:tc>
          <w:tcPr>
            <w:tcW w:w="4164" w:type="dxa"/>
            <w:tcBorders>
              <w:top w:val="nil"/>
              <w:left w:val="nil"/>
              <w:bottom w:val="nil"/>
              <w:right w:val="nil"/>
            </w:tcBorders>
            <w:vAlign w:val="center"/>
            <w:hideMark/>
          </w:tcPr>
          <w:p w14:paraId="7BE8B9F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Issuance of Class A Common Stock</w:t>
            </w:r>
          </w:p>
        </w:tc>
        <w:tc>
          <w:tcPr>
            <w:tcW w:w="1133" w:type="dxa"/>
            <w:tcBorders>
              <w:top w:val="nil"/>
              <w:left w:val="nil"/>
              <w:bottom w:val="nil"/>
              <w:right w:val="nil"/>
            </w:tcBorders>
            <w:vAlign w:val="center"/>
            <w:hideMark/>
          </w:tcPr>
          <w:p w14:paraId="2A32277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92</w:t>
            </w:r>
          </w:p>
        </w:tc>
        <w:tc>
          <w:tcPr>
            <w:tcW w:w="1133" w:type="dxa"/>
            <w:tcBorders>
              <w:top w:val="nil"/>
              <w:left w:val="nil"/>
              <w:bottom w:val="nil"/>
              <w:right w:val="nil"/>
            </w:tcBorders>
            <w:vAlign w:val="center"/>
            <w:hideMark/>
          </w:tcPr>
          <w:p w14:paraId="6120129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73</w:t>
            </w:r>
          </w:p>
        </w:tc>
        <w:tc>
          <w:tcPr>
            <w:tcW w:w="1133" w:type="dxa"/>
            <w:tcBorders>
              <w:top w:val="nil"/>
              <w:left w:val="nil"/>
              <w:bottom w:val="nil"/>
              <w:right w:val="nil"/>
            </w:tcBorders>
            <w:vAlign w:val="center"/>
            <w:hideMark/>
          </w:tcPr>
          <w:p w14:paraId="2676CE7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29</w:t>
            </w:r>
          </w:p>
        </w:tc>
        <w:tc>
          <w:tcPr>
            <w:tcW w:w="1103" w:type="dxa"/>
            <w:tcBorders>
              <w:top w:val="nil"/>
              <w:left w:val="nil"/>
              <w:bottom w:val="nil"/>
              <w:right w:val="nil"/>
            </w:tcBorders>
            <w:vAlign w:val="center"/>
            <w:hideMark/>
          </w:tcPr>
          <w:p w14:paraId="36DBF61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2F7B923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w:t>
            </w:r>
          </w:p>
        </w:tc>
      </w:tr>
      <w:tr w:rsidR="004A45B0" w:rsidRPr="004A45B0" w14:paraId="10577B63" w14:textId="77777777" w:rsidTr="004A45B0">
        <w:trPr>
          <w:trHeight w:val="287"/>
        </w:trPr>
        <w:tc>
          <w:tcPr>
            <w:tcW w:w="4164" w:type="dxa"/>
            <w:tcBorders>
              <w:top w:val="nil"/>
              <w:left w:val="nil"/>
              <w:bottom w:val="nil"/>
              <w:right w:val="nil"/>
            </w:tcBorders>
            <w:vAlign w:val="center"/>
            <w:hideMark/>
          </w:tcPr>
          <w:p w14:paraId="5BCB56B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Debt extinguishment costs</w:t>
            </w:r>
          </w:p>
        </w:tc>
        <w:tc>
          <w:tcPr>
            <w:tcW w:w="1133" w:type="dxa"/>
            <w:tcBorders>
              <w:top w:val="nil"/>
              <w:left w:val="nil"/>
              <w:bottom w:val="nil"/>
              <w:right w:val="nil"/>
            </w:tcBorders>
            <w:vAlign w:val="center"/>
            <w:hideMark/>
          </w:tcPr>
          <w:p w14:paraId="22CAD8D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5AED7D9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63F78FE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03" w:type="dxa"/>
            <w:tcBorders>
              <w:top w:val="nil"/>
              <w:left w:val="nil"/>
              <w:bottom w:val="nil"/>
              <w:right w:val="nil"/>
            </w:tcBorders>
            <w:vAlign w:val="center"/>
            <w:hideMark/>
          </w:tcPr>
          <w:p w14:paraId="2B5945E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1ADC4BD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(155)</w:t>
            </w:r>
          </w:p>
        </w:tc>
      </w:tr>
      <w:tr w:rsidR="004A45B0" w:rsidRPr="004A45B0" w14:paraId="446FC3C2" w14:textId="77777777" w:rsidTr="004A45B0">
        <w:trPr>
          <w:trHeight w:val="287"/>
        </w:trPr>
        <w:tc>
          <w:tcPr>
            <w:tcW w:w="4164" w:type="dxa"/>
            <w:tcBorders>
              <w:top w:val="nil"/>
              <w:left w:val="nil"/>
              <w:bottom w:val="nil"/>
              <w:right w:val="nil"/>
            </w:tcBorders>
            <w:vAlign w:val="center"/>
            <w:hideMark/>
          </w:tcPr>
          <w:p w14:paraId="0725427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Dividends paid</w:t>
            </w:r>
          </w:p>
        </w:tc>
        <w:tc>
          <w:tcPr>
            <w:tcW w:w="1133" w:type="dxa"/>
            <w:tcBorders>
              <w:top w:val="nil"/>
              <w:left w:val="nil"/>
              <w:bottom w:val="nil"/>
              <w:right w:val="nil"/>
            </w:tcBorders>
            <w:vAlign w:val="center"/>
            <w:hideMark/>
          </w:tcPr>
          <w:p w14:paraId="3B74476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(718)</w:t>
            </w:r>
          </w:p>
        </w:tc>
        <w:tc>
          <w:tcPr>
            <w:tcW w:w="1133" w:type="dxa"/>
            <w:tcBorders>
              <w:top w:val="nil"/>
              <w:left w:val="nil"/>
              <w:bottom w:val="nil"/>
              <w:right w:val="nil"/>
            </w:tcBorders>
            <w:vAlign w:val="center"/>
            <w:hideMark/>
          </w:tcPr>
          <w:p w14:paraId="76E3B7F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(682)</w:t>
            </w:r>
          </w:p>
        </w:tc>
        <w:tc>
          <w:tcPr>
            <w:tcW w:w="1133" w:type="dxa"/>
            <w:tcBorders>
              <w:top w:val="nil"/>
              <w:left w:val="nil"/>
              <w:bottom w:val="nil"/>
              <w:right w:val="nil"/>
            </w:tcBorders>
            <w:vAlign w:val="center"/>
            <w:hideMark/>
          </w:tcPr>
          <w:p w14:paraId="191498F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(587)</w:t>
            </w:r>
          </w:p>
        </w:tc>
        <w:tc>
          <w:tcPr>
            <w:tcW w:w="1103" w:type="dxa"/>
            <w:tcBorders>
              <w:top w:val="nil"/>
              <w:left w:val="nil"/>
              <w:bottom w:val="nil"/>
              <w:right w:val="nil"/>
            </w:tcBorders>
            <w:vAlign w:val="center"/>
            <w:hideMark/>
          </w:tcPr>
          <w:p w14:paraId="463D958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(321)</w:t>
            </w:r>
          </w:p>
        </w:tc>
        <w:tc>
          <w:tcPr>
            <w:tcW w:w="1133" w:type="dxa"/>
            <w:tcBorders>
              <w:top w:val="nil"/>
              <w:left w:val="nil"/>
              <w:bottom w:val="nil"/>
              <w:right w:val="nil"/>
            </w:tcBorders>
            <w:vAlign w:val="center"/>
            <w:hideMark/>
          </w:tcPr>
          <w:p w14:paraId="439EF6D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r>
      <w:tr w:rsidR="004A45B0" w:rsidRPr="004A45B0" w14:paraId="20976973" w14:textId="77777777" w:rsidTr="004A45B0">
        <w:trPr>
          <w:trHeight w:val="287"/>
        </w:trPr>
        <w:tc>
          <w:tcPr>
            <w:tcW w:w="4164" w:type="dxa"/>
            <w:tcBorders>
              <w:top w:val="nil"/>
              <w:left w:val="nil"/>
              <w:bottom w:val="nil"/>
              <w:right w:val="nil"/>
            </w:tcBorders>
            <w:vAlign w:val="center"/>
            <w:hideMark/>
          </w:tcPr>
          <w:p w14:paraId="0EB5D1C8"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Purchase of treasury stock</w:t>
            </w:r>
          </w:p>
        </w:tc>
        <w:tc>
          <w:tcPr>
            <w:tcW w:w="1133" w:type="dxa"/>
            <w:tcBorders>
              <w:top w:val="nil"/>
              <w:left w:val="nil"/>
              <w:bottom w:val="nil"/>
              <w:right w:val="nil"/>
            </w:tcBorders>
            <w:vAlign w:val="center"/>
            <w:hideMark/>
          </w:tcPr>
          <w:p w14:paraId="703D932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(3 300)</w:t>
            </w:r>
          </w:p>
        </w:tc>
        <w:tc>
          <w:tcPr>
            <w:tcW w:w="1133" w:type="dxa"/>
            <w:tcBorders>
              <w:top w:val="nil"/>
              <w:left w:val="nil"/>
              <w:bottom w:val="nil"/>
              <w:right w:val="nil"/>
            </w:tcBorders>
            <w:vAlign w:val="center"/>
            <w:hideMark/>
          </w:tcPr>
          <w:p w14:paraId="0542896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(3 762)</w:t>
            </w:r>
          </w:p>
        </w:tc>
        <w:tc>
          <w:tcPr>
            <w:tcW w:w="1133" w:type="dxa"/>
            <w:tcBorders>
              <w:top w:val="nil"/>
              <w:left w:val="nil"/>
              <w:bottom w:val="nil"/>
              <w:right w:val="nil"/>
            </w:tcBorders>
            <w:vAlign w:val="center"/>
            <w:hideMark/>
          </w:tcPr>
          <w:p w14:paraId="649CCB7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(3 953)</w:t>
            </w:r>
          </w:p>
        </w:tc>
        <w:tc>
          <w:tcPr>
            <w:tcW w:w="1103" w:type="dxa"/>
            <w:tcBorders>
              <w:top w:val="nil"/>
              <w:left w:val="nil"/>
              <w:bottom w:val="nil"/>
              <w:right w:val="nil"/>
            </w:tcBorders>
            <w:vAlign w:val="center"/>
            <w:hideMark/>
          </w:tcPr>
          <w:p w14:paraId="6E3678C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(2 566)</w:t>
            </w:r>
          </w:p>
        </w:tc>
        <w:tc>
          <w:tcPr>
            <w:tcW w:w="1133" w:type="dxa"/>
            <w:tcBorders>
              <w:top w:val="nil"/>
              <w:left w:val="nil"/>
              <w:bottom w:val="nil"/>
              <w:right w:val="nil"/>
            </w:tcBorders>
            <w:vAlign w:val="center"/>
            <w:hideMark/>
          </w:tcPr>
          <w:p w14:paraId="3AC487B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r>
      <w:tr w:rsidR="004A45B0" w:rsidRPr="004A45B0" w14:paraId="73CD5F9C" w14:textId="77777777" w:rsidTr="004A45B0">
        <w:trPr>
          <w:trHeight w:val="287"/>
        </w:trPr>
        <w:tc>
          <w:tcPr>
            <w:tcW w:w="4164" w:type="dxa"/>
            <w:tcBorders>
              <w:top w:val="nil"/>
              <w:left w:val="nil"/>
              <w:bottom w:val="nil"/>
              <w:right w:val="nil"/>
            </w:tcBorders>
            <w:vAlign w:val="center"/>
            <w:hideMark/>
          </w:tcPr>
          <w:p w14:paraId="6BB51ED1"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Stock-based compensation withholding taxes</w:t>
            </w:r>
          </w:p>
        </w:tc>
        <w:tc>
          <w:tcPr>
            <w:tcW w:w="1133" w:type="dxa"/>
            <w:tcBorders>
              <w:top w:val="nil"/>
              <w:left w:val="nil"/>
              <w:bottom w:val="nil"/>
              <w:right w:val="nil"/>
            </w:tcBorders>
            <w:vAlign w:val="center"/>
            <w:hideMark/>
          </w:tcPr>
          <w:p w14:paraId="1E6C210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(116)</w:t>
            </w:r>
          </w:p>
        </w:tc>
        <w:tc>
          <w:tcPr>
            <w:tcW w:w="1133" w:type="dxa"/>
            <w:tcBorders>
              <w:top w:val="nil"/>
              <w:left w:val="nil"/>
              <w:bottom w:val="nil"/>
              <w:right w:val="nil"/>
            </w:tcBorders>
            <w:vAlign w:val="center"/>
            <w:hideMark/>
          </w:tcPr>
          <w:p w14:paraId="353CC39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(138)</w:t>
            </w:r>
          </w:p>
        </w:tc>
        <w:tc>
          <w:tcPr>
            <w:tcW w:w="1133" w:type="dxa"/>
            <w:tcBorders>
              <w:top w:val="nil"/>
              <w:left w:val="nil"/>
              <w:bottom w:val="nil"/>
              <w:right w:val="nil"/>
            </w:tcBorders>
            <w:vAlign w:val="center"/>
            <w:hideMark/>
          </w:tcPr>
          <w:p w14:paraId="7727755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(108)</w:t>
            </w:r>
          </w:p>
        </w:tc>
        <w:tc>
          <w:tcPr>
            <w:tcW w:w="1103" w:type="dxa"/>
            <w:tcBorders>
              <w:top w:val="nil"/>
              <w:left w:val="nil"/>
              <w:bottom w:val="nil"/>
              <w:right w:val="nil"/>
            </w:tcBorders>
            <w:vAlign w:val="center"/>
            <w:hideMark/>
          </w:tcPr>
          <w:p w14:paraId="3FCD07A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(89)</w:t>
            </w:r>
          </w:p>
        </w:tc>
        <w:tc>
          <w:tcPr>
            <w:tcW w:w="1133" w:type="dxa"/>
            <w:tcBorders>
              <w:top w:val="nil"/>
              <w:left w:val="nil"/>
              <w:bottom w:val="nil"/>
              <w:right w:val="nil"/>
            </w:tcBorders>
            <w:vAlign w:val="center"/>
            <w:hideMark/>
          </w:tcPr>
          <w:p w14:paraId="37AC9B4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(90)</w:t>
            </w:r>
          </w:p>
        </w:tc>
      </w:tr>
      <w:tr w:rsidR="004A45B0" w:rsidRPr="004A45B0" w14:paraId="49466490" w14:textId="77777777" w:rsidTr="004A45B0">
        <w:trPr>
          <w:trHeight w:val="287"/>
        </w:trPr>
        <w:tc>
          <w:tcPr>
            <w:tcW w:w="4164" w:type="dxa"/>
            <w:tcBorders>
              <w:top w:val="nil"/>
              <w:left w:val="nil"/>
              <w:bottom w:val="nil"/>
              <w:right w:val="nil"/>
            </w:tcBorders>
            <w:vAlign w:val="center"/>
            <w:hideMark/>
          </w:tcPr>
          <w:p w14:paraId="28D9D0B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Other</w:t>
            </w:r>
          </w:p>
        </w:tc>
        <w:tc>
          <w:tcPr>
            <w:tcW w:w="1133" w:type="dxa"/>
            <w:tcBorders>
              <w:top w:val="nil"/>
              <w:left w:val="nil"/>
              <w:bottom w:val="nil"/>
              <w:right w:val="nil"/>
            </w:tcBorders>
            <w:vAlign w:val="center"/>
            <w:hideMark/>
          </w:tcPr>
          <w:p w14:paraId="4727FB3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63DDD39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w:t>
            </w:r>
          </w:p>
        </w:tc>
        <w:tc>
          <w:tcPr>
            <w:tcW w:w="1133" w:type="dxa"/>
            <w:tcBorders>
              <w:top w:val="nil"/>
              <w:left w:val="nil"/>
              <w:bottom w:val="nil"/>
              <w:right w:val="nil"/>
            </w:tcBorders>
            <w:vAlign w:val="center"/>
            <w:hideMark/>
          </w:tcPr>
          <w:p w14:paraId="500BE4F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(25)</w:t>
            </w:r>
          </w:p>
        </w:tc>
        <w:tc>
          <w:tcPr>
            <w:tcW w:w="1103" w:type="dxa"/>
            <w:tcBorders>
              <w:top w:val="nil"/>
              <w:left w:val="nil"/>
              <w:bottom w:val="nil"/>
              <w:right w:val="nil"/>
            </w:tcBorders>
            <w:vAlign w:val="center"/>
            <w:hideMark/>
          </w:tcPr>
          <w:p w14:paraId="735B6A4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17</w:t>
            </w:r>
          </w:p>
        </w:tc>
        <w:tc>
          <w:tcPr>
            <w:tcW w:w="1133" w:type="dxa"/>
            <w:tcBorders>
              <w:top w:val="nil"/>
              <w:left w:val="nil"/>
              <w:bottom w:val="nil"/>
              <w:right w:val="nil"/>
            </w:tcBorders>
            <w:vAlign w:val="center"/>
            <w:hideMark/>
          </w:tcPr>
          <w:p w14:paraId="150A5AB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w:t>
            </w:r>
          </w:p>
        </w:tc>
      </w:tr>
      <w:tr w:rsidR="004A45B0" w:rsidRPr="004A45B0" w14:paraId="59A3CDC5" w14:textId="77777777" w:rsidTr="004A45B0">
        <w:trPr>
          <w:trHeight w:val="287"/>
        </w:trPr>
        <w:tc>
          <w:tcPr>
            <w:tcW w:w="4164" w:type="dxa"/>
            <w:tcBorders>
              <w:top w:val="nil"/>
              <w:left w:val="nil"/>
              <w:bottom w:val="nil"/>
              <w:right w:val="nil"/>
            </w:tcBorders>
            <w:shd w:val="clear" w:color="000000" w:fill="F2F2F2"/>
            <w:vAlign w:val="center"/>
            <w:hideMark/>
          </w:tcPr>
          <w:p w14:paraId="2C8CB27E" w14:textId="77777777" w:rsidR="004A45B0" w:rsidRPr="004A45B0" w:rsidRDefault="004A45B0" w:rsidP="004A45B0">
            <w:pPr>
              <w:spacing w:after="0" w:line="240" w:lineRule="auto"/>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Net cash used in financing activities</w:t>
            </w:r>
          </w:p>
        </w:tc>
        <w:tc>
          <w:tcPr>
            <w:tcW w:w="1133" w:type="dxa"/>
            <w:tcBorders>
              <w:top w:val="nil"/>
              <w:left w:val="nil"/>
              <w:bottom w:val="nil"/>
              <w:right w:val="nil"/>
            </w:tcBorders>
            <w:shd w:val="clear" w:color="000000" w:fill="F2F2F2"/>
            <w:vAlign w:val="center"/>
            <w:hideMark/>
          </w:tcPr>
          <w:p w14:paraId="2CA85EDF"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(2 318)</w:t>
            </w:r>
          </w:p>
        </w:tc>
        <w:tc>
          <w:tcPr>
            <w:tcW w:w="1133" w:type="dxa"/>
            <w:tcBorders>
              <w:top w:val="nil"/>
              <w:left w:val="nil"/>
              <w:bottom w:val="nil"/>
              <w:right w:val="nil"/>
            </w:tcBorders>
            <w:shd w:val="clear" w:color="000000" w:fill="F2F2F2"/>
            <w:vAlign w:val="center"/>
            <w:hideMark/>
          </w:tcPr>
          <w:p w14:paraId="524C5558"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(1 956)</w:t>
            </w:r>
          </w:p>
        </w:tc>
        <w:tc>
          <w:tcPr>
            <w:tcW w:w="1133" w:type="dxa"/>
            <w:tcBorders>
              <w:top w:val="nil"/>
              <w:left w:val="nil"/>
              <w:bottom w:val="nil"/>
              <w:right w:val="nil"/>
            </w:tcBorders>
            <w:shd w:val="clear" w:color="000000" w:fill="F2F2F2"/>
            <w:vAlign w:val="center"/>
            <w:hideMark/>
          </w:tcPr>
          <w:p w14:paraId="557303FC"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(2 864)</w:t>
            </w:r>
          </w:p>
        </w:tc>
        <w:tc>
          <w:tcPr>
            <w:tcW w:w="1103" w:type="dxa"/>
            <w:tcBorders>
              <w:top w:val="nil"/>
              <w:left w:val="nil"/>
              <w:bottom w:val="nil"/>
              <w:right w:val="nil"/>
            </w:tcBorders>
            <w:shd w:val="clear" w:color="000000" w:fill="F2F2F2"/>
            <w:vAlign w:val="center"/>
            <w:hideMark/>
          </w:tcPr>
          <w:p w14:paraId="386CAD6B"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(2 962)</w:t>
            </w:r>
          </w:p>
        </w:tc>
        <w:tc>
          <w:tcPr>
            <w:tcW w:w="1133" w:type="dxa"/>
            <w:tcBorders>
              <w:top w:val="nil"/>
              <w:left w:val="nil"/>
              <w:bottom w:val="nil"/>
              <w:right w:val="nil"/>
            </w:tcBorders>
            <w:shd w:val="clear" w:color="000000" w:fill="F2F2F2"/>
            <w:vAlign w:val="center"/>
            <w:hideMark/>
          </w:tcPr>
          <w:p w14:paraId="3C45B7AA"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(463)</w:t>
            </w:r>
          </w:p>
        </w:tc>
      </w:tr>
      <w:tr w:rsidR="004A45B0" w:rsidRPr="004A45B0" w14:paraId="6236978A" w14:textId="77777777" w:rsidTr="004A45B0">
        <w:trPr>
          <w:trHeight w:val="287"/>
        </w:trPr>
        <w:tc>
          <w:tcPr>
            <w:tcW w:w="4164" w:type="dxa"/>
            <w:tcBorders>
              <w:top w:val="nil"/>
              <w:left w:val="nil"/>
              <w:bottom w:val="nil"/>
              <w:right w:val="nil"/>
            </w:tcBorders>
            <w:vAlign w:val="center"/>
            <w:hideMark/>
          </w:tcPr>
          <w:p w14:paraId="7C19F6AC"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p>
        </w:tc>
        <w:tc>
          <w:tcPr>
            <w:tcW w:w="1133" w:type="dxa"/>
            <w:tcBorders>
              <w:top w:val="nil"/>
              <w:left w:val="nil"/>
              <w:bottom w:val="nil"/>
              <w:right w:val="nil"/>
            </w:tcBorders>
            <w:vAlign w:val="center"/>
            <w:hideMark/>
          </w:tcPr>
          <w:p w14:paraId="0B192B3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5F9B5A82"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65EC074A"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03" w:type="dxa"/>
            <w:tcBorders>
              <w:top w:val="nil"/>
              <w:left w:val="nil"/>
              <w:bottom w:val="nil"/>
              <w:right w:val="nil"/>
            </w:tcBorders>
            <w:vAlign w:val="center"/>
            <w:hideMark/>
          </w:tcPr>
          <w:p w14:paraId="2AE08876"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02DFE3E6" w14:textId="77777777" w:rsidR="004A45B0" w:rsidRPr="004A45B0" w:rsidRDefault="004A45B0" w:rsidP="004A45B0">
            <w:pPr>
              <w:spacing w:after="0" w:line="240" w:lineRule="auto"/>
              <w:jc w:val="right"/>
              <w:rPr>
                <w:rFonts w:ascii="Times New Roman" w:eastAsia="Times New Roman" w:hAnsi="Times New Roman" w:cs="Times New Roman"/>
                <w:sz w:val="20"/>
                <w:szCs w:val="20"/>
                <w:lang w:val="en-US" w:eastAsia="en-US"/>
              </w:rPr>
            </w:pPr>
          </w:p>
        </w:tc>
      </w:tr>
      <w:tr w:rsidR="004A45B0" w:rsidRPr="004A45B0" w14:paraId="567E7B0D" w14:textId="77777777" w:rsidTr="004A45B0">
        <w:trPr>
          <w:trHeight w:val="555"/>
        </w:trPr>
        <w:tc>
          <w:tcPr>
            <w:tcW w:w="4164" w:type="dxa"/>
            <w:tcBorders>
              <w:top w:val="nil"/>
              <w:left w:val="nil"/>
              <w:bottom w:val="nil"/>
              <w:right w:val="nil"/>
            </w:tcBorders>
            <w:shd w:val="clear" w:color="000000" w:fill="F2F2F2"/>
            <w:vAlign w:val="center"/>
            <w:hideMark/>
          </w:tcPr>
          <w:p w14:paraId="636070AF" w14:textId="77777777" w:rsidR="004A45B0" w:rsidRPr="004A45B0" w:rsidRDefault="004A45B0" w:rsidP="004A45B0">
            <w:pPr>
              <w:spacing w:after="0" w:line="240" w:lineRule="auto"/>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(DECREASE) INCREASE IN CASH, CASH EQUIVALENTS, AND RESTRICTED CASH</w:t>
            </w:r>
          </w:p>
        </w:tc>
        <w:tc>
          <w:tcPr>
            <w:tcW w:w="1133" w:type="dxa"/>
            <w:tcBorders>
              <w:top w:val="nil"/>
              <w:left w:val="nil"/>
              <w:bottom w:val="nil"/>
              <w:right w:val="nil"/>
            </w:tcBorders>
            <w:shd w:val="clear" w:color="000000" w:fill="F2F2F2"/>
            <w:vAlign w:val="center"/>
            <w:hideMark/>
          </w:tcPr>
          <w:p w14:paraId="05CFDB78"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(54)</w:t>
            </w:r>
          </w:p>
        </w:tc>
        <w:tc>
          <w:tcPr>
            <w:tcW w:w="1133" w:type="dxa"/>
            <w:tcBorders>
              <w:top w:val="nil"/>
              <w:left w:val="nil"/>
              <w:bottom w:val="nil"/>
              <w:right w:val="nil"/>
            </w:tcBorders>
            <w:shd w:val="clear" w:color="000000" w:fill="F2F2F2"/>
            <w:vAlign w:val="center"/>
            <w:hideMark/>
          </w:tcPr>
          <w:p w14:paraId="122341AB"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59</w:t>
            </w:r>
          </w:p>
        </w:tc>
        <w:tc>
          <w:tcPr>
            <w:tcW w:w="1133" w:type="dxa"/>
            <w:tcBorders>
              <w:top w:val="nil"/>
              <w:left w:val="nil"/>
              <w:bottom w:val="nil"/>
              <w:right w:val="nil"/>
            </w:tcBorders>
            <w:shd w:val="clear" w:color="000000" w:fill="F2F2F2"/>
            <w:vAlign w:val="center"/>
            <w:hideMark/>
          </w:tcPr>
          <w:p w14:paraId="6D9B0400"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(159)</w:t>
            </w:r>
          </w:p>
        </w:tc>
        <w:tc>
          <w:tcPr>
            <w:tcW w:w="1103" w:type="dxa"/>
            <w:tcBorders>
              <w:top w:val="nil"/>
              <w:left w:val="nil"/>
              <w:bottom w:val="nil"/>
              <w:right w:val="nil"/>
            </w:tcBorders>
            <w:shd w:val="clear" w:color="000000" w:fill="F2F2F2"/>
            <w:vAlign w:val="center"/>
            <w:hideMark/>
          </w:tcPr>
          <w:p w14:paraId="6EF56DC2"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(896)</w:t>
            </w:r>
          </w:p>
        </w:tc>
        <w:tc>
          <w:tcPr>
            <w:tcW w:w="1133" w:type="dxa"/>
            <w:tcBorders>
              <w:top w:val="nil"/>
              <w:left w:val="nil"/>
              <w:bottom w:val="nil"/>
              <w:right w:val="nil"/>
            </w:tcBorders>
            <w:shd w:val="clear" w:color="000000" w:fill="F2F2F2"/>
            <w:vAlign w:val="center"/>
            <w:hideMark/>
          </w:tcPr>
          <w:p w14:paraId="58808BC2"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527</w:t>
            </w:r>
          </w:p>
        </w:tc>
      </w:tr>
      <w:tr w:rsidR="004A45B0" w:rsidRPr="004A45B0" w14:paraId="29C8D3E7" w14:textId="77777777" w:rsidTr="004A45B0">
        <w:trPr>
          <w:trHeight w:val="575"/>
        </w:trPr>
        <w:tc>
          <w:tcPr>
            <w:tcW w:w="4164" w:type="dxa"/>
            <w:tcBorders>
              <w:top w:val="nil"/>
              <w:left w:val="nil"/>
              <w:bottom w:val="nil"/>
              <w:right w:val="nil"/>
            </w:tcBorders>
            <w:vAlign w:val="center"/>
            <w:hideMark/>
          </w:tcPr>
          <w:p w14:paraId="4D4378F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CASH, CASH EQUIVALENTS, AND RESTRICTED CASH, beginning of period</w:t>
            </w:r>
          </w:p>
        </w:tc>
        <w:tc>
          <w:tcPr>
            <w:tcW w:w="1133" w:type="dxa"/>
            <w:tcBorders>
              <w:top w:val="nil"/>
              <w:left w:val="nil"/>
              <w:bottom w:val="nil"/>
              <w:right w:val="nil"/>
            </w:tcBorders>
            <w:vAlign w:val="center"/>
            <w:hideMark/>
          </w:tcPr>
          <w:p w14:paraId="3083798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425</w:t>
            </w:r>
          </w:p>
        </w:tc>
        <w:tc>
          <w:tcPr>
            <w:tcW w:w="1133" w:type="dxa"/>
            <w:tcBorders>
              <w:top w:val="nil"/>
              <w:left w:val="nil"/>
              <w:bottom w:val="nil"/>
              <w:right w:val="nil"/>
            </w:tcBorders>
            <w:vAlign w:val="center"/>
            <w:hideMark/>
          </w:tcPr>
          <w:p w14:paraId="3ED966C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366</w:t>
            </w:r>
          </w:p>
        </w:tc>
        <w:tc>
          <w:tcPr>
            <w:tcW w:w="1133" w:type="dxa"/>
            <w:tcBorders>
              <w:top w:val="nil"/>
              <w:left w:val="nil"/>
              <w:bottom w:val="nil"/>
              <w:right w:val="nil"/>
            </w:tcBorders>
            <w:vAlign w:val="center"/>
            <w:hideMark/>
          </w:tcPr>
          <w:p w14:paraId="35482E5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525</w:t>
            </w:r>
          </w:p>
        </w:tc>
        <w:tc>
          <w:tcPr>
            <w:tcW w:w="1103" w:type="dxa"/>
            <w:tcBorders>
              <w:top w:val="nil"/>
              <w:left w:val="nil"/>
              <w:bottom w:val="nil"/>
              <w:right w:val="nil"/>
            </w:tcBorders>
            <w:vAlign w:val="center"/>
            <w:hideMark/>
          </w:tcPr>
          <w:p w14:paraId="2D25AD5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1 421</w:t>
            </w:r>
          </w:p>
        </w:tc>
        <w:tc>
          <w:tcPr>
            <w:tcW w:w="1133" w:type="dxa"/>
            <w:tcBorders>
              <w:top w:val="nil"/>
              <w:left w:val="nil"/>
              <w:bottom w:val="nil"/>
              <w:right w:val="nil"/>
            </w:tcBorders>
            <w:vAlign w:val="center"/>
            <w:hideMark/>
          </w:tcPr>
          <w:p w14:paraId="1977F39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894</w:t>
            </w:r>
          </w:p>
        </w:tc>
      </w:tr>
      <w:tr w:rsidR="004A45B0" w:rsidRPr="004A45B0" w14:paraId="560F2352" w14:textId="77777777" w:rsidTr="004A45B0">
        <w:trPr>
          <w:trHeight w:val="773"/>
        </w:trPr>
        <w:tc>
          <w:tcPr>
            <w:tcW w:w="4164" w:type="dxa"/>
            <w:tcBorders>
              <w:top w:val="nil"/>
              <w:left w:val="nil"/>
              <w:bottom w:val="nil"/>
              <w:right w:val="nil"/>
            </w:tcBorders>
            <w:shd w:val="clear" w:color="000000" w:fill="F2F2F2"/>
            <w:vAlign w:val="center"/>
            <w:hideMark/>
          </w:tcPr>
          <w:p w14:paraId="18761BEA" w14:textId="77777777" w:rsidR="004A45B0" w:rsidRPr="004A45B0" w:rsidRDefault="004A45B0" w:rsidP="004A45B0">
            <w:pPr>
              <w:spacing w:after="0" w:line="240" w:lineRule="auto"/>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lastRenderedPageBreak/>
              <w:t>CASH, CASH EQUIVALENTS, AND RESTRICTED CASH, end of period</w:t>
            </w:r>
          </w:p>
        </w:tc>
        <w:tc>
          <w:tcPr>
            <w:tcW w:w="1133" w:type="dxa"/>
            <w:tcBorders>
              <w:top w:val="nil"/>
              <w:left w:val="nil"/>
              <w:bottom w:val="nil"/>
              <w:right w:val="nil"/>
            </w:tcBorders>
            <w:shd w:val="clear" w:color="000000" w:fill="F2F2F2"/>
            <w:vAlign w:val="center"/>
            <w:hideMark/>
          </w:tcPr>
          <w:p w14:paraId="06198F11"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371</w:t>
            </w:r>
          </w:p>
        </w:tc>
        <w:tc>
          <w:tcPr>
            <w:tcW w:w="1133" w:type="dxa"/>
            <w:tcBorders>
              <w:top w:val="nil"/>
              <w:left w:val="nil"/>
              <w:bottom w:val="nil"/>
              <w:right w:val="nil"/>
            </w:tcBorders>
            <w:shd w:val="clear" w:color="000000" w:fill="F2F2F2"/>
            <w:vAlign w:val="center"/>
            <w:hideMark/>
          </w:tcPr>
          <w:p w14:paraId="1D92355A"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425</w:t>
            </w:r>
          </w:p>
        </w:tc>
        <w:tc>
          <w:tcPr>
            <w:tcW w:w="1133" w:type="dxa"/>
            <w:tcBorders>
              <w:top w:val="nil"/>
              <w:left w:val="nil"/>
              <w:bottom w:val="nil"/>
              <w:right w:val="nil"/>
            </w:tcBorders>
            <w:shd w:val="clear" w:color="000000" w:fill="F2F2F2"/>
            <w:vAlign w:val="center"/>
            <w:hideMark/>
          </w:tcPr>
          <w:p w14:paraId="0D157DB0"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366</w:t>
            </w:r>
          </w:p>
        </w:tc>
        <w:tc>
          <w:tcPr>
            <w:tcW w:w="1103" w:type="dxa"/>
            <w:tcBorders>
              <w:top w:val="nil"/>
              <w:left w:val="nil"/>
              <w:bottom w:val="nil"/>
              <w:right w:val="nil"/>
            </w:tcBorders>
            <w:shd w:val="clear" w:color="000000" w:fill="F2F2F2"/>
            <w:vAlign w:val="center"/>
            <w:hideMark/>
          </w:tcPr>
          <w:p w14:paraId="0C838110"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525</w:t>
            </w:r>
          </w:p>
        </w:tc>
        <w:tc>
          <w:tcPr>
            <w:tcW w:w="1133" w:type="dxa"/>
            <w:tcBorders>
              <w:top w:val="nil"/>
              <w:left w:val="nil"/>
              <w:bottom w:val="nil"/>
              <w:right w:val="nil"/>
            </w:tcBorders>
            <w:shd w:val="clear" w:color="000000" w:fill="F2F2F2"/>
            <w:vAlign w:val="center"/>
            <w:hideMark/>
          </w:tcPr>
          <w:p w14:paraId="2BFAF82A"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r w:rsidRPr="004A45B0">
              <w:rPr>
                <w:rFonts w:ascii="Carlito" w:eastAsia="Times New Roman" w:hAnsi="Carlito" w:cs="Calibri"/>
                <w:b/>
                <w:bCs/>
                <w:sz w:val="22"/>
                <w:szCs w:val="22"/>
                <w:lang w:val="en-US" w:eastAsia="en-US"/>
              </w:rPr>
              <w:t>1 421</w:t>
            </w:r>
          </w:p>
        </w:tc>
      </w:tr>
      <w:tr w:rsidR="004A45B0" w:rsidRPr="004A45B0" w14:paraId="4D7A89E9" w14:textId="77777777" w:rsidTr="004A45B0">
        <w:trPr>
          <w:trHeight w:val="287"/>
        </w:trPr>
        <w:tc>
          <w:tcPr>
            <w:tcW w:w="4164" w:type="dxa"/>
            <w:tcBorders>
              <w:top w:val="nil"/>
              <w:left w:val="nil"/>
              <w:bottom w:val="nil"/>
              <w:right w:val="nil"/>
            </w:tcBorders>
            <w:vAlign w:val="center"/>
            <w:hideMark/>
          </w:tcPr>
          <w:p w14:paraId="1DCAE63F" w14:textId="77777777" w:rsidR="004A45B0" w:rsidRPr="004A45B0" w:rsidRDefault="004A45B0" w:rsidP="004A45B0">
            <w:pPr>
              <w:spacing w:after="0" w:line="240" w:lineRule="auto"/>
              <w:jc w:val="right"/>
              <w:rPr>
                <w:rFonts w:ascii="Carlito" w:eastAsia="Times New Roman" w:hAnsi="Carlito" w:cs="Calibri"/>
                <w:b/>
                <w:bCs/>
                <w:sz w:val="22"/>
                <w:szCs w:val="22"/>
                <w:lang w:val="en-US" w:eastAsia="en-US"/>
              </w:rPr>
            </w:pPr>
          </w:p>
        </w:tc>
        <w:tc>
          <w:tcPr>
            <w:tcW w:w="1133" w:type="dxa"/>
            <w:tcBorders>
              <w:top w:val="nil"/>
              <w:left w:val="nil"/>
              <w:bottom w:val="nil"/>
              <w:right w:val="nil"/>
            </w:tcBorders>
            <w:vAlign w:val="center"/>
            <w:hideMark/>
          </w:tcPr>
          <w:p w14:paraId="0BEFB01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05442F5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23D8D82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03" w:type="dxa"/>
            <w:tcBorders>
              <w:top w:val="nil"/>
              <w:left w:val="nil"/>
              <w:bottom w:val="nil"/>
              <w:right w:val="nil"/>
            </w:tcBorders>
            <w:vAlign w:val="center"/>
            <w:hideMark/>
          </w:tcPr>
          <w:p w14:paraId="50E9F95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33" w:type="dxa"/>
            <w:tcBorders>
              <w:top w:val="nil"/>
              <w:left w:val="nil"/>
              <w:bottom w:val="nil"/>
              <w:right w:val="nil"/>
            </w:tcBorders>
            <w:vAlign w:val="center"/>
            <w:hideMark/>
          </w:tcPr>
          <w:p w14:paraId="3B0F1A8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477CDDB" w14:textId="77777777" w:rsidTr="004A45B0">
        <w:trPr>
          <w:trHeight w:val="476"/>
        </w:trPr>
        <w:tc>
          <w:tcPr>
            <w:tcW w:w="4164" w:type="dxa"/>
            <w:tcBorders>
              <w:top w:val="nil"/>
              <w:left w:val="nil"/>
              <w:bottom w:val="nil"/>
              <w:right w:val="nil"/>
            </w:tcBorders>
            <w:shd w:val="clear" w:color="000000" w:fill="F2F2F2"/>
            <w:vAlign w:val="center"/>
            <w:hideMark/>
          </w:tcPr>
          <w:p w14:paraId="71097EB1" w14:textId="77777777" w:rsidR="004A45B0" w:rsidRPr="004A45B0" w:rsidRDefault="004A45B0" w:rsidP="004A45B0">
            <w:pPr>
              <w:spacing w:after="0" w:line="240" w:lineRule="auto"/>
              <w:rPr>
                <w:rFonts w:ascii="Carlito" w:eastAsia="Times New Roman" w:hAnsi="Carlito" w:cs="Calibri"/>
                <w:i/>
                <w:iCs/>
                <w:sz w:val="18"/>
                <w:szCs w:val="18"/>
                <w:lang w:val="en-US" w:eastAsia="en-US"/>
              </w:rPr>
            </w:pPr>
            <w:r w:rsidRPr="004A45B0">
              <w:rPr>
                <w:rFonts w:ascii="Carlito" w:eastAsia="Times New Roman" w:hAnsi="Carlito" w:cs="Calibri"/>
                <w:i/>
                <w:iCs/>
                <w:sz w:val="18"/>
                <w:szCs w:val="18"/>
                <w:lang w:val="en-US" w:eastAsia="en-US"/>
              </w:rPr>
              <w:t>Sources</w:t>
            </w:r>
          </w:p>
        </w:tc>
        <w:tc>
          <w:tcPr>
            <w:tcW w:w="1133" w:type="dxa"/>
            <w:tcBorders>
              <w:top w:val="nil"/>
              <w:left w:val="nil"/>
              <w:bottom w:val="nil"/>
              <w:right w:val="nil"/>
            </w:tcBorders>
            <w:shd w:val="clear" w:color="000000" w:fill="F2F2F2"/>
            <w:vAlign w:val="center"/>
            <w:hideMark/>
          </w:tcPr>
          <w:p w14:paraId="144E3E58" w14:textId="77777777" w:rsidR="004A45B0" w:rsidRPr="004A45B0" w:rsidRDefault="004A45B0" w:rsidP="004A45B0">
            <w:pPr>
              <w:spacing w:after="0" w:line="240" w:lineRule="auto"/>
              <w:rPr>
                <w:rFonts w:ascii="Carlito" w:eastAsia="Times New Roman" w:hAnsi="Carlito" w:cs="Calibri"/>
                <w:i/>
                <w:iCs/>
                <w:sz w:val="18"/>
                <w:szCs w:val="18"/>
                <w:lang w:val="en-US" w:eastAsia="en-US"/>
              </w:rPr>
            </w:pPr>
            <w:r w:rsidRPr="004A45B0">
              <w:rPr>
                <w:rFonts w:ascii="Carlito" w:eastAsia="Times New Roman" w:hAnsi="Carlito" w:cs="Calibri"/>
                <w:i/>
                <w:iCs/>
                <w:sz w:val="18"/>
                <w:szCs w:val="18"/>
                <w:lang w:val="en-US" w:eastAsia="en-US"/>
              </w:rPr>
              <w:t>2025 Annual Report</w:t>
            </w:r>
          </w:p>
        </w:tc>
        <w:tc>
          <w:tcPr>
            <w:tcW w:w="1133" w:type="dxa"/>
            <w:tcBorders>
              <w:top w:val="nil"/>
              <w:left w:val="nil"/>
              <w:bottom w:val="nil"/>
              <w:right w:val="nil"/>
            </w:tcBorders>
            <w:shd w:val="clear" w:color="000000" w:fill="F2F2F2"/>
            <w:vAlign w:val="center"/>
            <w:hideMark/>
          </w:tcPr>
          <w:p w14:paraId="18BA7B21" w14:textId="77777777" w:rsidR="004A45B0" w:rsidRPr="004A45B0" w:rsidRDefault="004A45B0" w:rsidP="004A45B0">
            <w:pPr>
              <w:spacing w:after="0" w:line="240" w:lineRule="auto"/>
              <w:rPr>
                <w:rFonts w:ascii="Carlito" w:eastAsia="Times New Roman" w:hAnsi="Carlito" w:cs="Calibri"/>
                <w:i/>
                <w:iCs/>
                <w:sz w:val="18"/>
                <w:szCs w:val="18"/>
                <w:lang w:val="en-US" w:eastAsia="en-US"/>
              </w:rPr>
            </w:pPr>
            <w:r w:rsidRPr="004A45B0">
              <w:rPr>
                <w:rFonts w:ascii="Carlito" w:eastAsia="Times New Roman" w:hAnsi="Carlito" w:cs="Calibri"/>
                <w:i/>
                <w:iCs/>
                <w:sz w:val="18"/>
                <w:szCs w:val="18"/>
                <w:lang w:val="en-US" w:eastAsia="en-US"/>
              </w:rPr>
              <w:t>2025 Annual Report</w:t>
            </w:r>
          </w:p>
        </w:tc>
        <w:tc>
          <w:tcPr>
            <w:tcW w:w="1133" w:type="dxa"/>
            <w:tcBorders>
              <w:top w:val="nil"/>
              <w:left w:val="nil"/>
              <w:bottom w:val="nil"/>
              <w:right w:val="nil"/>
            </w:tcBorders>
            <w:shd w:val="clear" w:color="000000" w:fill="F2F2F2"/>
            <w:vAlign w:val="center"/>
            <w:hideMark/>
          </w:tcPr>
          <w:p w14:paraId="45126D91" w14:textId="77777777" w:rsidR="004A45B0" w:rsidRPr="004A45B0" w:rsidRDefault="004A45B0" w:rsidP="004A45B0">
            <w:pPr>
              <w:spacing w:after="0" w:line="240" w:lineRule="auto"/>
              <w:rPr>
                <w:rFonts w:ascii="Carlito" w:eastAsia="Times New Roman" w:hAnsi="Carlito" w:cs="Calibri"/>
                <w:i/>
                <w:iCs/>
                <w:sz w:val="18"/>
                <w:szCs w:val="18"/>
                <w:lang w:val="en-US" w:eastAsia="en-US"/>
              </w:rPr>
            </w:pPr>
            <w:r w:rsidRPr="004A45B0">
              <w:rPr>
                <w:rFonts w:ascii="Carlito" w:eastAsia="Times New Roman" w:hAnsi="Carlito" w:cs="Calibri"/>
                <w:i/>
                <w:iCs/>
                <w:sz w:val="18"/>
                <w:szCs w:val="18"/>
                <w:lang w:val="en-US" w:eastAsia="en-US"/>
              </w:rPr>
              <w:t>2025 / 2023 Annual Reports</w:t>
            </w:r>
          </w:p>
        </w:tc>
        <w:tc>
          <w:tcPr>
            <w:tcW w:w="1103" w:type="dxa"/>
            <w:tcBorders>
              <w:top w:val="nil"/>
              <w:left w:val="nil"/>
              <w:bottom w:val="nil"/>
              <w:right w:val="nil"/>
            </w:tcBorders>
            <w:shd w:val="clear" w:color="000000" w:fill="F2F2F2"/>
            <w:vAlign w:val="center"/>
            <w:hideMark/>
          </w:tcPr>
          <w:p w14:paraId="6F021F93" w14:textId="77777777" w:rsidR="004A45B0" w:rsidRPr="004A45B0" w:rsidRDefault="004A45B0" w:rsidP="004A45B0">
            <w:pPr>
              <w:spacing w:after="0" w:line="240" w:lineRule="auto"/>
              <w:rPr>
                <w:rFonts w:ascii="Carlito" w:eastAsia="Times New Roman" w:hAnsi="Carlito" w:cs="Calibri"/>
                <w:i/>
                <w:iCs/>
                <w:sz w:val="18"/>
                <w:szCs w:val="18"/>
                <w:lang w:val="en-US" w:eastAsia="en-US"/>
              </w:rPr>
            </w:pPr>
            <w:r w:rsidRPr="004A45B0">
              <w:rPr>
                <w:rFonts w:ascii="Carlito" w:eastAsia="Times New Roman" w:hAnsi="Carlito" w:cs="Calibri"/>
                <w:i/>
                <w:iCs/>
                <w:sz w:val="18"/>
                <w:szCs w:val="18"/>
                <w:lang w:val="en-US" w:eastAsia="en-US"/>
              </w:rPr>
              <w:t>2023 Annual Report</w:t>
            </w:r>
          </w:p>
        </w:tc>
        <w:tc>
          <w:tcPr>
            <w:tcW w:w="1133" w:type="dxa"/>
            <w:tcBorders>
              <w:top w:val="nil"/>
              <w:left w:val="nil"/>
              <w:bottom w:val="nil"/>
              <w:right w:val="nil"/>
            </w:tcBorders>
            <w:shd w:val="clear" w:color="000000" w:fill="F2F2F2"/>
            <w:vAlign w:val="center"/>
            <w:hideMark/>
          </w:tcPr>
          <w:p w14:paraId="3F824AAE" w14:textId="77777777" w:rsidR="004A45B0" w:rsidRPr="004A45B0" w:rsidRDefault="004A45B0" w:rsidP="004A45B0">
            <w:pPr>
              <w:spacing w:after="0" w:line="240" w:lineRule="auto"/>
              <w:rPr>
                <w:rFonts w:ascii="Carlito" w:eastAsia="Times New Roman" w:hAnsi="Carlito" w:cs="Calibri"/>
                <w:i/>
                <w:iCs/>
                <w:sz w:val="18"/>
                <w:szCs w:val="18"/>
                <w:lang w:val="en-US" w:eastAsia="en-US"/>
              </w:rPr>
            </w:pPr>
            <w:r w:rsidRPr="004A45B0">
              <w:rPr>
                <w:rFonts w:ascii="Carlito" w:eastAsia="Times New Roman" w:hAnsi="Carlito" w:cs="Calibri"/>
                <w:i/>
                <w:iCs/>
                <w:sz w:val="18"/>
                <w:szCs w:val="18"/>
                <w:lang w:val="en-US" w:eastAsia="en-US"/>
              </w:rPr>
              <w:t>2023 Annual Report</w:t>
            </w:r>
          </w:p>
        </w:tc>
      </w:tr>
    </w:tbl>
    <w:p w14:paraId="3CC4FF2E" w14:textId="77777777" w:rsidR="0088157C" w:rsidRPr="00B9519C" w:rsidRDefault="0088157C" w:rsidP="00B9519C">
      <w:pPr>
        <w:rPr>
          <w:lang w:val="en-US"/>
        </w:rPr>
      </w:pPr>
    </w:p>
    <w:p w14:paraId="45E6D4A4" w14:textId="77777777" w:rsidR="004A45B0" w:rsidRDefault="004A45B0" w:rsidP="00B9519C">
      <w:pPr>
        <w:rPr>
          <w:b/>
          <w:bCs/>
          <w:lang w:val="en-US"/>
        </w:rPr>
      </w:pPr>
    </w:p>
    <w:p w14:paraId="0089B1B1" w14:textId="77777777" w:rsidR="004A45B0" w:rsidRDefault="004A45B0" w:rsidP="00B9519C">
      <w:pPr>
        <w:rPr>
          <w:b/>
          <w:bCs/>
          <w:lang w:val="en-US"/>
        </w:rPr>
      </w:pPr>
    </w:p>
    <w:p w14:paraId="7606E59F" w14:textId="77777777" w:rsidR="005025C3" w:rsidRDefault="005025C3" w:rsidP="00B9519C">
      <w:pPr>
        <w:rPr>
          <w:b/>
          <w:bCs/>
          <w:lang w:val="en-US"/>
        </w:rPr>
      </w:pPr>
    </w:p>
    <w:p w14:paraId="0CAFC5DC" w14:textId="77777777" w:rsidR="005025C3" w:rsidRDefault="005025C3" w:rsidP="00B9519C">
      <w:pPr>
        <w:rPr>
          <w:b/>
          <w:bCs/>
          <w:lang w:val="en-US"/>
        </w:rPr>
      </w:pPr>
    </w:p>
    <w:p w14:paraId="7876877E" w14:textId="77777777" w:rsidR="005025C3" w:rsidRDefault="005025C3" w:rsidP="00B9519C">
      <w:pPr>
        <w:rPr>
          <w:b/>
          <w:bCs/>
          <w:lang w:val="en-US"/>
        </w:rPr>
      </w:pPr>
    </w:p>
    <w:p w14:paraId="7DC60892" w14:textId="77777777" w:rsidR="005025C3" w:rsidRDefault="005025C3" w:rsidP="00B9519C">
      <w:pPr>
        <w:rPr>
          <w:b/>
          <w:bCs/>
          <w:lang w:val="en-US"/>
        </w:rPr>
      </w:pPr>
    </w:p>
    <w:p w14:paraId="1052A3DC" w14:textId="77777777" w:rsidR="005025C3" w:rsidRDefault="005025C3" w:rsidP="00B9519C">
      <w:pPr>
        <w:rPr>
          <w:b/>
          <w:bCs/>
          <w:lang w:val="en-US"/>
        </w:rPr>
      </w:pPr>
    </w:p>
    <w:p w14:paraId="3422BFA6" w14:textId="77777777" w:rsidR="005025C3" w:rsidRDefault="005025C3" w:rsidP="00B9519C">
      <w:pPr>
        <w:rPr>
          <w:b/>
          <w:bCs/>
          <w:lang w:val="en-US"/>
        </w:rPr>
      </w:pPr>
    </w:p>
    <w:p w14:paraId="25AE68A5" w14:textId="77777777" w:rsidR="005025C3" w:rsidRDefault="005025C3" w:rsidP="00B9519C">
      <w:pPr>
        <w:rPr>
          <w:b/>
          <w:bCs/>
          <w:lang w:val="en-US"/>
        </w:rPr>
      </w:pPr>
    </w:p>
    <w:p w14:paraId="7A750F2E" w14:textId="77777777" w:rsidR="005025C3" w:rsidRDefault="005025C3" w:rsidP="00B9519C">
      <w:pPr>
        <w:rPr>
          <w:b/>
          <w:bCs/>
          <w:lang w:val="en-US"/>
        </w:rPr>
      </w:pPr>
    </w:p>
    <w:p w14:paraId="290F543E" w14:textId="77777777" w:rsidR="005025C3" w:rsidRDefault="005025C3" w:rsidP="00B9519C">
      <w:pPr>
        <w:rPr>
          <w:b/>
          <w:bCs/>
          <w:lang w:val="en-US"/>
        </w:rPr>
      </w:pPr>
    </w:p>
    <w:p w14:paraId="70A581D7" w14:textId="77777777" w:rsidR="005025C3" w:rsidRDefault="005025C3" w:rsidP="00B9519C">
      <w:pPr>
        <w:rPr>
          <w:b/>
          <w:bCs/>
          <w:lang w:val="en-US"/>
        </w:rPr>
      </w:pPr>
    </w:p>
    <w:p w14:paraId="11029517" w14:textId="77777777" w:rsidR="005025C3" w:rsidRDefault="005025C3" w:rsidP="00B9519C">
      <w:pPr>
        <w:rPr>
          <w:b/>
          <w:bCs/>
          <w:lang w:val="en-US"/>
        </w:rPr>
      </w:pPr>
    </w:p>
    <w:p w14:paraId="42A195C9" w14:textId="77777777" w:rsidR="005025C3" w:rsidRDefault="005025C3" w:rsidP="00B9519C">
      <w:pPr>
        <w:rPr>
          <w:b/>
          <w:bCs/>
          <w:lang w:val="en-US"/>
        </w:rPr>
      </w:pPr>
    </w:p>
    <w:p w14:paraId="20EC04EF" w14:textId="77777777" w:rsidR="005025C3" w:rsidRDefault="005025C3" w:rsidP="00B9519C">
      <w:pPr>
        <w:rPr>
          <w:b/>
          <w:bCs/>
          <w:lang w:val="en-US"/>
        </w:rPr>
      </w:pPr>
    </w:p>
    <w:p w14:paraId="450642F6" w14:textId="77777777" w:rsidR="005025C3" w:rsidRDefault="005025C3" w:rsidP="00B9519C">
      <w:pPr>
        <w:rPr>
          <w:b/>
          <w:bCs/>
          <w:lang w:val="en-US"/>
        </w:rPr>
      </w:pPr>
    </w:p>
    <w:p w14:paraId="6CB2A742" w14:textId="77777777" w:rsidR="005025C3" w:rsidRDefault="005025C3" w:rsidP="00B9519C">
      <w:pPr>
        <w:rPr>
          <w:b/>
          <w:bCs/>
          <w:lang w:val="en-US"/>
        </w:rPr>
      </w:pPr>
    </w:p>
    <w:p w14:paraId="2D991739" w14:textId="77777777" w:rsidR="005025C3" w:rsidRDefault="005025C3" w:rsidP="00B9519C">
      <w:pPr>
        <w:rPr>
          <w:b/>
          <w:bCs/>
          <w:lang w:val="en-US"/>
        </w:rPr>
      </w:pPr>
    </w:p>
    <w:p w14:paraId="17F371CE" w14:textId="77777777" w:rsidR="005025C3" w:rsidRDefault="005025C3" w:rsidP="00B9519C">
      <w:pPr>
        <w:rPr>
          <w:b/>
          <w:bCs/>
          <w:lang w:val="en-US"/>
        </w:rPr>
      </w:pPr>
    </w:p>
    <w:p w14:paraId="4BC7539A" w14:textId="77777777" w:rsidR="005025C3" w:rsidRDefault="005025C3" w:rsidP="00B9519C">
      <w:pPr>
        <w:rPr>
          <w:b/>
          <w:bCs/>
          <w:lang w:val="en-US"/>
        </w:rPr>
      </w:pPr>
    </w:p>
    <w:p w14:paraId="60F3B747" w14:textId="77777777" w:rsidR="005025C3" w:rsidRDefault="005025C3" w:rsidP="00B9519C">
      <w:pPr>
        <w:rPr>
          <w:b/>
          <w:bCs/>
          <w:lang w:val="en-US"/>
        </w:rPr>
      </w:pPr>
    </w:p>
    <w:p w14:paraId="58C6A074" w14:textId="77777777" w:rsidR="005025C3" w:rsidRDefault="005025C3" w:rsidP="00B9519C">
      <w:pPr>
        <w:rPr>
          <w:b/>
          <w:bCs/>
          <w:lang w:val="en-US"/>
        </w:rPr>
      </w:pPr>
    </w:p>
    <w:p w14:paraId="2C40F418" w14:textId="77777777" w:rsidR="005025C3" w:rsidRDefault="005025C3" w:rsidP="00B9519C">
      <w:pPr>
        <w:rPr>
          <w:b/>
          <w:bCs/>
          <w:lang w:val="en-US"/>
        </w:rPr>
      </w:pPr>
    </w:p>
    <w:p w14:paraId="067A6779" w14:textId="77777777" w:rsidR="005025C3" w:rsidRDefault="005025C3" w:rsidP="00B9519C">
      <w:pPr>
        <w:rPr>
          <w:b/>
          <w:bCs/>
          <w:lang w:val="en-US"/>
        </w:rPr>
      </w:pPr>
    </w:p>
    <w:p w14:paraId="5345CC99" w14:textId="43787E15" w:rsidR="00B9519C" w:rsidRDefault="00B9519C" w:rsidP="00B9519C">
      <w:pPr>
        <w:rPr>
          <w:b/>
          <w:bCs/>
          <w:lang w:val="en-US"/>
        </w:rPr>
      </w:pPr>
      <w:r w:rsidRPr="00B9519C">
        <w:rPr>
          <w:b/>
          <w:bCs/>
          <w:lang w:val="en-US"/>
        </w:rPr>
        <w:lastRenderedPageBreak/>
        <w:t>Appendix D – Financial Ratio Analysis and Supporting Calculations (2021–2025)</w:t>
      </w:r>
    </w:p>
    <w:p w14:paraId="6CB4FCF5" w14:textId="77777777" w:rsidR="004A45B0" w:rsidRDefault="004A45B0" w:rsidP="00B9519C">
      <w:pPr>
        <w:rPr>
          <w:b/>
          <w:bCs/>
          <w:lang w:val="en-US"/>
        </w:rPr>
      </w:pPr>
    </w:p>
    <w:tbl>
      <w:tblPr>
        <w:tblW w:w="7360" w:type="dxa"/>
        <w:tblLook w:val="04A0" w:firstRow="1" w:lastRow="0" w:firstColumn="1" w:lastColumn="0" w:noHBand="0" w:noVBand="1"/>
      </w:tblPr>
      <w:tblGrid>
        <w:gridCol w:w="2560"/>
        <w:gridCol w:w="960"/>
        <w:gridCol w:w="960"/>
        <w:gridCol w:w="960"/>
        <w:gridCol w:w="960"/>
        <w:gridCol w:w="960"/>
      </w:tblGrid>
      <w:tr w:rsidR="004A45B0" w:rsidRPr="004A45B0" w14:paraId="50280BF4" w14:textId="77777777" w:rsidTr="004A45B0">
        <w:trPr>
          <w:trHeight w:val="290"/>
        </w:trPr>
        <w:tc>
          <w:tcPr>
            <w:tcW w:w="2560" w:type="dxa"/>
            <w:tcBorders>
              <w:top w:val="nil"/>
              <w:left w:val="nil"/>
              <w:bottom w:val="nil"/>
              <w:right w:val="nil"/>
            </w:tcBorders>
            <w:shd w:val="clear" w:color="000000" w:fill="1F4E78"/>
            <w:noWrap/>
            <w:vAlign w:val="bottom"/>
            <w:hideMark/>
          </w:tcPr>
          <w:p w14:paraId="00F9274B"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Ratio</w:t>
            </w:r>
          </w:p>
        </w:tc>
        <w:tc>
          <w:tcPr>
            <w:tcW w:w="960" w:type="dxa"/>
            <w:tcBorders>
              <w:top w:val="nil"/>
              <w:left w:val="nil"/>
              <w:bottom w:val="nil"/>
              <w:right w:val="nil"/>
            </w:tcBorders>
            <w:shd w:val="clear" w:color="000000" w:fill="1F4E78"/>
            <w:noWrap/>
            <w:vAlign w:val="bottom"/>
            <w:hideMark/>
          </w:tcPr>
          <w:p w14:paraId="71651DD1"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2025</w:t>
            </w:r>
          </w:p>
        </w:tc>
        <w:tc>
          <w:tcPr>
            <w:tcW w:w="960" w:type="dxa"/>
            <w:tcBorders>
              <w:top w:val="nil"/>
              <w:left w:val="nil"/>
              <w:bottom w:val="nil"/>
              <w:right w:val="nil"/>
            </w:tcBorders>
            <w:shd w:val="clear" w:color="000000" w:fill="1F4E78"/>
            <w:noWrap/>
            <w:vAlign w:val="bottom"/>
            <w:hideMark/>
          </w:tcPr>
          <w:p w14:paraId="4F35D642"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2024</w:t>
            </w:r>
          </w:p>
        </w:tc>
        <w:tc>
          <w:tcPr>
            <w:tcW w:w="960" w:type="dxa"/>
            <w:tcBorders>
              <w:top w:val="nil"/>
              <w:left w:val="nil"/>
              <w:bottom w:val="nil"/>
              <w:right w:val="nil"/>
            </w:tcBorders>
            <w:shd w:val="clear" w:color="000000" w:fill="1F4E78"/>
            <w:noWrap/>
            <w:vAlign w:val="bottom"/>
            <w:hideMark/>
          </w:tcPr>
          <w:p w14:paraId="5F69869B"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2023</w:t>
            </w:r>
          </w:p>
        </w:tc>
        <w:tc>
          <w:tcPr>
            <w:tcW w:w="960" w:type="dxa"/>
            <w:tcBorders>
              <w:top w:val="nil"/>
              <w:left w:val="nil"/>
              <w:bottom w:val="nil"/>
              <w:right w:val="nil"/>
            </w:tcBorders>
            <w:shd w:val="clear" w:color="000000" w:fill="1F4E78"/>
            <w:noWrap/>
            <w:vAlign w:val="bottom"/>
            <w:hideMark/>
          </w:tcPr>
          <w:p w14:paraId="6E5DBFF9"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2022</w:t>
            </w:r>
          </w:p>
        </w:tc>
        <w:tc>
          <w:tcPr>
            <w:tcW w:w="960" w:type="dxa"/>
            <w:tcBorders>
              <w:top w:val="nil"/>
              <w:left w:val="nil"/>
              <w:bottom w:val="nil"/>
              <w:right w:val="nil"/>
            </w:tcBorders>
            <w:shd w:val="clear" w:color="000000" w:fill="1F4E78"/>
            <w:noWrap/>
            <w:vAlign w:val="bottom"/>
            <w:hideMark/>
          </w:tcPr>
          <w:p w14:paraId="1D9AA13B"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2021</w:t>
            </w:r>
          </w:p>
        </w:tc>
      </w:tr>
      <w:tr w:rsidR="004A45B0" w:rsidRPr="004A45B0" w14:paraId="6278345D" w14:textId="77777777" w:rsidTr="004A45B0">
        <w:trPr>
          <w:trHeight w:val="290"/>
        </w:trPr>
        <w:tc>
          <w:tcPr>
            <w:tcW w:w="2560" w:type="dxa"/>
            <w:tcBorders>
              <w:top w:val="single" w:sz="4" w:space="0" w:color="auto"/>
              <w:left w:val="single" w:sz="4" w:space="0" w:color="auto"/>
              <w:bottom w:val="single" w:sz="4" w:space="0" w:color="auto"/>
              <w:right w:val="single" w:sz="4" w:space="0" w:color="auto"/>
            </w:tcBorders>
            <w:noWrap/>
            <w:vAlign w:val="bottom"/>
            <w:hideMark/>
          </w:tcPr>
          <w:p w14:paraId="2B5F8056"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Gross Margin %</w:t>
            </w:r>
          </w:p>
        </w:tc>
        <w:tc>
          <w:tcPr>
            <w:tcW w:w="960" w:type="dxa"/>
            <w:tcBorders>
              <w:top w:val="single" w:sz="4" w:space="0" w:color="auto"/>
              <w:left w:val="nil"/>
              <w:bottom w:val="single" w:sz="4" w:space="0" w:color="auto"/>
              <w:right w:val="single" w:sz="4" w:space="0" w:color="auto"/>
            </w:tcBorders>
            <w:noWrap/>
            <w:vAlign w:val="bottom"/>
            <w:hideMark/>
          </w:tcPr>
          <w:p w14:paraId="09CB1DE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19,94</w:t>
            </w:r>
          </w:p>
        </w:tc>
        <w:tc>
          <w:tcPr>
            <w:tcW w:w="960" w:type="dxa"/>
            <w:tcBorders>
              <w:top w:val="single" w:sz="4" w:space="0" w:color="auto"/>
              <w:left w:val="nil"/>
              <w:bottom w:val="single" w:sz="4" w:space="0" w:color="auto"/>
              <w:right w:val="single" w:sz="4" w:space="0" w:color="auto"/>
            </w:tcBorders>
            <w:noWrap/>
            <w:vAlign w:val="bottom"/>
            <w:hideMark/>
          </w:tcPr>
          <w:p w14:paraId="5047561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19,81</w:t>
            </w:r>
          </w:p>
        </w:tc>
        <w:tc>
          <w:tcPr>
            <w:tcW w:w="960" w:type="dxa"/>
            <w:tcBorders>
              <w:top w:val="single" w:sz="4" w:space="0" w:color="auto"/>
              <w:left w:val="nil"/>
              <w:bottom w:val="single" w:sz="4" w:space="0" w:color="auto"/>
              <w:right w:val="single" w:sz="4" w:space="0" w:color="auto"/>
            </w:tcBorders>
            <w:noWrap/>
            <w:vAlign w:val="bottom"/>
            <w:hideMark/>
          </w:tcPr>
          <w:p w14:paraId="5BBEF0D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21</w:t>
            </w:r>
          </w:p>
        </w:tc>
        <w:tc>
          <w:tcPr>
            <w:tcW w:w="960" w:type="dxa"/>
            <w:tcBorders>
              <w:top w:val="single" w:sz="4" w:space="0" w:color="auto"/>
              <w:left w:val="nil"/>
              <w:bottom w:val="single" w:sz="4" w:space="0" w:color="auto"/>
              <w:right w:val="single" w:sz="4" w:space="0" w:color="auto"/>
            </w:tcBorders>
            <w:noWrap/>
            <w:vAlign w:val="bottom"/>
            <w:hideMark/>
          </w:tcPr>
          <w:p w14:paraId="472A80A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21,94</w:t>
            </w:r>
          </w:p>
        </w:tc>
        <w:tc>
          <w:tcPr>
            <w:tcW w:w="960" w:type="dxa"/>
            <w:tcBorders>
              <w:top w:val="single" w:sz="4" w:space="0" w:color="auto"/>
              <w:left w:val="nil"/>
              <w:bottom w:val="single" w:sz="4" w:space="0" w:color="auto"/>
              <w:right w:val="single" w:sz="4" w:space="0" w:color="auto"/>
            </w:tcBorders>
            <w:noWrap/>
            <w:vAlign w:val="bottom"/>
            <w:hideMark/>
          </w:tcPr>
          <w:p w14:paraId="4496A65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20,21</w:t>
            </w:r>
          </w:p>
        </w:tc>
      </w:tr>
      <w:tr w:rsidR="004A45B0" w:rsidRPr="004A45B0" w14:paraId="6F74A1A0"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387DCF0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Operating Margin %</w:t>
            </w:r>
          </w:p>
        </w:tc>
        <w:tc>
          <w:tcPr>
            <w:tcW w:w="960" w:type="dxa"/>
            <w:tcBorders>
              <w:top w:val="nil"/>
              <w:left w:val="nil"/>
              <w:bottom w:val="single" w:sz="4" w:space="0" w:color="auto"/>
              <w:right w:val="single" w:sz="4" w:space="0" w:color="auto"/>
            </w:tcBorders>
            <w:noWrap/>
            <w:vAlign w:val="bottom"/>
            <w:hideMark/>
          </w:tcPr>
          <w:p w14:paraId="4D7CAB1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15,81</w:t>
            </w:r>
          </w:p>
        </w:tc>
        <w:tc>
          <w:tcPr>
            <w:tcW w:w="960" w:type="dxa"/>
            <w:tcBorders>
              <w:top w:val="nil"/>
              <w:left w:val="nil"/>
              <w:bottom w:val="single" w:sz="4" w:space="0" w:color="auto"/>
              <w:right w:val="single" w:sz="4" w:space="0" w:color="auto"/>
            </w:tcBorders>
            <w:noWrap/>
            <w:vAlign w:val="bottom"/>
            <w:hideMark/>
          </w:tcPr>
          <w:p w14:paraId="42BD7AB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15,31</w:t>
            </w:r>
          </w:p>
        </w:tc>
        <w:tc>
          <w:tcPr>
            <w:tcW w:w="960" w:type="dxa"/>
            <w:tcBorders>
              <w:top w:val="nil"/>
              <w:left w:val="nil"/>
              <w:bottom w:val="single" w:sz="4" w:space="0" w:color="auto"/>
              <w:right w:val="single" w:sz="4" w:space="0" w:color="auto"/>
            </w:tcBorders>
            <w:noWrap/>
            <w:vAlign w:val="bottom"/>
            <w:hideMark/>
          </w:tcPr>
          <w:p w14:paraId="7A1A5A2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16,59</w:t>
            </w:r>
          </w:p>
        </w:tc>
        <w:tc>
          <w:tcPr>
            <w:tcW w:w="960" w:type="dxa"/>
            <w:tcBorders>
              <w:top w:val="nil"/>
              <w:left w:val="nil"/>
              <w:bottom w:val="single" w:sz="4" w:space="0" w:color="auto"/>
              <w:right w:val="single" w:sz="4" w:space="0" w:color="auto"/>
            </w:tcBorders>
            <w:noWrap/>
            <w:vAlign w:val="bottom"/>
            <w:hideMark/>
          </w:tcPr>
          <w:p w14:paraId="6001A4E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16,72</w:t>
            </w:r>
          </w:p>
        </w:tc>
        <w:tc>
          <w:tcPr>
            <w:tcW w:w="960" w:type="dxa"/>
            <w:tcBorders>
              <w:top w:val="nil"/>
              <w:left w:val="nil"/>
              <w:bottom w:val="single" w:sz="4" w:space="0" w:color="auto"/>
              <w:right w:val="single" w:sz="4" w:space="0" w:color="auto"/>
            </w:tcBorders>
            <w:noWrap/>
            <w:vAlign w:val="bottom"/>
            <w:hideMark/>
          </w:tcPr>
          <w:p w14:paraId="3A1FC27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12,69</w:t>
            </w:r>
          </w:p>
        </w:tc>
      </w:tr>
      <w:tr w:rsidR="004A45B0" w:rsidRPr="004A45B0" w14:paraId="50103610"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6869792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Net Profit Margin %</w:t>
            </w:r>
          </w:p>
        </w:tc>
        <w:tc>
          <w:tcPr>
            <w:tcW w:w="960" w:type="dxa"/>
            <w:tcBorders>
              <w:top w:val="nil"/>
              <w:left w:val="nil"/>
              <w:bottom w:val="single" w:sz="4" w:space="0" w:color="auto"/>
              <w:right w:val="single" w:sz="4" w:space="0" w:color="auto"/>
            </w:tcBorders>
            <w:noWrap/>
            <w:vAlign w:val="bottom"/>
            <w:hideMark/>
          </w:tcPr>
          <w:p w14:paraId="3158A02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9,93</w:t>
            </w:r>
          </w:p>
        </w:tc>
        <w:tc>
          <w:tcPr>
            <w:tcW w:w="960" w:type="dxa"/>
            <w:tcBorders>
              <w:top w:val="nil"/>
              <w:left w:val="nil"/>
              <w:bottom w:val="single" w:sz="4" w:space="0" w:color="auto"/>
              <w:right w:val="single" w:sz="4" w:space="0" w:color="auto"/>
            </w:tcBorders>
            <w:noWrap/>
            <w:vAlign w:val="bottom"/>
            <w:hideMark/>
          </w:tcPr>
          <w:p w14:paraId="30050F1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9,46</w:t>
            </w:r>
          </w:p>
        </w:tc>
        <w:tc>
          <w:tcPr>
            <w:tcW w:w="960" w:type="dxa"/>
            <w:tcBorders>
              <w:top w:val="nil"/>
              <w:left w:val="nil"/>
              <w:bottom w:val="single" w:sz="4" w:space="0" w:color="auto"/>
              <w:right w:val="single" w:sz="4" w:space="0" w:color="auto"/>
            </w:tcBorders>
            <w:noWrap/>
            <w:vAlign w:val="bottom"/>
            <w:hideMark/>
          </w:tcPr>
          <w:p w14:paraId="4D201EF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13</w:t>
            </w:r>
          </w:p>
        </w:tc>
        <w:tc>
          <w:tcPr>
            <w:tcW w:w="960" w:type="dxa"/>
            <w:tcBorders>
              <w:top w:val="nil"/>
              <w:left w:val="nil"/>
              <w:bottom w:val="single" w:sz="4" w:space="0" w:color="auto"/>
              <w:right w:val="single" w:sz="4" w:space="0" w:color="auto"/>
            </w:tcBorders>
            <w:noWrap/>
            <w:vAlign w:val="bottom"/>
            <w:hideMark/>
          </w:tcPr>
          <w:p w14:paraId="6452075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11,35</w:t>
            </w:r>
          </w:p>
        </w:tc>
        <w:tc>
          <w:tcPr>
            <w:tcW w:w="960" w:type="dxa"/>
            <w:tcBorders>
              <w:top w:val="nil"/>
              <w:left w:val="nil"/>
              <w:bottom w:val="single" w:sz="4" w:space="0" w:color="auto"/>
              <w:right w:val="single" w:sz="4" w:space="0" w:color="auto"/>
            </w:tcBorders>
            <w:noWrap/>
            <w:vAlign w:val="bottom"/>
            <w:hideMark/>
          </w:tcPr>
          <w:p w14:paraId="39F03AE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7,93</w:t>
            </w:r>
          </w:p>
        </w:tc>
      </w:tr>
      <w:tr w:rsidR="004A45B0" w:rsidRPr="004A45B0" w14:paraId="7568EC37"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18F6D99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Current Ratio</w:t>
            </w:r>
          </w:p>
        </w:tc>
        <w:tc>
          <w:tcPr>
            <w:tcW w:w="960" w:type="dxa"/>
            <w:tcBorders>
              <w:top w:val="nil"/>
              <w:left w:val="nil"/>
              <w:bottom w:val="single" w:sz="4" w:space="0" w:color="auto"/>
              <w:right w:val="single" w:sz="4" w:space="0" w:color="auto"/>
            </w:tcBorders>
            <w:noWrap/>
            <w:vAlign w:val="bottom"/>
            <w:hideMark/>
          </w:tcPr>
          <w:p w14:paraId="5106E85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0,43</w:t>
            </w:r>
          </w:p>
        </w:tc>
        <w:tc>
          <w:tcPr>
            <w:tcW w:w="960" w:type="dxa"/>
            <w:tcBorders>
              <w:top w:val="nil"/>
              <w:left w:val="nil"/>
              <w:bottom w:val="single" w:sz="4" w:space="0" w:color="auto"/>
              <w:right w:val="single" w:sz="4" w:space="0" w:color="auto"/>
            </w:tcBorders>
            <w:noWrap/>
            <w:vAlign w:val="bottom"/>
            <w:hideMark/>
          </w:tcPr>
          <w:p w14:paraId="110B89E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w:t>
            </w:r>
          </w:p>
        </w:tc>
        <w:tc>
          <w:tcPr>
            <w:tcW w:w="960" w:type="dxa"/>
            <w:tcBorders>
              <w:top w:val="nil"/>
              <w:left w:val="nil"/>
              <w:bottom w:val="single" w:sz="4" w:space="0" w:color="auto"/>
              <w:right w:val="single" w:sz="4" w:space="0" w:color="auto"/>
            </w:tcBorders>
            <w:noWrap/>
            <w:vAlign w:val="bottom"/>
            <w:hideMark/>
          </w:tcPr>
          <w:p w14:paraId="02B61CE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0,43</w:t>
            </w:r>
          </w:p>
        </w:tc>
        <w:tc>
          <w:tcPr>
            <w:tcW w:w="960" w:type="dxa"/>
            <w:tcBorders>
              <w:top w:val="nil"/>
              <w:left w:val="nil"/>
              <w:bottom w:val="single" w:sz="4" w:space="0" w:color="auto"/>
              <w:right w:val="single" w:sz="4" w:space="0" w:color="auto"/>
            </w:tcBorders>
            <w:noWrap/>
            <w:vAlign w:val="bottom"/>
            <w:hideMark/>
          </w:tcPr>
          <w:p w14:paraId="1F80071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0,45</w:t>
            </w:r>
          </w:p>
        </w:tc>
        <w:tc>
          <w:tcPr>
            <w:tcW w:w="960" w:type="dxa"/>
            <w:tcBorders>
              <w:top w:val="nil"/>
              <w:left w:val="nil"/>
              <w:bottom w:val="single" w:sz="4" w:space="0" w:color="auto"/>
              <w:right w:val="single" w:sz="4" w:space="0" w:color="auto"/>
            </w:tcBorders>
            <w:noWrap/>
            <w:vAlign w:val="bottom"/>
            <w:hideMark/>
          </w:tcPr>
          <w:p w14:paraId="0D9DAFA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0,57</w:t>
            </w:r>
          </w:p>
        </w:tc>
      </w:tr>
      <w:tr w:rsidR="004A45B0" w:rsidRPr="004A45B0" w14:paraId="6E323B18"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553AE38E"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Quick Ratio</w:t>
            </w:r>
          </w:p>
        </w:tc>
        <w:tc>
          <w:tcPr>
            <w:tcW w:w="960" w:type="dxa"/>
            <w:tcBorders>
              <w:top w:val="nil"/>
              <w:left w:val="nil"/>
              <w:bottom w:val="single" w:sz="4" w:space="0" w:color="auto"/>
              <w:right w:val="single" w:sz="4" w:space="0" w:color="auto"/>
            </w:tcBorders>
            <w:noWrap/>
            <w:vAlign w:val="bottom"/>
            <w:hideMark/>
          </w:tcPr>
          <w:p w14:paraId="4F3895E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0,39</w:t>
            </w:r>
          </w:p>
        </w:tc>
        <w:tc>
          <w:tcPr>
            <w:tcW w:w="960" w:type="dxa"/>
            <w:tcBorders>
              <w:top w:val="nil"/>
              <w:left w:val="nil"/>
              <w:bottom w:val="single" w:sz="4" w:space="0" w:color="auto"/>
              <w:right w:val="single" w:sz="4" w:space="0" w:color="auto"/>
            </w:tcBorders>
            <w:noWrap/>
            <w:vAlign w:val="bottom"/>
            <w:hideMark/>
          </w:tcPr>
          <w:p w14:paraId="48DAA3A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0,37</w:t>
            </w:r>
          </w:p>
        </w:tc>
        <w:tc>
          <w:tcPr>
            <w:tcW w:w="960" w:type="dxa"/>
            <w:tcBorders>
              <w:top w:val="nil"/>
              <w:left w:val="nil"/>
              <w:bottom w:val="single" w:sz="4" w:space="0" w:color="auto"/>
              <w:right w:val="single" w:sz="4" w:space="0" w:color="auto"/>
            </w:tcBorders>
            <w:noWrap/>
            <w:vAlign w:val="bottom"/>
            <w:hideMark/>
          </w:tcPr>
          <w:p w14:paraId="06C5A32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0,39</w:t>
            </w:r>
          </w:p>
        </w:tc>
        <w:tc>
          <w:tcPr>
            <w:tcW w:w="960" w:type="dxa"/>
            <w:tcBorders>
              <w:top w:val="nil"/>
              <w:left w:val="nil"/>
              <w:bottom w:val="single" w:sz="4" w:space="0" w:color="auto"/>
              <w:right w:val="single" w:sz="4" w:space="0" w:color="auto"/>
            </w:tcBorders>
            <w:noWrap/>
            <w:vAlign w:val="bottom"/>
            <w:hideMark/>
          </w:tcPr>
          <w:p w14:paraId="6711B6D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0,42</w:t>
            </w:r>
          </w:p>
        </w:tc>
        <w:tc>
          <w:tcPr>
            <w:tcW w:w="960" w:type="dxa"/>
            <w:tcBorders>
              <w:top w:val="nil"/>
              <w:left w:val="nil"/>
              <w:bottom w:val="single" w:sz="4" w:space="0" w:color="auto"/>
              <w:right w:val="single" w:sz="4" w:space="0" w:color="auto"/>
            </w:tcBorders>
            <w:noWrap/>
            <w:vAlign w:val="bottom"/>
            <w:hideMark/>
          </w:tcPr>
          <w:p w14:paraId="2DA0002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0,53</w:t>
            </w:r>
          </w:p>
        </w:tc>
      </w:tr>
      <w:tr w:rsidR="004A45B0" w:rsidRPr="004A45B0" w14:paraId="40871567"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1811F5A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Cash Ratio</w:t>
            </w:r>
          </w:p>
        </w:tc>
        <w:tc>
          <w:tcPr>
            <w:tcW w:w="960" w:type="dxa"/>
            <w:tcBorders>
              <w:top w:val="nil"/>
              <w:left w:val="nil"/>
              <w:bottom w:val="single" w:sz="4" w:space="0" w:color="auto"/>
              <w:right w:val="single" w:sz="4" w:space="0" w:color="auto"/>
            </w:tcBorders>
            <w:noWrap/>
            <w:vAlign w:val="bottom"/>
            <w:hideMark/>
          </w:tcPr>
          <w:p w14:paraId="04095A0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0,04</w:t>
            </w:r>
          </w:p>
        </w:tc>
        <w:tc>
          <w:tcPr>
            <w:tcW w:w="960" w:type="dxa"/>
            <w:tcBorders>
              <w:top w:val="nil"/>
              <w:left w:val="nil"/>
              <w:bottom w:val="single" w:sz="4" w:space="0" w:color="auto"/>
              <w:right w:val="single" w:sz="4" w:space="0" w:color="auto"/>
            </w:tcBorders>
            <w:noWrap/>
            <w:vAlign w:val="bottom"/>
            <w:hideMark/>
          </w:tcPr>
          <w:p w14:paraId="75CFF3B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0,05</w:t>
            </w:r>
          </w:p>
        </w:tc>
        <w:tc>
          <w:tcPr>
            <w:tcW w:w="960" w:type="dxa"/>
            <w:tcBorders>
              <w:top w:val="nil"/>
              <w:left w:val="nil"/>
              <w:bottom w:val="single" w:sz="4" w:space="0" w:color="auto"/>
              <w:right w:val="single" w:sz="4" w:space="0" w:color="auto"/>
            </w:tcBorders>
            <w:noWrap/>
            <w:vAlign w:val="bottom"/>
            <w:hideMark/>
          </w:tcPr>
          <w:p w14:paraId="45C5BBA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0,04</w:t>
            </w:r>
          </w:p>
        </w:tc>
        <w:tc>
          <w:tcPr>
            <w:tcW w:w="960" w:type="dxa"/>
            <w:tcBorders>
              <w:top w:val="nil"/>
              <w:left w:val="nil"/>
              <w:bottom w:val="single" w:sz="4" w:space="0" w:color="auto"/>
              <w:right w:val="single" w:sz="4" w:space="0" w:color="auto"/>
            </w:tcBorders>
            <w:noWrap/>
            <w:vAlign w:val="bottom"/>
            <w:hideMark/>
          </w:tcPr>
          <w:p w14:paraId="4DBBC49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0,07</w:t>
            </w:r>
          </w:p>
        </w:tc>
        <w:tc>
          <w:tcPr>
            <w:tcW w:w="960" w:type="dxa"/>
            <w:tcBorders>
              <w:top w:val="nil"/>
              <w:left w:val="nil"/>
              <w:bottom w:val="single" w:sz="4" w:space="0" w:color="auto"/>
              <w:right w:val="single" w:sz="4" w:space="0" w:color="auto"/>
            </w:tcBorders>
            <w:noWrap/>
            <w:vAlign w:val="bottom"/>
            <w:hideMark/>
          </w:tcPr>
          <w:p w14:paraId="37728C8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0,22</w:t>
            </w:r>
          </w:p>
        </w:tc>
      </w:tr>
      <w:tr w:rsidR="004A45B0" w:rsidRPr="004A45B0" w14:paraId="4C4FC1BD"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194CE6E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Asset Turnover</w:t>
            </w:r>
          </w:p>
        </w:tc>
        <w:tc>
          <w:tcPr>
            <w:tcW w:w="960" w:type="dxa"/>
            <w:tcBorders>
              <w:top w:val="nil"/>
              <w:left w:val="nil"/>
              <w:bottom w:val="single" w:sz="4" w:space="0" w:color="auto"/>
              <w:right w:val="single" w:sz="4" w:space="0" w:color="auto"/>
            </w:tcBorders>
            <w:noWrap/>
            <w:vAlign w:val="bottom"/>
            <w:hideMark/>
          </w:tcPr>
          <w:p w14:paraId="36425D7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0,95</w:t>
            </w:r>
          </w:p>
        </w:tc>
        <w:tc>
          <w:tcPr>
            <w:tcW w:w="960" w:type="dxa"/>
            <w:tcBorders>
              <w:top w:val="nil"/>
              <w:left w:val="nil"/>
              <w:bottom w:val="single" w:sz="4" w:space="0" w:color="auto"/>
              <w:right w:val="single" w:sz="4" w:space="0" w:color="auto"/>
            </w:tcBorders>
            <w:noWrap/>
            <w:vAlign w:val="bottom"/>
            <w:hideMark/>
          </w:tcPr>
          <w:p w14:paraId="2B08979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0,96</w:t>
            </w:r>
          </w:p>
        </w:tc>
        <w:tc>
          <w:tcPr>
            <w:tcW w:w="960" w:type="dxa"/>
            <w:tcBorders>
              <w:top w:val="nil"/>
              <w:left w:val="nil"/>
              <w:bottom w:val="single" w:sz="4" w:space="0" w:color="auto"/>
              <w:right w:val="single" w:sz="4" w:space="0" w:color="auto"/>
            </w:tcBorders>
            <w:noWrap/>
            <w:vAlign w:val="bottom"/>
            <w:hideMark/>
          </w:tcPr>
          <w:p w14:paraId="03AD45C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0,92</w:t>
            </w:r>
          </w:p>
        </w:tc>
        <w:tc>
          <w:tcPr>
            <w:tcW w:w="960" w:type="dxa"/>
            <w:tcBorders>
              <w:top w:val="nil"/>
              <w:left w:val="nil"/>
              <w:bottom w:val="single" w:sz="4" w:space="0" w:color="auto"/>
              <w:right w:val="single" w:sz="4" w:space="0" w:color="auto"/>
            </w:tcBorders>
            <w:noWrap/>
            <w:vAlign w:val="bottom"/>
            <w:hideMark/>
          </w:tcPr>
          <w:p w14:paraId="295A40F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0,84</w:t>
            </w:r>
          </w:p>
        </w:tc>
        <w:tc>
          <w:tcPr>
            <w:tcW w:w="960" w:type="dxa"/>
            <w:tcBorders>
              <w:top w:val="nil"/>
              <w:left w:val="nil"/>
              <w:bottom w:val="single" w:sz="4" w:space="0" w:color="auto"/>
              <w:right w:val="single" w:sz="4" w:space="0" w:color="auto"/>
            </w:tcBorders>
            <w:noWrap/>
            <w:vAlign w:val="bottom"/>
            <w:hideMark/>
          </w:tcPr>
          <w:p w14:paraId="067B895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0,54</w:t>
            </w:r>
          </w:p>
        </w:tc>
      </w:tr>
      <w:tr w:rsidR="004A45B0" w:rsidRPr="004A45B0" w14:paraId="32005E86"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2AC85D48"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Fixed Asset Turnover</w:t>
            </w:r>
          </w:p>
        </w:tc>
        <w:tc>
          <w:tcPr>
            <w:tcW w:w="960" w:type="dxa"/>
            <w:tcBorders>
              <w:top w:val="nil"/>
              <w:left w:val="nil"/>
              <w:bottom w:val="single" w:sz="4" w:space="0" w:color="auto"/>
              <w:right w:val="single" w:sz="4" w:space="0" w:color="auto"/>
            </w:tcBorders>
            <w:noWrap/>
            <w:vAlign w:val="bottom"/>
            <w:hideMark/>
          </w:tcPr>
          <w:p w14:paraId="63AF630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13,4</w:t>
            </w:r>
          </w:p>
        </w:tc>
        <w:tc>
          <w:tcPr>
            <w:tcW w:w="960" w:type="dxa"/>
            <w:tcBorders>
              <w:top w:val="nil"/>
              <w:left w:val="nil"/>
              <w:bottom w:val="single" w:sz="4" w:space="0" w:color="auto"/>
              <w:right w:val="single" w:sz="4" w:space="0" w:color="auto"/>
            </w:tcBorders>
            <w:noWrap/>
            <w:vAlign w:val="bottom"/>
            <w:hideMark/>
          </w:tcPr>
          <w:p w14:paraId="5A76F58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13,69</w:t>
            </w:r>
          </w:p>
        </w:tc>
        <w:tc>
          <w:tcPr>
            <w:tcW w:w="960" w:type="dxa"/>
            <w:tcBorders>
              <w:top w:val="nil"/>
              <w:left w:val="nil"/>
              <w:bottom w:val="single" w:sz="4" w:space="0" w:color="auto"/>
              <w:right w:val="single" w:sz="4" w:space="0" w:color="auto"/>
            </w:tcBorders>
            <w:noWrap/>
            <w:vAlign w:val="bottom"/>
            <w:hideMark/>
          </w:tcPr>
          <w:p w14:paraId="20B560A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w:t>
            </w:r>
          </w:p>
        </w:tc>
        <w:tc>
          <w:tcPr>
            <w:tcW w:w="960" w:type="dxa"/>
            <w:tcBorders>
              <w:top w:val="nil"/>
              <w:left w:val="nil"/>
              <w:bottom w:val="single" w:sz="4" w:space="0" w:color="auto"/>
              <w:right w:val="single" w:sz="4" w:space="0" w:color="auto"/>
            </w:tcBorders>
            <w:noWrap/>
            <w:vAlign w:val="bottom"/>
            <w:hideMark/>
          </w:tcPr>
          <w:p w14:paraId="6948E99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13,11</w:t>
            </w:r>
          </w:p>
        </w:tc>
        <w:tc>
          <w:tcPr>
            <w:tcW w:w="960" w:type="dxa"/>
            <w:tcBorders>
              <w:top w:val="nil"/>
              <w:left w:val="nil"/>
              <w:bottom w:val="single" w:sz="4" w:space="0" w:color="auto"/>
              <w:right w:val="single" w:sz="4" w:space="0" w:color="auto"/>
            </w:tcBorders>
            <w:noWrap/>
            <w:vAlign w:val="bottom"/>
            <w:hideMark/>
          </w:tcPr>
          <w:p w14:paraId="2D36FFC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9,22</w:t>
            </w:r>
          </w:p>
        </w:tc>
      </w:tr>
      <w:tr w:rsidR="004A45B0" w:rsidRPr="004A45B0" w14:paraId="282B09F3"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5337089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Interest Coverage</w:t>
            </w:r>
          </w:p>
        </w:tc>
        <w:tc>
          <w:tcPr>
            <w:tcW w:w="960" w:type="dxa"/>
            <w:tcBorders>
              <w:top w:val="nil"/>
              <w:left w:val="nil"/>
              <w:bottom w:val="single" w:sz="4" w:space="0" w:color="auto"/>
              <w:right w:val="single" w:sz="4" w:space="0" w:color="auto"/>
            </w:tcBorders>
            <w:noWrap/>
            <w:vAlign w:val="bottom"/>
            <w:hideMark/>
          </w:tcPr>
          <w:p w14:paraId="0151F88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5,61</w:t>
            </w:r>
          </w:p>
        </w:tc>
        <w:tc>
          <w:tcPr>
            <w:tcW w:w="960" w:type="dxa"/>
            <w:tcBorders>
              <w:top w:val="nil"/>
              <w:left w:val="nil"/>
              <w:bottom w:val="single" w:sz="4" w:space="0" w:color="auto"/>
              <w:right w:val="single" w:sz="4" w:space="0" w:color="auto"/>
            </w:tcBorders>
            <w:noWrap/>
            <w:vAlign w:val="bottom"/>
            <w:hideMark/>
          </w:tcPr>
          <w:p w14:paraId="40B915A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5,87</w:t>
            </w:r>
          </w:p>
        </w:tc>
        <w:tc>
          <w:tcPr>
            <w:tcW w:w="960" w:type="dxa"/>
            <w:tcBorders>
              <w:top w:val="nil"/>
              <w:left w:val="nil"/>
              <w:bottom w:val="single" w:sz="4" w:space="0" w:color="auto"/>
              <w:right w:val="single" w:sz="4" w:space="0" w:color="auto"/>
            </w:tcBorders>
            <w:noWrap/>
            <w:vAlign w:val="bottom"/>
            <w:hideMark/>
          </w:tcPr>
          <w:p w14:paraId="1781B9F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7,36</w:t>
            </w:r>
          </w:p>
        </w:tc>
        <w:tc>
          <w:tcPr>
            <w:tcW w:w="960" w:type="dxa"/>
            <w:tcBorders>
              <w:top w:val="nil"/>
              <w:left w:val="nil"/>
              <w:bottom w:val="single" w:sz="4" w:space="0" w:color="auto"/>
              <w:right w:val="single" w:sz="4" w:space="0" w:color="auto"/>
            </w:tcBorders>
            <w:noWrap/>
            <w:vAlign w:val="bottom"/>
            <w:hideMark/>
          </w:tcPr>
          <w:p w14:paraId="66C7DA1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9,21</w:t>
            </w:r>
          </w:p>
        </w:tc>
        <w:tc>
          <w:tcPr>
            <w:tcW w:w="960" w:type="dxa"/>
            <w:tcBorders>
              <w:top w:val="nil"/>
              <w:left w:val="nil"/>
              <w:bottom w:val="single" w:sz="4" w:space="0" w:color="auto"/>
              <w:right w:val="single" w:sz="4" w:space="0" w:color="auto"/>
            </w:tcBorders>
            <w:noWrap/>
            <w:vAlign w:val="bottom"/>
            <w:hideMark/>
          </w:tcPr>
          <w:p w14:paraId="1C05DE3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4,48</w:t>
            </w:r>
          </w:p>
        </w:tc>
      </w:tr>
      <w:tr w:rsidR="004A45B0" w:rsidRPr="004A45B0" w14:paraId="473BD781" w14:textId="77777777" w:rsidTr="004A45B0">
        <w:trPr>
          <w:trHeight w:val="290"/>
        </w:trPr>
        <w:tc>
          <w:tcPr>
            <w:tcW w:w="2560" w:type="dxa"/>
            <w:tcBorders>
              <w:top w:val="nil"/>
              <w:left w:val="single" w:sz="4" w:space="0" w:color="auto"/>
              <w:bottom w:val="single" w:sz="4" w:space="0" w:color="auto"/>
              <w:right w:val="single" w:sz="4" w:space="0" w:color="auto"/>
            </w:tcBorders>
            <w:noWrap/>
            <w:vAlign w:val="bottom"/>
            <w:hideMark/>
          </w:tcPr>
          <w:p w14:paraId="16296F9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Debt/Equity</w:t>
            </w:r>
          </w:p>
        </w:tc>
        <w:tc>
          <w:tcPr>
            <w:tcW w:w="960" w:type="dxa"/>
            <w:tcBorders>
              <w:top w:val="nil"/>
              <w:left w:val="nil"/>
              <w:bottom w:val="single" w:sz="4" w:space="0" w:color="auto"/>
              <w:right w:val="single" w:sz="4" w:space="0" w:color="auto"/>
            </w:tcBorders>
            <w:noWrap/>
            <w:vAlign w:val="bottom"/>
            <w:hideMark/>
          </w:tcPr>
          <w:p w14:paraId="4EA9E1A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4,3</w:t>
            </w:r>
          </w:p>
        </w:tc>
        <w:tc>
          <w:tcPr>
            <w:tcW w:w="960" w:type="dxa"/>
            <w:tcBorders>
              <w:top w:val="nil"/>
              <w:left w:val="nil"/>
              <w:bottom w:val="single" w:sz="4" w:space="0" w:color="auto"/>
              <w:right w:val="single" w:sz="4" w:space="0" w:color="auto"/>
            </w:tcBorders>
            <w:noWrap/>
            <w:vAlign w:val="bottom"/>
            <w:hideMark/>
          </w:tcPr>
          <w:p w14:paraId="66434EB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4,83</w:t>
            </w:r>
          </w:p>
        </w:tc>
        <w:tc>
          <w:tcPr>
            <w:tcW w:w="960" w:type="dxa"/>
            <w:tcBorders>
              <w:top w:val="nil"/>
              <w:left w:val="nil"/>
              <w:bottom w:val="single" w:sz="4" w:space="0" w:color="auto"/>
              <w:right w:val="single" w:sz="4" w:space="0" w:color="auto"/>
            </w:tcBorders>
            <w:noWrap/>
            <w:vAlign w:val="bottom"/>
            <w:hideMark/>
          </w:tcPr>
          <w:p w14:paraId="3F2F840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17,41</w:t>
            </w:r>
          </w:p>
        </w:tc>
        <w:tc>
          <w:tcPr>
            <w:tcW w:w="960" w:type="dxa"/>
            <w:tcBorders>
              <w:top w:val="nil"/>
              <w:left w:val="nil"/>
              <w:bottom w:val="single" w:sz="4" w:space="0" w:color="auto"/>
              <w:right w:val="single" w:sz="4" w:space="0" w:color="auto"/>
            </w:tcBorders>
            <w:noWrap/>
            <w:vAlign w:val="bottom"/>
            <w:hideMark/>
          </w:tcPr>
          <w:p w14:paraId="1CE9715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17,72</w:t>
            </w:r>
          </w:p>
        </w:tc>
        <w:tc>
          <w:tcPr>
            <w:tcW w:w="960" w:type="dxa"/>
            <w:tcBorders>
              <w:top w:val="nil"/>
              <w:left w:val="nil"/>
              <w:bottom w:val="single" w:sz="4" w:space="0" w:color="auto"/>
              <w:right w:val="single" w:sz="4" w:space="0" w:color="auto"/>
            </w:tcBorders>
            <w:noWrap/>
            <w:vAlign w:val="bottom"/>
            <w:hideMark/>
          </w:tcPr>
          <w:p w14:paraId="42AECEA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7,17</w:t>
            </w:r>
          </w:p>
        </w:tc>
      </w:tr>
      <w:tr w:rsidR="004A45B0" w:rsidRPr="004A45B0" w14:paraId="4A3F987B" w14:textId="77777777" w:rsidTr="004A45B0">
        <w:trPr>
          <w:trHeight w:val="290"/>
        </w:trPr>
        <w:tc>
          <w:tcPr>
            <w:tcW w:w="2560" w:type="dxa"/>
            <w:tcBorders>
              <w:top w:val="nil"/>
              <w:left w:val="single" w:sz="4" w:space="0" w:color="auto"/>
              <w:bottom w:val="single" w:sz="4" w:space="0" w:color="auto"/>
              <w:right w:val="single" w:sz="4" w:space="0" w:color="auto"/>
            </w:tcBorders>
            <w:shd w:val="clear" w:color="000000" w:fill="92D050"/>
            <w:noWrap/>
            <w:vAlign w:val="bottom"/>
            <w:hideMark/>
          </w:tcPr>
          <w:p w14:paraId="5DC75816"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Additional Ratios</w:t>
            </w:r>
          </w:p>
        </w:tc>
        <w:tc>
          <w:tcPr>
            <w:tcW w:w="960" w:type="dxa"/>
            <w:tcBorders>
              <w:top w:val="nil"/>
              <w:left w:val="nil"/>
              <w:bottom w:val="single" w:sz="4" w:space="0" w:color="auto"/>
              <w:right w:val="single" w:sz="4" w:space="0" w:color="auto"/>
            </w:tcBorders>
            <w:shd w:val="clear" w:color="000000" w:fill="92D050"/>
            <w:noWrap/>
            <w:vAlign w:val="bottom"/>
            <w:hideMark/>
          </w:tcPr>
          <w:p w14:paraId="438B373B"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2025</w:t>
            </w:r>
          </w:p>
        </w:tc>
        <w:tc>
          <w:tcPr>
            <w:tcW w:w="960" w:type="dxa"/>
            <w:tcBorders>
              <w:top w:val="nil"/>
              <w:left w:val="nil"/>
              <w:bottom w:val="single" w:sz="4" w:space="0" w:color="auto"/>
              <w:right w:val="single" w:sz="4" w:space="0" w:color="auto"/>
            </w:tcBorders>
            <w:shd w:val="clear" w:color="000000" w:fill="92D050"/>
            <w:noWrap/>
            <w:vAlign w:val="bottom"/>
            <w:hideMark/>
          </w:tcPr>
          <w:p w14:paraId="4ED2BA35"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2024</w:t>
            </w:r>
          </w:p>
        </w:tc>
        <w:tc>
          <w:tcPr>
            <w:tcW w:w="960" w:type="dxa"/>
            <w:tcBorders>
              <w:top w:val="nil"/>
              <w:left w:val="nil"/>
              <w:bottom w:val="single" w:sz="4" w:space="0" w:color="auto"/>
              <w:right w:val="single" w:sz="4" w:space="0" w:color="auto"/>
            </w:tcBorders>
            <w:shd w:val="clear" w:color="000000" w:fill="92D050"/>
            <w:noWrap/>
            <w:vAlign w:val="bottom"/>
            <w:hideMark/>
          </w:tcPr>
          <w:p w14:paraId="053E730D"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2023</w:t>
            </w:r>
          </w:p>
        </w:tc>
        <w:tc>
          <w:tcPr>
            <w:tcW w:w="960" w:type="dxa"/>
            <w:tcBorders>
              <w:top w:val="nil"/>
              <w:left w:val="nil"/>
              <w:bottom w:val="single" w:sz="4" w:space="0" w:color="auto"/>
              <w:right w:val="single" w:sz="4" w:space="0" w:color="auto"/>
            </w:tcBorders>
            <w:shd w:val="clear" w:color="000000" w:fill="92D050"/>
            <w:noWrap/>
            <w:vAlign w:val="bottom"/>
            <w:hideMark/>
          </w:tcPr>
          <w:p w14:paraId="47D06D7F"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2022</w:t>
            </w:r>
          </w:p>
        </w:tc>
        <w:tc>
          <w:tcPr>
            <w:tcW w:w="960" w:type="dxa"/>
            <w:tcBorders>
              <w:top w:val="nil"/>
              <w:left w:val="nil"/>
              <w:bottom w:val="single" w:sz="4" w:space="0" w:color="auto"/>
              <w:right w:val="single" w:sz="4" w:space="0" w:color="auto"/>
            </w:tcBorders>
            <w:shd w:val="clear" w:color="000000" w:fill="92D050"/>
            <w:noWrap/>
            <w:vAlign w:val="bottom"/>
            <w:hideMark/>
          </w:tcPr>
          <w:p w14:paraId="22058EAF"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2021</w:t>
            </w:r>
          </w:p>
        </w:tc>
      </w:tr>
      <w:tr w:rsidR="004A45B0" w:rsidRPr="004A45B0" w14:paraId="019A207C" w14:textId="77777777" w:rsidTr="004A45B0">
        <w:trPr>
          <w:trHeight w:val="290"/>
        </w:trPr>
        <w:tc>
          <w:tcPr>
            <w:tcW w:w="2560" w:type="dxa"/>
            <w:tcBorders>
              <w:top w:val="nil"/>
              <w:left w:val="single" w:sz="4" w:space="0" w:color="auto"/>
              <w:bottom w:val="single" w:sz="4" w:space="0" w:color="auto"/>
              <w:right w:val="single" w:sz="4" w:space="0" w:color="auto"/>
            </w:tcBorders>
            <w:shd w:val="clear" w:color="000000" w:fill="D9EAD3"/>
            <w:noWrap/>
            <w:vAlign w:val="bottom"/>
            <w:hideMark/>
          </w:tcPr>
          <w:p w14:paraId="04C9766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ROE</w:t>
            </w:r>
          </w:p>
        </w:tc>
        <w:tc>
          <w:tcPr>
            <w:tcW w:w="960" w:type="dxa"/>
            <w:tcBorders>
              <w:top w:val="nil"/>
              <w:left w:val="nil"/>
              <w:bottom w:val="single" w:sz="4" w:space="0" w:color="auto"/>
              <w:right w:val="single" w:sz="4" w:space="0" w:color="auto"/>
            </w:tcBorders>
            <w:noWrap/>
            <w:vAlign w:val="bottom"/>
            <w:hideMark/>
          </w:tcPr>
          <w:p w14:paraId="3FD057D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NM</w:t>
            </w:r>
          </w:p>
        </w:tc>
        <w:tc>
          <w:tcPr>
            <w:tcW w:w="960" w:type="dxa"/>
            <w:tcBorders>
              <w:top w:val="nil"/>
              <w:left w:val="nil"/>
              <w:bottom w:val="single" w:sz="4" w:space="0" w:color="auto"/>
              <w:right w:val="single" w:sz="4" w:space="0" w:color="auto"/>
            </w:tcBorders>
            <w:noWrap/>
            <w:vAlign w:val="bottom"/>
            <w:hideMark/>
          </w:tcPr>
          <w:p w14:paraId="36C58CD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NM</w:t>
            </w:r>
          </w:p>
        </w:tc>
        <w:tc>
          <w:tcPr>
            <w:tcW w:w="960" w:type="dxa"/>
            <w:tcBorders>
              <w:top w:val="nil"/>
              <w:left w:val="nil"/>
              <w:bottom w:val="single" w:sz="4" w:space="0" w:color="auto"/>
              <w:right w:val="single" w:sz="4" w:space="0" w:color="auto"/>
            </w:tcBorders>
            <w:noWrap/>
            <w:vAlign w:val="bottom"/>
            <w:hideMark/>
          </w:tcPr>
          <w:p w14:paraId="53B922D8"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NM</w:t>
            </w:r>
          </w:p>
        </w:tc>
        <w:tc>
          <w:tcPr>
            <w:tcW w:w="960" w:type="dxa"/>
            <w:tcBorders>
              <w:top w:val="nil"/>
              <w:left w:val="nil"/>
              <w:bottom w:val="single" w:sz="4" w:space="0" w:color="auto"/>
              <w:right w:val="single" w:sz="4" w:space="0" w:color="auto"/>
            </w:tcBorders>
            <w:noWrap/>
            <w:vAlign w:val="bottom"/>
            <w:hideMark/>
          </w:tcPr>
          <w:p w14:paraId="007A934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NM</w:t>
            </w:r>
          </w:p>
        </w:tc>
        <w:tc>
          <w:tcPr>
            <w:tcW w:w="960" w:type="dxa"/>
            <w:tcBorders>
              <w:top w:val="nil"/>
              <w:left w:val="nil"/>
              <w:bottom w:val="single" w:sz="4" w:space="0" w:color="auto"/>
              <w:right w:val="single" w:sz="4" w:space="0" w:color="auto"/>
            </w:tcBorders>
            <w:noWrap/>
            <w:vAlign w:val="bottom"/>
            <w:hideMark/>
          </w:tcPr>
          <w:p w14:paraId="797110B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NM</w:t>
            </w:r>
          </w:p>
        </w:tc>
      </w:tr>
      <w:tr w:rsidR="004A45B0" w:rsidRPr="004A45B0" w14:paraId="6B6E957C" w14:textId="77777777" w:rsidTr="004A45B0">
        <w:trPr>
          <w:trHeight w:val="290"/>
        </w:trPr>
        <w:tc>
          <w:tcPr>
            <w:tcW w:w="2560" w:type="dxa"/>
            <w:tcBorders>
              <w:top w:val="nil"/>
              <w:left w:val="single" w:sz="4" w:space="0" w:color="auto"/>
              <w:bottom w:val="single" w:sz="4" w:space="0" w:color="auto"/>
              <w:right w:val="single" w:sz="4" w:space="0" w:color="auto"/>
            </w:tcBorders>
            <w:shd w:val="clear" w:color="000000" w:fill="D9EAD3"/>
            <w:noWrap/>
            <w:vAlign w:val="bottom"/>
            <w:hideMark/>
          </w:tcPr>
          <w:p w14:paraId="10DCED5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ROA (%)</w:t>
            </w:r>
          </w:p>
        </w:tc>
        <w:tc>
          <w:tcPr>
            <w:tcW w:w="960" w:type="dxa"/>
            <w:tcBorders>
              <w:top w:val="nil"/>
              <w:left w:val="nil"/>
              <w:bottom w:val="single" w:sz="4" w:space="0" w:color="auto"/>
              <w:right w:val="single" w:sz="4" w:space="0" w:color="auto"/>
            </w:tcBorders>
            <w:noWrap/>
            <w:vAlign w:val="bottom"/>
            <w:hideMark/>
          </w:tcPr>
          <w:p w14:paraId="0689261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9,4</w:t>
            </w:r>
          </w:p>
        </w:tc>
        <w:tc>
          <w:tcPr>
            <w:tcW w:w="960" w:type="dxa"/>
            <w:tcBorders>
              <w:top w:val="nil"/>
              <w:left w:val="nil"/>
              <w:bottom w:val="single" w:sz="4" w:space="0" w:color="auto"/>
              <w:right w:val="single" w:sz="4" w:space="0" w:color="auto"/>
            </w:tcBorders>
            <w:noWrap/>
            <w:vAlign w:val="bottom"/>
            <w:hideMark/>
          </w:tcPr>
          <w:p w14:paraId="5686909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8,8</w:t>
            </w:r>
          </w:p>
        </w:tc>
        <w:tc>
          <w:tcPr>
            <w:tcW w:w="960" w:type="dxa"/>
            <w:tcBorders>
              <w:top w:val="nil"/>
              <w:left w:val="nil"/>
              <w:bottom w:val="single" w:sz="4" w:space="0" w:color="auto"/>
              <w:right w:val="single" w:sz="4" w:space="0" w:color="auto"/>
            </w:tcBorders>
            <w:noWrap/>
            <w:vAlign w:val="bottom"/>
            <w:hideMark/>
          </w:tcPr>
          <w:p w14:paraId="0365BF5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11,2</w:t>
            </w:r>
          </w:p>
        </w:tc>
        <w:tc>
          <w:tcPr>
            <w:tcW w:w="960" w:type="dxa"/>
            <w:tcBorders>
              <w:top w:val="nil"/>
              <w:left w:val="nil"/>
              <w:bottom w:val="single" w:sz="4" w:space="0" w:color="auto"/>
              <w:right w:val="single" w:sz="4" w:space="0" w:color="auto"/>
            </w:tcBorders>
            <w:noWrap/>
            <w:vAlign w:val="bottom"/>
            <w:hideMark/>
          </w:tcPr>
          <w:p w14:paraId="716A63E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9,2</w:t>
            </w:r>
          </w:p>
        </w:tc>
        <w:tc>
          <w:tcPr>
            <w:tcW w:w="960" w:type="dxa"/>
            <w:tcBorders>
              <w:top w:val="nil"/>
              <w:left w:val="nil"/>
              <w:bottom w:val="single" w:sz="4" w:space="0" w:color="auto"/>
              <w:right w:val="single" w:sz="4" w:space="0" w:color="auto"/>
            </w:tcBorders>
            <w:noWrap/>
            <w:vAlign w:val="bottom"/>
            <w:hideMark/>
          </w:tcPr>
          <w:p w14:paraId="1987024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4,8</w:t>
            </w:r>
          </w:p>
        </w:tc>
      </w:tr>
      <w:tr w:rsidR="004A45B0" w:rsidRPr="004A45B0" w14:paraId="4F8583FD" w14:textId="77777777" w:rsidTr="004A45B0">
        <w:trPr>
          <w:trHeight w:val="290"/>
        </w:trPr>
        <w:tc>
          <w:tcPr>
            <w:tcW w:w="2560" w:type="dxa"/>
            <w:tcBorders>
              <w:top w:val="nil"/>
              <w:left w:val="single" w:sz="4" w:space="0" w:color="auto"/>
              <w:bottom w:val="single" w:sz="4" w:space="0" w:color="auto"/>
              <w:right w:val="single" w:sz="4" w:space="0" w:color="auto"/>
            </w:tcBorders>
            <w:shd w:val="clear" w:color="000000" w:fill="D9EAD3"/>
            <w:noWrap/>
            <w:vAlign w:val="bottom"/>
            <w:hideMark/>
          </w:tcPr>
          <w:p w14:paraId="0C69AB6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P/E Ratio</w:t>
            </w:r>
          </w:p>
        </w:tc>
        <w:tc>
          <w:tcPr>
            <w:tcW w:w="960" w:type="dxa"/>
            <w:tcBorders>
              <w:top w:val="nil"/>
              <w:left w:val="nil"/>
              <w:bottom w:val="single" w:sz="4" w:space="0" w:color="auto"/>
              <w:right w:val="single" w:sz="4" w:space="0" w:color="auto"/>
            </w:tcBorders>
            <w:noWrap/>
            <w:vAlign w:val="bottom"/>
            <w:hideMark/>
          </w:tcPr>
          <w:p w14:paraId="4CE0B9D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29,1</w:t>
            </w:r>
          </w:p>
        </w:tc>
        <w:tc>
          <w:tcPr>
            <w:tcW w:w="960" w:type="dxa"/>
            <w:tcBorders>
              <w:top w:val="nil"/>
              <w:left w:val="nil"/>
              <w:bottom w:val="single" w:sz="4" w:space="0" w:color="auto"/>
              <w:right w:val="single" w:sz="4" w:space="0" w:color="auto"/>
            </w:tcBorders>
            <w:noWrap/>
            <w:vAlign w:val="bottom"/>
            <w:hideMark/>
          </w:tcPr>
          <w:p w14:paraId="6445AAB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33,4</w:t>
            </w:r>
          </w:p>
        </w:tc>
        <w:tc>
          <w:tcPr>
            <w:tcW w:w="960" w:type="dxa"/>
            <w:tcBorders>
              <w:top w:val="nil"/>
              <w:left w:val="nil"/>
              <w:bottom w:val="single" w:sz="4" w:space="0" w:color="auto"/>
              <w:right w:val="single" w:sz="4" w:space="0" w:color="auto"/>
            </w:tcBorders>
            <w:noWrap/>
            <w:vAlign w:val="bottom"/>
            <w:hideMark/>
          </w:tcPr>
          <w:p w14:paraId="5FB3313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22,1</w:t>
            </w:r>
          </w:p>
        </w:tc>
        <w:tc>
          <w:tcPr>
            <w:tcW w:w="960" w:type="dxa"/>
            <w:tcBorders>
              <w:top w:val="nil"/>
              <w:left w:val="nil"/>
              <w:bottom w:val="single" w:sz="4" w:space="0" w:color="auto"/>
              <w:right w:val="single" w:sz="4" w:space="0" w:color="auto"/>
            </w:tcBorders>
            <w:noWrap/>
            <w:vAlign w:val="bottom"/>
            <w:hideMark/>
          </w:tcPr>
          <w:p w14:paraId="78747CD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20,6</w:t>
            </w:r>
          </w:p>
        </w:tc>
        <w:tc>
          <w:tcPr>
            <w:tcW w:w="960" w:type="dxa"/>
            <w:tcBorders>
              <w:top w:val="nil"/>
              <w:left w:val="nil"/>
              <w:bottom w:val="single" w:sz="4" w:space="0" w:color="auto"/>
              <w:right w:val="single" w:sz="4" w:space="0" w:color="auto"/>
            </w:tcBorders>
            <w:noWrap/>
            <w:vAlign w:val="bottom"/>
            <w:hideMark/>
          </w:tcPr>
          <w:p w14:paraId="27E6778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42,5</w:t>
            </w:r>
          </w:p>
        </w:tc>
      </w:tr>
      <w:tr w:rsidR="004A45B0" w:rsidRPr="004A45B0" w14:paraId="033B0CC0" w14:textId="77777777" w:rsidTr="004A45B0">
        <w:trPr>
          <w:trHeight w:val="290"/>
        </w:trPr>
        <w:tc>
          <w:tcPr>
            <w:tcW w:w="2560" w:type="dxa"/>
            <w:tcBorders>
              <w:top w:val="nil"/>
              <w:left w:val="single" w:sz="4" w:space="0" w:color="auto"/>
              <w:bottom w:val="single" w:sz="4" w:space="0" w:color="auto"/>
              <w:right w:val="single" w:sz="4" w:space="0" w:color="auto"/>
            </w:tcBorders>
            <w:shd w:val="clear" w:color="000000" w:fill="D9EAD3"/>
            <w:noWrap/>
            <w:vAlign w:val="bottom"/>
            <w:hideMark/>
          </w:tcPr>
          <w:p w14:paraId="50254EF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Operating Cash Flow Ratio</w:t>
            </w:r>
          </w:p>
        </w:tc>
        <w:tc>
          <w:tcPr>
            <w:tcW w:w="960" w:type="dxa"/>
            <w:tcBorders>
              <w:top w:val="nil"/>
              <w:left w:val="nil"/>
              <w:bottom w:val="single" w:sz="4" w:space="0" w:color="auto"/>
              <w:right w:val="single" w:sz="4" w:space="0" w:color="auto"/>
            </w:tcBorders>
            <w:noWrap/>
            <w:vAlign w:val="bottom"/>
            <w:hideMark/>
          </w:tcPr>
          <w:p w14:paraId="4253FDBA" w14:textId="57FF1029"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0,3</w:t>
            </w:r>
            <w:r w:rsidR="002D3181">
              <w:rPr>
                <w:rFonts w:ascii="Calibri" w:eastAsia="Times New Roman" w:hAnsi="Calibri" w:cs="Calibri"/>
                <w:color w:val="000000"/>
                <w:sz w:val="22"/>
                <w:szCs w:val="22"/>
                <w:lang w:val="en-US" w:eastAsia="en-US"/>
              </w:rPr>
              <w:t>8</w:t>
            </w:r>
          </w:p>
        </w:tc>
        <w:tc>
          <w:tcPr>
            <w:tcW w:w="960" w:type="dxa"/>
            <w:tcBorders>
              <w:top w:val="nil"/>
              <w:left w:val="nil"/>
              <w:bottom w:val="single" w:sz="4" w:space="0" w:color="auto"/>
              <w:right w:val="single" w:sz="4" w:space="0" w:color="auto"/>
            </w:tcBorders>
            <w:noWrap/>
            <w:vAlign w:val="bottom"/>
            <w:hideMark/>
          </w:tcPr>
          <w:p w14:paraId="2B399CCB" w14:textId="658483D5"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w:t>
            </w:r>
            <w:r w:rsidR="002D3181">
              <w:rPr>
                <w:rFonts w:ascii="Calibri" w:eastAsia="Times New Roman" w:hAnsi="Calibri" w:cs="Calibri"/>
                <w:color w:val="000000"/>
                <w:sz w:val="22"/>
                <w:szCs w:val="22"/>
                <w:lang w:val="en-US" w:eastAsia="en-US"/>
              </w:rPr>
              <w:t>32</w:t>
            </w:r>
          </w:p>
        </w:tc>
        <w:tc>
          <w:tcPr>
            <w:tcW w:w="960" w:type="dxa"/>
            <w:tcBorders>
              <w:top w:val="nil"/>
              <w:left w:val="nil"/>
              <w:bottom w:val="single" w:sz="4" w:space="0" w:color="auto"/>
              <w:right w:val="single" w:sz="4" w:space="0" w:color="auto"/>
            </w:tcBorders>
            <w:noWrap/>
            <w:vAlign w:val="bottom"/>
            <w:hideMark/>
          </w:tcPr>
          <w:p w14:paraId="5C40D184" w14:textId="690A82FA"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w:t>
            </w:r>
            <w:r w:rsidR="002D3181">
              <w:rPr>
                <w:rFonts w:ascii="Calibri" w:eastAsia="Times New Roman" w:hAnsi="Calibri" w:cs="Calibri"/>
                <w:color w:val="000000"/>
                <w:sz w:val="22"/>
                <w:szCs w:val="22"/>
                <w:lang w:val="en-US" w:eastAsia="en-US"/>
              </w:rPr>
              <w:t>1</w:t>
            </w:r>
          </w:p>
        </w:tc>
        <w:tc>
          <w:tcPr>
            <w:tcW w:w="960" w:type="dxa"/>
            <w:tcBorders>
              <w:top w:val="nil"/>
              <w:left w:val="nil"/>
              <w:bottom w:val="single" w:sz="4" w:space="0" w:color="auto"/>
              <w:right w:val="single" w:sz="4" w:space="0" w:color="auto"/>
            </w:tcBorders>
            <w:noWrap/>
            <w:vAlign w:val="bottom"/>
            <w:hideMark/>
          </w:tcPr>
          <w:p w14:paraId="3DB29084" w14:textId="2EB7F95C"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0,3</w:t>
            </w:r>
            <w:r w:rsidR="002D3181">
              <w:rPr>
                <w:rFonts w:ascii="Calibri" w:eastAsia="Times New Roman" w:hAnsi="Calibri" w:cs="Calibri"/>
                <w:color w:val="000000"/>
                <w:sz w:val="22"/>
                <w:szCs w:val="22"/>
                <w:lang w:val="en-US" w:eastAsia="en-US"/>
              </w:rPr>
              <w:t>2</w:t>
            </w:r>
          </w:p>
        </w:tc>
        <w:tc>
          <w:tcPr>
            <w:tcW w:w="960" w:type="dxa"/>
            <w:tcBorders>
              <w:top w:val="nil"/>
              <w:left w:val="nil"/>
              <w:bottom w:val="single" w:sz="4" w:space="0" w:color="auto"/>
              <w:right w:val="single" w:sz="4" w:space="0" w:color="auto"/>
            </w:tcBorders>
            <w:noWrap/>
            <w:vAlign w:val="bottom"/>
            <w:hideMark/>
          </w:tcPr>
          <w:p w14:paraId="065EF073" w14:textId="0A09238C"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w:t>
            </w:r>
            <w:r w:rsidR="002D3181">
              <w:rPr>
                <w:rFonts w:ascii="Calibri" w:eastAsia="Times New Roman" w:hAnsi="Calibri" w:cs="Calibri"/>
                <w:color w:val="000000"/>
                <w:sz w:val="22"/>
                <w:szCs w:val="22"/>
                <w:lang w:val="en-US" w:eastAsia="en-US"/>
              </w:rPr>
              <w:t>18</w:t>
            </w:r>
          </w:p>
        </w:tc>
      </w:tr>
      <w:tr w:rsidR="004A45B0" w:rsidRPr="004A45B0" w14:paraId="1AA08205" w14:textId="77777777" w:rsidTr="004A45B0">
        <w:trPr>
          <w:trHeight w:val="290"/>
        </w:trPr>
        <w:tc>
          <w:tcPr>
            <w:tcW w:w="2560" w:type="dxa"/>
            <w:tcBorders>
              <w:top w:val="nil"/>
              <w:left w:val="single" w:sz="4" w:space="0" w:color="auto"/>
              <w:bottom w:val="single" w:sz="4" w:space="0" w:color="auto"/>
              <w:right w:val="single" w:sz="4" w:space="0" w:color="auto"/>
            </w:tcBorders>
            <w:shd w:val="clear" w:color="000000" w:fill="D9EAD3"/>
            <w:noWrap/>
            <w:vAlign w:val="bottom"/>
            <w:hideMark/>
          </w:tcPr>
          <w:p w14:paraId="0B64D23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Free Cash Flow Margin (%)</w:t>
            </w:r>
          </w:p>
        </w:tc>
        <w:tc>
          <w:tcPr>
            <w:tcW w:w="960" w:type="dxa"/>
            <w:tcBorders>
              <w:top w:val="nil"/>
              <w:left w:val="nil"/>
              <w:bottom w:val="single" w:sz="4" w:space="0" w:color="auto"/>
              <w:right w:val="single" w:sz="4" w:space="0" w:color="auto"/>
            </w:tcBorders>
            <w:noWrap/>
            <w:vAlign w:val="bottom"/>
            <w:hideMark/>
          </w:tcPr>
          <w:p w14:paraId="35E1E8E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w:t>
            </w:r>
          </w:p>
        </w:tc>
        <w:tc>
          <w:tcPr>
            <w:tcW w:w="960" w:type="dxa"/>
            <w:tcBorders>
              <w:top w:val="nil"/>
              <w:left w:val="nil"/>
              <w:bottom w:val="single" w:sz="4" w:space="0" w:color="auto"/>
              <w:right w:val="single" w:sz="4" w:space="0" w:color="auto"/>
            </w:tcBorders>
            <w:noWrap/>
            <w:vAlign w:val="bottom"/>
            <w:hideMark/>
          </w:tcPr>
          <w:p w14:paraId="36B154C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w:t>
            </w:r>
          </w:p>
        </w:tc>
        <w:tc>
          <w:tcPr>
            <w:tcW w:w="960" w:type="dxa"/>
            <w:tcBorders>
              <w:top w:val="nil"/>
              <w:left w:val="nil"/>
              <w:bottom w:val="single" w:sz="4" w:space="0" w:color="auto"/>
              <w:right w:val="single" w:sz="4" w:space="0" w:color="auto"/>
            </w:tcBorders>
            <w:noWrap/>
            <w:vAlign w:val="bottom"/>
            <w:hideMark/>
          </w:tcPr>
          <w:p w14:paraId="4C0E49E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11,5</w:t>
            </w:r>
          </w:p>
        </w:tc>
        <w:tc>
          <w:tcPr>
            <w:tcW w:w="960" w:type="dxa"/>
            <w:tcBorders>
              <w:top w:val="nil"/>
              <w:left w:val="nil"/>
              <w:bottom w:val="single" w:sz="4" w:space="0" w:color="auto"/>
              <w:right w:val="single" w:sz="4" w:space="0" w:color="auto"/>
            </w:tcBorders>
            <w:noWrap/>
            <w:vAlign w:val="bottom"/>
            <w:hideMark/>
          </w:tcPr>
          <w:p w14:paraId="5B362D8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9,8</w:t>
            </w:r>
          </w:p>
        </w:tc>
        <w:tc>
          <w:tcPr>
            <w:tcW w:w="960" w:type="dxa"/>
            <w:tcBorders>
              <w:top w:val="nil"/>
              <w:left w:val="nil"/>
              <w:bottom w:val="single" w:sz="4" w:space="0" w:color="auto"/>
              <w:right w:val="single" w:sz="4" w:space="0" w:color="auto"/>
            </w:tcBorders>
            <w:noWrap/>
            <w:vAlign w:val="bottom"/>
            <w:hideMark/>
          </w:tcPr>
          <w:p w14:paraId="487DBBF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7,2</w:t>
            </w:r>
          </w:p>
        </w:tc>
      </w:tr>
    </w:tbl>
    <w:p w14:paraId="561B808A" w14:textId="77777777" w:rsidR="004A45B0" w:rsidRDefault="004A45B0" w:rsidP="00B9519C">
      <w:pPr>
        <w:rPr>
          <w:lang w:val="en-US"/>
        </w:rPr>
      </w:pPr>
    </w:p>
    <w:p w14:paraId="1E25D4E7" w14:textId="77777777" w:rsidR="005025C3" w:rsidRDefault="005025C3" w:rsidP="00B9519C">
      <w:pPr>
        <w:rPr>
          <w:lang w:val="en-US"/>
        </w:rPr>
      </w:pPr>
    </w:p>
    <w:p w14:paraId="4866FFE5" w14:textId="77777777" w:rsidR="005025C3" w:rsidRDefault="005025C3" w:rsidP="00B9519C">
      <w:pPr>
        <w:rPr>
          <w:lang w:val="en-US"/>
        </w:rPr>
      </w:pPr>
    </w:p>
    <w:p w14:paraId="2099D03C" w14:textId="77777777" w:rsidR="005025C3" w:rsidRDefault="005025C3" w:rsidP="00B9519C">
      <w:pPr>
        <w:rPr>
          <w:lang w:val="en-US"/>
        </w:rPr>
      </w:pPr>
    </w:p>
    <w:p w14:paraId="03D791FB" w14:textId="77777777" w:rsidR="005025C3" w:rsidRDefault="005025C3" w:rsidP="00B9519C">
      <w:pPr>
        <w:rPr>
          <w:lang w:val="en-US"/>
        </w:rPr>
      </w:pPr>
    </w:p>
    <w:p w14:paraId="4F447AED" w14:textId="77777777" w:rsidR="005025C3" w:rsidRDefault="005025C3" w:rsidP="00B9519C">
      <w:pPr>
        <w:rPr>
          <w:lang w:val="en-US"/>
        </w:rPr>
      </w:pPr>
    </w:p>
    <w:p w14:paraId="7AEAA38B" w14:textId="77777777" w:rsidR="005025C3" w:rsidRDefault="005025C3" w:rsidP="00B9519C">
      <w:pPr>
        <w:rPr>
          <w:lang w:val="en-US"/>
        </w:rPr>
      </w:pPr>
    </w:p>
    <w:p w14:paraId="5615DCCA" w14:textId="77777777" w:rsidR="005025C3" w:rsidRDefault="005025C3" w:rsidP="00B9519C">
      <w:pPr>
        <w:rPr>
          <w:lang w:val="en-US"/>
        </w:rPr>
      </w:pPr>
    </w:p>
    <w:p w14:paraId="410EA2F0" w14:textId="77777777" w:rsidR="005025C3" w:rsidRDefault="005025C3" w:rsidP="00B9519C">
      <w:pPr>
        <w:rPr>
          <w:lang w:val="en-US"/>
        </w:rPr>
      </w:pPr>
    </w:p>
    <w:p w14:paraId="79183208" w14:textId="77777777" w:rsidR="005025C3" w:rsidRDefault="005025C3" w:rsidP="00B9519C">
      <w:pPr>
        <w:rPr>
          <w:lang w:val="en-US"/>
        </w:rPr>
      </w:pPr>
    </w:p>
    <w:p w14:paraId="4B559A17" w14:textId="77777777" w:rsidR="005025C3" w:rsidRDefault="005025C3" w:rsidP="00B9519C">
      <w:pPr>
        <w:rPr>
          <w:lang w:val="en-US"/>
        </w:rPr>
      </w:pPr>
    </w:p>
    <w:p w14:paraId="1C8E5A8D" w14:textId="77777777" w:rsidR="005025C3" w:rsidRDefault="005025C3" w:rsidP="00B9519C">
      <w:pPr>
        <w:rPr>
          <w:lang w:val="en-US"/>
        </w:rPr>
      </w:pPr>
    </w:p>
    <w:p w14:paraId="27FA9D5D" w14:textId="77777777" w:rsidR="005025C3" w:rsidRDefault="005025C3" w:rsidP="00B9519C">
      <w:pPr>
        <w:rPr>
          <w:lang w:val="en-US"/>
        </w:rPr>
      </w:pPr>
    </w:p>
    <w:p w14:paraId="7628668D" w14:textId="77777777" w:rsidR="005025C3" w:rsidRDefault="005025C3" w:rsidP="00B9519C">
      <w:pPr>
        <w:rPr>
          <w:lang w:val="en-US"/>
        </w:rPr>
      </w:pPr>
    </w:p>
    <w:p w14:paraId="377B3C48" w14:textId="77777777" w:rsidR="005025C3" w:rsidRDefault="005025C3" w:rsidP="00B9519C">
      <w:pPr>
        <w:rPr>
          <w:lang w:val="en-US"/>
        </w:rPr>
      </w:pPr>
    </w:p>
    <w:p w14:paraId="37C6F6C1" w14:textId="77777777" w:rsidR="00B9519C" w:rsidRDefault="00B9519C" w:rsidP="00B9519C">
      <w:pPr>
        <w:rPr>
          <w:b/>
          <w:bCs/>
          <w:lang w:val="en-US"/>
        </w:rPr>
      </w:pPr>
      <w:r w:rsidRPr="00B9519C">
        <w:rPr>
          <w:b/>
          <w:bCs/>
          <w:lang w:val="en-US"/>
        </w:rPr>
        <w:lastRenderedPageBreak/>
        <w:t>Appendix E – Industry Benchmark Analysis</w:t>
      </w:r>
    </w:p>
    <w:p w14:paraId="4AAA4CCF" w14:textId="77777777" w:rsidR="004A45B0" w:rsidRDefault="004A45B0" w:rsidP="00B9519C">
      <w:pPr>
        <w:rPr>
          <w:b/>
          <w:bCs/>
          <w:lang w:val="en-US"/>
        </w:rPr>
      </w:pPr>
    </w:p>
    <w:tbl>
      <w:tblPr>
        <w:tblW w:w="9860" w:type="dxa"/>
        <w:tblLook w:val="04A0" w:firstRow="1" w:lastRow="0" w:firstColumn="1" w:lastColumn="0" w:noHBand="0" w:noVBand="1"/>
      </w:tblPr>
      <w:tblGrid>
        <w:gridCol w:w="1820"/>
        <w:gridCol w:w="1460"/>
        <w:gridCol w:w="1900"/>
        <w:gridCol w:w="1560"/>
        <w:gridCol w:w="3120"/>
      </w:tblGrid>
      <w:tr w:rsidR="004A45B0" w:rsidRPr="004A45B0" w14:paraId="6868AB79" w14:textId="77777777" w:rsidTr="004A45B0">
        <w:trPr>
          <w:trHeight w:val="290"/>
        </w:trPr>
        <w:tc>
          <w:tcPr>
            <w:tcW w:w="1820" w:type="dxa"/>
            <w:tcBorders>
              <w:top w:val="nil"/>
              <w:left w:val="nil"/>
              <w:bottom w:val="nil"/>
              <w:right w:val="nil"/>
            </w:tcBorders>
            <w:noWrap/>
            <w:vAlign w:val="bottom"/>
            <w:hideMark/>
          </w:tcPr>
          <w:p w14:paraId="1BEEABFD" w14:textId="77777777" w:rsidR="004A45B0" w:rsidRPr="004A45B0" w:rsidRDefault="004A45B0" w:rsidP="004A45B0">
            <w:pPr>
              <w:spacing w:after="0" w:line="240" w:lineRule="auto"/>
              <w:rPr>
                <w:rFonts w:ascii="Times New Roman" w:eastAsia="Times New Roman" w:hAnsi="Times New Roman" w:cs="Times New Roman"/>
                <w:lang w:val="en-US" w:eastAsia="en-US"/>
              </w:rPr>
            </w:pPr>
          </w:p>
        </w:tc>
        <w:tc>
          <w:tcPr>
            <w:tcW w:w="1460" w:type="dxa"/>
            <w:tcBorders>
              <w:top w:val="nil"/>
              <w:left w:val="nil"/>
              <w:bottom w:val="nil"/>
              <w:right w:val="nil"/>
            </w:tcBorders>
            <w:noWrap/>
            <w:vAlign w:val="bottom"/>
            <w:hideMark/>
          </w:tcPr>
          <w:p w14:paraId="2E48BCF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900" w:type="dxa"/>
            <w:tcBorders>
              <w:top w:val="nil"/>
              <w:left w:val="nil"/>
              <w:bottom w:val="nil"/>
              <w:right w:val="nil"/>
            </w:tcBorders>
            <w:noWrap/>
            <w:vAlign w:val="bottom"/>
            <w:hideMark/>
          </w:tcPr>
          <w:p w14:paraId="3786F29A"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560" w:type="dxa"/>
            <w:tcBorders>
              <w:top w:val="nil"/>
              <w:left w:val="nil"/>
              <w:bottom w:val="nil"/>
              <w:right w:val="nil"/>
            </w:tcBorders>
            <w:noWrap/>
            <w:vAlign w:val="bottom"/>
            <w:hideMark/>
          </w:tcPr>
          <w:p w14:paraId="4F15DCB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3120" w:type="dxa"/>
            <w:tcBorders>
              <w:top w:val="nil"/>
              <w:left w:val="nil"/>
              <w:bottom w:val="nil"/>
              <w:right w:val="nil"/>
            </w:tcBorders>
            <w:noWrap/>
            <w:vAlign w:val="bottom"/>
            <w:hideMark/>
          </w:tcPr>
          <w:p w14:paraId="14C1C32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270EF512" w14:textId="77777777" w:rsidTr="004A45B0">
        <w:trPr>
          <w:trHeight w:val="290"/>
        </w:trPr>
        <w:tc>
          <w:tcPr>
            <w:tcW w:w="5180" w:type="dxa"/>
            <w:gridSpan w:val="3"/>
            <w:tcBorders>
              <w:top w:val="nil"/>
              <w:left w:val="nil"/>
              <w:bottom w:val="nil"/>
              <w:right w:val="nil"/>
            </w:tcBorders>
            <w:shd w:val="clear" w:color="000000" w:fill="9BC2E6"/>
            <w:noWrap/>
            <w:vAlign w:val="bottom"/>
            <w:hideMark/>
          </w:tcPr>
          <w:p w14:paraId="128727E9" w14:textId="688992C5"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Table 1</w:t>
            </w:r>
            <w:r>
              <w:rPr>
                <w:rFonts w:ascii="Calibri" w:eastAsia="Times New Roman" w:hAnsi="Calibri" w:cs="Calibri"/>
                <w:color w:val="000000"/>
                <w:sz w:val="22"/>
                <w:szCs w:val="22"/>
                <w:lang w:val="en-US" w:eastAsia="en-US"/>
              </w:rPr>
              <w:t>E</w:t>
            </w:r>
            <w:r w:rsidRPr="004A45B0">
              <w:rPr>
                <w:rFonts w:ascii="Calibri" w:eastAsia="Times New Roman" w:hAnsi="Calibri" w:cs="Calibri"/>
                <w:color w:val="000000"/>
                <w:sz w:val="22"/>
                <w:szCs w:val="22"/>
                <w:lang w:val="en-US" w:eastAsia="en-US"/>
              </w:rPr>
              <w:t>– Financial Ratio Benchmark Comparison (2025)</w:t>
            </w:r>
          </w:p>
        </w:tc>
        <w:tc>
          <w:tcPr>
            <w:tcW w:w="1560" w:type="dxa"/>
            <w:tcBorders>
              <w:top w:val="nil"/>
              <w:left w:val="nil"/>
              <w:bottom w:val="nil"/>
              <w:right w:val="nil"/>
            </w:tcBorders>
            <w:noWrap/>
            <w:vAlign w:val="bottom"/>
            <w:hideMark/>
          </w:tcPr>
          <w:p w14:paraId="6612DF26"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p>
        </w:tc>
        <w:tc>
          <w:tcPr>
            <w:tcW w:w="3120" w:type="dxa"/>
            <w:tcBorders>
              <w:top w:val="nil"/>
              <w:left w:val="nil"/>
              <w:bottom w:val="nil"/>
              <w:right w:val="nil"/>
            </w:tcBorders>
            <w:noWrap/>
            <w:vAlign w:val="bottom"/>
            <w:hideMark/>
          </w:tcPr>
          <w:p w14:paraId="7D0795E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96A9476" w14:textId="77777777" w:rsidTr="004A45B0">
        <w:trPr>
          <w:trHeight w:val="290"/>
        </w:trPr>
        <w:tc>
          <w:tcPr>
            <w:tcW w:w="182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03DC7CE6"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Ratio</w:t>
            </w:r>
          </w:p>
        </w:tc>
        <w:tc>
          <w:tcPr>
            <w:tcW w:w="1460" w:type="dxa"/>
            <w:tcBorders>
              <w:top w:val="single" w:sz="4" w:space="0" w:color="auto"/>
              <w:left w:val="nil"/>
              <w:bottom w:val="single" w:sz="4" w:space="0" w:color="auto"/>
              <w:right w:val="single" w:sz="4" w:space="0" w:color="auto"/>
            </w:tcBorders>
            <w:shd w:val="clear" w:color="000000" w:fill="92D050"/>
            <w:noWrap/>
            <w:vAlign w:val="bottom"/>
            <w:hideMark/>
          </w:tcPr>
          <w:p w14:paraId="3CB0305D"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Marriott</w:t>
            </w:r>
          </w:p>
        </w:tc>
        <w:tc>
          <w:tcPr>
            <w:tcW w:w="1900" w:type="dxa"/>
            <w:tcBorders>
              <w:top w:val="single" w:sz="4" w:space="0" w:color="auto"/>
              <w:left w:val="nil"/>
              <w:bottom w:val="single" w:sz="4" w:space="0" w:color="auto"/>
              <w:right w:val="single" w:sz="4" w:space="0" w:color="auto"/>
            </w:tcBorders>
            <w:shd w:val="clear" w:color="000000" w:fill="92D050"/>
            <w:noWrap/>
            <w:vAlign w:val="bottom"/>
            <w:hideMark/>
          </w:tcPr>
          <w:p w14:paraId="4E3C2B16"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Hilton</w:t>
            </w:r>
          </w:p>
        </w:tc>
        <w:tc>
          <w:tcPr>
            <w:tcW w:w="1560" w:type="dxa"/>
            <w:tcBorders>
              <w:top w:val="single" w:sz="4" w:space="0" w:color="auto"/>
              <w:left w:val="nil"/>
              <w:bottom w:val="single" w:sz="4" w:space="0" w:color="auto"/>
              <w:right w:val="single" w:sz="4" w:space="0" w:color="auto"/>
            </w:tcBorders>
            <w:shd w:val="clear" w:color="000000" w:fill="92D050"/>
            <w:noWrap/>
            <w:vAlign w:val="bottom"/>
            <w:hideMark/>
          </w:tcPr>
          <w:p w14:paraId="754DD9E2"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Hyatt</w:t>
            </w:r>
          </w:p>
        </w:tc>
        <w:tc>
          <w:tcPr>
            <w:tcW w:w="3120" w:type="dxa"/>
            <w:tcBorders>
              <w:top w:val="single" w:sz="4" w:space="0" w:color="auto"/>
              <w:left w:val="nil"/>
              <w:bottom w:val="single" w:sz="4" w:space="0" w:color="auto"/>
              <w:right w:val="single" w:sz="4" w:space="0" w:color="auto"/>
            </w:tcBorders>
            <w:shd w:val="clear" w:color="000000" w:fill="92D050"/>
            <w:noWrap/>
            <w:vAlign w:val="bottom"/>
            <w:hideMark/>
          </w:tcPr>
          <w:p w14:paraId="46ACACB6"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Comment</w:t>
            </w:r>
          </w:p>
        </w:tc>
      </w:tr>
      <w:tr w:rsidR="004A45B0" w:rsidRPr="004A45B0" w14:paraId="442423AC" w14:textId="77777777" w:rsidTr="004A45B0">
        <w:trPr>
          <w:trHeight w:val="290"/>
        </w:trPr>
        <w:tc>
          <w:tcPr>
            <w:tcW w:w="1820" w:type="dxa"/>
            <w:tcBorders>
              <w:top w:val="nil"/>
              <w:left w:val="single" w:sz="4" w:space="0" w:color="auto"/>
              <w:bottom w:val="single" w:sz="4" w:space="0" w:color="auto"/>
              <w:right w:val="single" w:sz="4" w:space="0" w:color="auto"/>
            </w:tcBorders>
            <w:noWrap/>
            <w:vAlign w:val="bottom"/>
            <w:hideMark/>
          </w:tcPr>
          <w:p w14:paraId="38CE649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Operating Margin</w:t>
            </w:r>
          </w:p>
        </w:tc>
        <w:tc>
          <w:tcPr>
            <w:tcW w:w="1460" w:type="dxa"/>
            <w:tcBorders>
              <w:top w:val="nil"/>
              <w:left w:val="nil"/>
              <w:bottom w:val="single" w:sz="4" w:space="0" w:color="auto"/>
              <w:right w:val="single" w:sz="4" w:space="0" w:color="auto"/>
            </w:tcBorders>
            <w:noWrap/>
            <w:vAlign w:val="bottom"/>
            <w:hideMark/>
          </w:tcPr>
          <w:p w14:paraId="60F6842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15,81%</w:t>
            </w:r>
          </w:p>
        </w:tc>
        <w:tc>
          <w:tcPr>
            <w:tcW w:w="1900" w:type="dxa"/>
            <w:tcBorders>
              <w:top w:val="nil"/>
              <w:left w:val="nil"/>
              <w:bottom w:val="single" w:sz="4" w:space="0" w:color="auto"/>
              <w:right w:val="single" w:sz="4" w:space="0" w:color="auto"/>
            </w:tcBorders>
            <w:noWrap/>
            <w:vAlign w:val="bottom"/>
            <w:hideMark/>
          </w:tcPr>
          <w:p w14:paraId="6C395B1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22,37%</w:t>
            </w:r>
          </w:p>
        </w:tc>
        <w:tc>
          <w:tcPr>
            <w:tcW w:w="1560" w:type="dxa"/>
            <w:tcBorders>
              <w:top w:val="nil"/>
              <w:left w:val="nil"/>
              <w:bottom w:val="single" w:sz="4" w:space="0" w:color="auto"/>
              <w:right w:val="single" w:sz="4" w:space="0" w:color="auto"/>
            </w:tcBorders>
            <w:noWrap/>
            <w:vAlign w:val="bottom"/>
            <w:hideMark/>
          </w:tcPr>
          <w:p w14:paraId="6F6913D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15,20%</w:t>
            </w:r>
          </w:p>
        </w:tc>
        <w:tc>
          <w:tcPr>
            <w:tcW w:w="3120" w:type="dxa"/>
            <w:tcBorders>
              <w:top w:val="nil"/>
              <w:left w:val="nil"/>
              <w:bottom w:val="single" w:sz="4" w:space="0" w:color="auto"/>
              <w:right w:val="single" w:sz="4" w:space="0" w:color="auto"/>
            </w:tcBorders>
            <w:noWrap/>
            <w:vAlign w:val="bottom"/>
            <w:hideMark/>
          </w:tcPr>
          <w:p w14:paraId="2D2A2041"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Hilton highest</w:t>
            </w:r>
          </w:p>
        </w:tc>
      </w:tr>
      <w:tr w:rsidR="004A45B0" w:rsidRPr="004A45B0" w14:paraId="124889CD" w14:textId="77777777" w:rsidTr="004A45B0">
        <w:trPr>
          <w:trHeight w:val="290"/>
        </w:trPr>
        <w:tc>
          <w:tcPr>
            <w:tcW w:w="1820" w:type="dxa"/>
            <w:tcBorders>
              <w:top w:val="nil"/>
              <w:left w:val="single" w:sz="4" w:space="0" w:color="auto"/>
              <w:bottom w:val="single" w:sz="4" w:space="0" w:color="auto"/>
              <w:right w:val="single" w:sz="4" w:space="0" w:color="auto"/>
            </w:tcBorders>
            <w:noWrap/>
            <w:vAlign w:val="bottom"/>
            <w:hideMark/>
          </w:tcPr>
          <w:p w14:paraId="397950F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Net Margin</w:t>
            </w:r>
          </w:p>
        </w:tc>
        <w:tc>
          <w:tcPr>
            <w:tcW w:w="1460" w:type="dxa"/>
            <w:tcBorders>
              <w:top w:val="nil"/>
              <w:left w:val="nil"/>
              <w:bottom w:val="single" w:sz="4" w:space="0" w:color="auto"/>
              <w:right w:val="single" w:sz="4" w:space="0" w:color="auto"/>
            </w:tcBorders>
            <w:noWrap/>
            <w:vAlign w:val="bottom"/>
            <w:hideMark/>
          </w:tcPr>
          <w:p w14:paraId="7E2387D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9,93%</w:t>
            </w:r>
          </w:p>
        </w:tc>
        <w:tc>
          <w:tcPr>
            <w:tcW w:w="1900" w:type="dxa"/>
            <w:tcBorders>
              <w:top w:val="nil"/>
              <w:left w:val="nil"/>
              <w:bottom w:val="single" w:sz="4" w:space="0" w:color="auto"/>
              <w:right w:val="single" w:sz="4" w:space="0" w:color="auto"/>
            </w:tcBorders>
            <w:noWrap/>
            <w:vAlign w:val="bottom"/>
            <w:hideMark/>
          </w:tcPr>
          <w:p w14:paraId="341E3B5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12,10%</w:t>
            </w:r>
          </w:p>
        </w:tc>
        <w:tc>
          <w:tcPr>
            <w:tcW w:w="1560" w:type="dxa"/>
            <w:tcBorders>
              <w:top w:val="nil"/>
              <w:left w:val="nil"/>
              <w:bottom w:val="single" w:sz="4" w:space="0" w:color="auto"/>
              <w:right w:val="single" w:sz="4" w:space="0" w:color="auto"/>
            </w:tcBorders>
            <w:noWrap/>
            <w:vAlign w:val="bottom"/>
            <w:hideMark/>
          </w:tcPr>
          <w:p w14:paraId="06D726F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8,90%</w:t>
            </w:r>
          </w:p>
        </w:tc>
        <w:tc>
          <w:tcPr>
            <w:tcW w:w="3120" w:type="dxa"/>
            <w:tcBorders>
              <w:top w:val="nil"/>
              <w:left w:val="nil"/>
              <w:bottom w:val="single" w:sz="4" w:space="0" w:color="auto"/>
              <w:right w:val="single" w:sz="4" w:space="0" w:color="auto"/>
            </w:tcBorders>
            <w:noWrap/>
            <w:vAlign w:val="bottom"/>
            <w:hideMark/>
          </w:tcPr>
          <w:p w14:paraId="06FF7C1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Marriott above Hyatt</w:t>
            </w:r>
          </w:p>
        </w:tc>
      </w:tr>
      <w:tr w:rsidR="004A45B0" w:rsidRPr="004A45B0" w14:paraId="2E2F2B61" w14:textId="77777777" w:rsidTr="004A45B0">
        <w:trPr>
          <w:trHeight w:val="290"/>
        </w:trPr>
        <w:tc>
          <w:tcPr>
            <w:tcW w:w="1820" w:type="dxa"/>
            <w:tcBorders>
              <w:top w:val="nil"/>
              <w:left w:val="single" w:sz="4" w:space="0" w:color="auto"/>
              <w:bottom w:val="single" w:sz="4" w:space="0" w:color="auto"/>
              <w:right w:val="single" w:sz="4" w:space="0" w:color="auto"/>
            </w:tcBorders>
            <w:noWrap/>
            <w:vAlign w:val="bottom"/>
            <w:hideMark/>
          </w:tcPr>
          <w:p w14:paraId="03DB323A"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Current Ratio</w:t>
            </w:r>
          </w:p>
        </w:tc>
        <w:tc>
          <w:tcPr>
            <w:tcW w:w="1460" w:type="dxa"/>
            <w:tcBorders>
              <w:top w:val="nil"/>
              <w:left w:val="nil"/>
              <w:bottom w:val="single" w:sz="4" w:space="0" w:color="auto"/>
              <w:right w:val="single" w:sz="4" w:space="0" w:color="auto"/>
            </w:tcBorders>
            <w:noWrap/>
            <w:vAlign w:val="bottom"/>
            <w:hideMark/>
          </w:tcPr>
          <w:p w14:paraId="0B2289C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0,43</w:t>
            </w:r>
          </w:p>
        </w:tc>
        <w:tc>
          <w:tcPr>
            <w:tcW w:w="1900" w:type="dxa"/>
            <w:tcBorders>
              <w:top w:val="nil"/>
              <w:left w:val="nil"/>
              <w:bottom w:val="single" w:sz="4" w:space="0" w:color="auto"/>
              <w:right w:val="single" w:sz="4" w:space="0" w:color="auto"/>
            </w:tcBorders>
            <w:noWrap/>
            <w:vAlign w:val="bottom"/>
            <w:hideMark/>
          </w:tcPr>
          <w:p w14:paraId="470B6AC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0,61</w:t>
            </w:r>
          </w:p>
        </w:tc>
        <w:tc>
          <w:tcPr>
            <w:tcW w:w="1560" w:type="dxa"/>
            <w:tcBorders>
              <w:top w:val="nil"/>
              <w:left w:val="nil"/>
              <w:bottom w:val="single" w:sz="4" w:space="0" w:color="auto"/>
              <w:right w:val="single" w:sz="4" w:space="0" w:color="auto"/>
            </w:tcBorders>
            <w:noWrap/>
            <w:vAlign w:val="bottom"/>
            <w:hideMark/>
          </w:tcPr>
          <w:p w14:paraId="1C0D5BC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0,74</w:t>
            </w:r>
          </w:p>
        </w:tc>
        <w:tc>
          <w:tcPr>
            <w:tcW w:w="3120" w:type="dxa"/>
            <w:tcBorders>
              <w:top w:val="nil"/>
              <w:left w:val="nil"/>
              <w:bottom w:val="single" w:sz="4" w:space="0" w:color="auto"/>
              <w:right w:val="single" w:sz="4" w:space="0" w:color="auto"/>
            </w:tcBorders>
            <w:noWrap/>
            <w:vAlign w:val="bottom"/>
            <w:hideMark/>
          </w:tcPr>
          <w:p w14:paraId="4787575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Marriott lowest liquidity</w:t>
            </w:r>
          </w:p>
        </w:tc>
      </w:tr>
      <w:tr w:rsidR="004A45B0" w:rsidRPr="004A45B0" w14:paraId="256865DF" w14:textId="77777777" w:rsidTr="004A45B0">
        <w:trPr>
          <w:trHeight w:val="290"/>
        </w:trPr>
        <w:tc>
          <w:tcPr>
            <w:tcW w:w="1820" w:type="dxa"/>
            <w:tcBorders>
              <w:top w:val="nil"/>
              <w:left w:val="single" w:sz="4" w:space="0" w:color="auto"/>
              <w:bottom w:val="single" w:sz="4" w:space="0" w:color="auto"/>
              <w:right w:val="single" w:sz="4" w:space="0" w:color="auto"/>
            </w:tcBorders>
            <w:noWrap/>
            <w:vAlign w:val="bottom"/>
            <w:hideMark/>
          </w:tcPr>
          <w:p w14:paraId="62A0029A"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Asset Turnover</w:t>
            </w:r>
          </w:p>
        </w:tc>
        <w:tc>
          <w:tcPr>
            <w:tcW w:w="1460" w:type="dxa"/>
            <w:tcBorders>
              <w:top w:val="nil"/>
              <w:left w:val="nil"/>
              <w:bottom w:val="single" w:sz="4" w:space="0" w:color="auto"/>
              <w:right w:val="single" w:sz="4" w:space="0" w:color="auto"/>
            </w:tcBorders>
            <w:noWrap/>
            <w:vAlign w:val="bottom"/>
            <w:hideMark/>
          </w:tcPr>
          <w:p w14:paraId="2F90AA0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0,95</w:t>
            </w:r>
          </w:p>
        </w:tc>
        <w:tc>
          <w:tcPr>
            <w:tcW w:w="1900" w:type="dxa"/>
            <w:tcBorders>
              <w:top w:val="nil"/>
              <w:left w:val="nil"/>
              <w:bottom w:val="single" w:sz="4" w:space="0" w:color="auto"/>
              <w:right w:val="single" w:sz="4" w:space="0" w:color="auto"/>
            </w:tcBorders>
            <w:noWrap/>
            <w:vAlign w:val="bottom"/>
            <w:hideMark/>
          </w:tcPr>
          <w:p w14:paraId="5BD7D7C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0,72</w:t>
            </w:r>
          </w:p>
        </w:tc>
        <w:tc>
          <w:tcPr>
            <w:tcW w:w="1560" w:type="dxa"/>
            <w:tcBorders>
              <w:top w:val="nil"/>
              <w:left w:val="nil"/>
              <w:bottom w:val="single" w:sz="4" w:space="0" w:color="auto"/>
              <w:right w:val="single" w:sz="4" w:space="0" w:color="auto"/>
            </w:tcBorders>
            <w:noWrap/>
            <w:vAlign w:val="bottom"/>
            <w:hideMark/>
          </w:tcPr>
          <w:p w14:paraId="027F176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0,58</w:t>
            </w:r>
          </w:p>
        </w:tc>
        <w:tc>
          <w:tcPr>
            <w:tcW w:w="3120" w:type="dxa"/>
            <w:tcBorders>
              <w:top w:val="nil"/>
              <w:left w:val="nil"/>
              <w:bottom w:val="single" w:sz="4" w:space="0" w:color="auto"/>
              <w:right w:val="single" w:sz="4" w:space="0" w:color="auto"/>
            </w:tcBorders>
            <w:noWrap/>
            <w:vAlign w:val="bottom"/>
            <w:hideMark/>
          </w:tcPr>
          <w:p w14:paraId="60B1F09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Marriott most efficient</w:t>
            </w:r>
          </w:p>
        </w:tc>
      </w:tr>
      <w:tr w:rsidR="004A45B0" w:rsidRPr="004A45B0" w14:paraId="673A91BD" w14:textId="77777777" w:rsidTr="004A45B0">
        <w:trPr>
          <w:trHeight w:val="290"/>
        </w:trPr>
        <w:tc>
          <w:tcPr>
            <w:tcW w:w="1820" w:type="dxa"/>
            <w:tcBorders>
              <w:top w:val="nil"/>
              <w:left w:val="nil"/>
              <w:bottom w:val="nil"/>
              <w:right w:val="nil"/>
            </w:tcBorders>
            <w:noWrap/>
            <w:vAlign w:val="bottom"/>
            <w:hideMark/>
          </w:tcPr>
          <w:p w14:paraId="3118D44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p>
        </w:tc>
        <w:tc>
          <w:tcPr>
            <w:tcW w:w="1460" w:type="dxa"/>
            <w:tcBorders>
              <w:top w:val="nil"/>
              <w:left w:val="nil"/>
              <w:bottom w:val="nil"/>
              <w:right w:val="nil"/>
            </w:tcBorders>
            <w:noWrap/>
            <w:vAlign w:val="bottom"/>
            <w:hideMark/>
          </w:tcPr>
          <w:p w14:paraId="2094B7C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900" w:type="dxa"/>
            <w:tcBorders>
              <w:top w:val="nil"/>
              <w:left w:val="nil"/>
              <w:bottom w:val="nil"/>
              <w:right w:val="nil"/>
            </w:tcBorders>
            <w:noWrap/>
            <w:vAlign w:val="bottom"/>
            <w:hideMark/>
          </w:tcPr>
          <w:p w14:paraId="045C380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560" w:type="dxa"/>
            <w:tcBorders>
              <w:top w:val="nil"/>
              <w:left w:val="nil"/>
              <w:bottom w:val="nil"/>
              <w:right w:val="nil"/>
            </w:tcBorders>
            <w:noWrap/>
            <w:vAlign w:val="bottom"/>
            <w:hideMark/>
          </w:tcPr>
          <w:p w14:paraId="60DDFE0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3120" w:type="dxa"/>
            <w:tcBorders>
              <w:top w:val="nil"/>
              <w:left w:val="nil"/>
              <w:bottom w:val="nil"/>
              <w:right w:val="nil"/>
            </w:tcBorders>
            <w:noWrap/>
            <w:vAlign w:val="bottom"/>
            <w:hideMark/>
          </w:tcPr>
          <w:p w14:paraId="3F66D65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2CCD9BB9" w14:textId="77777777" w:rsidTr="004A45B0">
        <w:trPr>
          <w:trHeight w:val="290"/>
        </w:trPr>
        <w:tc>
          <w:tcPr>
            <w:tcW w:w="1820" w:type="dxa"/>
            <w:tcBorders>
              <w:top w:val="nil"/>
              <w:left w:val="nil"/>
              <w:bottom w:val="nil"/>
              <w:right w:val="nil"/>
            </w:tcBorders>
            <w:noWrap/>
            <w:vAlign w:val="bottom"/>
            <w:hideMark/>
          </w:tcPr>
          <w:p w14:paraId="4CF5E55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460" w:type="dxa"/>
            <w:tcBorders>
              <w:top w:val="nil"/>
              <w:left w:val="nil"/>
              <w:bottom w:val="nil"/>
              <w:right w:val="nil"/>
            </w:tcBorders>
            <w:noWrap/>
            <w:vAlign w:val="bottom"/>
            <w:hideMark/>
          </w:tcPr>
          <w:p w14:paraId="106C00B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900" w:type="dxa"/>
            <w:tcBorders>
              <w:top w:val="nil"/>
              <w:left w:val="nil"/>
              <w:bottom w:val="nil"/>
              <w:right w:val="nil"/>
            </w:tcBorders>
            <w:noWrap/>
            <w:vAlign w:val="bottom"/>
            <w:hideMark/>
          </w:tcPr>
          <w:p w14:paraId="1A652D1A"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560" w:type="dxa"/>
            <w:tcBorders>
              <w:top w:val="nil"/>
              <w:left w:val="nil"/>
              <w:bottom w:val="nil"/>
              <w:right w:val="nil"/>
            </w:tcBorders>
            <w:noWrap/>
            <w:vAlign w:val="bottom"/>
            <w:hideMark/>
          </w:tcPr>
          <w:p w14:paraId="367FFB2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3120" w:type="dxa"/>
            <w:tcBorders>
              <w:top w:val="nil"/>
              <w:left w:val="nil"/>
              <w:bottom w:val="nil"/>
              <w:right w:val="nil"/>
            </w:tcBorders>
            <w:noWrap/>
            <w:vAlign w:val="bottom"/>
            <w:hideMark/>
          </w:tcPr>
          <w:p w14:paraId="66D24C7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B0261FB" w14:textId="77777777" w:rsidTr="004A45B0">
        <w:trPr>
          <w:trHeight w:val="290"/>
        </w:trPr>
        <w:tc>
          <w:tcPr>
            <w:tcW w:w="6740" w:type="dxa"/>
            <w:gridSpan w:val="4"/>
            <w:tcBorders>
              <w:top w:val="nil"/>
              <w:left w:val="nil"/>
              <w:bottom w:val="nil"/>
              <w:right w:val="nil"/>
            </w:tcBorders>
            <w:shd w:val="clear" w:color="000000" w:fill="9BC2E6"/>
            <w:noWrap/>
            <w:vAlign w:val="bottom"/>
            <w:hideMark/>
          </w:tcPr>
          <w:p w14:paraId="66DBDE26" w14:textId="60F3156B"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Table 2</w:t>
            </w:r>
            <w:r>
              <w:rPr>
                <w:rFonts w:ascii="Calibri" w:eastAsia="Times New Roman" w:hAnsi="Calibri" w:cs="Calibri"/>
                <w:color w:val="000000"/>
                <w:sz w:val="22"/>
                <w:szCs w:val="22"/>
                <w:lang w:val="en-US" w:eastAsia="en-US"/>
              </w:rPr>
              <w:t>E</w:t>
            </w:r>
            <w:r w:rsidRPr="004A45B0">
              <w:rPr>
                <w:rFonts w:ascii="Calibri" w:eastAsia="Times New Roman" w:hAnsi="Calibri" w:cs="Calibri"/>
                <w:color w:val="000000"/>
                <w:sz w:val="22"/>
                <w:szCs w:val="22"/>
                <w:lang w:val="en-US" w:eastAsia="en-US"/>
              </w:rPr>
              <w:t xml:space="preserve"> – Investment and Cash Flow Benchmark Comparison (2025)</w:t>
            </w:r>
          </w:p>
        </w:tc>
        <w:tc>
          <w:tcPr>
            <w:tcW w:w="3120" w:type="dxa"/>
            <w:tcBorders>
              <w:top w:val="nil"/>
              <w:left w:val="nil"/>
              <w:bottom w:val="nil"/>
              <w:right w:val="nil"/>
            </w:tcBorders>
            <w:noWrap/>
            <w:vAlign w:val="bottom"/>
            <w:hideMark/>
          </w:tcPr>
          <w:p w14:paraId="1BE63EC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p>
        </w:tc>
      </w:tr>
      <w:tr w:rsidR="004A45B0" w:rsidRPr="004A45B0" w14:paraId="3C5B607C" w14:textId="77777777" w:rsidTr="004A45B0">
        <w:trPr>
          <w:trHeight w:val="580"/>
        </w:trPr>
        <w:tc>
          <w:tcPr>
            <w:tcW w:w="1820"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575BB4A"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Additional Ratio (2025)</w:t>
            </w:r>
          </w:p>
        </w:tc>
        <w:tc>
          <w:tcPr>
            <w:tcW w:w="1460" w:type="dxa"/>
            <w:tcBorders>
              <w:top w:val="single" w:sz="4" w:space="0" w:color="auto"/>
              <w:left w:val="nil"/>
              <w:bottom w:val="single" w:sz="4" w:space="0" w:color="auto"/>
              <w:right w:val="single" w:sz="4" w:space="0" w:color="auto"/>
            </w:tcBorders>
            <w:shd w:val="clear" w:color="000000" w:fill="A9D08E"/>
            <w:vAlign w:val="center"/>
            <w:hideMark/>
          </w:tcPr>
          <w:p w14:paraId="209EEF4F"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Marriott</w:t>
            </w:r>
          </w:p>
        </w:tc>
        <w:tc>
          <w:tcPr>
            <w:tcW w:w="1900" w:type="dxa"/>
            <w:tcBorders>
              <w:top w:val="single" w:sz="4" w:space="0" w:color="auto"/>
              <w:left w:val="nil"/>
              <w:bottom w:val="single" w:sz="4" w:space="0" w:color="auto"/>
              <w:right w:val="single" w:sz="4" w:space="0" w:color="auto"/>
            </w:tcBorders>
            <w:shd w:val="clear" w:color="000000" w:fill="A9D08E"/>
            <w:vAlign w:val="center"/>
            <w:hideMark/>
          </w:tcPr>
          <w:p w14:paraId="0C4F72FC"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Hilton</w:t>
            </w:r>
          </w:p>
        </w:tc>
        <w:tc>
          <w:tcPr>
            <w:tcW w:w="1560" w:type="dxa"/>
            <w:tcBorders>
              <w:top w:val="single" w:sz="4" w:space="0" w:color="auto"/>
              <w:left w:val="nil"/>
              <w:bottom w:val="single" w:sz="4" w:space="0" w:color="auto"/>
              <w:right w:val="single" w:sz="4" w:space="0" w:color="auto"/>
            </w:tcBorders>
            <w:shd w:val="clear" w:color="000000" w:fill="A9D08E"/>
            <w:vAlign w:val="center"/>
            <w:hideMark/>
          </w:tcPr>
          <w:p w14:paraId="5EFAD362"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Hyatt</w:t>
            </w:r>
          </w:p>
        </w:tc>
        <w:tc>
          <w:tcPr>
            <w:tcW w:w="3120" w:type="dxa"/>
            <w:tcBorders>
              <w:top w:val="single" w:sz="4" w:space="0" w:color="auto"/>
              <w:left w:val="nil"/>
              <w:bottom w:val="single" w:sz="4" w:space="0" w:color="auto"/>
              <w:right w:val="single" w:sz="4" w:space="0" w:color="auto"/>
            </w:tcBorders>
            <w:shd w:val="clear" w:color="000000" w:fill="A9D08E"/>
            <w:vAlign w:val="center"/>
            <w:hideMark/>
          </w:tcPr>
          <w:p w14:paraId="578C4C63"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Benchmark Analysis</w:t>
            </w:r>
          </w:p>
        </w:tc>
      </w:tr>
      <w:tr w:rsidR="004A45B0" w:rsidRPr="004A45B0" w14:paraId="7AB9FA24" w14:textId="77777777" w:rsidTr="004A45B0">
        <w:trPr>
          <w:trHeight w:val="1740"/>
        </w:trPr>
        <w:tc>
          <w:tcPr>
            <w:tcW w:w="1820" w:type="dxa"/>
            <w:tcBorders>
              <w:top w:val="nil"/>
              <w:left w:val="single" w:sz="4" w:space="0" w:color="auto"/>
              <w:bottom w:val="single" w:sz="4" w:space="0" w:color="auto"/>
              <w:right w:val="single" w:sz="4" w:space="0" w:color="auto"/>
            </w:tcBorders>
            <w:vAlign w:val="center"/>
            <w:hideMark/>
          </w:tcPr>
          <w:p w14:paraId="18914BD1"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ROE</w:t>
            </w:r>
          </w:p>
        </w:tc>
        <w:tc>
          <w:tcPr>
            <w:tcW w:w="1460" w:type="dxa"/>
            <w:tcBorders>
              <w:top w:val="nil"/>
              <w:left w:val="nil"/>
              <w:bottom w:val="single" w:sz="4" w:space="0" w:color="auto"/>
              <w:right w:val="single" w:sz="4" w:space="0" w:color="auto"/>
            </w:tcBorders>
            <w:vAlign w:val="center"/>
            <w:hideMark/>
          </w:tcPr>
          <w:p w14:paraId="19165171"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NM</w:t>
            </w:r>
          </w:p>
        </w:tc>
        <w:tc>
          <w:tcPr>
            <w:tcW w:w="1900" w:type="dxa"/>
            <w:tcBorders>
              <w:top w:val="nil"/>
              <w:left w:val="nil"/>
              <w:bottom w:val="single" w:sz="4" w:space="0" w:color="auto"/>
              <w:right w:val="single" w:sz="4" w:space="0" w:color="auto"/>
            </w:tcBorders>
            <w:vAlign w:val="center"/>
            <w:hideMark/>
          </w:tcPr>
          <w:p w14:paraId="083F1E97"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NM</w:t>
            </w:r>
          </w:p>
        </w:tc>
        <w:tc>
          <w:tcPr>
            <w:tcW w:w="1560" w:type="dxa"/>
            <w:tcBorders>
              <w:top w:val="nil"/>
              <w:left w:val="nil"/>
              <w:bottom w:val="single" w:sz="4" w:space="0" w:color="auto"/>
              <w:right w:val="single" w:sz="4" w:space="0" w:color="auto"/>
            </w:tcBorders>
            <w:vAlign w:val="center"/>
            <w:hideMark/>
          </w:tcPr>
          <w:p w14:paraId="788545B8"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5.8%</w:t>
            </w:r>
          </w:p>
        </w:tc>
        <w:tc>
          <w:tcPr>
            <w:tcW w:w="3120" w:type="dxa"/>
            <w:tcBorders>
              <w:top w:val="nil"/>
              <w:left w:val="nil"/>
              <w:bottom w:val="single" w:sz="4" w:space="0" w:color="auto"/>
              <w:right w:val="single" w:sz="4" w:space="0" w:color="auto"/>
            </w:tcBorders>
            <w:vAlign w:val="center"/>
            <w:hideMark/>
          </w:tcPr>
          <w:p w14:paraId="2BD08CE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 xml:space="preserve">Marriott and Hilton report shareholders' deficits due to significant share repurchases, making ROE not meaningful. Hyatt reports positive equity and a positive ROE. </w:t>
            </w:r>
          </w:p>
        </w:tc>
      </w:tr>
      <w:tr w:rsidR="004A45B0" w:rsidRPr="004A45B0" w14:paraId="302CCC33" w14:textId="77777777" w:rsidTr="004A45B0">
        <w:trPr>
          <w:trHeight w:val="1450"/>
        </w:trPr>
        <w:tc>
          <w:tcPr>
            <w:tcW w:w="1820" w:type="dxa"/>
            <w:tcBorders>
              <w:top w:val="nil"/>
              <w:left w:val="single" w:sz="4" w:space="0" w:color="auto"/>
              <w:bottom w:val="single" w:sz="4" w:space="0" w:color="auto"/>
              <w:right w:val="single" w:sz="4" w:space="0" w:color="auto"/>
            </w:tcBorders>
            <w:vAlign w:val="center"/>
            <w:hideMark/>
          </w:tcPr>
          <w:p w14:paraId="4BBE25D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ROA (%)</w:t>
            </w:r>
          </w:p>
        </w:tc>
        <w:tc>
          <w:tcPr>
            <w:tcW w:w="1460" w:type="dxa"/>
            <w:tcBorders>
              <w:top w:val="nil"/>
              <w:left w:val="nil"/>
              <w:bottom w:val="single" w:sz="4" w:space="0" w:color="auto"/>
              <w:right w:val="single" w:sz="4" w:space="0" w:color="auto"/>
            </w:tcBorders>
            <w:vAlign w:val="center"/>
            <w:hideMark/>
          </w:tcPr>
          <w:p w14:paraId="58BDD51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9.4%</w:t>
            </w:r>
          </w:p>
        </w:tc>
        <w:tc>
          <w:tcPr>
            <w:tcW w:w="1900" w:type="dxa"/>
            <w:tcBorders>
              <w:top w:val="nil"/>
              <w:left w:val="nil"/>
              <w:bottom w:val="single" w:sz="4" w:space="0" w:color="auto"/>
              <w:right w:val="single" w:sz="4" w:space="0" w:color="auto"/>
            </w:tcBorders>
            <w:vAlign w:val="center"/>
            <w:hideMark/>
          </w:tcPr>
          <w:p w14:paraId="05A57BA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8.5%</w:t>
            </w:r>
          </w:p>
        </w:tc>
        <w:tc>
          <w:tcPr>
            <w:tcW w:w="1560" w:type="dxa"/>
            <w:tcBorders>
              <w:top w:val="nil"/>
              <w:left w:val="nil"/>
              <w:bottom w:val="single" w:sz="4" w:space="0" w:color="auto"/>
              <w:right w:val="single" w:sz="4" w:space="0" w:color="auto"/>
            </w:tcBorders>
            <w:vAlign w:val="center"/>
            <w:hideMark/>
          </w:tcPr>
          <w:p w14:paraId="3884648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4.2%</w:t>
            </w:r>
          </w:p>
        </w:tc>
        <w:tc>
          <w:tcPr>
            <w:tcW w:w="3120" w:type="dxa"/>
            <w:tcBorders>
              <w:top w:val="nil"/>
              <w:left w:val="nil"/>
              <w:bottom w:val="single" w:sz="4" w:space="0" w:color="auto"/>
              <w:right w:val="single" w:sz="4" w:space="0" w:color="auto"/>
            </w:tcBorders>
            <w:vAlign w:val="center"/>
            <w:hideMark/>
          </w:tcPr>
          <w:p w14:paraId="4A1203E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 xml:space="preserve">Marriott achieved the highest return on assets, indicating it generated more profit from each dollar invested in assets than Hilton or Hyatt. </w:t>
            </w:r>
          </w:p>
        </w:tc>
      </w:tr>
      <w:tr w:rsidR="004A45B0" w:rsidRPr="004A45B0" w14:paraId="156C17D9" w14:textId="77777777" w:rsidTr="004A45B0">
        <w:trPr>
          <w:trHeight w:val="1450"/>
        </w:trPr>
        <w:tc>
          <w:tcPr>
            <w:tcW w:w="1820" w:type="dxa"/>
            <w:tcBorders>
              <w:top w:val="nil"/>
              <w:left w:val="single" w:sz="4" w:space="0" w:color="auto"/>
              <w:bottom w:val="single" w:sz="4" w:space="0" w:color="auto"/>
              <w:right w:val="single" w:sz="4" w:space="0" w:color="auto"/>
            </w:tcBorders>
            <w:vAlign w:val="center"/>
            <w:hideMark/>
          </w:tcPr>
          <w:p w14:paraId="41A2901A"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P/E Ratio</w:t>
            </w:r>
          </w:p>
        </w:tc>
        <w:tc>
          <w:tcPr>
            <w:tcW w:w="1460" w:type="dxa"/>
            <w:tcBorders>
              <w:top w:val="nil"/>
              <w:left w:val="nil"/>
              <w:bottom w:val="single" w:sz="4" w:space="0" w:color="auto"/>
              <w:right w:val="single" w:sz="4" w:space="0" w:color="auto"/>
            </w:tcBorders>
            <w:vAlign w:val="center"/>
            <w:hideMark/>
          </w:tcPr>
          <w:p w14:paraId="147F0B8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29,1</w:t>
            </w:r>
          </w:p>
        </w:tc>
        <w:tc>
          <w:tcPr>
            <w:tcW w:w="1900" w:type="dxa"/>
            <w:tcBorders>
              <w:top w:val="nil"/>
              <w:left w:val="nil"/>
              <w:bottom w:val="single" w:sz="4" w:space="0" w:color="auto"/>
              <w:right w:val="single" w:sz="4" w:space="0" w:color="auto"/>
            </w:tcBorders>
            <w:vAlign w:val="center"/>
            <w:hideMark/>
          </w:tcPr>
          <w:p w14:paraId="68EA7BA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35,1</w:t>
            </w:r>
          </w:p>
        </w:tc>
        <w:tc>
          <w:tcPr>
            <w:tcW w:w="1560" w:type="dxa"/>
            <w:tcBorders>
              <w:top w:val="nil"/>
              <w:left w:val="nil"/>
              <w:bottom w:val="single" w:sz="4" w:space="0" w:color="auto"/>
              <w:right w:val="single" w:sz="4" w:space="0" w:color="auto"/>
            </w:tcBorders>
            <w:vAlign w:val="center"/>
            <w:hideMark/>
          </w:tcPr>
          <w:p w14:paraId="0696C3A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31,8</w:t>
            </w:r>
          </w:p>
        </w:tc>
        <w:tc>
          <w:tcPr>
            <w:tcW w:w="3120" w:type="dxa"/>
            <w:tcBorders>
              <w:top w:val="nil"/>
              <w:left w:val="nil"/>
              <w:bottom w:val="single" w:sz="4" w:space="0" w:color="auto"/>
              <w:right w:val="single" w:sz="4" w:space="0" w:color="auto"/>
            </w:tcBorders>
            <w:vAlign w:val="center"/>
            <w:hideMark/>
          </w:tcPr>
          <w:p w14:paraId="60DCE5E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 xml:space="preserve">Marriott's valuation is lower than Hilton's but slightly below Hyatt's, suggesting investors expect continued growth while valuing Hilton more highly. </w:t>
            </w:r>
          </w:p>
        </w:tc>
      </w:tr>
      <w:tr w:rsidR="004A45B0" w:rsidRPr="004A45B0" w14:paraId="6C2632B6" w14:textId="77777777" w:rsidTr="004A45B0">
        <w:trPr>
          <w:trHeight w:val="1740"/>
        </w:trPr>
        <w:tc>
          <w:tcPr>
            <w:tcW w:w="1820" w:type="dxa"/>
            <w:tcBorders>
              <w:top w:val="nil"/>
              <w:left w:val="single" w:sz="4" w:space="0" w:color="auto"/>
              <w:bottom w:val="single" w:sz="4" w:space="0" w:color="auto"/>
              <w:right w:val="single" w:sz="4" w:space="0" w:color="auto"/>
            </w:tcBorders>
            <w:vAlign w:val="center"/>
            <w:hideMark/>
          </w:tcPr>
          <w:p w14:paraId="6EDBA64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Operating Cash Flow Ratio</w:t>
            </w:r>
          </w:p>
        </w:tc>
        <w:tc>
          <w:tcPr>
            <w:tcW w:w="1460" w:type="dxa"/>
            <w:tcBorders>
              <w:top w:val="nil"/>
              <w:left w:val="nil"/>
              <w:bottom w:val="single" w:sz="4" w:space="0" w:color="auto"/>
              <w:right w:val="single" w:sz="4" w:space="0" w:color="auto"/>
            </w:tcBorders>
            <w:vAlign w:val="center"/>
            <w:hideMark/>
          </w:tcPr>
          <w:p w14:paraId="7B864EA6" w14:textId="6F491094"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w:t>
            </w:r>
            <w:r w:rsidR="002D3181">
              <w:rPr>
                <w:rFonts w:ascii="Calibri" w:eastAsia="Times New Roman" w:hAnsi="Calibri" w:cs="Calibri"/>
                <w:color w:val="000000"/>
                <w:sz w:val="22"/>
                <w:szCs w:val="22"/>
                <w:lang w:val="en-US" w:eastAsia="en-US"/>
              </w:rPr>
              <w:t>38</w:t>
            </w:r>
          </w:p>
        </w:tc>
        <w:tc>
          <w:tcPr>
            <w:tcW w:w="1900" w:type="dxa"/>
            <w:tcBorders>
              <w:top w:val="nil"/>
              <w:left w:val="nil"/>
              <w:bottom w:val="single" w:sz="4" w:space="0" w:color="auto"/>
              <w:right w:val="single" w:sz="4" w:space="0" w:color="auto"/>
            </w:tcBorders>
            <w:vAlign w:val="center"/>
            <w:hideMark/>
          </w:tcPr>
          <w:p w14:paraId="6A842F5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0.49</w:t>
            </w:r>
          </w:p>
        </w:tc>
        <w:tc>
          <w:tcPr>
            <w:tcW w:w="1560" w:type="dxa"/>
            <w:tcBorders>
              <w:top w:val="nil"/>
              <w:left w:val="nil"/>
              <w:bottom w:val="single" w:sz="4" w:space="0" w:color="auto"/>
              <w:right w:val="single" w:sz="4" w:space="0" w:color="auto"/>
            </w:tcBorders>
            <w:vAlign w:val="center"/>
            <w:hideMark/>
          </w:tcPr>
          <w:p w14:paraId="6C17F76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0.44</w:t>
            </w:r>
          </w:p>
        </w:tc>
        <w:tc>
          <w:tcPr>
            <w:tcW w:w="3120" w:type="dxa"/>
            <w:tcBorders>
              <w:top w:val="nil"/>
              <w:left w:val="nil"/>
              <w:bottom w:val="single" w:sz="4" w:space="0" w:color="auto"/>
              <w:right w:val="single" w:sz="4" w:space="0" w:color="auto"/>
            </w:tcBorders>
            <w:vAlign w:val="center"/>
            <w:hideMark/>
          </w:tcPr>
          <w:p w14:paraId="6E7A7D4F" w14:textId="1B570EF2" w:rsidR="004A45B0" w:rsidRPr="002D3181" w:rsidRDefault="002D3181" w:rsidP="002D3181">
            <w:pPr>
              <w:rPr>
                <w:rFonts w:ascii="Calibri" w:eastAsia="Times New Roman" w:hAnsi="Calibri" w:cs="Calibri"/>
                <w:color w:val="000000"/>
                <w:sz w:val="22"/>
                <w:szCs w:val="22"/>
                <w:lang w:eastAsia="en-US"/>
              </w:rPr>
            </w:pPr>
            <w:r>
              <w:rPr>
                <w:rFonts w:ascii="Calibri" w:hAnsi="Calibri" w:cs="Calibri"/>
                <w:color w:val="000000"/>
                <w:sz w:val="22"/>
                <w:szCs w:val="22"/>
              </w:rPr>
              <w:t>Marriott generated an operating cash flow ratio of 0.38, below Hilton and Hyatt in this benchmark, indicating weaker operating cash coverage of current liabilities in 2025.</w:t>
            </w:r>
          </w:p>
        </w:tc>
      </w:tr>
      <w:tr w:rsidR="004A45B0" w:rsidRPr="004A45B0" w14:paraId="4743D4C4" w14:textId="77777777" w:rsidTr="004A45B0">
        <w:trPr>
          <w:trHeight w:val="1740"/>
        </w:trPr>
        <w:tc>
          <w:tcPr>
            <w:tcW w:w="1820" w:type="dxa"/>
            <w:tcBorders>
              <w:top w:val="nil"/>
              <w:left w:val="single" w:sz="4" w:space="0" w:color="auto"/>
              <w:bottom w:val="single" w:sz="4" w:space="0" w:color="auto"/>
              <w:right w:val="single" w:sz="4" w:space="0" w:color="auto"/>
            </w:tcBorders>
            <w:vAlign w:val="center"/>
            <w:hideMark/>
          </w:tcPr>
          <w:p w14:paraId="1074696E"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Free Cash Flow Margin (%)</w:t>
            </w:r>
          </w:p>
        </w:tc>
        <w:tc>
          <w:tcPr>
            <w:tcW w:w="1460" w:type="dxa"/>
            <w:tcBorders>
              <w:top w:val="nil"/>
              <w:left w:val="nil"/>
              <w:bottom w:val="single" w:sz="4" w:space="0" w:color="auto"/>
              <w:right w:val="single" w:sz="4" w:space="0" w:color="auto"/>
            </w:tcBorders>
            <w:vAlign w:val="center"/>
            <w:hideMark/>
          </w:tcPr>
          <w:p w14:paraId="5CFD576F"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10.0%</w:t>
            </w:r>
          </w:p>
        </w:tc>
        <w:tc>
          <w:tcPr>
            <w:tcW w:w="1900" w:type="dxa"/>
            <w:tcBorders>
              <w:top w:val="nil"/>
              <w:left w:val="nil"/>
              <w:bottom w:val="single" w:sz="4" w:space="0" w:color="auto"/>
              <w:right w:val="single" w:sz="4" w:space="0" w:color="auto"/>
            </w:tcBorders>
            <w:vAlign w:val="center"/>
            <w:hideMark/>
          </w:tcPr>
          <w:p w14:paraId="7E10192F"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8.6%</w:t>
            </w:r>
          </w:p>
        </w:tc>
        <w:tc>
          <w:tcPr>
            <w:tcW w:w="1560" w:type="dxa"/>
            <w:tcBorders>
              <w:top w:val="nil"/>
              <w:left w:val="nil"/>
              <w:bottom w:val="single" w:sz="4" w:space="0" w:color="auto"/>
              <w:right w:val="single" w:sz="4" w:space="0" w:color="auto"/>
            </w:tcBorders>
            <w:vAlign w:val="center"/>
            <w:hideMark/>
          </w:tcPr>
          <w:p w14:paraId="4AA3147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7.8%</w:t>
            </w:r>
          </w:p>
        </w:tc>
        <w:tc>
          <w:tcPr>
            <w:tcW w:w="3120" w:type="dxa"/>
            <w:tcBorders>
              <w:top w:val="nil"/>
              <w:left w:val="nil"/>
              <w:bottom w:val="single" w:sz="4" w:space="0" w:color="auto"/>
              <w:right w:val="single" w:sz="4" w:space="0" w:color="auto"/>
            </w:tcBorders>
            <w:vAlign w:val="center"/>
            <w:hideMark/>
          </w:tcPr>
          <w:p w14:paraId="6D53E9F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Marriott generated the highest proportion of free cash flow from revenue, providing greater financial flexibility for dividends, share buybacks and future investment.</w:t>
            </w:r>
          </w:p>
        </w:tc>
      </w:tr>
    </w:tbl>
    <w:p w14:paraId="0CD2AA53" w14:textId="77777777" w:rsidR="004A45B0" w:rsidRDefault="004A45B0" w:rsidP="00B9519C">
      <w:pPr>
        <w:rPr>
          <w:b/>
          <w:bCs/>
          <w:lang w:val="en-US"/>
        </w:rPr>
      </w:pPr>
    </w:p>
    <w:p w14:paraId="1BCFCC43" w14:textId="77777777" w:rsidR="004A45B0" w:rsidRPr="00B9519C" w:rsidRDefault="004A45B0" w:rsidP="00B9519C">
      <w:pPr>
        <w:rPr>
          <w:lang w:val="en-US"/>
        </w:rPr>
      </w:pPr>
    </w:p>
    <w:p w14:paraId="66F5168A" w14:textId="77777777" w:rsidR="00B9519C" w:rsidRPr="00B9519C" w:rsidRDefault="00B9519C" w:rsidP="00B9519C">
      <w:pPr>
        <w:rPr>
          <w:lang w:val="en-US"/>
        </w:rPr>
      </w:pPr>
      <w:r w:rsidRPr="00B9519C">
        <w:rPr>
          <w:b/>
          <w:bCs/>
          <w:lang w:val="en-US"/>
        </w:rPr>
        <w:t>Appendix F – Cash Conversion Cycle (CCC) Analysis</w:t>
      </w:r>
    </w:p>
    <w:p w14:paraId="6E07BFB8" w14:textId="77777777" w:rsidR="00B9519C" w:rsidRPr="00AA15B1" w:rsidRDefault="00B9519C" w:rsidP="00AA15B1">
      <w:pPr>
        <w:rPr>
          <w:lang w:val="en-US"/>
        </w:rPr>
      </w:pPr>
    </w:p>
    <w:tbl>
      <w:tblPr>
        <w:tblW w:w="10180" w:type="dxa"/>
        <w:tblLook w:val="04A0" w:firstRow="1" w:lastRow="0" w:firstColumn="1" w:lastColumn="0" w:noHBand="0" w:noVBand="1"/>
      </w:tblPr>
      <w:tblGrid>
        <w:gridCol w:w="2440"/>
        <w:gridCol w:w="1940"/>
        <w:gridCol w:w="1320"/>
        <w:gridCol w:w="1500"/>
        <w:gridCol w:w="1500"/>
        <w:gridCol w:w="1480"/>
      </w:tblGrid>
      <w:tr w:rsidR="004A45B0" w:rsidRPr="004A45B0" w14:paraId="4DDBBC30" w14:textId="77777777" w:rsidTr="004A45B0">
        <w:trPr>
          <w:trHeight w:val="290"/>
        </w:trPr>
        <w:tc>
          <w:tcPr>
            <w:tcW w:w="2440" w:type="dxa"/>
            <w:tcBorders>
              <w:top w:val="nil"/>
              <w:left w:val="nil"/>
              <w:bottom w:val="nil"/>
              <w:right w:val="nil"/>
            </w:tcBorders>
            <w:noWrap/>
            <w:vAlign w:val="bottom"/>
            <w:hideMark/>
          </w:tcPr>
          <w:p w14:paraId="70778CDA" w14:textId="77777777" w:rsidR="004A45B0" w:rsidRPr="004A45B0" w:rsidRDefault="004A45B0" w:rsidP="004A45B0">
            <w:pPr>
              <w:spacing w:after="0" w:line="240" w:lineRule="auto"/>
              <w:rPr>
                <w:rFonts w:ascii="Times New Roman" w:eastAsia="Times New Roman" w:hAnsi="Times New Roman" w:cs="Times New Roman"/>
                <w:lang w:val="en-US" w:eastAsia="en-US"/>
              </w:rPr>
            </w:pPr>
          </w:p>
        </w:tc>
        <w:tc>
          <w:tcPr>
            <w:tcW w:w="1940" w:type="dxa"/>
            <w:tcBorders>
              <w:top w:val="nil"/>
              <w:left w:val="nil"/>
              <w:bottom w:val="nil"/>
              <w:right w:val="nil"/>
            </w:tcBorders>
            <w:noWrap/>
            <w:vAlign w:val="bottom"/>
            <w:hideMark/>
          </w:tcPr>
          <w:p w14:paraId="35638BE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320" w:type="dxa"/>
            <w:tcBorders>
              <w:top w:val="nil"/>
              <w:left w:val="nil"/>
              <w:bottom w:val="nil"/>
              <w:right w:val="nil"/>
            </w:tcBorders>
            <w:noWrap/>
            <w:vAlign w:val="bottom"/>
            <w:hideMark/>
          </w:tcPr>
          <w:p w14:paraId="46FA9E0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500" w:type="dxa"/>
            <w:tcBorders>
              <w:top w:val="nil"/>
              <w:left w:val="nil"/>
              <w:bottom w:val="nil"/>
              <w:right w:val="nil"/>
            </w:tcBorders>
            <w:noWrap/>
            <w:vAlign w:val="bottom"/>
            <w:hideMark/>
          </w:tcPr>
          <w:p w14:paraId="178DDB4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500" w:type="dxa"/>
            <w:tcBorders>
              <w:top w:val="nil"/>
              <w:left w:val="nil"/>
              <w:bottom w:val="nil"/>
              <w:right w:val="nil"/>
            </w:tcBorders>
            <w:noWrap/>
            <w:vAlign w:val="bottom"/>
            <w:hideMark/>
          </w:tcPr>
          <w:p w14:paraId="3821C6A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480" w:type="dxa"/>
            <w:tcBorders>
              <w:top w:val="nil"/>
              <w:left w:val="nil"/>
              <w:bottom w:val="nil"/>
              <w:right w:val="nil"/>
            </w:tcBorders>
            <w:noWrap/>
            <w:vAlign w:val="bottom"/>
            <w:hideMark/>
          </w:tcPr>
          <w:p w14:paraId="02CEAD5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6358029" w14:textId="77777777" w:rsidTr="004A45B0">
        <w:trPr>
          <w:trHeight w:val="290"/>
        </w:trPr>
        <w:tc>
          <w:tcPr>
            <w:tcW w:w="2440"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01CF6D63"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Calculation</w:t>
            </w:r>
          </w:p>
        </w:tc>
        <w:tc>
          <w:tcPr>
            <w:tcW w:w="1940" w:type="dxa"/>
            <w:tcBorders>
              <w:top w:val="single" w:sz="4" w:space="0" w:color="auto"/>
              <w:left w:val="nil"/>
              <w:bottom w:val="single" w:sz="4" w:space="0" w:color="auto"/>
              <w:right w:val="single" w:sz="4" w:space="0" w:color="auto"/>
            </w:tcBorders>
            <w:shd w:val="clear" w:color="000000" w:fill="A9D08E"/>
            <w:vAlign w:val="center"/>
            <w:hideMark/>
          </w:tcPr>
          <w:p w14:paraId="0DA42152"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2025</w:t>
            </w:r>
          </w:p>
        </w:tc>
        <w:tc>
          <w:tcPr>
            <w:tcW w:w="1320" w:type="dxa"/>
            <w:tcBorders>
              <w:top w:val="single" w:sz="4" w:space="0" w:color="auto"/>
              <w:left w:val="nil"/>
              <w:bottom w:val="single" w:sz="4" w:space="0" w:color="auto"/>
              <w:right w:val="single" w:sz="4" w:space="0" w:color="auto"/>
            </w:tcBorders>
            <w:shd w:val="clear" w:color="000000" w:fill="A9D08E"/>
            <w:vAlign w:val="center"/>
            <w:hideMark/>
          </w:tcPr>
          <w:p w14:paraId="6C9EFCAA"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2024</w:t>
            </w:r>
          </w:p>
        </w:tc>
        <w:tc>
          <w:tcPr>
            <w:tcW w:w="1500" w:type="dxa"/>
            <w:tcBorders>
              <w:top w:val="single" w:sz="4" w:space="0" w:color="auto"/>
              <w:left w:val="nil"/>
              <w:bottom w:val="single" w:sz="4" w:space="0" w:color="auto"/>
              <w:right w:val="single" w:sz="4" w:space="0" w:color="auto"/>
            </w:tcBorders>
            <w:shd w:val="clear" w:color="000000" w:fill="A9D08E"/>
            <w:vAlign w:val="center"/>
            <w:hideMark/>
          </w:tcPr>
          <w:p w14:paraId="2A4FE73E"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2023</w:t>
            </w:r>
          </w:p>
        </w:tc>
        <w:tc>
          <w:tcPr>
            <w:tcW w:w="1500" w:type="dxa"/>
            <w:tcBorders>
              <w:top w:val="single" w:sz="4" w:space="0" w:color="auto"/>
              <w:left w:val="nil"/>
              <w:bottom w:val="single" w:sz="4" w:space="0" w:color="auto"/>
              <w:right w:val="single" w:sz="4" w:space="0" w:color="auto"/>
            </w:tcBorders>
            <w:shd w:val="clear" w:color="000000" w:fill="A9D08E"/>
            <w:vAlign w:val="center"/>
            <w:hideMark/>
          </w:tcPr>
          <w:p w14:paraId="5666F523"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2022</w:t>
            </w:r>
          </w:p>
        </w:tc>
        <w:tc>
          <w:tcPr>
            <w:tcW w:w="1480" w:type="dxa"/>
            <w:tcBorders>
              <w:top w:val="single" w:sz="4" w:space="0" w:color="auto"/>
              <w:left w:val="nil"/>
              <w:bottom w:val="single" w:sz="4" w:space="0" w:color="auto"/>
              <w:right w:val="single" w:sz="4" w:space="0" w:color="auto"/>
            </w:tcBorders>
            <w:shd w:val="clear" w:color="000000" w:fill="A9D08E"/>
            <w:vAlign w:val="center"/>
            <w:hideMark/>
          </w:tcPr>
          <w:p w14:paraId="46D721B9"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2021</w:t>
            </w:r>
          </w:p>
        </w:tc>
      </w:tr>
      <w:tr w:rsidR="004A45B0" w:rsidRPr="004A45B0" w14:paraId="6CCD7EB1"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0D82897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Opening receivables</w:t>
            </w:r>
          </w:p>
        </w:tc>
        <w:tc>
          <w:tcPr>
            <w:tcW w:w="1940" w:type="dxa"/>
            <w:tcBorders>
              <w:top w:val="nil"/>
              <w:left w:val="nil"/>
              <w:bottom w:val="single" w:sz="4" w:space="0" w:color="auto"/>
              <w:right w:val="single" w:sz="4" w:space="0" w:color="auto"/>
            </w:tcBorders>
            <w:vAlign w:val="center"/>
            <w:hideMark/>
          </w:tcPr>
          <w:p w14:paraId="63DFD17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2,795</w:t>
            </w:r>
          </w:p>
        </w:tc>
        <w:tc>
          <w:tcPr>
            <w:tcW w:w="1320" w:type="dxa"/>
            <w:tcBorders>
              <w:top w:val="nil"/>
              <w:left w:val="nil"/>
              <w:bottom w:val="single" w:sz="4" w:space="0" w:color="auto"/>
              <w:right w:val="single" w:sz="4" w:space="0" w:color="auto"/>
            </w:tcBorders>
            <w:vAlign w:val="center"/>
            <w:hideMark/>
          </w:tcPr>
          <w:p w14:paraId="1C7400D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2,712</w:t>
            </w:r>
          </w:p>
        </w:tc>
        <w:tc>
          <w:tcPr>
            <w:tcW w:w="1500" w:type="dxa"/>
            <w:tcBorders>
              <w:top w:val="nil"/>
              <w:left w:val="nil"/>
              <w:bottom w:val="single" w:sz="4" w:space="0" w:color="auto"/>
              <w:right w:val="single" w:sz="4" w:space="0" w:color="auto"/>
            </w:tcBorders>
            <w:vAlign w:val="center"/>
            <w:hideMark/>
          </w:tcPr>
          <w:p w14:paraId="2951624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2,571</w:t>
            </w:r>
          </w:p>
        </w:tc>
        <w:tc>
          <w:tcPr>
            <w:tcW w:w="1500" w:type="dxa"/>
            <w:tcBorders>
              <w:top w:val="nil"/>
              <w:left w:val="nil"/>
              <w:bottom w:val="single" w:sz="4" w:space="0" w:color="auto"/>
              <w:right w:val="single" w:sz="4" w:space="0" w:color="auto"/>
            </w:tcBorders>
            <w:vAlign w:val="center"/>
            <w:hideMark/>
          </w:tcPr>
          <w:p w14:paraId="3233B7F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1,982</w:t>
            </w:r>
          </w:p>
        </w:tc>
        <w:tc>
          <w:tcPr>
            <w:tcW w:w="1480" w:type="dxa"/>
            <w:tcBorders>
              <w:top w:val="nil"/>
              <w:left w:val="nil"/>
              <w:bottom w:val="single" w:sz="4" w:space="0" w:color="auto"/>
              <w:right w:val="single" w:sz="4" w:space="0" w:color="auto"/>
            </w:tcBorders>
            <w:vAlign w:val="center"/>
            <w:hideMark/>
          </w:tcPr>
          <w:p w14:paraId="0524B8A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1,768</w:t>
            </w:r>
          </w:p>
        </w:tc>
      </w:tr>
      <w:tr w:rsidR="004A45B0" w:rsidRPr="004A45B0" w14:paraId="5E9FF6FD"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22822ED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Closing receivables</w:t>
            </w:r>
          </w:p>
        </w:tc>
        <w:tc>
          <w:tcPr>
            <w:tcW w:w="1940" w:type="dxa"/>
            <w:tcBorders>
              <w:top w:val="nil"/>
              <w:left w:val="nil"/>
              <w:bottom w:val="single" w:sz="4" w:space="0" w:color="auto"/>
              <w:right w:val="single" w:sz="4" w:space="0" w:color="auto"/>
            </w:tcBorders>
            <w:vAlign w:val="center"/>
            <w:hideMark/>
          </w:tcPr>
          <w:p w14:paraId="774B75D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2,909</w:t>
            </w:r>
          </w:p>
        </w:tc>
        <w:tc>
          <w:tcPr>
            <w:tcW w:w="1320" w:type="dxa"/>
            <w:tcBorders>
              <w:top w:val="nil"/>
              <w:left w:val="nil"/>
              <w:bottom w:val="single" w:sz="4" w:space="0" w:color="auto"/>
              <w:right w:val="single" w:sz="4" w:space="0" w:color="auto"/>
            </w:tcBorders>
            <w:vAlign w:val="center"/>
            <w:hideMark/>
          </w:tcPr>
          <w:p w14:paraId="24F3EE5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2,795</w:t>
            </w:r>
          </w:p>
        </w:tc>
        <w:tc>
          <w:tcPr>
            <w:tcW w:w="1500" w:type="dxa"/>
            <w:tcBorders>
              <w:top w:val="nil"/>
              <w:left w:val="nil"/>
              <w:bottom w:val="single" w:sz="4" w:space="0" w:color="auto"/>
              <w:right w:val="single" w:sz="4" w:space="0" w:color="auto"/>
            </w:tcBorders>
            <w:vAlign w:val="center"/>
            <w:hideMark/>
          </w:tcPr>
          <w:p w14:paraId="3D0ADBD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2,712</w:t>
            </w:r>
          </w:p>
        </w:tc>
        <w:tc>
          <w:tcPr>
            <w:tcW w:w="1500" w:type="dxa"/>
            <w:tcBorders>
              <w:top w:val="nil"/>
              <w:left w:val="nil"/>
              <w:bottom w:val="single" w:sz="4" w:space="0" w:color="auto"/>
              <w:right w:val="single" w:sz="4" w:space="0" w:color="auto"/>
            </w:tcBorders>
            <w:vAlign w:val="center"/>
            <w:hideMark/>
          </w:tcPr>
          <w:p w14:paraId="64A194D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2,571</w:t>
            </w:r>
          </w:p>
        </w:tc>
        <w:tc>
          <w:tcPr>
            <w:tcW w:w="1480" w:type="dxa"/>
            <w:tcBorders>
              <w:top w:val="nil"/>
              <w:left w:val="nil"/>
              <w:bottom w:val="single" w:sz="4" w:space="0" w:color="auto"/>
              <w:right w:val="single" w:sz="4" w:space="0" w:color="auto"/>
            </w:tcBorders>
            <w:vAlign w:val="center"/>
            <w:hideMark/>
          </w:tcPr>
          <w:p w14:paraId="25D7B0A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1,982</w:t>
            </w:r>
          </w:p>
        </w:tc>
      </w:tr>
      <w:tr w:rsidR="004A45B0" w:rsidRPr="004A45B0" w14:paraId="2503CA81"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39D3345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Average receivables</w:t>
            </w:r>
          </w:p>
        </w:tc>
        <w:tc>
          <w:tcPr>
            <w:tcW w:w="1940" w:type="dxa"/>
            <w:tcBorders>
              <w:top w:val="nil"/>
              <w:left w:val="nil"/>
              <w:bottom w:val="single" w:sz="4" w:space="0" w:color="auto"/>
              <w:right w:val="single" w:sz="4" w:space="0" w:color="auto"/>
            </w:tcBorders>
            <w:vAlign w:val="center"/>
            <w:hideMark/>
          </w:tcPr>
          <w:p w14:paraId="768B745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2,852.0</w:t>
            </w:r>
          </w:p>
        </w:tc>
        <w:tc>
          <w:tcPr>
            <w:tcW w:w="1320" w:type="dxa"/>
            <w:tcBorders>
              <w:top w:val="nil"/>
              <w:left w:val="nil"/>
              <w:bottom w:val="single" w:sz="4" w:space="0" w:color="auto"/>
              <w:right w:val="single" w:sz="4" w:space="0" w:color="auto"/>
            </w:tcBorders>
            <w:vAlign w:val="center"/>
            <w:hideMark/>
          </w:tcPr>
          <w:p w14:paraId="5EFB618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2,753.5</w:t>
            </w:r>
          </w:p>
        </w:tc>
        <w:tc>
          <w:tcPr>
            <w:tcW w:w="1500" w:type="dxa"/>
            <w:tcBorders>
              <w:top w:val="nil"/>
              <w:left w:val="nil"/>
              <w:bottom w:val="single" w:sz="4" w:space="0" w:color="auto"/>
              <w:right w:val="single" w:sz="4" w:space="0" w:color="auto"/>
            </w:tcBorders>
            <w:vAlign w:val="center"/>
            <w:hideMark/>
          </w:tcPr>
          <w:p w14:paraId="6CD896B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2,641.5</w:t>
            </w:r>
          </w:p>
        </w:tc>
        <w:tc>
          <w:tcPr>
            <w:tcW w:w="1500" w:type="dxa"/>
            <w:tcBorders>
              <w:top w:val="nil"/>
              <w:left w:val="nil"/>
              <w:bottom w:val="single" w:sz="4" w:space="0" w:color="auto"/>
              <w:right w:val="single" w:sz="4" w:space="0" w:color="auto"/>
            </w:tcBorders>
            <w:vAlign w:val="center"/>
            <w:hideMark/>
          </w:tcPr>
          <w:p w14:paraId="4C1A9FD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2,276.5</w:t>
            </w:r>
          </w:p>
        </w:tc>
        <w:tc>
          <w:tcPr>
            <w:tcW w:w="1480" w:type="dxa"/>
            <w:tcBorders>
              <w:top w:val="nil"/>
              <w:left w:val="nil"/>
              <w:bottom w:val="single" w:sz="4" w:space="0" w:color="auto"/>
              <w:right w:val="single" w:sz="4" w:space="0" w:color="auto"/>
            </w:tcBorders>
            <w:vAlign w:val="center"/>
            <w:hideMark/>
          </w:tcPr>
          <w:p w14:paraId="34726E7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1,875.0</w:t>
            </w:r>
          </w:p>
        </w:tc>
      </w:tr>
      <w:tr w:rsidR="004A45B0" w:rsidRPr="004A45B0" w14:paraId="755E214C"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1D7C8E7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Revenue</w:t>
            </w:r>
          </w:p>
        </w:tc>
        <w:tc>
          <w:tcPr>
            <w:tcW w:w="1940" w:type="dxa"/>
            <w:tcBorders>
              <w:top w:val="nil"/>
              <w:left w:val="nil"/>
              <w:bottom w:val="single" w:sz="4" w:space="0" w:color="auto"/>
              <w:right w:val="single" w:sz="4" w:space="0" w:color="auto"/>
            </w:tcBorders>
            <w:vAlign w:val="center"/>
            <w:hideMark/>
          </w:tcPr>
          <w:p w14:paraId="4E71DEF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26,186</w:t>
            </w:r>
          </w:p>
        </w:tc>
        <w:tc>
          <w:tcPr>
            <w:tcW w:w="1320" w:type="dxa"/>
            <w:tcBorders>
              <w:top w:val="nil"/>
              <w:left w:val="nil"/>
              <w:bottom w:val="single" w:sz="4" w:space="0" w:color="auto"/>
              <w:right w:val="single" w:sz="4" w:space="0" w:color="auto"/>
            </w:tcBorders>
            <w:vAlign w:val="center"/>
            <w:hideMark/>
          </w:tcPr>
          <w:p w14:paraId="0182A57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25,1</w:t>
            </w:r>
          </w:p>
        </w:tc>
        <w:tc>
          <w:tcPr>
            <w:tcW w:w="1500" w:type="dxa"/>
            <w:tcBorders>
              <w:top w:val="nil"/>
              <w:left w:val="nil"/>
              <w:bottom w:val="single" w:sz="4" w:space="0" w:color="auto"/>
              <w:right w:val="single" w:sz="4" w:space="0" w:color="auto"/>
            </w:tcBorders>
            <w:vAlign w:val="center"/>
            <w:hideMark/>
          </w:tcPr>
          <w:p w14:paraId="0C13490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23,713</w:t>
            </w:r>
          </w:p>
        </w:tc>
        <w:tc>
          <w:tcPr>
            <w:tcW w:w="1500" w:type="dxa"/>
            <w:tcBorders>
              <w:top w:val="nil"/>
              <w:left w:val="nil"/>
              <w:bottom w:val="single" w:sz="4" w:space="0" w:color="auto"/>
              <w:right w:val="single" w:sz="4" w:space="0" w:color="auto"/>
            </w:tcBorders>
            <w:vAlign w:val="center"/>
            <w:hideMark/>
          </w:tcPr>
          <w:p w14:paraId="5AE5A09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20,773</w:t>
            </w:r>
          </w:p>
        </w:tc>
        <w:tc>
          <w:tcPr>
            <w:tcW w:w="1480" w:type="dxa"/>
            <w:tcBorders>
              <w:top w:val="nil"/>
              <w:left w:val="nil"/>
              <w:bottom w:val="single" w:sz="4" w:space="0" w:color="auto"/>
              <w:right w:val="single" w:sz="4" w:space="0" w:color="auto"/>
            </w:tcBorders>
            <w:vAlign w:val="center"/>
            <w:hideMark/>
          </w:tcPr>
          <w:p w14:paraId="364E4FF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13,857</w:t>
            </w:r>
          </w:p>
        </w:tc>
      </w:tr>
      <w:tr w:rsidR="004A45B0" w:rsidRPr="004A45B0" w14:paraId="32C7437B"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373062C3"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Receivable Days</w:t>
            </w:r>
          </w:p>
        </w:tc>
        <w:tc>
          <w:tcPr>
            <w:tcW w:w="1940" w:type="dxa"/>
            <w:tcBorders>
              <w:top w:val="nil"/>
              <w:left w:val="nil"/>
              <w:bottom w:val="single" w:sz="4" w:space="0" w:color="auto"/>
              <w:right w:val="single" w:sz="4" w:space="0" w:color="auto"/>
            </w:tcBorders>
            <w:vAlign w:val="center"/>
            <w:hideMark/>
          </w:tcPr>
          <w:p w14:paraId="564999F2"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39.75</w:t>
            </w:r>
          </w:p>
        </w:tc>
        <w:tc>
          <w:tcPr>
            <w:tcW w:w="1320" w:type="dxa"/>
            <w:tcBorders>
              <w:top w:val="nil"/>
              <w:left w:val="nil"/>
              <w:bottom w:val="single" w:sz="4" w:space="0" w:color="auto"/>
              <w:right w:val="single" w:sz="4" w:space="0" w:color="auto"/>
            </w:tcBorders>
            <w:vAlign w:val="center"/>
            <w:hideMark/>
          </w:tcPr>
          <w:p w14:paraId="60A3C136"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40.04</w:t>
            </w:r>
          </w:p>
        </w:tc>
        <w:tc>
          <w:tcPr>
            <w:tcW w:w="1500" w:type="dxa"/>
            <w:tcBorders>
              <w:top w:val="nil"/>
              <w:left w:val="nil"/>
              <w:bottom w:val="single" w:sz="4" w:space="0" w:color="auto"/>
              <w:right w:val="single" w:sz="4" w:space="0" w:color="auto"/>
            </w:tcBorders>
            <w:vAlign w:val="center"/>
            <w:hideMark/>
          </w:tcPr>
          <w:p w14:paraId="05382ED4"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40.66</w:t>
            </w:r>
          </w:p>
        </w:tc>
        <w:tc>
          <w:tcPr>
            <w:tcW w:w="1500" w:type="dxa"/>
            <w:tcBorders>
              <w:top w:val="nil"/>
              <w:left w:val="nil"/>
              <w:bottom w:val="single" w:sz="4" w:space="0" w:color="auto"/>
              <w:right w:val="single" w:sz="4" w:space="0" w:color="auto"/>
            </w:tcBorders>
            <w:vAlign w:val="center"/>
            <w:hideMark/>
          </w:tcPr>
          <w:p w14:paraId="5769384E"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40.00</w:t>
            </w:r>
          </w:p>
        </w:tc>
        <w:tc>
          <w:tcPr>
            <w:tcW w:w="1480" w:type="dxa"/>
            <w:tcBorders>
              <w:top w:val="nil"/>
              <w:left w:val="nil"/>
              <w:bottom w:val="single" w:sz="4" w:space="0" w:color="auto"/>
              <w:right w:val="single" w:sz="4" w:space="0" w:color="auto"/>
            </w:tcBorders>
            <w:vAlign w:val="center"/>
            <w:hideMark/>
          </w:tcPr>
          <w:p w14:paraId="7AA1F880"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49.39</w:t>
            </w:r>
          </w:p>
        </w:tc>
      </w:tr>
      <w:tr w:rsidR="004A45B0" w:rsidRPr="004A45B0" w14:paraId="15787A7B" w14:textId="77777777" w:rsidTr="004A45B0">
        <w:trPr>
          <w:trHeight w:val="580"/>
        </w:trPr>
        <w:tc>
          <w:tcPr>
            <w:tcW w:w="2440" w:type="dxa"/>
            <w:tcBorders>
              <w:top w:val="nil"/>
              <w:left w:val="single" w:sz="4" w:space="0" w:color="auto"/>
              <w:bottom w:val="single" w:sz="4" w:space="0" w:color="auto"/>
              <w:right w:val="single" w:sz="4" w:space="0" w:color="auto"/>
            </w:tcBorders>
            <w:vAlign w:val="center"/>
            <w:hideMark/>
          </w:tcPr>
          <w:p w14:paraId="21749EA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Opening accounts payable</w:t>
            </w:r>
          </w:p>
        </w:tc>
        <w:tc>
          <w:tcPr>
            <w:tcW w:w="1940" w:type="dxa"/>
            <w:tcBorders>
              <w:top w:val="nil"/>
              <w:left w:val="nil"/>
              <w:bottom w:val="single" w:sz="4" w:space="0" w:color="auto"/>
              <w:right w:val="single" w:sz="4" w:space="0" w:color="auto"/>
            </w:tcBorders>
            <w:vAlign w:val="center"/>
            <w:hideMark/>
          </w:tcPr>
          <w:p w14:paraId="11F62AE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763</w:t>
            </w:r>
          </w:p>
        </w:tc>
        <w:tc>
          <w:tcPr>
            <w:tcW w:w="1320" w:type="dxa"/>
            <w:tcBorders>
              <w:top w:val="nil"/>
              <w:left w:val="nil"/>
              <w:bottom w:val="single" w:sz="4" w:space="0" w:color="auto"/>
              <w:right w:val="single" w:sz="4" w:space="0" w:color="auto"/>
            </w:tcBorders>
            <w:vAlign w:val="center"/>
            <w:hideMark/>
          </w:tcPr>
          <w:p w14:paraId="2BD8C46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738</w:t>
            </w:r>
          </w:p>
        </w:tc>
        <w:tc>
          <w:tcPr>
            <w:tcW w:w="1500" w:type="dxa"/>
            <w:tcBorders>
              <w:top w:val="nil"/>
              <w:left w:val="nil"/>
              <w:bottom w:val="single" w:sz="4" w:space="0" w:color="auto"/>
              <w:right w:val="single" w:sz="4" w:space="0" w:color="auto"/>
            </w:tcBorders>
            <w:vAlign w:val="center"/>
            <w:hideMark/>
          </w:tcPr>
          <w:p w14:paraId="35F346C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746</w:t>
            </w:r>
          </w:p>
        </w:tc>
        <w:tc>
          <w:tcPr>
            <w:tcW w:w="1500" w:type="dxa"/>
            <w:tcBorders>
              <w:top w:val="nil"/>
              <w:left w:val="nil"/>
              <w:bottom w:val="single" w:sz="4" w:space="0" w:color="auto"/>
              <w:right w:val="single" w:sz="4" w:space="0" w:color="auto"/>
            </w:tcBorders>
            <w:vAlign w:val="center"/>
            <w:hideMark/>
          </w:tcPr>
          <w:p w14:paraId="50EF5CA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726</w:t>
            </w:r>
          </w:p>
        </w:tc>
        <w:tc>
          <w:tcPr>
            <w:tcW w:w="1480" w:type="dxa"/>
            <w:tcBorders>
              <w:top w:val="nil"/>
              <w:left w:val="nil"/>
              <w:bottom w:val="single" w:sz="4" w:space="0" w:color="auto"/>
              <w:right w:val="single" w:sz="4" w:space="0" w:color="auto"/>
            </w:tcBorders>
            <w:vAlign w:val="center"/>
            <w:hideMark/>
          </w:tcPr>
          <w:p w14:paraId="09C2E93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527</w:t>
            </w:r>
          </w:p>
        </w:tc>
      </w:tr>
      <w:tr w:rsidR="004A45B0" w:rsidRPr="004A45B0" w14:paraId="57C58D71"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49FF825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Closing accounts payable</w:t>
            </w:r>
          </w:p>
        </w:tc>
        <w:tc>
          <w:tcPr>
            <w:tcW w:w="1940" w:type="dxa"/>
            <w:tcBorders>
              <w:top w:val="nil"/>
              <w:left w:val="nil"/>
              <w:bottom w:val="single" w:sz="4" w:space="0" w:color="auto"/>
              <w:right w:val="single" w:sz="4" w:space="0" w:color="auto"/>
            </w:tcBorders>
            <w:vAlign w:val="center"/>
            <w:hideMark/>
          </w:tcPr>
          <w:p w14:paraId="6A37621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814</w:t>
            </w:r>
          </w:p>
        </w:tc>
        <w:tc>
          <w:tcPr>
            <w:tcW w:w="1320" w:type="dxa"/>
            <w:tcBorders>
              <w:top w:val="nil"/>
              <w:left w:val="nil"/>
              <w:bottom w:val="single" w:sz="4" w:space="0" w:color="auto"/>
              <w:right w:val="single" w:sz="4" w:space="0" w:color="auto"/>
            </w:tcBorders>
            <w:vAlign w:val="center"/>
            <w:hideMark/>
          </w:tcPr>
          <w:p w14:paraId="69BC336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763</w:t>
            </w:r>
          </w:p>
        </w:tc>
        <w:tc>
          <w:tcPr>
            <w:tcW w:w="1500" w:type="dxa"/>
            <w:tcBorders>
              <w:top w:val="nil"/>
              <w:left w:val="nil"/>
              <w:bottom w:val="single" w:sz="4" w:space="0" w:color="auto"/>
              <w:right w:val="single" w:sz="4" w:space="0" w:color="auto"/>
            </w:tcBorders>
            <w:vAlign w:val="center"/>
            <w:hideMark/>
          </w:tcPr>
          <w:p w14:paraId="740CBEB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738</w:t>
            </w:r>
          </w:p>
        </w:tc>
        <w:tc>
          <w:tcPr>
            <w:tcW w:w="1500" w:type="dxa"/>
            <w:tcBorders>
              <w:top w:val="nil"/>
              <w:left w:val="nil"/>
              <w:bottom w:val="single" w:sz="4" w:space="0" w:color="auto"/>
              <w:right w:val="single" w:sz="4" w:space="0" w:color="auto"/>
            </w:tcBorders>
            <w:vAlign w:val="center"/>
            <w:hideMark/>
          </w:tcPr>
          <w:p w14:paraId="27FDA3E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746</w:t>
            </w:r>
          </w:p>
        </w:tc>
        <w:tc>
          <w:tcPr>
            <w:tcW w:w="1480" w:type="dxa"/>
            <w:tcBorders>
              <w:top w:val="nil"/>
              <w:left w:val="nil"/>
              <w:bottom w:val="single" w:sz="4" w:space="0" w:color="auto"/>
              <w:right w:val="single" w:sz="4" w:space="0" w:color="auto"/>
            </w:tcBorders>
            <w:vAlign w:val="center"/>
            <w:hideMark/>
          </w:tcPr>
          <w:p w14:paraId="4886004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726</w:t>
            </w:r>
          </w:p>
        </w:tc>
      </w:tr>
      <w:tr w:rsidR="004A45B0" w:rsidRPr="004A45B0" w14:paraId="1FD40079" w14:textId="77777777" w:rsidTr="004A45B0">
        <w:trPr>
          <w:trHeight w:val="580"/>
        </w:trPr>
        <w:tc>
          <w:tcPr>
            <w:tcW w:w="2440" w:type="dxa"/>
            <w:tcBorders>
              <w:top w:val="nil"/>
              <w:left w:val="single" w:sz="4" w:space="0" w:color="auto"/>
              <w:bottom w:val="single" w:sz="4" w:space="0" w:color="auto"/>
              <w:right w:val="single" w:sz="4" w:space="0" w:color="auto"/>
            </w:tcBorders>
            <w:vAlign w:val="center"/>
            <w:hideMark/>
          </w:tcPr>
          <w:p w14:paraId="50D0063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Average accounts payable</w:t>
            </w:r>
          </w:p>
        </w:tc>
        <w:tc>
          <w:tcPr>
            <w:tcW w:w="1940" w:type="dxa"/>
            <w:tcBorders>
              <w:top w:val="nil"/>
              <w:left w:val="nil"/>
              <w:bottom w:val="single" w:sz="4" w:space="0" w:color="auto"/>
              <w:right w:val="single" w:sz="4" w:space="0" w:color="auto"/>
            </w:tcBorders>
            <w:vAlign w:val="center"/>
            <w:hideMark/>
          </w:tcPr>
          <w:p w14:paraId="578C11F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788.5</w:t>
            </w:r>
          </w:p>
        </w:tc>
        <w:tc>
          <w:tcPr>
            <w:tcW w:w="1320" w:type="dxa"/>
            <w:tcBorders>
              <w:top w:val="nil"/>
              <w:left w:val="nil"/>
              <w:bottom w:val="single" w:sz="4" w:space="0" w:color="auto"/>
              <w:right w:val="single" w:sz="4" w:space="0" w:color="auto"/>
            </w:tcBorders>
            <w:vAlign w:val="center"/>
            <w:hideMark/>
          </w:tcPr>
          <w:p w14:paraId="339B5A8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750.5</w:t>
            </w:r>
          </w:p>
        </w:tc>
        <w:tc>
          <w:tcPr>
            <w:tcW w:w="1500" w:type="dxa"/>
            <w:tcBorders>
              <w:top w:val="nil"/>
              <w:left w:val="nil"/>
              <w:bottom w:val="single" w:sz="4" w:space="0" w:color="auto"/>
              <w:right w:val="single" w:sz="4" w:space="0" w:color="auto"/>
            </w:tcBorders>
            <w:vAlign w:val="center"/>
            <w:hideMark/>
          </w:tcPr>
          <w:p w14:paraId="69ED90D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742.0</w:t>
            </w:r>
          </w:p>
        </w:tc>
        <w:tc>
          <w:tcPr>
            <w:tcW w:w="1500" w:type="dxa"/>
            <w:tcBorders>
              <w:top w:val="nil"/>
              <w:left w:val="nil"/>
              <w:bottom w:val="single" w:sz="4" w:space="0" w:color="auto"/>
              <w:right w:val="single" w:sz="4" w:space="0" w:color="auto"/>
            </w:tcBorders>
            <w:vAlign w:val="center"/>
            <w:hideMark/>
          </w:tcPr>
          <w:p w14:paraId="59D9613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736.0</w:t>
            </w:r>
          </w:p>
        </w:tc>
        <w:tc>
          <w:tcPr>
            <w:tcW w:w="1480" w:type="dxa"/>
            <w:tcBorders>
              <w:top w:val="nil"/>
              <w:left w:val="nil"/>
              <w:bottom w:val="single" w:sz="4" w:space="0" w:color="auto"/>
              <w:right w:val="single" w:sz="4" w:space="0" w:color="auto"/>
            </w:tcBorders>
            <w:vAlign w:val="center"/>
            <w:hideMark/>
          </w:tcPr>
          <w:p w14:paraId="03744DA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626.5</w:t>
            </w:r>
          </w:p>
        </w:tc>
      </w:tr>
      <w:tr w:rsidR="004A45B0" w:rsidRPr="004A45B0" w14:paraId="614D22D3"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2322DEA7"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Cost of revenues</w:t>
            </w:r>
          </w:p>
        </w:tc>
        <w:tc>
          <w:tcPr>
            <w:tcW w:w="1940" w:type="dxa"/>
            <w:tcBorders>
              <w:top w:val="nil"/>
              <w:left w:val="nil"/>
              <w:bottom w:val="single" w:sz="4" w:space="0" w:color="auto"/>
              <w:right w:val="single" w:sz="4" w:space="0" w:color="auto"/>
            </w:tcBorders>
            <w:vAlign w:val="center"/>
            <w:hideMark/>
          </w:tcPr>
          <w:p w14:paraId="0BC4651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20,964</w:t>
            </w:r>
          </w:p>
        </w:tc>
        <w:tc>
          <w:tcPr>
            <w:tcW w:w="1320" w:type="dxa"/>
            <w:tcBorders>
              <w:top w:val="nil"/>
              <w:left w:val="nil"/>
              <w:bottom w:val="single" w:sz="4" w:space="0" w:color="auto"/>
              <w:right w:val="single" w:sz="4" w:space="0" w:color="auto"/>
            </w:tcBorders>
            <w:vAlign w:val="center"/>
            <w:hideMark/>
          </w:tcPr>
          <w:p w14:paraId="0866F49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20,128</w:t>
            </w:r>
          </w:p>
        </w:tc>
        <w:tc>
          <w:tcPr>
            <w:tcW w:w="1500" w:type="dxa"/>
            <w:tcBorders>
              <w:top w:val="nil"/>
              <w:left w:val="nil"/>
              <w:bottom w:val="single" w:sz="4" w:space="0" w:color="auto"/>
              <w:right w:val="single" w:sz="4" w:space="0" w:color="auto"/>
            </w:tcBorders>
            <w:vAlign w:val="center"/>
            <w:hideMark/>
          </w:tcPr>
          <w:p w14:paraId="70C1A7B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18,733</w:t>
            </w:r>
          </w:p>
        </w:tc>
        <w:tc>
          <w:tcPr>
            <w:tcW w:w="1500" w:type="dxa"/>
            <w:tcBorders>
              <w:top w:val="nil"/>
              <w:left w:val="nil"/>
              <w:bottom w:val="single" w:sz="4" w:space="0" w:color="auto"/>
              <w:right w:val="single" w:sz="4" w:space="0" w:color="auto"/>
            </w:tcBorders>
            <w:vAlign w:val="center"/>
            <w:hideMark/>
          </w:tcPr>
          <w:p w14:paraId="504BB1B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16,215</w:t>
            </w:r>
          </w:p>
        </w:tc>
        <w:tc>
          <w:tcPr>
            <w:tcW w:w="1480" w:type="dxa"/>
            <w:tcBorders>
              <w:top w:val="nil"/>
              <w:left w:val="nil"/>
              <w:bottom w:val="single" w:sz="4" w:space="0" w:color="auto"/>
              <w:right w:val="single" w:sz="4" w:space="0" w:color="auto"/>
            </w:tcBorders>
            <w:vAlign w:val="center"/>
            <w:hideMark/>
          </w:tcPr>
          <w:p w14:paraId="02ED366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11,056</w:t>
            </w:r>
          </w:p>
        </w:tc>
      </w:tr>
      <w:tr w:rsidR="004A45B0" w:rsidRPr="004A45B0" w14:paraId="2FECC1F7"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673DD9D6"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Payable Days</w:t>
            </w:r>
          </w:p>
        </w:tc>
        <w:tc>
          <w:tcPr>
            <w:tcW w:w="1940" w:type="dxa"/>
            <w:tcBorders>
              <w:top w:val="nil"/>
              <w:left w:val="nil"/>
              <w:bottom w:val="single" w:sz="4" w:space="0" w:color="auto"/>
              <w:right w:val="single" w:sz="4" w:space="0" w:color="auto"/>
            </w:tcBorders>
            <w:vAlign w:val="center"/>
            <w:hideMark/>
          </w:tcPr>
          <w:p w14:paraId="4ADAC7C6"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13.73</w:t>
            </w:r>
          </w:p>
        </w:tc>
        <w:tc>
          <w:tcPr>
            <w:tcW w:w="1320" w:type="dxa"/>
            <w:tcBorders>
              <w:top w:val="nil"/>
              <w:left w:val="nil"/>
              <w:bottom w:val="single" w:sz="4" w:space="0" w:color="auto"/>
              <w:right w:val="single" w:sz="4" w:space="0" w:color="auto"/>
            </w:tcBorders>
            <w:vAlign w:val="center"/>
            <w:hideMark/>
          </w:tcPr>
          <w:p w14:paraId="462ED963"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13.61</w:t>
            </w:r>
          </w:p>
        </w:tc>
        <w:tc>
          <w:tcPr>
            <w:tcW w:w="1500" w:type="dxa"/>
            <w:tcBorders>
              <w:top w:val="nil"/>
              <w:left w:val="nil"/>
              <w:bottom w:val="single" w:sz="4" w:space="0" w:color="auto"/>
              <w:right w:val="single" w:sz="4" w:space="0" w:color="auto"/>
            </w:tcBorders>
            <w:vAlign w:val="center"/>
            <w:hideMark/>
          </w:tcPr>
          <w:p w14:paraId="0E56785E"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14.46</w:t>
            </w:r>
          </w:p>
        </w:tc>
        <w:tc>
          <w:tcPr>
            <w:tcW w:w="1500" w:type="dxa"/>
            <w:tcBorders>
              <w:top w:val="nil"/>
              <w:left w:val="nil"/>
              <w:bottom w:val="single" w:sz="4" w:space="0" w:color="auto"/>
              <w:right w:val="single" w:sz="4" w:space="0" w:color="auto"/>
            </w:tcBorders>
            <w:vAlign w:val="center"/>
            <w:hideMark/>
          </w:tcPr>
          <w:p w14:paraId="265479FA"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16.57</w:t>
            </w:r>
          </w:p>
        </w:tc>
        <w:tc>
          <w:tcPr>
            <w:tcW w:w="1480" w:type="dxa"/>
            <w:tcBorders>
              <w:top w:val="nil"/>
              <w:left w:val="nil"/>
              <w:bottom w:val="single" w:sz="4" w:space="0" w:color="auto"/>
              <w:right w:val="single" w:sz="4" w:space="0" w:color="auto"/>
            </w:tcBorders>
            <w:vAlign w:val="center"/>
            <w:hideMark/>
          </w:tcPr>
          <w:p w14:paraId="11D83EC5"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20.68</w:t>
            </w:r>
          </w:p>
        </w:tc>
      </w:tr>
      <w:tr w:rsidR="004A45B0" w:rsidRPr="004A45B0" w14:paraId="0F36762F"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28D9F5A0"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Inventory Days</w:t>
            </w:r>
          </w:p>
        </w:tc>
        <w:tc>
          <w:tcPr>
            <w:tcW w:w="1940" w:type="dxa"/>
            <w:tcBorders>
              <w:top w:val="nil"/>
              <w:left w:val="nil"/>
              <w:bottom w:val="single" w:sz="4" w:space="0" w:color="auto"/>
              <w:right w:val="single" w:sz="4" w:space="0" w:color="auto"/>
            </w:tcBorders>
            <w:vAlign w:val="center"/>
            <w:hideMark/>
          </w:tcPr>
          <w:p w14:paraId="4CB0CD3F"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0.00</w:t>
            </w:r>
          </w:p>
        </w:tc>
        <w:tc>
          <w:tcPr>
            <w:tcW w:w="1320" w:type="dxa"/>
            <w:tcBorders>
              <w:top w:val="nil"/>
              <w:left w:val="nil"/>
              <w:bottom w:val="single" w:sz="4" w:space="0" w:color="auto"/>
              <w:right w:val="single" w:sz="4" w:space="0" w:color="auto"/>
            </w:tcBorders>
            <w:vAlign w:val="center"/>
            <w:hideMark/>
          </w:tcPr>
          <w:p w14:paraId="35BEC6B9"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0.00</w:t>
            </w:r>
          </w:p>
        </w:tc>
        <w:tc>
          <w:tcPr>
            <w:tcW w:w="1500" w:type="dxa"/>
            <w:tcBorders>
              <w:top w:val="nil"/>
              <w:left w:val="nil"/>
              <w:bottom w:val="single" w:sz="4" w:space="0" w:color="auto"/>
              <w:right w:val="single" w:sz="4" w:space="0" w:color="auto"/>
            </w:tcBorders>
            <w:vAlign w:val="center"/>
            <w:hideMark/>
          </w:tcPr>
          <w:p w14:paraId="72DA8311"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0.00</w:t>
            </w:r>
          </w:p>
        </w:tc>
        <w:tc>
          <w:tcPr>
            <w:tcW w:w="1500" w:type="dxa"/>
            <w:tcBorders>
              <w:top w:val="nil"/>
              <w:left w:val="nil"/>
              <w:bottom w:val="single" w:sz="4" w:space="0" w:color="auto"/>
              <w:right w:val="single" w:sz="4" w:space="0" w:color="auto"/>
            </w:tcBorders>
            <w:vAlign w:val="center"/>
            <w:hideMark/>
          </w:tcPr>
          <w:p w14:paraId="43E3178A"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0.00</w:t>
            </w:r>
          </w:p>
        </w:tc>
        <w:tc>
          <w:tcPr>
            <w:tcW w:w="1480" w:type="dxa"/>
            <w:tcBorders>
              <w:top w:val="nil"/>
              <w:left w:val="nil"/>
              <w:bottom w:val="single" w:sz="4" w:space="0" w:color="auto"/>
              <w:right w:val="single" w:sz="4" w:space="0" w:color="auto"/>
            </w:tcBorders>
            <w:vAlign w:val="center"/>
            <w:hideMark/>
          </w:tcPr>
          <w:p w14:paraId="7A0AE66A"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0.00</w:t>
            </w:r>
          </w:p>
        </w:tc>
      </w:tr>
      <w:tr w:rsidR="004A45B0" w:rsidRPr="004A45B0" w14:paraId="4EA7E5B9" w14:textId="77777777" w:rsidTr="004A45B0">
        <w:trPr>
          <w:trHeight w:val="290"/>
        </w:trPr>
        <w:tc>
          <w:tcPr>
            <w:tcW w:w="2440" w:type="dxa"/>
            <w:tcBorders>
              <w:top w:val="nil"/>
              <w:left w:val="single" w:sz="4" w:space="0" w:color="auto"/>
              <w:bottom w:val="single" w:sz="4" w:space="0" w:color="auto"/>
              <w:right w:val="single" w:sz="4" w:space="0" w:color="auto"/>
            </w:tcBorders>
            <w:vAlign w:val="center"/>
            <w:hideMark/>
          </w:tcPr>
          <w:p w14:paraId="37609E59"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Cash Conversion Cycle</w:t>
            </w:r>
          </w:p>
        </w:tc>
        <w:tc>
          <w:tcPr>
            <w:tcW w:w="1940" w:type="dxa"/>
            <w:tcBorders>
              <w:top w:val="nil"/>
              <w:left w:val="nil"/>
              <w:bottom w:val="single" w:sz="4" w:space="0" w:color="auto"/>
              <w:right w:val="single" w:sz="4" w:space="0" w:color="auto"/>
            </w:tcBorders>
            <w:vAlign w:val="center"/>
            <w:hideMark/>
          </w:tcPr>
          <w:p w14:paraId="10A79BCB"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26.02 days</w:t>
            </w:r>
          </w:p>
        </w:tc>
        <w:tc>
          <w:tcPr>
            <w:tcW w:w="1320" w:type="dxa"/>
            <w:tcBorders>
              <w:top w:val="nil"/>
              <w:left w:val="nil"/>
              <w:bottom w:val="single" w:sz="4" w:space="0" w:color="auto"/>
              <w:right w:val="single" w:sz="4" w:space="0" w:color="auto"/>
            </w:tcBorders>
            <w:vAlign w:val="center"/>
            <w:hideMark/>
          </w:tcPr>
          <w:p w14:paraId="09107DF6"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26.43 days</w:t>
            </w:r>
          </w:p>
        </w:tc>
        <w:tc>
          <w:tcPr>
            <w:tcW w:w="1500" w:type="dxa"/>
            <w:tcBorders>
              <w:top w:val="nil"/>
              <w:left w:val="nil"/>
              <w:bottom w:val="single" w:sz="4" w:space="0" w:color="auto"/>
              <w:right w:val="single" w:sz="4" w:space="0" w:color="auto"/>
            </w:tcBorders>
            <w:vAlign w:val="center"/>
            <w:hideMark/>
          </w:tcPr>
          <w:p w14:paraId="58BCF738"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26.20 days</w:t>
            </w:r>
          </w:p>
        </w:tc>
        <w:tc>
          <w:tcPr>
            <w:tcW w:w="1500" w:type="dxa"/>
            <w:tcBorders>
              <w:top w:val="nil"/>
              <w:left w:val="nil"/>
              <w:bottom w:val="single" w:sz="4" w:space="0" w:color="auto"/>
              <w:right w:val="single" w:sz="4" w:space="0" w:color="auto"/>
            </w:tcBorders>
            <w:vAlign w:val="center"/>
            <w:hideMark/>
          </w:tcPr>
          <w:p w14:paraId="646509AA"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23.43 days</w:t>
            </w:r>
          </w:p>
        </w:tc>
        <w:tc>
          <w:tcPr>
            <w:tcW w:w="1480" w:type="dxa"/>
            <w:tcBorders>
              <w:top w:val="nil"/>
              <w:left w:val="nil"/>
              <w:bottom w:val="single" w:sz="4" w:space="0" w:color="auto"/>
              <w:right w:val="single" w:sz="4" w:space="0" w:color="auto"/>
            </w:tcBorders>
            <w:vAlign w:val="center"/>
            <w:hideMark/>
          </w:tcPr>
          <w:p w14:paraId="1330B54C"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28.71 days</w:t>
            </w:r>
          </w:p>
        </w:tc>
      </w:tr>
      <w:tr w:rsidR="004A45B0" w:rsidRPr="004A45B0" w14:paraId="75CF0B1A" w14:textId="77777777" w:rsidTr="004A45B0">
        <w:trPr>
          <w:trHeight w:val="290"/>
        </w:trPr>
        <w:tc>
          <w:tcPr>
            <w:tcW w:w="2440" w:type="dxa"/>
            <w:tcBorders>
              <w:top w:val="nil"/>
              <w:left w:val="nil"/>
              <w:bottom w:val="nil"/>
              <w:right w:val="nil"/>
            </w:tcBorders>
            <w:noWrap/>
            <w:vAlign w:val="bottom"/>
            <w:hideMark/>
          </w:tcPr>
          <w:p w14:paraId="1A24BE21" w14:textId="77777777" w:rsidR="004A45B0" w:rsidRPr="004A45B0" w:rsidRDefault="004A45B0" w:rsidP="004A45B0">
            <w:pPr>
              <w:spacing w:after="0" w:line="240" w:lineRule="auto"/>
              <w:jc w:val="right"/>
              <w:rPr>
                <w:rFonts w:ascii="Calibri" w:eastAsia="Times New Roman" w:hAnsi="Calibri" w:cs="Calibri"/>
                <w:b/>
                <w:bCs/>
                <w:color w:val="000000"/>
                <w:sz w:val="22"/>
                <w:szCs w:val="22"/>
                <w:lang w:val="en-US" w:eastAsia="en-US"/>
              </w:rPr>
            </w:pPr>
          </w:p>
        </w:tc>
        <w:tc>
          <w:tcPr>
            <w:tcW w:w="1940" w:type="dxa"/>
            <w:tcBorders>
              <w:top w:val="nil"/>
              <w:left w:val="nil"/>
              <w:bottom w:val="nil"/>
              <w:right w:val="nil"/>
            </w:tcBorders>
            <w:noWrap/>
            <w:vAlign w:val="bottom"/>
            <w:hideMark/>
          </w:tcPr>
          <w:p w14:paraId="0E9EBC4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320" w:type="dxa"/>
            <w:tcBorders>
              <w:top w:val="nil"/>
              <w:left w:val="nil"/>
              <w:bottom w:val="nil"/>
              <w:right w:val="nil"/>
            </w:tcBorders>
            <w:noWrap/>
            <w:vAlign w:val="bottom"/>
            <w:hideMark/>
          </w:tcPr>
          <w:p w14:paraId="7AA8A8E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500" w:type="dxa"/>
            <w:tcBorders>
              <w:top w:val="nil"/>
              <w:left w:val="nil"/>
              <w:bottom w:val="nil"/>
              <w:right w:val="nil"/>
            </w:tcBorders>
            <w:noWrap/>
            <w:vAlign w:val="bottom"/>
            <w:hideMark/>
          </w:tcPr>
          <w:p w14:paraId="3365AFD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500" w:type="dxa"/>
            <w:tcBorders>
              <w:top w:val="nil"/>
              <w:left w:val="nil"/>
              <w:bottom w:val="nil"/>
              <w:right w:val="nil"/>
            </w:tcBorders>
            <w:noWrap/>
            <w:vAlign w:val="bottom"/>
            <w:hideMark/>
          </w:tcPr>
          <w:p w14:paraId="5F16BA6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480" w:type="dxa"/>
            <w:tcBorders>
              <w:top w:val="nil"/>
              <w:left w:val="nil"/>
              <w:bottom w:val="nil"/>
              <w:right w:val="nil"/>
            </w:tcBorders>
            <w:noWrap/>
            <w:vAlign w:val="bottom"/>
            <w:hideMark/>
          </w:tcPr>
          <w:p w14:paraId="05FA7E6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bl>
    <w:p w14:paraId="068C9372" w14:textId="77777777" w:rsidR="00AA15B1" w:rsidRDefault="00AA15B1" w:rsidP="00AA15B1"/>
    <w:p w14:paraId="2471CA15" w14:textId="77777777" w:rsidR="004A45B0" w:rsidRDefault="004A45B0" w:rsidP="00AA15B1"/>
    <w:p w14:paraId="5D34D784" w14:textId="77777777" w:rsidR="005025C3" w:rsidRDefault="005025C3" w:rsidP="00AA15B1"/>
    <w:p w14:paraId="6AE6A99A" w14:textId="77777777" w:rsidR="005025C3" w:rsidRDefault="005025C3" w:rsidP="00AA15B1"/>
    <w:p w14:paraId="20819586" w14:textId="77777777" w:rsidR="005025C3" w:rsidRDefault="005025C3" w:rsidP="00AA15B1"/>
    <w:p w14:paraId="30C085D1" w14:textId="77777777" w:rsidR="005025C3" w:rsidRDefault="005025C3" w:rsidP="00AA15B1"/>
    <w:p w14:paraId="285F5183" w14:textId="77777777" w:rsidR="005025C3" w:rsidRDefault="005025C3" w:rsidP="00AA15B1"/>
    <w:p w14:paraId="472348E7" w14:textId="77777777" w:rsidR="005025C3" w:rsidRDefault="005025C3" w:rsidP="00AA15B1"/>
    <w:p w14:paraId="25E7E769" w14:textId="77777777" w:rsidR="005025C3" w:rsidRDefault="005025C3" w:rsidP="00AA15B1"/>
    <w:p w14:paraId="7FBD49FB" w14:textId="77777777" w:rsidR="005025C3" w:rsidRDefault="005025C3" w:rsidP="00AA15B1"/>
    <w:p w14:paraId="0041CDDF" w14:textId="77777777" w:rsidR="005025C3" w:rsidRDefault="005025C3" w:rsidP="00AA15B1"/>
    <w:p w14:paraId="0FE1365E" w14:textId="77777777" w:rsidR="005025C3" w:rsidRDefault="005025C3" w:rsidP="00AA15B1"/>
    <w:p w14:paraId="78218BDC" w14:textId="77777777" w:rsidR="005025C3" w:rsidRDefault="005025C3" w:rsidP="00AA15B1"/>
    <w:p w14:paraId="14A7451F" w14:textId="77777777" w:rsidR="005025C3" w:rsidRDefault="005025C3" w:rsidP="00AA15B1"/>
    <w:p w14:paraId="35BD92F6" w14:textId="77777777" w:rsidR="005025C3" w:rsidRDefault="005025C3" w:rsidP="00AA15B1"/>
    <w:p w14:paraId="6E86073D" w14:textId="77777777" w:rsidR="005025C3" w:rsidRDefault="005025C3" w:rsidP="00AA15B1"/>
    <w:p w14:paraId="24D7AF0D" w14:textId="4824EA97" w:rsidR="004A45B0" w:rsidRDefault="0052796D" w:rsidP="00AA15B1">
      <w:r w:rsidRPr="0052796D">
        <w:rPr>
          <w:b/>
          <w:bCs/>
        </w:rPr>
        <w:t>Appendix G – Investment Appraisal and Capital Budgeting Calculations</w:t>
      </w:r>
    </w:p>
    <w:tbl>
      <w:tblPr>
        <w:tblW w:w="9842" w:type="dxa"/>
        <w:tblLook w:val="04A0" w:firstRow="1" w:lastRow="0" w:firstColumn="1" w:lastColumn="0" w:noHBand="0" w:noVBand="1"/>
      </w:tblPr>
      <w:tblGrid>
        <w:gridCol w:w="4014"/>
        <w:gridCol w:w="1793"/>
        <w:gridCol w:w="1256"/>
        <w:gridCol w:w="1149"/>
        <w:gridCol w:w="1814"/>
      </w:tblGrid>
      <w:tr w:rsidR="004A45B0" w:rsidRPr="004A45B0" w14:paraId="6455BDDB" w14:textId="77777777" w:rsidTr="004A45B0">
        <w:trPr>
          <w:trHeight w:val="267"/>
        </w:trPr>
        <w:tc>
          <w:tcPr>
            <w:tcW w:w="4014" w:type="dxa"/>
            <w:tcBorders>
              <w:top w:val="nil"/>
              <w:left w:val="nil"/>
              <w:bottom w:val="nil"/>
              <w:right w:val="nil"/>
            </w:tcBorders>
            <w:shd w:val="clear" w:color="000000" w:fill="1F4E78"/>
            <w:noWrap/>
            <w:vAlign w:val="bottom"/>
            <w:hideMark/>
          </w:tcPr>
          <w:p w14:paraId="12E2C86D"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Project Information</w:t>
            </w:r>
          </w:p>
        </w:tc>
        <w:tc>
          <w:tcPr>
            <w:tcW w:w="1793" w:type="dxa"/>
            <w:tcBorders>
              <w:top w:val="nil"/>
              <w:left w:val="nil"/>
              <w:bottom w:val="nil"/>
              <w:right w:val="nil"/>
            </w:tcBorders>
            <w:noWrap/>
            <w:vAlign w:val="bottom"/>
            <w:hideMark/>
          </w:tcPr>
          <w:p w14:paraId="212FBE30"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3FA000F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7850FEA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56465C7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3DBE8CDC"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48617418"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5DAF8805"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Initial Investment (£m)</w:t>
            </w:r>
          </w:p>
        </w:tc>
        <w:tc>
          <w:tcPr>
            <w:tcW w:w="1168" w:type="dxa"/>
            <w:tcBorders>
              <w:top w:val="single" w:sz="8" w:space="0" w:color="000000"/>
              <w:left w:val="nil"/>
              <w:bottom w:val="single" w:sz="8" w:space="0" w:color="000000"/>
              <w:right w:val="single" w:sz="8" w:space="0" w:color="000000"/>
            </w:tcBorders>
            <w:shd w:val="clear" w:color="000000" w:fill="D9EAD3"/>
            <w:noWrap/>
            <w:vAlign w:val="bottom"/>
            <w:hideMark/>
          </w:tcPr>
          <w:p w14:paraId="320216B6"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Discount Rate</w:t>
            </w:r>
          </w:p>
        </w:tc>
        <w:tc>
          <w:tcPr>
            <w:tcW w:w="1052" w:type="dxa"/>
            <w:tcBorders>
              <w:top w:val="single" w:sz="8" w:space="0" w:color="000000"/>
              <w:left w:val="nil"/>
              <w:bottom w:val="single" w:sz="8" w:space="0" w:color="000000"/>
              <w:right w:val="single" w:sz="8" w:space="0" w:color="000000"/>
            </w:tcBorders>
            <w:shd w:val="clear" w:color="000000" w:fill="D9EAD3"/>
            <w:noWrap/>
            <w:vAlign w:val="bottom"/>
            <w:hideMark/>
          </w:tcPr>
          <w:p w14:paraId="152E175E"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Life (Years)</w:t>
            </w:r>
          </w:p>
        </w:tc>
        <w:tc>
          <w:tcPr>
            <w:tcW w:w="1814" w:type="dxa"/>
            <w:tcBorders>
              <w:top w:val="nil"/>
              <w:left w:val="nil"/>
              <w:bottom w:val="nil"/>
              <w:right w:val="nil"/>
            </w:tcBorders>
            <w:noWrap/>
            <w:vAlign w:val="bottom"/>
            <w:hideMark/>
          </w:tcPr>
          <w:p w14:paraId="24431D0F"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r>
      <w:tr w:rsidR="004A45B0" w:rsidRPr="004A45B0" w14:paraId="5E90554C"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522EA78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A</w:t>
            </w:r>
          </w:p>
        </w:tc>
        <w:tc>
          <w:tcPr>
            <w:tcW w:w="1793" w:type="dxa"/>
            <w:tcBorders>
              <w:top w:val="nil"/>
              <w:left w:val="nil"/>
              <w:bottom w:val="single" w:sz="8" w:space="0" w:color="000000"/>
              <w:right w:val="single" w:sz="8" w:space="0" w:color="000000"/>
            </w:tcBorders>
            <w:noWrap/>
            <w:vAlign w:val="bottom"/>
            <w:hideMark/>
          </w:tcPr>
          <w:p w14:paraId="62DE4E3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168" w:type="dxa"/>
            <w:tcBorders>
              <w:top w:val="nil"/>
              <w:left w:val="nil"/>
              <w:bottom w:val="single" w:sz="8" w:space="0" w:color="000000"/>
              <w:right w:val="single" w:sz="8" w:space="0" w:color="000000"/>
            </w:tcBorders>
            <w:noWrap/>
            <w:vAlign w:val="bottom"/>
            <w:hideMark/>
          </w:tcPr>
          <w:p w14:paraId="056C9D0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0,08</w:t>
            </w:r>
          </w:p>
        </w:tc>
        <w:tc>
          <w:tcPr>
            <w:tcW w:w="1052" w:type="dxa"/>
            <w:tcBorders>
              <w:top w:val="nil"/>
              <w:left w:val="nil"/>
              <w:bottom w:val="single" w:sz="8" w:space="0" w:color="000000"/>
              <w:right w:val="single" w:sz="8" w:space="0" w:color="000000"/>
            </w:tcBorders>
            <w:noWrap/>
            <w:vAlign w:val="bottom"/>
            <w:hideMark/>
          </w:tcPr>
          <w:p w14:paraId="32D1F79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w:t>
            </w:r>
          </w:p>
        </w:tc>
        <w:tc>
          <w:tcPr>
            <w:tcW w:w="1814" w:type="dxa"/>
            <w:tcBorders>
              <w:top w:val="nil"/>
              <w:left w:val="nil"/>
              <w:bottom w:val="nil"/>
              <w:right w:val="nil"/>
            </w:tcBorders>
            <w:noWrap/>
            <w:vAlign w:val="bottom"/>
            <w:hideMark/>
          </w:tcPr>
          <w:p w14:paraId="3C13CC4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54031C33"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62252378"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B</w:t>
            </w:r>
          </w:p>
        </w:tc>
        <w:tc>
          <w:tcPr>
            <w:tcW w:w="1793" w:type="dxa"/>
            <w:tcBorders>
              <w:top w:val="nil"/>
              <w:left w:val="nil"/>
              <w:bottom w:val="single" w:sz="8" w:space="0" w:color="000000"/>
              <w:right w:val="single" w:sz="8" w:space="0" w:color="000000"/>
            </w:tcBorders>
            <w:noWrap/>
            <w:vAlign w:val="bottom"/>
            <w:hideMark/>
          </w:tcPr>
          <w:p w14:paraId="45CE8AC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168" w:type="dxa"/>
            <w:tcBorders>
              <w:top w:val="nil"/>
              <w:left w:val="nil"/>
              <w:bottom w:val="single" w:sz="8" w:space="0" w:color="000000"/>
              <w:right w:val="single" w:sz="8" w:space="0" w:color="000000"/>
            </w:tcBorders>
            <w:noWrap/>
            <w:vAlign w:val="bottom"/>
            <w:hideMark/>
          </w:tcPr>
          <w:p w14:paraId="1FAF12D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0,08</w:t>
            </w:r>
          </w:p>
        </w:tc>
        <w:tc>
          <w:tcPr>
            <w:tcW w:w="1052" w:type="dxa"/>
            <w:tcBorders>
              <w:top w:val="nil"/>
              <w:left w:val="nil"/>
              <w:bottom w:val="single" w:sz="8" w:space="0" w:color="000000"/>
              <w:right w:val="single" w:sz="8" w:space="0" w:color="000000"/>
            </w:tcBorders>
            <w:noWrap/>
            <w:vAlign w:val="bottom"/>
            <w:hideMark/>
          </w:tcPr>
          <w:p w14:paraId="1A72A96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w:t>
            </w:r>
          </w:p>
        </w:tc>
        <w:tc>
          <w:tcPr>
            <w:tcW w:w="1814" w:type="dxa"/>
            <w:tcBorders>
              <w:top w:val="nil"/>
              <w:left w:val="nil"/>
              <w:bottom w:val="nil"/>
              <w:right w:val="nil"/>
            </w:tcBorders>
            <w:noWrap/>
            <w:vAlign w:val="bottom"/>
            <w:hideMark/>
          </w:tcPr>
          <w:p w14:paraId="3BDACD4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6A269B3A"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165DBBD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c>
          <w:tcPr>
            <w:tcW w:w="1793" w:type="dxa"/>
            <w:tcBorders>
              <w:top w:val="nil"/>
              <w:left w:val="nil"/>
              <w:bottom w:val="single" w:sz="8" w:space="0" w:color="000000"/>
              <w:right w:val="single" w:sz="8" w:space="0" w:color="000000"/>
            </w:tcBorders>
            <w:noWrap/>
            <w:vAlign w:val="bottom"/>
            <w:hideMark/>
          </w:tcPr>
          <w:p w14:paraId="24FB6BB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168" w:type="dxa"/>
            <w:tcBorders>
              <w:top w:val="nil"/>
              <w:left w:val="nil"/>
              <w:bottom w:val="single" w:sz="8" w:space="0" w:color="000000"/>
              <w:right w:val="single" w:sz="8" w:space="0" w:color="000000"/>
            </w:tcBorders>
            <w:noWrap/>
            <w:vAlign w:val="bottom"/>
            <w:hideMark/>
          </w:tcPr>
          <w:p w14:paraId="5C5F173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0,08</w:t>
            </w:r>
          </w:p>
        </w:tc>
        <w:tc>
          <w:tcPr>
            <w:tcW w:w="1052" w:type="dxa"/>
            <w:tcBorders>
              <w:top w:val="nil"/>
              <w:left w:val="nil"/>
              <w:bottom w:val="single" w:sz="8" w:space="0" w:color="000000"/>
              <w:right w:val="single" w:sz="8" w:space="0" w:color="000000"/>
            </w:tcBorders>
            <w:noWrap/>
            <w:vAlign w:val="bottom"/>
            <w:hideMark/>
          </w:tcPr>
          <w:p w14:paraId="4709FEA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w:t>
            </w:r>
          </w:p>
        </w:tc>
        <w:tc>
          <w:tcPr>
            <w:tcW w:w="1814" w:type="dxa"/>
            <w:tcBorders>
              <w:top w:val="nil"/>
              <w:left w:val="nil"/>
              <w:bottom w:val="nil"/>
              <w:right w:val="nil"/>
            </w:tcBorders>
            <w:noWrap/>
            <w:vAlign w:val="bottom"/>
            <w:hideMark/>
          </w:tcPr>
          <w:p w14:paraId="657C3C6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4308CFDC" w14:textId="77777777" w:rsidTr="004A45B0">
        <w:trPr>
          <w:trHeight w:val="258"/>
        </w:trPr>
        <w:tc>
          <w:tcPr>
            <w:tcW w:w="4014" w:type="dxa"/>
            <w:tcBorders>
              <w:top w:val="nil"/>
              <w:left w:val="nil"/>
              <w:bottom w:val="nil"/>
              <w:right w:val="nil"/>
            </w:tcBorders>
            <w:noWrap/>
            <w:vAlign w:val="bottom"/>
            <w:hideMark/>
          </w:tcPr>
          <w:p w14:paraId="661DEF6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25768C3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4FED606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60996F5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795167D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5A2739FD" w14:textId="77777777" w:rsidTr="004A45B0">
        <w:trPr>
          <w:trHeight w:val="258"/>
        </w:trPr>
        <w:tc>
          <w:tcPr>
            <w:tcW w:w="4014" w:type="dxa"/>
            <w:tcBorders>
              <w:top w:val="nil"/>
              <w:left w:val="nil"/>
              <w:bottom w:val="nil"/>
              <w:right w:val="nil"/>
            </w:tcBorders>
            <w:noWrap/>
            <w:vAlign w:val="bottom"/>
            <w:hideMark/>
          </w:tcPr>
          <w:p w14:paraId="441B0C6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5CB7B15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0E1A71D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278DA01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7F43768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2A4EB2F9" w14:textId="77777777" w:rsidTr="004A45B0">
        <w:trPr>
          <w:trHeight w:val="267"/>
        </w:trPr>
        <w:tc>
          <w:tcPr>
            <w:tcW w:w="4014" w:type="dxa"/>
            <w:tcBorders>
              <w:top w:val="nil"/>
              <w:left w:val="nil"/>
              <w:bottom w:val="nil"/>
              <w:right w:val="nil"/>
            </w:tcBorders>
            <w:shd w:val="clear" w:color="000000" w:fill="1F4E78"/>
            <w:noWrap/>
            <w:vAlign w:val="bottom"/>
            <w:hideMark/>
          </w:tcPr>
          <w:p w14:paraId="2DE87F0B"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G1. Project Cash Flows</w:t>
            </w:r>
          </w:p>
        </w:tc>
        <w:tc>
          <w:tcPr>
            <w:tcW w:w="1793" w:type="dxa"/>
            <w:tcBorders>
              <w:top w:val="nil"/>
              <w:left w:val="nil"/>
              <w:bottom w:val="nil"/>
              <w:right w:val="nil"/>
            </w:tcBorders>
            <w:noWrap/>
            <w:vAlign w:val="bottom"/>
            <w:hideMark/>
          </w:tcPr>
          <w:p w14:paraId="4B5EA48F"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08DBDA7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7557E86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487ACE7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4C6F60E"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2834BFD8"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Year</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0AB07C97"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A</w:t>
            </w:r>
          </w:p>
        </w:tc>
        <w:tc>
          <w:tcPr>
            <w:tcW w:w="1168" w:type="dxa"/>
            <w:tcBorders>
              <w:top w:val="single" w:sz="8" w:space="0" w:color="000000"/>
              <w:left w:val="nil"/>
              <w:bottom w:val="single" w:sz="8" w:space="0" w:color="000000"/>
              <w:right w:val="single" w:sz="8" w:space="0" w:color="000000"/>
            </w:tcBorders>
            <w:shd w:val="clear" w:color="000000" w:fill="D9EAD3"/>
            <w:noWrap/>
            <w:vAlign w:val="bottom"/>
            <w:hideMark/>
          </w:tcPr>
          <w:p w14:paraId="2FA86C65"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B</w:t>
            </w:r>
          </w:p>
        </w:tc>
        <w:tc>
          <w:tcPr>
            <w:tcW w:w="1052" w:type="dxa"/>
            <w:tcBorders>
              <w:top w:val="single" w:sz="8" w:space="0" w:color="000000"/>
              <w:left w:val="nil"/>
              <w:bottom w:val="single" w:sz="8" w:space="0" w:color="000000"/>
              <w:right w:val="single" w:sz="8" w:space="0" w:color="000000"/>
            </w:tcBorders>
            <w:shd w:val="clear" w:color="000000" w:fill="D9EAD3"/>
            <w:noWrap/>
            <w:vAlign w:val="bottom"/>
            <w:hideMark/>
          </w:tcPr>
          <w:p w14:paraId="6B5339BA"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C</w:t>
            </w:r>
          </w:p>
        </w:tc>
        <w:tc>
          <w:tcPr>
            <w:tcW w:w="1814" w:type="dxa"/>
            <w:tcBorders>
              <w:top w:val="nil"/>
              <w:left w:val="nil"/>
              <w:bottom w:val="nil"/>
              <w:right w:val="nil"/>
            </w:tcBorders>
            <w:noWrap/>
            <w:vAlign w:val="bottom"/>
            <w:hideMark/>
          </w:tcPr>
          <w:p w14:paraId="72DA8902"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r>
      <w:tr w:rsidR="004A45B0" w:rsidRPr="004A45B0" w14:paraId="08BA31F1"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1FDA595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Initial Investment</w:t>
            </w:r>
          </w:p>
        </w:tc>
        <w:tc>
          <w:tcPr>
            <w:tcW w:w="1793" w:type="dxa"/>
            <w:tcBorders>
              <w:top w:val="nil"/>
              <w:left w:val="nil"/>
              <w:bottom w:val="single" w:sz="8" w:space="0" w:color="000000"/>
              <w:right w:val="single" w:sz="8" w:space="0" w:color="000000"/>
            </w:tcBorders>
            <w:noWrap/>
            <w:vAlign w:val="bottom"/>
            <w:hideMark/>
          </w:tcPr>
          <w:p w14:paraId="16A1574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168" w:type="dxa"/>
            <w:tcBorders>
              <w:top w:val="nil"/>
              <w:left w:val="nil"/>
              <w:bottom w:val="single" w:sz="8" w:space="0" w:color="000000"/>
              <w:right w:val="single" w:sz="8" w:space="0" w:color="000000"/>
            </w:tcBorders>
            <w:noWrap/>
            <w:vAlign w:val="bottom"/>
            <w:hideMark/>
          </w:tcPr>
          <w:p w14:paraId="469E63B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052" w:type="dxa"/>
            <w:tcBorders>
              <w:top w:val="nil"/>
              <w:left w:val="nil"/>
              <w:bottom w:val="single" w:sz="8" w:space="0" w:color="000000"/>
              <w:right w:val="single" w:sz="8" w:space="0" w:color="000000"/>
            </w:tcBorders>
            <w:noWrap/>
            <w:vAlign w:val="bottom"/>
            <w:hideMark/>
          </w:tcPr>
          <w:p w14:paraId="45640EF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814" w:type="dxa"/>
            <w:tcBorders>
              <w:top w:val="nil"/>
              <w:left w:val="nil"/>
              <w:bottom w:val="nil"/>
              <w:right w:val="nil"/>
            </w:tcBorders>
            <w:noWrap/>
            <w:vAlign w:val="bottom"/>
            <w:hideMark/>
          </w:tcPr>
          <w:p w14:paraId="2A9DF48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7CB4E036"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6A1A90B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Year 1</w:t>
            </w:r>
          </w:p>
        </w:tc>
        <w:tc>
          <w:tcPr>
            <w:tcW w:w="1793" w:type="dxa"/>
            <w:tcBorders>
              <w:top w:val="nil"/>
              <w:left w:val="nil"/>
              <w:bottom w:val="single" w:sz="8" w:space="0" w:color="000000"/>
              <w:right w:val="single" w:sz="8" w:space="0" w:color="000000"/>
            </w:tcBorders>
            <w:noWrap/>
            <w:vAlign w:val="bottom"/>
            <w:hideMark/>
          </w:tcPr>
          <w:p w14:paraId="182D9B3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w:t>
            </w:r>
          </w:p>
        </w:tc>
        <w:tc>
          <w:tcPr>
            <w:tcW w:w="1168" w:type="dxa"/>
            <w:tcBorders>
              <w:top w:val="nil"/>
              <w:left w:val="nil"/>
              <w:bottom w:val="single" w:sz="8" w:space="0" w:color="000000"/>
              <w:right w:val="single" w:sz="8" w:space="0" w:color="000000"/>
            </w:tcBorders>
            <w:noWrap/>
            <w:vAlign w:val="bottom"/>
            <w:hideMark/>
          </w:tcPr>
          <w:p w14:paraId="28A92AD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w:t>
            </w:r>
          </w:p>
        </w:tc>
        <w:tc>
          <w:tcPr>
            <w:tcW w:w="1052" w:type="dxa"/>
            <w:tcBorders>
              <w:top w:val="nil"/>
              <w:left w:val="nil"/>
              <w:bottom w:val="single" w:sz="8" w:space="0" w:color="000000"/>
              <w:right w:val="single" w:sz="8" w:space="0" w:color="000000"/>
            </w:tcBorders>
            <w:noWrap/>
            <w:vAlign w:val="bottom"/>
            <w:hideMark/>
          </w:tcPr>
          <w:p w14:paraId="7CDD05A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w:t>
            </w:r>
          </w:p>
        </w:tc>
        <w:tc>
          <w:tcPr>
            <w:tcW w:w="1814" w:type="dxa"/>
            <w:tcBorders>
              <w:top w:val="nil"/>
              <w:left w:val="nil"/>
              <w:bottom w:val="nil"/>
              <w:right w:val="nil"/>
            </w:tcBorders>
            <w:noWrap/>
            <w:vAlign w:val="bottom"/>
            <w:hideMark/>
          </w:tcPr>
          <w:p w14:paraId="462E63B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391454EA"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420A6B4F"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Year 2</w:t>
            </w:r>
          </w:p>
        </w:tc>
        <w:tc>
          <w:tcPr>
            <w:tcW w:w="1793" w:type="dxa"/>
            <w:tcBorders>
              <w:top w:val="nil"/>
              <w:left w:val="nil"/>
              <w:bottom w:val="single" w:sz="8" w:space="0" w:color="000000"/>
              <w:right w:val="single" w:sz="8" w:space="0" w:color="000000"/>
            </w:tcBorders>
            <w:noWrap/>
            <w:vAlign w:val="bottom"/>
            <w:hideMark/>
          </w:tcPr>
          <w:p w14:paraId="24C37A8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12</w:t>
            </w:r>
          </w:p>
        </w:tc>
        <w:tc>
          <w:tcPr>
            <w:tcW w:w="1168" w:type="dxa"/>
            <w:tcBorders>
              <w:top w:val="nil"/>
              <w:left w:val="nil"/>
              <w:bottom w:val="single" w:sz="8" w:space="0" w:color="000000"/>
              <w:right w:val="single" w:sz="8" w:space="0" w:color="000000"/>
            </w:tcBorders>
            <w:noWrap/>
            <w:vAlign w:val="bottom"/>
            <w:hideMark/>
          </w:tcPr>
          <w:p w14:paraId="7A41970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w:t>
            </w:r>
          </w:p>
        </w:tc>
        <w:tc>
          <w:tcPr>
            <w:tcW w:w="1052" w:type="dxa"/>
            <w:tcBorders>
              <w:top w:val="nil"/>
              <w:left w:val="nil"/>
              <w:bottom w:val="single" w:sz="8" w:space="0" w:color="000000"/>
              <w:right w:val="single" w:sz="8" w:space="0" w:color="000000"/>
            </w:tcBorders>
            <w:noWrap/>
            <w:vAlign w:val="bottom"/>
            <w:hideMark/>
          </w:tcPr>
          <w:p w14:paraId="414B50D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w:t>
            </w:r>
          </w:p>
        </w:tc>
        <w:tc>
          <w:tcPr>
            <w:tcW w:w="1814" w:type="dxa"/>
            <w:tcBorders>
              <w:top w:val="nil"/>
              <w:left w:val="nil"/>
              <w:bottom w:val="nil"/>
              <w:right w:val="nil"/>
            </w:tcBorders>
            <w:noWrap/>
            <w:vAlign w:val="bottom"/>
            <w:hideMark/>
          </w:tcPr>
          <w:p w14:paraId="0169209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53103319"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5C0A6BD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Year 3</w:t>
            </w:r>
          </w:p>
        </w:tc>
        <w:tc>
          <w:tcPr>
            <w:tcW w:w="1793" w:type="dxa"/>
            <w:tcBorders>
              <w:top w:val="nil"/>
              <w:left w:val="nil"/>
              <w:bottom w:val="single" w:sz="8" w:space="0" w:color="000000"/>
              <w:right w:val="single" w:sz="8" w:space="0" w:color="000000"/>
            </w:tcBorders>
            <w:noWrap/>
            <w:vAlign w:val="bottom"/>
            <w:hideMark/>
          </w:tcPr>
          <w:p w14:paraId="16D85D2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14</w:t>
            </w:r>
          </w:p>
        </w:tc>
        <w:tc>
          <w:tcPr>
            <w:tcW w:w="1168" w:type="dxa"/>
            <w:tcBorders>
              <w:top w:val="nil"/>
              <w:left w:val="nil"/>
              <w:bottom w:val="single" w:sz="8" w:space="0" w:color="000000"/>
              <w:right w:val="single" w:sz="8" w:space="0" w:color="000000"/>
            </w:tcBorders>
            <w:noWrap/>
            <w:vAlign w:val="bottom"/>
            <w:hideMark/>
          </w:tcPr>
          <w:p w14:paraId="057A0AD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w:t>
            </w:r>
          </w:p>
        </w:tc>
        <w:tc>
          <w:tcPr>
            <w:tcW w:w="1052" w:type="dxa"/>
            <w:tcBorders>
              <w:top w:val="nil"/>
              <w:left w:val="nil"/>
              <w:bottom w:val="single" w:sz="8" w:space="0" w:color="000000"/>
              <w:right w:val="single" w:sz="8" w:space="0" w:color="000000"/>
            </w:tcBorders>
            <w:noWrap/>
            <w:vAlign w:val="bottom"/>
            <w:hideMark/>
          </w:tcPr>
          <w:p w14:paraId="35FEAF0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20</w:t>
            </w:r>
          </w:p>
        </w:tc>
        <w:tc>
          <w:tcPr>
            <w:tcW w:w="1814" w:type="dxa"/>
            <w:tcBorders>
              <w:top w:val="nil"/>
              <w:left w:val="nil"/>
              <w:bottom w:val="nil"/>
              <w:right w:val="nil"/>
            </w:tcBorders>
            <w:noWrap/>
            <w:vAlign w:val="bottom"/>
            <w:hideMark/>
          </w:tcPr>
          <w:p w14:paraId="068C652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603FC0E8"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2F8521F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Year 4</w:t>
            </w:r>
          </w:p>
        </w:tc>
        <w:tc>
          <w:tcPr>
            <w:tcW w:w="1793" w:type="dxa"/>
            <w:tcBorders>
              <w:top w:val="nil"/>
              <w:left w:val="nil"/>
              <w:bottom w:val="single" w:sz="8" w:space="0" w:color="000000"/>
              <w:right w:val="single" w:sz="8" w:space="0" w:color="000000"/>
            </w:tcBorders>
            <w:noWrap/>
            <w:vAlign w:val="bottom"/>
            <w:hideMark/>
          </w:tcPr>
          <w:p w14:paraId="21740EE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w:t>
            </w:r>
          </w:p>
        </w:tc>
        <w:tc>
          <w:tcPr>
            <w:tcW w:w="1168" w:type="dxa"/>
            <w:tcBorders>
              <w:top w:val="nil"/>
              <w:left w:val="nil"/>
              <w:bottom w:val="single" w:sz="8" w:space="0" w:color="000000"/>
              <w:right w:val="single" w:sz="8" w:space="0" w:color="000000"/>
            </w:tcBorders>
            <w:noWrap/>
            <w:vAlign w:val="bottom"/>
            <w:hideMark/>
          </w:tcPr>
          <w:p w14:paraId="7C6D043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w:t>
            </w:r>
          </w:p>
        </w:tc>
        <w:tc>
          <w:tcPr>
            <w:tcW w:w="1052" w:type="dxa"/>
            <w:tcBorders>
              <w:top w:val="nil"/>
              <w:left w:val="nil"/>
              <w:bottom w:val="single" w:sz="8" w:space="0" w:color="000000"/>
              <w:right w:val="single" w:sz="8" w:space="0" w:color="000000"/>
            </w:tcBorders>
            <w:noWrap/>
            <w:vAlign w:val="bottom"/>
            <w:hideMark/>
          </w:tcPr>
          <w:p w14:paraId="7D47B0A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25</w:t>
            </w:r>
          </w:p>
        </w:tc>
        <w:tc>
          <w:tcPr>
            <w:tcW w:w="1814" w:type="dxa"/>
            <w:tcBorders>
              <w:top w:val="nil"/>
              <w:left w:val="nil"/>
              <w:bottom w:val="nil"/>
              <w:right w:val="nil"/>
            </w:tcBorders>
            <w:noWrap/>
            <w:vAlign w:val="bottom"/>
            <w:hideMark/>
          </w:tcPr>
          <w:p w14:paraId="4252096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38B5D4FA"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08D8743A"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Year 5</w:t>
            </w:r>
          </w:p>
        </w:tc>
        <w:tc>
          <w:tcPr>
            <w:tcW w:w="1793" w:type="dxa"/>
            <w:tcBorders>
              <w:top w:val="nil"/>
              <w:left w:val="nil"/>
              <w:bottom w:val="single" w:sz="8" w:space="0" w:color="000000"/>
              <w:right w:val="single" w:sz="8" w:space="0" w:color="000000"/>
            </w:tcBorders>
            <w:noWrap/>
            <w:vAlign w:val="bottom"/>
            <w:hideMark/>
          </w:tcPr>
          <w:p w14:paraId="72EF96C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w:t>
            </w:r>
          </w:p>
        </w:tc>
        <w:tc>
          <w:tcPr>
            <w:tcW w:w="1168" w:type="dxa"/>
            <w:tcBorders>
              <w:top w:val="nil"/>
              <w:left w:val="nil"/>
              <w:bottom w:val="single" w:sz="8" w:space="0" w:color="000000"/>
              <w:right w:val="single" w:sz="8" w:space="0" w:color="000000"/>
            </w:tcBorders>
            <w:noWrap/>
            <w:vAlign w:val="bottom"/>
            <w:hideMark/>
          </w:tcPr>
          <w:p w14:paraId="6C785BF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w:t>
            </w:r>
          </w:p>
        </w:tc>
        <w:tc>
          <w:tcPr>
            <w:tcW w:w="1052" w:type="dxa"/>
            <w:tcBorders>
              <w:top w:val="nil"/>
              <w:left w:val="nil"/>
              <w:bottom w:val="single" w:sz="8" w:space="0" w:color="000000"/>
              <w:right w:val="single" w:sz="8" w:space="0" w:color="000000"/>
            </w:tcBorders>
            <w:noWrap/>
            <w:vAlign w:val="bottom"/>
            <w:hideMark/>
          </w:tcPr>
          <w:p w14:paraId="606CB60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w:t>
            </w:r>
          </w:p>
        </w:tc>
        <w:tc>
          <w:tcPr>
            <w:tcW w:w="1814" w:type="dxa"/>
            <w:tcBorders>
              <w:top w:val="nil"/>
              <w:left w:val="nil"/>
              <w:bottom w:val="nil"/>
              <w:right w:val="nil"/>
            </w:tcBorders>
            <w:noWrap/>
            <w:vAlign w:val="bottom"/>
            <w:hideMark/>
          </w:tcPr>
          <w:p w14:paraId="458FCCE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69CAEC59" w14:textId="77777777" w:rsidTr="004A45B0">
        <w:trPr>
          <w:trHeight w:val="258"/>
        </w:trPr>
        <w:tc>
          <w:tcPr>
            <w:tcW w:w="4014" w:type="dxa"/>
            <w:tcBorders>
              <w:top w:val="nil"/>
              <w:left w:val="nil"/>
              <w:bottom w:val="nil"/>
              <w:right w:val="nil"/>
            </w:tcBorders>
            <w:noWrap/>
            <w:vAlign w:val="bottom"/>
            <w:hideMark/>
          </w:tcPr>
          <w:p w14:paraId="32B840B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61980B7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20FCC3A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1BEA94F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1161A38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32660C62" w14:textId="77777777" w:rsidTr="004A45B0">
        <w:trPr>
          <w:trHeight w:val="258"/>
        </w:trPr>
        <w:tc>
          <w:tcPr>
            <w:tcW w:w="4014" w:type="dxa"/>
            <w:tcBorders>
              <w:top w:val="nil"/>
              <w:left w:val="nil"/>
              <w:bottom w:val="nil"/>
              <w:right w:val="nil"/>
            </w:tcBorders>
            <w:noWrap/>
            <w:vAlign w:val="bottom"/>
            <w:hideMark/>
          </w:tcPr>
          <w:p w14:paraId="28D9F3AA"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4C6598B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70A0D47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65048CB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7A97F38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AAFC341" w14:textId="77777777" w:rsidTr="004A45B0">
        <w:trPr>
          <w:trHeight w:val="267"/>
        </w:trPr>
        <w:tc>
          <w:tcPr>
            <w:tcW w:w="4014" w:type="dxa"/>
            <w:tcBorders>
              <w:top w:val="nil"/>
              <w:left w:val="nil"/>
              <w:bottom w:val="nil"/>
              <w:right w:val="nil"/>
            </w:tcBorders>
            <w:shd w:val="clear" w:color="000000" w:fill="1F4E78"/>
            <w:noWrap/>
            <w:vAlign w:val="bottom"/>
            <w:hideMark/>
          </w:tcPr>
          <w:p w14:paraId="0FF5E824"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G2. Discount Factors (8%)</w:t>
            </w:r>
          </w:p>
        </w:tc>
        <w:tc>
          <w:tcPr>
            <w:tcW w:w="1793" w:type="dxa"/>
            <w:tcBorders>
              <w:top w:val="nil"/>
              <w:left w:val="nil"/>
              <w:bottom w:val="nil"/>
              <w:right w:val="nil"/>
            </w:tcBorders>
            <w:noWrap/>
            <w:vAlign w:val="bottom"/>
            <w:hideMark/>
          </w:tcPr>
          <w:p w14:paraId="67D76D11"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4E8003A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2019461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04A3603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D6FBF1B"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13E245D8"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Year</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6A9E2FE8"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Factor</w:t>
            </w:r>
          </w:p>
        </w:tc>
        <w:tc>
          <w:tcPr>
            <w:tcW w:w="1168" w:type="dxa"/>
            <w:tcBorders>
              <w:top w:val="nil"/>
              <w:left w:val="nil"/>
              <w:bottom w:val="nil"/>
              <w:right w:val="nil"/>
            </w:tcBorders>
            <w:noWrap/>
            <w:vAlign w:val="bottom"/>
            <w:hideMark/>
          </w:tcPr>
          <w:p w14:paraId="51A0B936"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c>
          <w:tcPr>
            <w:tcW w:w="1052" w:type="dxa"/>
            <w:tcBorders>
              <w:top w:val="nil"/>
              <w:left w:val="nil"/>
              <w:bottom w:val="nil"/>
              <w:right w:val="nil"/>
            </w:tcBorders>
            <w:noWrap/>
            <w:vAlign w:val="bottom"/>
            <w:hideMark/>
          </w:tcPr>
          <w:p w14:paraId="1DEE35F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56992D6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E0E7C28"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53033DD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w:t>
            </w:r>
          </w:p>
        </w:tc>
        <w:tc>
          <w:tcPr>
            <w:tcW w:w="1793" w:type="dxa"/>
            <w:tcBorders>
              <w:top w:val="nil"/>
              <w:left w:val="nil"/>
              <w:bottom w:val="single" w:sz="8" w:space="0" w:color="000000"/>
              <w:right w:val="single" w:sz="8" w:space="0" w:color="000000"/>
            </w:tcBorders>
            <w:noWrap/>
            <w:vAlign w:val="bottom"/>
            <w:hideMark/>
          </w:tcPr>
          <w:p w14:paraId="3E68EC9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0,9259</w:t>
            </w:r>
          </w:p>
        </w:tc>
        <w:tc>
          <w:tcPr>
            <w:tcW w:w="1168" w:type="dxa"/>
            <w:tcBorders>
              <w:top w:val="nil"/>
              <w:left w:val="nil"/>
              <w:bottom w:val="nil"/>
              <w:right w:val="nil"/>
            </w:tcBorders>
            <w:noWrap/>
            <w:vAlign w:val="bottom"/>
            <w:hideMark/>
          </w:tcPr>
          <w:p w14:paraId="5A4994F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53E439A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7584431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B08C4B6"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3CBDEA5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w:t>
            </w:r>
          </w:p>
        </w:tc>
        <w:tc>
          <w:tcPr>
            <w:tcW w:w="1793" w:type="dxa"/>
            <w:tcBorders>
              <w:top w:val="nil"/>
              <w:left w:val="nil"/>
              <w:bottom w:val="single" w:sz="8" w:space="0" w:color="000000"/>
              <w:right w:val="single" w:sz="8" w:space="0" w:color="000000"/>
            </w:tcBorders>
            <w:noWrap/>
            <w:vAlign w:val="bottom"/>
            <w:hideMark/>
          </w:tcPr>
          <w:p w14:paraId="5CD4D7E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0,8573</w:t>
            </w:r>
          </w:p>
        </w:tc>
        <w:tc>
          <w:tcPr>
            <w:tcW w:w="1168" w:type="dxa"/>
            <w:tcBorders>
              <w:top w:val="nil"/>
              <w:left w:val="nil"/>
              <w:bottom w:val="nil"/>
              <w:right w:val="nil"/>
            </w:tcBorders>
            <w:noWrap/>
            <w:vAlign w:val="bottom"/>
            <w:hideMark/>
          </w:tcPr>
          <w:p w14:paraId="6C6BF59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04B9639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572D970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1C286165"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6A6F3EA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w:t>
            </w:r>
          </w:p>
        </w:tc>
        <w:tc>
          <w:tcPr>
            <w:tcW w:w="1793" w:type="dxa"/>
            <w:tcBorders>
              <w:top w:val="nil"/>
              <w:left w:val="nil"/>
              <w:bottom w:val="single" w:sz="8" w:space="0" w:color="000000"/>
              <w:right w:val="single" w:sz="8" w:space="0" w:color="000000"/>
            </w:tcBorders>
            <w:noWrap/>
            <w:vAlign w:val="bottom"/>
            <w:hideMark/>
          </w:tcPr>
          <w:p w14:paraId="48C4546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0,7938</w:t>
            </w:r>
          </w:p>
        </w:tc>
        <w:tc>
          <w:tcPr>
            <w:tcW w:w="1168" w:type="dxa"/>
            <w:tcBorders>
              <w:top w:val="nil"/>
              <w:left w:val="nil"/>
              <w:bottom w:val="nil"/>
              <w:right w:val="nil"/>
            </w:tcBorders>
            <w:noWrap/>
            <w:vAlign w:val="bottom"/>
            <w:hideMark/>
          </w:tcPr>
          <w:p w14:paraId="2EE6E04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6A374DC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66B07FE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281A9EA9"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542D1F4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w:t>
            </w:r>
          </w:p>
        </w:tc>
        <w:tc>
          <w:tcPr>
            <w:tcW w:w="1793" w:type="dxa"/>
            <w:tcBorders>
              <w:top w:val="nil"/>
              <w:left w:val="nil"/>
              <w:bottom w:val="single" w:sz="8" w:space="0" w:color="000000"/>
              <w:right w:val="single" w:sz="8" w:space="0" w:color="000000"/>
            </w:tcBorders>
            <w:noWrap/>
            <w:vAlign w:val="bottom"/>
            <w:hideMark/>
          </w:tcPr>
          <w:p w14:paraId="6216D55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0,735</w:t>
            </w:r>
          </w:p>
        </w:tc>
        <w:tc>
          <w:tcPr>
            <w:tcW w:w="1168" w:type="dxa"/>
            <w:tcBorders>
              <w:top w:val="nil"/>
              <w:left w:val="nil"/>
              <w:bottom w:val="nil"/>
              <w:right w:val="nil"/>
            </w:tcBorders>
            <w:noWrap/>
            <w:vAlign w:val="bottom"/>
            <w:hideMark/>
          </w:tcPr>
          <w:p w14:paraId="21035AE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18C3F44A"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07F8B9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B540EF7"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2045707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w:t>
            </w:r>
          </w:p>
        </w:tc>
        <w:tc>
          <w:tcPr>
            <w:tcW w:w="1793" w:type="dxa"/>
            <w:tcBorders>
              <w:top w:val="nil"/>
              <w:left w:val="nil"/>
              <w:bottom w:val="single" w:sz="8" w:space="0" w:color="000000"/>
              <w:right w:val="single" w:sz="8" w:space="0" w:color="000000"/>
            </w:tcBorders>
            <w:noWrap/>
            <w:vAlign w:val="bottom"/>
            <w:hideMark/>
          </w:tcPr>
          <w:p w14:paraId="22F8727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0,6806</w:t>
            </w:r>
          </w:p>
        </w:tc>
        <w:tc>
          <w:tcPr>
            <w:tcW w:w="1168" w:type="dxa"/>
            <w:tcBorders>
              <w:top w:val="nil"/>
              <w:left w:val="nil"/>
              <w:bottom w:val="nil"/>
              <w:right w:val="nil"/>
            </w:tcBorders>
            <w:noWrap/>
            <w:vAlign w:val="bottom"/>
            <w:hideMark/>
          </w:tcPr>
          <w:p w14:paraId="304C85B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02B29DB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19584B7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30887F5" w14:textId="77777777" w:rsidTr="004A45B0">
        <w:trPr>
          <w:trHeight w:val="258"/>
        </w:trPr>
        <w:tc>
          <w:tcPr>
            <w:tcW w:w="4014" w:type="dxa"/>
            <w:tcBorders>
              <w:top w:val="nil"/>
              <w:left w:val="nil"/>
              <w:bottom w:val="nil"/>
              <w:right w:val="nil"/>
            </w:tcBorders>
            <w:noWrap/>
            <w:vAlign w:val="bottom"/>
            <w:hideMark/>
          </w:tcPr>
          <w:p w14:paraId="12CEF87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291DD14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77F3776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52386AA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595F95F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795D99C2" w14:textId="77777777" w:rsidTr="004A45B0">
        <w:trPr>
          <w:trHeight w:val="258"/>
        </w:trPr>
        <w:tc>
          <w:tcPr>
            <w:tcW w:w="4014" w:type="dxa"/>
            <w:tcBorders>
              <w:top w:val="nil"/>
              <w:left w:val="nil"/>
              <w:bottom w:val="nil"/>
              <w:right w:val="nil"/>
            </w:tcBorders>
            <w:noWrap/>
            <w:vAlign w:val="bottom"/>
            <w:hideMark/>
          </w:tcPr>
          <w:p w14:paraId="3954A56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7F5B6E9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71AE537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47C520D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708A013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B8EF446" w14:textId="77777777" w:rsidTr="004A45B0">
        <w:trPr>
          <w:trHeight w:val="267"/>
        </w:trPr>
        <w:tc>
          <w:tcPr>
            <w:tcW w:w="4014" w:type="dxa"/>
            <w:tcBorders>
              <w:top w:val="nil"/>
              <w:left w:val="nil"/>
              <w:bottom w:val="nil"/>
              <w:right w:val="nil"/>
            </w:tcBorders>
            <w:shd w:val="clear" w:color="000000" w:fill="1F4E78"/>
            <w:noWrap/>
            <w:vAlign w:val="bottom"/>
            <w:hideMark/>
          </w:tcPr>
          <w:p w14:paraId="16E08E35"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G3. Present Value of Cash Inflows</w:t>
            </w:r>
          </w:p>
        </w:tc>
        <w:tc>
          <w:tcPr>
            <w:tcW w:w="1793" w:type="dxa"/>
            <w:tcBorders>
              <w:top w:val="nil"/>
              <w:left w:val="nil"/>
              <w:bottom w:val="nil"/>
              <w:right w:val="nil"/>
            </w:tcBorders>
            <w:noWrap/>
            <w:vAlign w:val="bottom"/>
            <w:hideMark/>
          </w:tcPr>
          <w:p w14:paraId="3FBC3BEE"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3353E78A"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34E656F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03A27C8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2BD472C9"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063DD6A2"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Year</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0D5FB6FB"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A</w:t>
            </w:r>
          </w:p>
        </w:tc>
        <w:tc>
          <w:tcPr>
            <w:tcW w:w="1168" w:type="dxa"/>
            <w:tcBorders>
              <w:top w:val="single" w:sz="8" w:space="0" w:color="000000"/>
              <w:left w:val="nil"/>
              <w:bottom w:val="single" w:sz="8" w:space="0" w:color="000000"/>
              <w:right w:val="single" w:sz="8" w:space="0" w:color="000000"/>
            </w:tcBorders>
            <w:shd w:val="clear" w:color="000000" w:fill="D9EAD3"/>
            <w:noWrap/>
            <w:vAlign w:val="bottom"/>
            <w:hideMark/>
          </w:tcPr>
          <w:p w14:paraId="2BFB8284"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B</w:t>
            </w:r>
          </w:p>
        </w:tc>
        <w:tc>
          <w:tcPr>
            <w:tcW w:w="1052" w:type="dxa"/>
            <w:tcBorders>
              <w:top w:val="single" w:sz="8" w:space="0" w:color="000000"/>
              <w:left w:val="nil"/>
              <w:bottom w:val="single" w:sz="8" w:space="0" w:color="000000"/>
              <w:right w:val="single" w:sz="8" w:space="0" w:color="000000"/>
            </w:tcBorders>
            <w:shd w:val="clear" w:color="000000" w:fill="D9EAD3"/>
            <w:noWrap/>
            <w:vAlign w:val="bottom"/>
            <w:hideMark/>
          </w:tcPr>
          <w:p w14:paraId="6ACAD8CB"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C</w:t>
            </w:r>
          </w:p>
        </w:tc>
        <w:tc>
          <w:tcPr>
            <w:tcW w:w="1814" w:type="dxa"/>
            <w:tcBorders>
              <w:top w:val="nil"/>
              <w:left w:val="nil"/>
              <w:bottom w:val="nil"/>
              <w:right w:val="nil"/>
            </w:tcBorders>
            <w:noWrap/>
            <w:vAlign w:val="bottom"/>
            <w:hideMark/>
          </w:tcPr>
          <w:p w14:paraId="02EBD198"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r>
      <w:tr w:rsidR="004A45B0" w:rsidRPr="004A45B0" w14:paraId="5A2D25D8"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1044563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w:t>
            </w:r>
          </w:p>
        </w:tc>
        <w:tc>
          <w:tcPr>
            <w:tcW w:w="1793" w:type="dxa"/>
            <w:tcBorders>
              <w:top w:val="nil"/>
              <w:left w:val="nil"/>
              <w:bottom w:val="single" w:sz="8" w:space="0" w:color="000000"/>
              <w:right w:val="single" w:sz="8" w:space="0" w:color="000000"/>
            </w:tcBorders>
            <w:noWrap/>
            <w:vAlign w:val="bottom"/>
            <w:hideMark/>
          </w:tcPr>
          <w:p w14:paraId="28ABB074"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9,26</w:t>
            </w:r>
          </w:p>
        </w:tc>
        <w:tc>
          <w:tcPr>
            <w:tcW w:w="1168" w:type="dxa"/>
            <w:tcBorders>
              <w:top w:val="nil"/>
              <w:left w:val="nil"/>
              <w:bottom w:val="single" w:sz="8" w:space="0" w:color="000000"/>
              <w:right w:val="single" w:sz="8" w:space="0" w:color="000000"/>
            </w:tcBorders>
            <w:noWrap/>
            <w:vAlign w:val="bottom"/>
            <w:hideMark/>
          </w:tcPr>
          <w:p w14:paraId="5D9D286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10,19</w:t>
            </w:r>
          </w:p>
        </w:tc>
        <w:tc>
          <w:tcPr>
            <w:tcW w:w="1052" w:type="dxa"/>
            <w:tcBorders>
              <w:top w:val="nil"/>
              <w:left w:val="nil"/>
              <w:bottom w:val="single" w:sz="8" w:space="0" w:color="000000"/>
              <w:right w:val="single" w:sz="8" w:space="0" w:color="000000"/>
            </w:tcBorders>
            <w:noWrap/>
            <w:vAlign w:val="bottom"/>
            <w:hideMark/>
          </w:tcPr>
          <w:p w14:paraId="7123140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4,63</w:t>
            </w:r>
          </w:p>
        </w:tc>
        <w:tc>
          <w:tcPr>
            <w:tcW w:w="1814" w:type="dxa"/>
            <w:tcBorders>
              <w:top w:val="nil"/>
              <w:left w:val="nil"/>
              <w:bottom w:val="nil"/>
              <w:right w:val="nil"/>
            </w:tcBorders>
            <w:noWrap/>
            <w:vAlign w:val="bottom"/>
            <w:hideMark/>
          </w:tcPr>
          <w:p w14:paraId="69C5893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176E135A"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1111B1C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w:t>
            </w:r>
          </w:p>
        </w:tc>
        <w:tc>
          <w:tcPr>
            <w:tcW w:w="1793" w:type="dxa"/>
            <w:tcBorders>
              <w:top w:val="nil"/>
              <w:left w:val="nil"/>
              <w:bottom w:val="single" w:sz="8" w:space="0" w:color="000000"/>
              <w:right w:val="single" w:sz="8" w:space="0" w:color="000000"/>
            </w:tcBorders>
            <w:noWrap/>
            <w:vAlign w:val="bottom"/>
            <w:hideMark/>
          </w:tcPr>
          <w:p w14:paraId="6EDDDEC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10,29</w:t>
            </w:r>
          </w:p>
        </w:tc>
        <w:tc>
          <w:tcPr>
            <w:tcW w:w="1168" w:type="dxa"/>
            <w:tcBorders>
              <w:top w:val="nil"/>
              <w:left w:val="nil"/>
              <w:bottom w:val="single" w:sz="8" w:space="0" w:color="000000"/>
              <w:right w:val="single" w:sz="8" w:space="0" w:color="000000"/>
            </w:tcBorders>
            <w:noWrap/>
            <w:vAlign w:val="bottom"/>
            <w:hideMark/>
          </w:tcPr>
          <w:p w14:paraId="50B78C8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9,43</w:t>
            </w:r>
          </w:p>
        </w:tc>
        <w:tc>
          <w:tcPr>
            <w:tcW w:w="1052" w:type="dxa"/>
            <w:tcBorders>
              <w:top w:val="nil"/>
              <w:left w:val="nil"/>
              <w:bottom w:val="single" w:sz="8" w:space="0" w:color="000000"/>
              <w:right w:val="single" w:sz="8" w:space="0" w:color="000000"/>
            </w:tcBorders>
            <w:noWrap/>
            <w:vAlign w:val="bottom"/>
            <w:hideMark/>
          </w:tcPr>
          <w:p w14:paraId="2C97A93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8,57</w:t>
            </w:r>
          </w:p>
        </w:tc>
        <w:tc>
          <w:tcPr>
            <w:tcW w:w="1814" w:type="dxa"/>
            <w:tcBorders>
              <w:top w:val="nil"/>
              <w:left w:val="nil"/>
              <w:bottom w:val="nil"/>
              <w:right w:val="nil"/>
            </w:tcBorders>
            <w:noWrap/>
            <w:vAlign w:val="bottom"/>
            <w:hideMark/>
          </w:tcPr>
          <w:p w14:paraId="514321A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10C5796C"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74E932D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w:t>
            </w:r>
          </w:p>
        </w:tc>
        <w:tc>
          <w:tcPr>
            <w:tcW w:w="1793" w:type="dxa"/>
            <w:tcBorders>
              <w:top w:val="nil"/>
              <w:left w:val="nil"/>
              <w:bottom w:val="single" w:sz="8" w:space="0" w:color="000000"/>
              <w:right w:val="single" w:sz="8" w:space="0" w:color="000000"/>
            </w:tcBorders>
            <w:noWrap/>
            <w:vAlign w:val="bottom"/>
            <w:hideMark/>
          </w:tcPr>
          <w:p w14:paraId="314F74F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11,11</w:t>
            </w:r>
          </w:p>
        </w:tc>
        <w:tc>
          <w:tcPr>
            <w:tcW w:w="1168" w:type="dxa"/>
            <w:tcBorders>
              <w:top w:val="nil"/>
              <w:left w:val="nil"/>
              <w:bottom w:val="single" w:sz="8" w:space="0" w:color="000000"/>
              <w:right w:val="single" w:sz="8" w:space="0" w:color="000000"/>
            </w:tcBorders>
            <w:noWrap/>
            <w:vAlign w:val="bottom"/>
            <w:hideMark/>
          </w:tcPr>
          <w:p w14:paraId="5045DC2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8,73</w:t>
            </w:r>
          </w:p>
        </w:tc>
        <w:tc>
          <w:tcPr>
            <w:tcW w:w="1052" w:type="dxa"/>
            <w:tcBorders>
              <w:top w:val="nil"/>
              <w:left w:val="nil"/>
              <w:bottom w:val="single" w:sz="8" w:space="0" w:color="000000"/>
              <w:right w:val="single" w:sz="8" w:space="0" w:color="000000"/>
            </w:tcBorders>
            <w:noWrap/>
            <w:vAlign w:val="bottom"/>
            <w:hideMark/>
          </w:tcPr>
          <w:p w14:paraId="231B8A27"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15,88</w:t>
            </w:r>
          </w:p>
        </w:tc>
        <w:tc>
          <w:tcPr>
            <w:tcW w:w="1814" w:type="dxa"/>
            <w:tcBorders>
              <w:top w:val="nil"/>
              <w:left w:val="nil"/>
              <w:bottom w:val="nil"/>
              <w:right w:val="nil"/>
            </w:tcBorders>
            <w:noWrap/>
            <w:vAlign w:val="bottom"/>
            <w:hideMark/>
          </w:tcPr>
          <w:p w14:paraId="728FC6A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02B3EFB2"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02CFDBE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w:t>
            </w:r>
          </w:p>
        </w:tc>
        <w:tc>
          <w:tcPr>
            <w:tcW w:w="1793" w:type="dxa"/>
            <w:tcBorders>
              <w:top w:val="nil"/>
              <w:left w:val="nil"/>
              <w:bottom w:val="single" w:sz="8" w:space="0" w:color="000000"/>
              <w:right w:val="single" w:sz="8" w:space="0" w:color="000000"/>
            </w:tcBorders>
            <w:noWrap/>
            <w:vAlign w:val="bottom"/>
            <w:hideMark/>
          </w:tcPr>
          <w:p w14:paraId="7B342B8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7,35</w:t>
            </w:r>
          </w:p>
        </w:tc>
        <w:tc>
          <w:tcPr>
            <w:tcW w:w="1168" w:type="dxa"/>
            <w:tcBorders>
              <w:top w:val="nil"/>
              <w:left w:val="nil"/>
              <w:bottom w:val="single" w:sz="8" w:space="0" w:color="000000"/>
              <w:right w:val="single" w:sz="8" w:space="0" w:color="000000"/>
            </w:tcBorders>
            <w:noWrap/>
            <w:vAlign w:val="bottom"/>
            <w:hideMark/>
          </w:tcPr>
          <w:p w14:paraId="1B7772A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8,09</w:t>
            </w:r>
          </w:p>
        </w:tc>
        <w:tc>
          <w:tcPr>
            <w:tcW w:w="1052" w:type="dxa"/>
            <w:tcBorders>
              <w:top w:val="nil"/>
              <w:left w:val="nil"/>
              <w:bottom w:val="single" w:sz="8" w:space="0" w:color="000000"/>
              <w:right w:val="single" w:sz="8" w:space="0" w:color="000000"/>
            </w:tcBorders>
            <w:noWrap/>
            <w:vAlign w:val="bottom"/>
            <w:hideMark/>
          </w:tcPr>
          <w:p w14:paraId="5076448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18,38</w:t>
            </w:r>
          </w:p>
        </w:tc>
        <w:tc>
          <w:tcPr>
            <w:tcW w:w="1814" w:type="dxa"/>
            <w:tcBorders>
              <w:top w:val="nil"/>
              <w:left w:val="nil"/>
              <w:bottom w:val="nil"/>
              <w:right w:val="nil"/>
            </w:tcBorders>
            <w:noWrap/>
            <w:vAlign w:val="bottom"/>
            <w:hideMark/>
          </w:tcPr>
          <w:p w14:paraId="642F393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53FBAEAE"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4BFF2FE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w:t>
            </w:r>
          </w:p>
        </w:tc>
        <w:tc>
          <w:tcPr>
            <w:tcW w:w="1793" w:type="dxa"/>
            <w:tcBorders>
              <w:top w:val="nil"/>
              <w:left w:val="nil"/>
              <w:bottom w:val="single" w:sz="8" w:space="0" w:color="000000"/>
              <w:right w:val="single" w:sz="8" w:space="0" w:color="000000"/>
            </w:tcBorders>
            <w:noWrap/>
            <w:vAlign w:val="bottom"/>
            <w:hideMark/>
          </w:tcPr>
          <w:p w14:paraId="17DE235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5,44</w:t>
            </w:r>
          </w:p>
        </w:tc>
        <w:tc>
          <w:tcPr>
            <w:tcW w:w="1168" w:type="dxa"/>
            <w:tcBorders>
              <w:top w:val="nil"/>
              <w:left w:val="nil"/>
              <w:bottom w:val="single" w:sz="8" w:space="0" w:color="000000"/>
              <w:right w:val="single" w:sz="8" w:space="0" w:color="000000"/>
            </w:tcBorders>
            <w:noWrap/>
            <w:vAlign w:val="bottom"/>
            <w:hideMark/>
          </w:tcPr>
          <w:p w14:paraId="3FFD95D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7,49</w:t>
            </w:r>
          </w:p>
        </w:tc>
        <w:tc>
          <w:tcPr>
            <w:tcW w:w="1052" w:type="dxa"/>
            <w:tcBorders>
              <w:top w:val="nil"/>
              <w:left w:val="nil"/>
              <w:bottom w:val="single" w:sz="8" w:space="0" w:color="000000"/>
              <w:right w:val="single" w:sz="8" w:space="0" w:color="000000"/>
            </w:tcBorders>
            <w:noWrap/>
            <w:vAlign w:val="bottom"/>
            <w:hideMark/>
          </w:tcPr>
          <w:p w14:paraId="7E6A5AE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3,4</w:t>
            </w:r>
          </w:p>
        </w:tc>
        <w:tc>
          <w:tcPr>
            <w:tcW w:w="1814" w:type="dxa"/>
            <w:tcBorders>
              <w:top w:val="nil"/>
              <w:left w:val="nil"/>
              <w:bottom w:val="nil"/>
              <w:right w:val="nil"/>
            </w:tcBorders>
            <w:noWrap/>
            <w:vAlign w:val="bottom"/>
            <w:hideMark/>
          </w:tcPr>
          <w:p w14:paraId="512D5AA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45BE8138"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7969264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Total PV</w:t>
            </w:r>
          </w:p>
        </w:tc>
        <w:tc>
          <w:tcPr>
            <w:tcW w:w="1793" w:type="dxa"/>
            <w:tcBorders>
              <w:top w:val="nil"/>
              <w:left w:val="nil"/>
              <w:bottom w:val="single" w:sz="8" w:space="0" w:color="000000"/>
              <w:right w:val="single" w:sz="8" w:space="0" w:color="000000"/>
            </w:tcBorders>
            <w:noWrap/>
            <w:vAlign w:val="bottom"/>
            <w:hideMark/>
          </w:tcPr>
          <w:p w14:paraId="51EE15D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43,46</w:t>
            </w:r>
          </w:p>
        </w:tc>
        <w:tc>
          <w:tcPr>
            <w:tcW w:w="1168" w:type="dxa"/>
            <w:tcBorders>
              <w:top w:val="nil"/>
              <w:left w:val="nil"/>
              <w:bottom w:val="single" w:sz="8" w:space="0" w:color="000000"/>
              <w:right w:val="single" w:sz="8" w:space="0" w:color="000000"/>
            </w:tcBorders>
            <w:noWrap/>
            <w:vAlign w:val="bottom"/>
            <w:hideMark/>
          </w:tcPr>
          <w:p w14:paraId="35C8747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43,92</w:t>
            </w:r>
          </w:p>
        </w:tc>
        <w:tc>
          <w:tcPr>
            <w:tcW w:w="1052" w:type="dxa"/>
            <w:tcBorders>
              <w:top w:val="nil"/>
              <w:left w:val="nil"/>
              <w:bottom w:val="single" w:sz="8" w:space="0" w:color="000000"/>
              <w:right w:val="single" w:sz="8" w:space="0" w:color="000000"/>
            </w:tcBorders>
            <w:noWrap/>
            <w:vAlign w:val="bottom"/>
            <w:hideMark/>
          </w:tcPr>
          <w:p w14:paraId="66286B7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50,86</w:t>
            </w:r>
          </w:p>
        </w:tc>
        <w:tc>
          <w:tcPr>
            <w:tcW w:w="1814" w:type="dxa"/>
            <w:tcBorders>
              <w:top w:val="nil"/>
              <w:left w:val="nil"/>
              <w:bottom w:val="nil"/>
              <w:right w:val="nil"/>
            </w:tcBorders>
            <w:noWrap/>
            <w:vAlign w:val="bottom"/>
            <w:hideMark/>
          </w:tcPr>
          <w:p w14:paraId="37AEBE1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1133405A" w14:textId="77777777" w:rsidTr="004A45B0">
        <w:trPr>
          <w:trHeight w:val="258"/>
        </w:trPr>
        <w:tc>
          <w:tcPr>
            <w:tcW w:w="4014" w:type="dxa"/>
            <w:tcBorders>
              <w:top w:val="nil"/>
              <w:left w:val="nil"/>
              <w:bottom w:val="nil"/>
              <w:right w:val="nil"/>
            </w:tcBorders>
            <w:noWrap/>
            <w:vAlign w:val="bottom"/>
            <w:hideMark/>
          </w:tcPr>
          <w:p w14:paraId="3870228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40E95F1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53F1210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648E2F6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DBCDB3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1A61D968" w14:textId="77777777" w:rsidTr="004A45B0">
        <w:trPr>
          <w:trHeight w:val="258"/>
        </w:trPr>
        <w:tc>
          <w:tcPr>
            <w:tcW w:w="4014" w:type="dxa"/>
            <w:tcBorders>
              <w:top w:val="nil"/>
              <w:left w:val="nil"/>
              <w:bottom w:val="nil"/>
              <w:right w:val="nil"/>
            </w:tcBorders>
            <w:noWrap/>
            <w:vAlign w:val="bottom"/>
            <w:hideMark/>
          </w:tcPr>
          <w:p w14:paraId="76386EF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6E061BB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7B627D5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0C6E890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078BD47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264BFC7A" w14:textId="77777777" w:rsidTr="004A45B0">
        <w:trPr>
          <w:trHeight w:val="267"/>
        </w:trPr>
        <w:tc>
          <w:tcPr>
            <w:tcW w:w="4014" w:type="dxa"/>
            <w:tcBorders>
              <w:top w:val="nil"/>
              <w:left w:val="nil"/>
              <w:bottom w:val="nil"/>
              <w:right w:val="nil"/>
            </w:tcBorders>
            <w:shd w:val="clear" w:color="000000" w:fill="1F4E78"/>
            <w:noWrap/>
            <w:vAlign w:val="bottom"/>
            <w:hideMark/>
          </w:tcPr>
          <w:p w14:paraId="36DE22E7"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G4. Payback Period</w:t>
            </w:r>
          </w:p>
        </w:tc>
        <w:tc>
          <w:tcPr>
            <w:tcW w:w="1793" w:type="dxa"/>
            <w:tcBorders>
              <w:top w:val="nil"/>
              <w:left w:val="nil"/>
              <w:bottom w:val="nil"/>
              <w:right w:val="nil"/>
            </w:tcBorders>
            <w:noWrap/>
            <w:vAlign w:val="bottom"/>
            <w:hideMark/>
          </w:tcPr>
          <w:p w14:paraId="02EDD3A2"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78DCADEA"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4508CF7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7E0BD08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2A5936E1"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4C218C97"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3E1B6681"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Payback (Years)</w:t>
            </w:r>
          </w:p>
        </w:tc>
        <w:tc>
          <w:tcPr>
            <w:tcW w:w="1168" w:type="dxa"/>
            <w:tcBorders>
              <w:top w:val="nil"/>
              <w:left w:val="nil"/>
              <w:bottom w:val="nil"/>
              <w:right w:val="nil"/>
            </w:tcBorders>
            <w:noWrap/>
            <w:vAlign w:val="bottom"/>
            <w:hideMark/>
          </w:tcPr>
          <w:p w14:paraId="3C38410C"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c>
          <w:tcPr>
            <w:tcW w:w="1052" w:type="dxa"/>
            <w:tcBorders>
              <w:top w:val="nil"/>
              <w:left w:val="nil"/>
              <w:bottom w:val="nil"/>
              <w:right w:val="nil"/>
            </w:tcBorders>
            <w:noWrap/>
            <w:vAlign w:val="bottom"/>
            <w:hideMark/>
          </w:tcPr>
          <w:p w14:paraId="55244F9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6D0D17D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0F3B1F4"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3B9B153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A</w:t>
            </w:r>
          </w:p>
        </w:tc>
        <w:tc>
          <w:tcPr>
            <w:tcW w:w="1793" w:type="dxa"/>
            <w:tcBorders>
              <w:top w:val="nil"/>
              <w:left w:val="nil"/>
              <w:bottom w:val="single" w:sz="8" w:space="0" w:color="000000"/>
              <w:right w:val="single" w:sz="8" w:space="0" w:color="000000"/>
            </w:tcBorders>
            <w:noWrap/>
            <w:vAlign w:val="bottom"/>
            <w:hideMark/>
          </w:tcPr>
          <w:p w14:paraId="47893FF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4,5</w:t>
            </w:r>
          </w:p>
        </w:tc>
        <w:tc>
          <w:tcPr>
            <w:tcW w:w="1168" w:type="dxa"/>
            <w:tcBorders>
              <w:top w:val="nil"/>
              <w:left w:val="nil"/>
              <w:bottom w:val="nil"/>
              <w:right w:val="nil"/>
            </w:tcBorders>
            <w:noWrap/>
            <w:vAlign w:val="bottom"/>
            <w:hideMark/>
          </w:tcPr>
          <w:p w14:paraId="7767928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5B6E821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98290A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AB7A010"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7FFEB75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B</w:t>
            </w:r>
          </w:p>
        </w:tc>
        <w:tc>
          <w:tcPr>
            <w:tcW w:w="1793" w:type="dxa"/>
            <w:tcBorders>
              <w:top w:val="nil"/>
              <w:left w:val="nil"/>
              <w:bottom w:val="single" w:sz="8" w:space="0" w:color="000000"/>
              <w:right w:val="single" w:sz="8" w:space="0" w:color="000000"/>
            </w:tcBorders>
            <w:noWrap/>
            <w:vAlign w:val="bottom"/>
            <w:hideMark/>
          </w:tcPr>
          <w:p w14:paraId="69CBFB9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4,55</w:t>
            </w:r>
          </w:p>
        </w:tc>
        <w:tc>
          <w:tcPr>
            <w:tcW w:w="1168" w:type="dxa"/>
            <w:tcBorders>
              <w:top w:val="nil"/>
              <w:left w:val="nil"/>
              <w:bottom w:val="nil"/>
              <w:right w:val="nil"/>
            </w:tcBorders>
            <w:noWrap/>
            <w:vAlign w:val="bottom"/>
            <w:hideMark/>
          </w:tcPr>
          <w:p w14:paraId="518097A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4D47489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42B8E86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3F51EFC4"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018462F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c>
          <w:tcPr>
            <w:tcW w:w="1793" w:type="dxa"/>
            <w:tcBorders>
              <w:top w:val="nil"/>
              <w:left w:val="nil"/>
              <w:bottom w:val="single" w:sz="8" w:space="0" w:color="000000"/>
              <w:right w:val="single" w:sz="8" w:space="0" w:color="000000"/>
            </w:tcBorders>
            <w:noWrap/>
            <w:vAlign w:val="bottom"/>
            <w:hideMark/>
          </w:tcPr>
          <w:p w14:paraId="4ED4D5A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3,6</w:t>
            </w:r>
          </w:p>
        </w:tc>
        <w:tc>
          <w:tcPr>
            <w:tcW w:w="1168" w:type="dxa"/>
            <w:tcBorders>
              <w:top w:val="nil"/>
              <w:left w:val="nil"/>
              <w:bottom w:val="nil"/>
              <w:right w:val="nil"/>
            </w:tcBorders>
            <w:noWrap/>
            <w:vAlign w:val="bottom"/>
            <w:hideMark/>
          </w:tcPr>
          <w:p w14:paraId="5615252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0440664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59F677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56740384" w14:textId="77777777" w:rsidTr="004A45B0">
        <w:trPr>
          <w:trHeight w:val="258"/>
        </w:trPr>
        <w:tc>
          <w:tcPr>
            <w:tcW w:w="4014" w:type="dxa"/>
            <w:tcBorders>
              <w:top w:val="nil"/>
              <w:left w:val="nil"/>
              <w:bottom w:val="nil"/>
              <w:right w:val="nil"/>
            </w:tcBorders>
            <w:noWrap/>
            <w:vAlign w:val="bottom"/>
            <w:hideMark/>
          </w:tcPr>
          <w:p w14:paraId="6979E07F" w14:textId="77777777" w:rsidR="004A45B0" w:rsidRDefault="004A45B0" w:rsidP="004A45B0">
            <w:pPr>
              <w:spacing w:after="0" w:line="240" w:lineRule="auto"/>
              <w:rPr>
                <w:rFonts w:ascii="Times New Roman" w:eastAsia="Times New Roman" w:hAnsi="Times New Roman" w:cs="Times New Roman"/>
                <w:sz w:val="20"/>
                <w:szCs w:val="20"/>
                <w:lang w:val="en-US" w:eastAsia="en-US"/>
              </w:rPr>
            </w:pPr>
          </w:p>
          <w:p w14:paraId="209C1330" w14:textId="77777777" w:rsidR="005025C3" w:rsidRDefault="005025C3" w:rsidP="004A45B0">
            <w:pPr>
              <w:spacing w:after="0" w:line="240" w:lineRule="auto"/>
              <w:rPr>
                <w:rFonts w:ascii="Times New Roman" w:eastAsia="Times New Roman" w:hAnsi="Times New Roman" w:cs="Times New Roman"/>
                <w:sz w:val="20"/>
                <w:szCs w:val="20"/>
                <w:lang w:val="en-US" w:eastAsia="en-US"/>
              </w:rPr>
            </w:pPr>
          </w:p>
          <w:p w14:paraId="67FBB45B" w14:textId="77777777" w:rsidR="005025C3" w:rsidRDefault="005025C3" w:rsidP="004A45B0">
            <w:pPr>
              <w:spacing w:after="0" w:line="240" w:lineRule="auto"/>
              <w:rPr>
                <w:rFonts w:ascii="Times New Roman" w:eastAsia="Times New Roman" w:hAnsi="Times New Roman" w:cs="Times New Roman"/>
                <w:sz w:val="20"/>
                <w:szCs w:val="20"/>
                <w:lang w:val="en-US" w:eastAsia="en-US"/>
              </w:rPr>
            </w:pPr>
          </w:p>
          <w:p w14:paraId="45680560" w14:textId="77777777" w:rsidR="005025C3" w:rsidRPr="004A45B0" w:rsidRDefault="005025C3"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42A2FF2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0224503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46272DC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6813B0D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52299C1F" w14:textId="77777777" w:rsidTr="004A45B0">
        <w:trPr>
          <w:trHeight w:val="258"/>
        </w:trPr>
        <w:tc>
          <w:tcPr>
            <w:tcW w:w="4014" w:type="dxa"/>
            <w:tcBorders>
              <w:top w:val="nil"/>
              <w:left w:val="nil"/>
              <w:bottom w:val="nil"/>
              <w:right w:val="nil"/>
            </w:tcBorders>
            <w:noWrap/>
            <w:vAlign w:val="bottom"/>
            <w:hideMark/>
          </w:tcPr>
          <w:p w14:paraId="3BB7CFD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15AE6D9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5FAEE99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5443EE0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4D0EF71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1EBBF68" w14:textId="77777777" w:rsidTr="004A45B0">
        <w:trPr>
          <w:trHeight w:val="267"/>
        </w:trPr>
        <w:tc>
          <w:tcPr>
            <w:tcW w:w="4014" w:type="dxa"/>
            <w:tcBorders>
              <w:top w:val="nil"/>
              <w:left w:val="nil"/>
              <w:bottom w:val="nil"/>
              <w:right w:val="nil"/>
            </w:tcBorders>
            <w:shd w:val="clear" w:color="000000" w:fill="1F4E78"/>
            <w:noWrap/>
            <w:vAlign w:val="bottom"/>
            <w:hideMark/>
          </w:tcPr>
          <w:p w14:paraId="215733A5"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G5. Accounting Rate of Return (ARR)</w:t>
            </w:r>
          </w:p>
        </w:tc>
        <w:tc>
          <w:tcPr>
            <w:tcW w:w="1793" w:type="dxa"/>
            <w:tcBorders>
              <w:top w:val="nil"/>
              <w:left w:val="nil"/>
              <w:bottom w:val="nil"/>
              <w:right w:val="nil"/>
            </w:tcBorders>
            <w:noWrap/>
            <w:vAlign w:val="bottom"/>
            <w:hideMark/>
          </w:tcPr>
          <w:p w14:paraId="29650760"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23D8BDD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4CF71A39"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EB5DCF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5541248"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2C1AEF65"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205EBDC6"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Average Annual Profit (£m)</w:t>
            </w:r>
          </w:p>
        </w:tc>
        <w:tc>
          <w:tcPr>
            <w:tcW w:w="1168" w:type="dxa"/>
            <w:tcBorders>
              <w:top w:val="single" w:sz="8" w:space="0" w:color="000000"/>
              <w:left w:val="nil"/>
              <w:bottom w:val="single" w:sz="8" w:space="0" w:color="000000"/>
              <w:right w:val="single" w:sz="8" w:space="0" w:color="000000"/>
            </w:tcBorders>
            <w:shd w:val="clear" w:color="000000" w:fill="D9EAD3"/>
            <w:noWrap/>
            <w:vAlign w:val="bottom"/>
            <w:hideMark/>
          </w:tcPr>
          <w:p w14:paraId="6DA324BA"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ARR (%)</w:t>
            </w:r>
          </w:p>
        </w:tc>
        <w:tc>
          <w:tcPr>
            <w:tcW w:w="1052" w:type="dxa"/>
            <w:tcBorders>
              <w:top w:val="nil"/>
              <w:left w:val="nil"/>
              <w:bottom w:val="nil"/>
              <w:right w:val="nil"/>
            </w:tcBorders>
            <w:noWrap/>
            <w:vAlign w:val="bottom"/>
            <w:hideMark/>
          </w:tcPr>
          <w:p w14:paraId="26C4DE92"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c>
          <w:tcPr>
            <w:tcW w:w="1814" w:type="dxa"/>
            <w:tcBorders>
              <w:top w:val="nil"/>
              <w:left w:val="nil"/>
              <w:bottom w:val="nil"/>
              <w:right w:val="nil"/>
            </w:tcBorders>
            <w:noWrap/>
            <w:vAlign w:val="bottom"/>
            <w:hideMark/>
          </w:tcPr>
          <w:p w14:paraId="699B493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8BB1B29"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054E0517"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A</w:t>
            </w:r>
          </w:p>
        </w:tc>
        <w:tc>
          <w:tcPr>
            <w:tcW w:w="1793" w:type="dxa"/>
            <w:tcBorders>
              <w:top w:val="nil"/>
              <w:left w:val="nil"/>
              <w:bottom w:val="single" w:sz="8" w:space="0" w:color="000000"/>
              <w:right w:val="single" w:sz="8" w:space="0" w:color="000000"/>
            </w:tcBorders>
            <w:noWrap/>
            <w:vAlign w:val="bottom"/>
            <w:hideMark/>
          </w:tcPr>
          <w:p w14:paraId="1D25E7E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w:t>
            </w:r>
          </w:p>
        </w:tc>
        <w:tc>
          <w:tcPr>
            <w:tcW w:w="1168" w:type="dxa"/>
            <w:tcBorders>
              <w:top w:val="nil"/>
              <w:left w:val="nil"/>
              <w:bottom w:val="single" w:sz="8" w:space="0" w:color="000000"/>
              <w:right w:val="single" w:sz="8" w:space="0" w:color="000000"/>
            </w:tcBorders>
            <w:noWrap/>
            <w:vAlign w:val="bottom"/>
            <w:hideMark/>
          </w:tcPr>
          <w:p w14:paraId="523F14C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1,6</w:t>
            </w:r>
          </w:p>
        </w:tc>
        <w:tc>
          <w:tcPr>
            <w:tcW w:w="1052" w:type="dxa"/>
            <w:tcBorders>
              <w:top w:val="nil"/>
              <w:left w:val="nil"/>
              <w:bottom w:val="nil"/>
              <w:right w:val="nil"/>
            </w:tcBorders>
            <w:noWrap/>
            <w:vAlign w:val="bottom"/>
            <w:hideMark/>
          </w:tcPr>
          <w:p w14:paraId="590D4AD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814" w:type="dxa"/>
            <w:tcBorders>
              <w:top w:val="nil"/>
              <w:left w:val="nil"/>
              <w:bottom w:val="nil"/>
              <w:right w:val="nil"/>
            </w:tcBorders>
            <w:noWrap/>
            <w:vAlign w:val="bottom"/>
            <w:hideMark/>
          </w:tcPr>
          <w:p w14:paraId="6DFE1D6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330F870E"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4D0DE1D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B</w:t>
            </w:r>
          </w:p>
        </w:tc>
        <w:tc>
          <w:tcPr>
            <w:tcW w:w="1793" w:type="dxa"/>
            <w:tcBorders>
              <w:top w:val="nil"/>
              <w:left w:val="nil"/>
              <w:bottom w:val="single" w:sz="8" w:space="0" w:color="000000"/>
              <w:right w:val="single" w:sz="8" w:space="0" w:color="000000"/>
            </w:tcBorders>
            <w:noWrap/>
            <w:vAlign w:val="bottom"/>
            <w:hideMark/>
          </w:tcPr>
          <w:p w14:paraId="289CD45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w:t>
            </w:r>
          </w:p>
        </w:tc>
        <w:tc>
          <w:tcPr>
            <w:tcW w:w="1168" w:type="dxa"/>
            <w:tcBorders>
              <w:top w:val="nil"/>
              <w:left w:val="nil"/>
              <w:bottom w:val="single" w:sz="8" w:space="0" w:color="000000"/>
              <w:right w:val="single" w:sz="8" w:space="0" w:color="000000"/>
            </w:tcBorders>
            <w:noWrap/>
            <w:vAlign w:val="bottom"/>
            <w:hideMark/>
          </w:tcPr>
          <w:p w14:paraId="2389BC2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w:t>
            </w:r>
          </w:p>
        </w:tc>
        <w:tc>
          <w:tcPr>
            <w:tcW w:w="1052" w:type="dxa"/>
            <w:tcBorders>
              <w:top w:val="nil"/>
              <w:left w:val="nil"/>
              <w:bottom w:val="nil"/>
              <w:right w:val="nil"/>
            </w:tcBorders>
            <w:noWrap/>
            <w:vAlign w:val="bottom"/>
            <w:hideMark/>
          </w:tcPr>
          <w:p w14:paraId="7605169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814" w:type="dxa"/>
            <w:tcBorders>
              <w:top w:val="nil"/>
              <w:left w:val="nil"/>
              <w:bottom w:val="nil"/>
              <w:right w:val="nil"/>
            </w:tcBorders>
            <w:noWrap/>
            <w:vAlign w:val="bottom"/>
            <w:hideMark/>
          </w:tcPr>
          <w:p w14:paraId="3C41601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5365ECC"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75BCE8DE"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c>
          <w:tcPr>
            <w:tcW w:w="1793" w:type="dxa"/>
            <w:tcBorders>
              <w:top w:val="nil"/>
              <w:left w:val="nil"/>
              <w:bottom w:val="single" w:sz="8" w:space="0" w:color="000000"/>
              <w:right w:val="single" w:sz="8" w:space="0" w:color="000000"/>
            </w:tcBorders>
            <w:noWrap/>
            <w:vAlign w:val="bottom"/>
            <w:hideMark/>
          </w:tcPr>
          <w:p w14:paraId="6B3E831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w:t>
            </w:r>
          </w:p>
        </w:tc>
        <w:tc>
          <w:tcPr>
            <w:tcW w:w="1168" w:type="dxa"/>
            <w:tcBorders>
              <w:top w:val="nil"/>
              <w:left w:val="nil"/>
              <w:bottom w:val="single" w:sz="8" w:space="0" w:color="000000"/>
              <w:right w:val="single" w:sz="8" w:space="0" w:color="000000"/>
            </w:tcBorders>
            <w:noWrap/>
            <w:vAlign w:val="bottom"/>
            <w:hideMark/>
          </w:tcPr>
          <w:p w14:paraId="5838A9C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w:t>
            </w:r>
          </w:p>
        </w:tc>
        <w:tc>
          <w:tcPr>
            <w:tcW w:w="1052" w:type="dxa"/>
            <w:tcBorders>
              <w:top w:val="nil"/>
              <w:left w:val="nil"/>
              <w:bottom w:val="nil"/>
              <w:right w:val="nil"/>
            </w:tcBorders>
            <w:noWrap/>
            <w:vAlign w:val="bottom"/>
            <w:hideMark/>
          </w:tcPr>
          <w:p w14:paraId="10D5303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814" w:type="dxa"/>
            <w:tcBorders>
              <w:top w:val="nil"/>
              <w:left w:val="nil"/>
              <w:bottom w:val="nil"/>
              <w:right w:val="nil"/>
            </w:tcBorders>
            <w:noWrap/>
            <w:vAlign w:val="bottom"/>
            <w:hideMark/>
          </w:tcPr>
          <w:p w14:paraId="5DA6DB4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7DFCE02" w14:textId="77777777" w:rsidTr="004A45B0">
        <w:trPr>
          <w:trHeight w:val="258"/>
        </w:trPr>
        <w:tc>
          <w:tcPr>
            <w:tcW w:w="4014" w:type="dxa"/>
            <w:tcBorders>
              <w:top w:val="nil"/>
              <w:left w:val="nil"/>
              <w:bottom w:val="nil"/>
              <w:right w:val="nil"/>
            </w:tcBorders>
            <w:noWrap/>
            <w:vAlign w:val="bottom"/>
            <w:hideMark/>
          </w:tcPr>
          <w:p w14:paraId="71DFA08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2B1F6FB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700E346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6BFDE4C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063DB1E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3C2D021F" w14:textId="77777777" w:rsidTr="004A45B0">
        <w:trPr>
          <w:trHeight w:val="258"/>
        </w:trPr>
        <w:tc>
          <w:tcPr>
            <w:tcW w:w="4014" w:type="dxa"/>
            <w:tcBorders>
              <w:top w:val="nil"/>
              <w:left w:val="nil"/>
              <w:bottom w:val="nil"/>
              <w:right w:val="nil"/>
            </w:tcBorders>
            <w:noWrap/>
            <w:vAlign w:val="bottom"/>
            <w:hideMark/>
          </w:tcPr>
          <w:p w14:paraId="2FEECE5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776E882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6669B12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7FBF255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6307C56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0F34ADD" w14:textId="77777777" w:rsidTr="004A45B0">
        <w:trPr>
          <w:trHeight w:val="267"/>
        </w:trPr>
        <w:tc>
          <w:tcPr>
            <w:tcW w:w="4014" w:type="dxa"/>
            <w:tcBorders>
              <w:top w:val="nil"/>
              <w:left w:val="nil"/>
              <w:bottom w:val="nil"/>
              <w:right w:val="nil"/>
            </w:tcBorders>
            <w:shd w:val="clear" w:color="000000" w:fill="1F4E78"/>
            <w:noWrap/>
            <w:vAlign w:val="bottom"/>
            <w:hideMark/>
          </w:tcPr>
          <w:p w14:paraId="25B722D9"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G6. Net Present Value (NPV)</w:t>
            </w:r>
          </w:p>
        </w:tc>
        <w:tc>
          <w:tcPr>
            <w:tcW w:w="1793" w:type="dxa"/>
            <w:tcBorders>
              <w:top w:val="nil"/>
              <w:left w:val="nil"/>
              <w:bottom w:val="nil"/>
              <w:right w:val="nil"/>
            </w:tcBorders>
            <w:noWrap/>
            <w:vAlign w:val="bottom"/>
            <w:hideMark/>
          </w:tcPr>
          <w:p w14:paraId="7DC0B286"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648DBAC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2C429CE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1289865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BAAAAC0"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508BCDE9"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1E674461"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Total PV</w:t>
            </w:r>
          </w:p>
        </w:tc>
        <w:tc>
          <w:tcPr>
            <w:tcW w:w="1168" w:type="dxa"/>
            <w:tcBorders>
              <w:top w:val="single" w:sz="8" w:space="0" w:color="000000"/>
              <w:left w:val="nil"/>
              <w:bottom w:val="single" w:sz="8" w:space="0" w:color="000000"/>
              <w:right w:val="single" w:sz="8" w:space="0" w:color="000000"/>
            </w:tcBorders>
            <w:shd w:val="clear" w:color="000000" w:fill="D9EAD3"/>
            <w:noWrap/>
            <w:vAlign w:val="bottom"/>
            <w:hideMark/>
          </w:tcPr>
          <w:p w14:paraId="7AB703D1"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Initial Investment</w:t>
            </w:r>
          </w:p>
        </w:tc>
        <w:tc>
          <w:tcPr>
            <w:tcW w:w="1052" w:type="dxa"/>
            <w:tcBorders>
              <w:top w:val="single" w:sz="8" w:space="0" w:color="000000"/>
              <w:left w:val="nil"/>
              <w:bottom w:val="single" w:sz="8" w:space="0" w:color="000000"/>
              <w:right w:val="single" w:sz="8" w:space="0" w:color="000000"/>
            </w:tcBorders>
            <w:shd w:val="clear" w:color="000000" w:fill="D9EAD3"/>
            <w:noWrap/>
            <w:vAlign w:val="bottom"/>
            <w:hideMark/>
          </w:tcPr>
          <w:p w14:paraId="5A1A6D2C"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NPV (£m)</w:t>
            </w:r>
          </w:p>
        </w:tc>
        <w:tc>
          <w:tcPr>
            <w:tcW w:w="1814" w:type="dxa"/>
            <w:tcBorders>
              <w:top w:val="nil"/>
              <w:left w:val="nil"/>
              <w:bottom w:val="nil"/>
              <w:right w:val="nil"/>
            </w:tcBorders>
            <w:noWrap/>
            <w:vAlign w:val="bottom"/>
            <w:hideMark/>
          </w:tcPr>
          <w:p w14:paraId="42DB21C0"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r>
      <w:tr w:rsidR="004A45B0" w:rsidRPr="004A45B0" w14:paraId="621CB78D"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0D656617"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A</w:t>
            </w:r>
          </w:p>
        </w:tc>
        <w:tc>
          <w:tcPr>
            <w:tcW w:w="1793" w:type="dxa"/>
            <w:tcBorders>
              <w:top w:val="nil"/>
              <w:left w:val="nil"/>
              <w:bottom w:val="single" w:sz="8" w:space="0" w:color="000000"/>
              <w:right w:val="single" w:sz="8" w:space="0" w:color="000000"/>
            </w:tcBorders>
            <w:noWrap/>
            <w:vAlign w:val="bottom"/>
            <w:hideMark/>
          </w:tcPr>
          <w:p w14:paraId="060A27D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43,46</w:t>
            </w:r>
          </w:p>
        </w:tc>
        <w:tc>
          <w:tcPr>
            <w:tcW w:w="1168" w:type="dxa"/>
            <w:tcBorders>
              <w:top w:val="nil"/>
              <w:left w:val="nil"/>
              <w:bottom w:val="single" w:sz="8" w:space="0" w:color="000000"/>
              <w:right w:val="single" w:sz="8" w:space="0" w:color="000000"/>
            </w:tcBorders>
            <w:noWrap/>
            <w:vAlign w:val="bottom"/>
            <w:hideMark/>
          </w:tcPr>
          <w:p w14:paraId="4EA758B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052" w:type="dxa"/>
            <w:tcBorders>
              <w:top w:val="nil"/>
              <w:left w:val="nil"/>
              <w:bottom w:val="single" w:sz="8" w:space="0" w:color="000000"/>
              <w:right w:val="single" w:sz="8" w:space="0" w:color="000000"/>
            </w:tcBorders>
            <w:noWrap/>
            <w:vAlign w:val="bottom"/>
            <w:hideMark/>
          </w:tcPr>
          <w:p w14:paraId="0504519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-6,54</w:t>
            </w:r>
          </w:p>
        </w:tc>
        <w:tc>
          <w:tcPr>
            <w:tcW w:w="1814" w:type="dxa"/>
            <w:tcBorders>
              <w:top w:val="nil"/>
              <w:left w:val="nil"/>
              <w:bottom w:val="nil"/>
              <w:right w:val="nil"/>
            </w:tcBorders>
            <w:noWrap/>
            <w:vAlign w:val="bottom"/>
            <w:hideMark/>
          </w:tcPr>
          <w:p w14:paraId="11BB865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4DD717BA"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02BA8C2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B</w:t>
            </w:r>
          </w:p>
        </w:tc>
        <w:tc>
          <w:tcPr>
            <w:tcW w:w="1793" w:type="dxa"/>
            <w:tcBorders>
              <w:top w:val="nil"/>
              <w:left w:val="nil"/>
              <w:bottom w:val="single" w:sz="8" w:space="0" w:color="000000"/>
              <w:right w:val="single" w:sz="8" w:space="0" w:color="000000"/>
            </w:tcBorders>
            <w:noWrap/>
            <w:vAlign w:val="bottom"/>
            <w:hideMark/>
          </w:tcPr>
          <w:p w14:paraId="49A00F5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43,92</w:t>
            </w:r>
          </w:p>
        </w:tc>
        <w:tc>
          <w:tcPr>
            <w:tcW w:w="1168" w:type="dxa"/>
            <w:tcBorders>
              <w:top w:val="nil"/>
              <w:left w:val="nil"/>
              <w:bottom w:val="single" w:sz="8" w:space="0" w:color="000000"/>
              <w:right w:val="single" w:sz="8" w:space="0" w:color="000000"/>
            </w:tcBorders>
            <w:noWrap/>
            <w:vAlign w:val="bottom"/>
            <w:hideMark/>
          </w:tcPr>
          <w:p w14:paraId="1C79153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052" w:type="dxa"/>
            <w:tcBorders>
              <w:top w:val="nil"/>
              <w:left w:val="nil"/>
              <w:bottom w:val="single" w:sz="8" w:space="0" w:color="000000"/>
              <w:right w:val="single" w:sz="8" w:space="0" w:color="000000"/>
            </w:tcBorders>
            <w:noWrap/>
            <w:vAlign w:val="bottom"/>
            <w:hideMark/>
          </w:tcPr>
          <w:p w14:paraId="6C2E8CB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-6,08</w:t>
            </w:r>
          </w:p>
        </w:tc>
        <w:tc>
          <w:tcPr>
            <w:tcW w:w="1814" w:type="dxa"/>
            <w:tcBorders>
              <w:top w:val="nil"/>
              <w:left w:val="nil"/>
              <w:bottom w:val="nil"/>
              <w:right w:val="nil"/>
            </w:tcBorders>
            <w:noWrap/>
            <w:vAlign w:val="bottom"/>
            <w:hideMark/>
          </w:tcPr>
          <w:p w14:paraId="50D9C7E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40BEDC58"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4FB60B7E"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c>
          <w:tcPr>
            <w:tcW w:w="1793" w:type="dxa"/>
            <w:tcBorders>
              <w:top w:val="nil"/>
              <w:left w:val="nil"/>
              <w:bottom w:val="single" w:sz="8" w:space="0" w:color="000000"/>
              <w:right w:val="single" w:sz="8" w:space="0" w:color="000000"/>
            </w:tcBorders>
            <w:noWrap/>
            <w:vAlign w:val="bottom"/>
            <w:hideMark/>
          </w:tcPr>
          <w:p w14:paraId="15E3C136"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50,86</w:t>
            </w:r>
          </w:p>
        </w:tc>
        <w:tc>
          <w:tcPr>
            <w:tcW w:w="1168" w:type="dxa"/>
            <w:tcBorders>
              <w:top w:val="nil"/>
              <w:left w:val="nil"/>
              <w:bottom w:val="single" w:sz="8" w:space="0" w:color="000000"/>
              <w:right w:val="single" w:sz="8" w:space="0" w:color="000000"/>
            </w:tcBorders>
            <w:noWrap/>
            <w:vAlign w:val="bottom"/>
            <w:hideMark/>
          </w:tcPr>
          <w:p w14:paraId="5D77DF53"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50</w:t>
            </w:r>
          </w:p>
        </w:tc>
        <w:tc>
          <w:tcPr>
            <w:tcW w:w="1052" w:type="dxa"/>
            <w:tcBorders>
              <w:top w:val="nil"/>
              <w:left w:val="nil"/>
              <w:bottom w:val="single" w:sz="8" w:space="0" w:color="000000"/>
              <w:right w:val="single" w:sz="8" w:space="0" w:color="000000"/>
            </w:tcBorders>
            <w:noWrap/>
            <w:vAlign w:val="bottom"/>
            <w:hideMark/>
          </w:tcPr>
          <w:p w14:paraId="5ABF6185"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0,86</w:t>
            </w:r>
          </w:p>
        </w:tc>
        <w:tc>
          <w:tcPr>
            <w:tcW w:w="1814" w:type="dxa"/>
            <w:tcBorders>
              <w:top w:val="nil"/>
              <w:left w:val="nil"/>
              <w:bottom w:val="nil"/>
              <w:right w:val="nil"/>
            </w:tcBorders>
            <w:noWrap/>
            <w:vAlign w:val="bottom"/>
            <w:hideMark/>
          </w:tcPr>
          <w:p w14:paraId="7B0D1A8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r>
      <w:tr w:rsidR="004A45B0" w:rsidRPr="004A45B0" w14:paraId="520B5815" w14:textId="77777777" w:rsidTr="004A45B0">
        <w:trPr>
          <w:trHeight w:val="258"/>
        </w:trPr>
        <w:tc>
          <w:tcPr>
            <w:tcW w:w="4014" w:type="dxa"/>
            <w:tcBorders>
              <w:top w:val="nil"/>
              <w:left w:val="nil"/>
              <w:bottom w:val="nil"/>
              <w:right w:val="nil"/>
            </w:tcBorders>
            <w:noWrap/>
            <w:vAlign w:val="bottom"/>
            <w:hideMark/>
          </w:tcPr>
          <w:p w14:paraId="7518043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3565BF0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1B5ECA9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1E8DA75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B58A05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5A55D24" w14:textId="77777777" w:rsidTr="004A45B0">
        <w:trPr>
          <w:trHeight w:val="258"/>
        </w:trPr>
        <w:tc>
          <w:tcPr>
            <w:tcW w:w="4014" w:type="dxa"/>
            <w:tcBorders>
              <w:top w:val="nil"/>
              <w:left w:val="nil"/>
              <w:bottom w:val="nil"/>
              <w:right w:val="nil"/>
            </w:tcBorders>
            <w:noWrap/>
            <w:vAlign w:val="bottom"/>
            <w:hideMark/>
          </w:tcPr>
          <w:p w14:paraId="183F05D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44D06F6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0B4FDD1A"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11E1F7E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24EF268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517FC9C" w14:textId="77777777" w:rsidTr="004A45B0">
        <w:trPr>
          <w:trHeight w:val="267"/>
        </w:trPr>
        <w:tc>
          <w:tcPr>
            <w:tcW w:w="4014" w:type="dxa"/>
            <w:tcBorders>
              <w:top w:val="nil"/>
              <w:left w:val="nil"/>
              <w:bottom w:val="nil"/>
              <w:right w:val="nil"/>
            </w:tcBorders>
            <w:shd w:val="clear" w:color="000000" w:fill="1F4E78"/>
            <w:noWrap/>
            <w:vAlign w:val="bottom"/>
            <w:hideMark/>
          </w:tcPr>
          <w:p w14:paraId="33F2D09F"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G7. Profitability Index (PI)</w:t>
            </w:r>
          </w:p>
        </w:tc>
        <w:tc>
          <w:tcPr>
            <w:tcW w:w="1793" w:type="dxa"/>
            <w:tcBorders>
              <w:top w:val="nil"/>
              <w:left w:val="nil"/>
              <w:bottom w:val="nil"/>
              <w:right w:val="nil"/>
            </w:tcBorders>
            <w:noWrap/>
            <w:vAlign w:val="bottom"/>
            <w:hideMark/>
          </w:tcPr>
          <w:p w14:paraId="053A337D"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24D6001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40CDC58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120743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75BCD2C"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4442CC35"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51A0D76F"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PI</w:t>
            </w:r>
          </w:p>
        </w:tc>
        <w:tc>
          <w:tcPr>
            <w:tcW w:w="1168" w:type="dxa"/>
            <w:tcBorders>
              <w:top w:val="nil"/>
              <w:left w:val="nil"/>
              <w:bottom w:val="nil"/>
              <w:right w:val="nil"/>
            </w:tcBorders>
            <w:noWrap/>
            <w:vAlign w:val="bottom"/>
            <w:hideMark/>
          </w:tcPr>
          <w:p w14:paraId="2275906C"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c>
          <w:tcPr>
            <w:tcW w:w="1052" w:type="dxa"/>
            <w:tcBorders>
              <w:top w:val="nil"/>
              <w:left w:val="nil"/>
              <w:bottom w:val="nil"/>
              <w:right w:val="nil"/>
            </w:tcBorders>
            <w:noWrap/>
            <w:vAlign w:val="bottom"/>
            <w:hideMark/>
          </w:tcPr>
          <w:p w14:paraId="1332439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0A5704B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70523165"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27DAE6C7"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A</w:t>
            </w:r>
          </w:p>
        </w:tc>
        <w:tc>
          <w:tcPr>
            <w:tcW w:w="1793" w:type="dxa"/>
            <w:tcBorders>
              <w:top w:val="nil"/>
              <w:left w:val="nil"/>
              <w:bottom w:val="single" w:sz="8" w:space="0" w:color="000000"/>
              <w:right w:val="single" w:sz="8" w:space="0" w:color="000000"/>
            </w:tcBorders>
            <w:noWrap/>
            <w:vAlign w:val="bottom"/>
            <w:hideMark/>
          </w:tcPr>
          <w:p w14:paraId="13D4395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0,869</w:t>
            </w:r>
          </w:p>
        </w:tc>
        <w:tc>
          <w:tcPr>
            <w:tcW w:w="1168" w:type="dxa"/>
            <w:tcBorders>
              <w:top w:val="nil"/>
              <w:left w:val="nil"/>
              <w:bottom w:val="nil"/>
              <w:right w:val="nil"/>
            </w:tcBorders>
            <w:noWrap/>
            <w:vAlign w:val="bottom"/>
            <w:hideMark/>
          </w:tcPr>
          <w:p w14:paraId="4FA75D7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62B8BEC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647B7C0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1B796D16"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1C3DDE8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B</w:t>
            </w:r>
          </w:p>
        </w:tc>
        <w:tc>
          <w:tcPr>
            <w:tcW w:w="1793" w:type="dxa"/>
            <w:tcBorders>
              <w:top w:val="nil"/>
              <w:left w:val="nil"/>
              <w:bottom w:val="single" w:sz="8" w:space="0" w:color="000000"/>
              <w:right w:val="single" w:sz="8" w:space="0" w:color="000000"/>
            </w:tcBorders>
            <w:noWrap/>
            <w:vAlign w:val="bottom"/>
            <w:hideMark/>
          </w:tcPr>
          <w:p w14:paraId="0C8E13F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0,878</w:t>
            </w:r>
          </w:p>
        </w:tc>
        <w:tc>
          <w:tcPr>
            <w:tcW w:w="1168" w:type="dxa"/>
            <w:tcBorders>
              <w:top w:val="nil"/>
              <w:left w:val="nil"/>
              <w:bottom w:val="nil"/>
              <w:right w:val="nil"/>
            </w:tcBorders>
            <w:noWrap/>
            <w:vAlign w:val="bottom"/>
            <w:hideMark/>
          </w:tcPr>
          <w:p w14:paraId="419FE1E9"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2DAA8DE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03136E4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4AC21C21"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1C5AA4B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c>
          <w:tcPr>
            <w:tcW w:w="1793" w:type="dxa"/>
            <w:tcBorders>
              <w:top w:val="nil"/>
              <w:left w:val="nil"/>
              <w:bottom w:val="single" w:sz="8" w:space="0" w:color="000000"/>
              <w:right w:val="single" w:sz="8" w:space="0" w:color="000000"/>
            </w:tcBorders>
            <w:noWrap/>
            <w:vAlign w:val="bottom"/>
            <w:hideMark/>
          </w:tcPr>
          <w:p w14:paraId="5C6CA73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1,017</w:t>
            </w:r>
          </w:p>
        </w:tc>
        <w:tc>
          <w:tcPr>
            <w:tcW w:w="1168" w:type="dxa"/>
            <w:tcBorders>
              <w:top w:val="nil"/>
              <w:left w:val="nil"/>
              <w:bottom w:val="nil"/>
              <w:right w:val="nil"/>
            </w:tcBorders>
            <w:noWrap/>
            <w:vAlign w:val="bottom"/>
            <w:hideMark/>
          </w:tcPr>
          <w:p w14:paraId="4F56BF9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4E00036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7190600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DB9F230" w14:textId="77777777" w:rsidTr="004A45B0">
        <w:trPr>
          <w:trHeight w:val="258"/>
        </w:trPr>
        <w:tc>
          <w:tcPr>
            <w:tcW w:w="4014" w:type="dxa"/>
            <w:tcBorders>
              <w:top w:val="nil"/>
              <w:left w:val="nil"/>
              <w:bottom w:val="nil"/>
              <w:right w:val="nil"/>
            </w:tcBorders>
            <w:noWrap/>
            <w:vAlign w:val="bottom"/>
            <w:hideMark/>
          </w:tcPr>
          <w:p w14:paraId="13BE016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7B49412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4454985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7C64CCC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42107DE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4678F45" w14:textId="77777777" w:rsidTr="004A45B0">
        <w:trPr>
          <w:trHeight w:val="258"/>
        </w:trPr>
        <w:tc>
          <w:tcPr>
            <w:tcW w:w="4014" w:type="dxa"/>
            <w:tcBorders>
              <w:top w:val="nil"/>
              <w:left w:val="nil"/>
              <w:bottom w:val="nil"/>
              <w:right w:val="nil"/>
            </w:tcBorders>
            <w:noWrap/>
            <w:vAlign w:val="bottom"/>
            <w:hideMark/>
          </w:tcPr>
          <w:p w14:paraId="318CDFE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04773B5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6D2BA9C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3F1D343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5E685A9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D7D011E" w14:textId="77777777" w:rsidTr="004A45B0">
        <w:trPr>
          <w:trHeight w:val="267"/>
        </w:trPr>
        <w:tc>
          <w:tcPr>
            <w:tcW w:w="4014" w:type="dxa"/>
            <w:tcBorders>
              <w:top w:val="nil"/>
              <w:left w:val="nil"/>
              <w:bottom w:val="nil"/>
              <w:right w:val="nil"/>
            </w:tcBorders>
            <w:shd w:val="clear" w:color="000000" w:fill="1F4E78"/>
            <w:noWrap/>
            <w:vAlign w:val="bottom"/>
            <w:hideMark/>
          </w:tcPr>
          <w:p w14:paraId="73F02A0C"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G8. Internal Rate of Return (IRR)</w:t>
            </w:r>
          </w:p>
        </w:tc>
        <w:tc>
          <w:tcPr>
            <w:tcW w:w="1793" w:type="dxa"/>
            <w:tcBorders>
              <w:top w:val="nil"/>
              <w:left w:val="nil"/>
              <w:bottom w:val="nil"/>
              <w:right w:val="nil"/>
            </w:tcBorders>
            <w:noWrap/>
            <w:vAlign w:val="bottom"/>
            <w:hideMark/>
          </w:tcPr>
          <w:p w14:paraId="5F8A0259"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4C88F11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3C94DFC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658F35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37E447F9"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0FA09692"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1EBD1B22"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IRR (%)</w:t>
            </w:r>
          </w:p>
        </w:tc>
        <w:tc>
          <w:tcPr>
            <w:tcW w:w="1168" w:type="dxa"/>
            <w:tcBorders>
              <w:top w:val="nil"/>
              <w:left w:val="nil"/>
              <w:bottom w:val="nil"/>
              <w:right w:val="nil"/>
            </w:tcBorders>
            <w:noWrap/>
            <w:vAlign w:val="bottom"/>
            <w:hideMark/>
          </w:tcPr>
          <w:p w14:paraId="57C6B4C0"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p>
        </w:tc>
        <w:tc>
          <w:tcPr>
            <w:tcW w:w="1052" w:type="dxa"/>
            <w:tcBorders>
              <w:top w:val="nil"/>
              <w:left w:val="nil"/>
              <w:bottom w:val="nil"/>
              <w:right w:val="nil"/>
            </w:tcBorders>
            <w:noWrap/>
            <w:vAlign w:val="bottom"/>
            <w:hideMark/>
          </w:tcPr>
          <w:p w14:paraId="7D111BF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1469BF8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248EAD6"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4BA9F75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A</w:t>
            </w:r>
          </w:p>
        </w:tc>
        <w:tc>
          <w:tcPr>
            <w:tcW w:w="1793" w:type="dxa"/>
            <w:tcBorders>
              <w:top w:val="nil"/>
              <w:left w:val="nil"/>
              <w:bottom w:val="single" w:sz="8" w:space="0" w:color="000000"/>
              <w:right w:val="single" w:sz="8" w:space="0" w:color="000000"/>
            </w:tcBorders>
            <w:noWrap/>
            <w:vAlign w:val="bottom"/>
            <w:hideMark/>
          </w:tcPr>
          <w:p w14:paraId="5281D2C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2,72</w:t>
            </w:r>
          </w:p>
        </w:tc>
        <w:tc>
          <w:tcPr>
            <w:tcW w:w="1168" w:type="dxa"/>
            <w:tcBorders>
              <w:top w:val="nil"/>
              <w:left w:val="nil"/>
              <w:bottom w:val="nil"/>
              <w:right w:val="nil"/>
            </w:tcBorders>
            <w:noWrap/>
            <w:vAlign w:val="bottom"/>
            <w:hideMark/>
          </w:tcPr>
          <w:p w14:paraId="59806C9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2ED2DB9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6A3DDCB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F245EC6"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226600D7"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B</w:t>
            </w:r>
          </w:p>
        </w:tc>
        <w:tc>
          <w:tcPr>
            <w:tcW w:w="1793" w:type="dxa"/>
            <w:tcBorders>
              <w:top w:val="nil"/>
              <w:left w:val="nil"/>
              <w:bottom w:val="single" w:sz="8" w:space="0" w:color="000000"/>
              <w:right w:val="single" w:sz="8" w:space="0" w:color="000000"/>
            </w:tcBorders>
            <w:noWrap/>
            <w:vAlign w:val="bottom"/>
            <w:hideMark/>
          </w:tcPr>
          <w:p w14:paraId="3E3AFD9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3,26</w:t>
            </w:r>
          </w:p>
        </w:tc>
        <w:tc>
          <w:tcPr>
            <w:tcW w:w="1168" w:type="dxa"/>
            <w:tcBorders>
              <w:top w:val="nil"/>
              <w:left w:val="nil"/>
              <w:bottom w:val="nil"/>
              <w:right w:val="nil"/>
            </w:tcBorders>
            <w:noWrap/>
            <w:vAlign w:val="bottom"/>
            <w:hideMark/>
          </w:tcPr>
          <w:p w14:paraId="781E65C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4132CB9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54BA6E4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5E4FF69A"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01549D6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c>
          <w:tcPr>
            <w:tcW w:w="1793" w:type="dxa"/>
            <w:tcBorders>
              <w:top w:val="nil"/>
              <w:left w:val="nil"/>
              <w:bottom w:val="single" w:sz="8" w:space="0" w:color="000000"/>
              <w:right w:val="single" w:sz="8" w:space="0" w:color="000000"/>
            </w:tcBorders>
            <w:noWrap/>
            <w:vAlign w:val="bottom"/>
            <w:hideMark/>
          </w:tcPr>
          <w:p w14:paraId="26268F1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8,59</w:t>
            </w:r>
          </w:p>
        </w:tc>
        <w:tc>
          <w:tcPr>
            <w:tcW w:w="1168" w:type="dxa"/>
            <w:tcBorders>
              <w:top w:val="nil"/>
              <w:left w:val="nil"/>
              <w:bottom w:val="nil"/>
              <w:right w:val="nil"/>
            </w:tcBorders>
            <w:noWrap/>
            <w:vAlign w:val="bottom"/>
            <w:hideMark/>
          </w:tcPr>
          <w:p w14:paraId="304B708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p>
        </w:tc>
        <w:tc>
          <w:tcPr>
            <w:tcW w:w="1052" w:type="dxa"/>
            <w:tcBorders>
              <w:top w:val="nil"/>
              <w:left w:val="nil"/>
              <w:bottom w:val="nil"/>
              <w:right w:val="nil"/>
            </w:tcBorders>
            <w:noWrap/>
            <w:vAlign w:val="bottom"/>
            <w:hideMark/>
          </w:tcPr>
          <w:p w14:paraId="5929630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23C882D5"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3D0C8CD8" w14:textId="77777777" w:rsidTr="004A45B0">
        <w:trPr>
          <w:trHeight w:val="258"/>
        </w:trPr>
        <w:tc>
          <w:tcPr>
            <w:tcW w:w="4014" w:type="dxa"/>
            <w:tcBorders>
              <w:top w:val="nil"/>
              <w:left w:val="nil"/>
              <w:bottom w:val="nil"/>
              <w:right w:val="nil"/>
            </w:tcBorders>
            <w:noWrap/>
            <w:vAlign w:val="bottom"/>
            <w:hideMark/>
          </w:tcPr>
          <w:p w14:paraId="3CB447E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6B36B66A"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2D00F06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1812740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16FB2D7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58A83D9" w14:textId="77777777" w:rsidTr="004A45B0">
        <w:trPr>
          <w:trHeight w:val="258"/>
        </w:trPr>
        <w:tc>
          <w:tcPr>
            <w:tcW w:w="4014" w:type="dxa"/>
            <w:tcBorders>
              <w:top w:val="nil"/>
              <w:left w:val="nil"/>
              <w:bottom w:val="nil"/>
              <w:right w:val="nil"/>
            </w:tcBorders>
            <w:noWrap/>
            <w:vAlign w:val="bottom"/>
            <w:hideMark/>
          </w:tcPr>
          <w:p w14:paraId="2584070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550F234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40C89B4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6AF8E54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697FC3E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51B4B6EC" w14:textId="77777777" w:rsidTr="004A45B0">
        <w:trPr>
          <w:trHeight w:val="267"/>
        </w:trPr>
        <w:tc>
          <w:tcPr>
            <w:tcW w:w="4014" w:type="dxa"/>
            <w:tcBorders>
              <w:top w:val="nil"/>
              <w:left w:val="nil"/>
              <w:bottom w:val="nil"/>
              <w:right w:val="nil"/>
            </w:tcBorders>
            <w:shd w:val="clear" w:color="000000" w:fill="1F4E78"/>
            <w:noWrap/>
            <w:vAlign w:val="bottom"/>
            <w:hideMark/>
          </w:tcPr>
          <w:p w14:paraId="0DF1185E"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r w:rsidRPr="004A45B0">
              <w:rPr>
                <w:rFonts w:ascii="Calibri" w:eastAsia="Times New Roman" w:hAnsi="Calibri" w:cs="Calibri"/>
                <w:b/>
                <w:bCs/>
                <w:color w:val="FFFFFF"/>
                <w:sz w:val="22"/>
                <w:szCs w:val="22"/>
                <w:lang w:val="en-US" w:eastAsia="en-US"/>
              </w:rPr>
              <w:t>Table G9. Summary of Investment Appraisal Results</w:t>
            </w:r>
          </w:p>
        </w:tc>
        <w:tc>
          <w:tcPr>
            <w:tcW w:w="1793" w:type="dxa"/>
            <w:tcBorders>
              <w:top w:val="nil"/>
              <w:left w:val="nil"/>
              <w:bottom w:val="nil"/>
              <w:right w:val="nil"/>
            </w:tcBorders>
            <w:noWrap/>
            <w:vAlign w:val="bottom"/>
            <w:hideMark/>
          </w:tcPr>
          <w:p w14:paraId="75407D47" w14:textId="77777777" w:rsidR="004A45B0" w:rsidRPr="004A45B0" w:rsidRDefault="004A45B0" w:rsidP="004A45B0">
            <w:pPr>
              <w:spacing w:after="0" w:line="240" w:lineRule="auto"/>
              <w:rPr>
                <w:rFonts w:ascii="Calibri" w:eastAsia="Times New Roman" w:hAnsi="Calibri" w:cs="Calibri"/>
                <w:b/>
                <w:bCs/>
                <w:color w:val="FFFFFF"/>
                <w:sz w:val="22"/>
                <w:szCs w:val="22"/>
                <w:lang w:val="en-US" w:eastAsia="en-US"/>
              </w:rPr>
            </w:pPr>
          </w:p>
        </w:tc>
        <w:tc>
          <w:tcPr>
            <w:tcW w:w="1168" w:type="dxa"/>
            <w:tcBorders>
              <w:top w:val="nil"/>
              <w:left w:val="nil"/>
              <w:bottom w:val="nil"/>
              <w:right w:val="nil"/>
            </w:tcBorders>
            <w:noWrap/>
            <w:vAlign w:val="bottom"/>
            <w:hideMark/>
          </w:tcPr>
          <w:p w14:paraId="4612F04C"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5F9975D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1D4A97F8"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10DFEE4" w14:textId="77777777" w:rsidTr="004A45B0">
        <w:trPr>
          <w:trHeight w:val="267"/>
        </w:trPr>
        <w:tc>
          <w:tcPr>
            <w:tcW w:w="4014" w:type="dxa"/>
            <w:tcBorders>
              <w:top w:val="single" w:sz="8" w:space="0" w:color="000000"/>
              <w:left w:val="single" w:sz="8" w:space="0" w:color="000000"/>
              <w:bottom w:val="single" w:sz="8" w:space="0" w:color="000000"/>
              <w:right w:val="single" w:sz="8" w:space="0" w:color="000000"/>
            </w:tcBorders>
            <w:shd w:val="clear" w:color="000000" w:fill="D9EAD3"/>
            <w:noWrap/>
            <w:vAlign w:val="bottom"/>
            <w:hideMark/>
          </w:tcPr>
          <w:p w14:paraId="1CDA4D8F"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Method</w:t>
            </w:r>
          </w:p>
        </w:tc>
        <w:tc>
          <w:tcPr>
            <w:tcW w:w="1793" w:type="dxa"/>
            <w:tcBorders>
              <w:top w:val="single" w:sz="8" w:space="0" w:color="000000"/>
              <w:left w:val="nil"/>
              <w:bottom w:val="single" w:sz="8" w:space="0" w:color="000000"/>
              <w:right w:val="single" w:sz="8" w:space="0" w:color="000000"/>
            </w:tcBorders>
            <w:shd w:val="clear" w:color="000000" w:fill="D9EAD3"/>
            <w:noWrap/>
            <w:vAlign w:val="bottom"/>
            <w:hideMark/>
          </w:tcPr>
          <w:p w14:paraId="7DDE27E9"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A</w:t>
            </w:r>
          </w:p>
        </w:tc>
        <w:tc>
          <w:tcPr>
            <w:tcW w:w="1168" w:type="dxa"/>
            <w:tcBorders>
              <w:top w:val="single" w:sz="8" w:space="0" w:color="000000"/>
              <w:left w:val="nil"/>
              <w:bottom w:val="single" w:sz="8" w:space="0" w:color="000000"/>
              <w:right w:val="single" w:sz="8" w:space="0" w:color="000000"/>
            </w:tcBorders>
            <w:shd w:val="clear" w:color="000000" w:fill="D9EAD3"/>
            <w:noWrap/>
            <w:vAlign w:val="bottom"/>
            <w:hideMark/>
          </w:tcPr>
          <w:p w14:paraId="4EAE01FE"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B</w:t>
            </w:r>
          </w:p>
        </w:tc>
        <w:tc>
          <w:tcPr>
            <w:tcW w:w="1052" w:type="dxa"/>
            <w:tcBorders>
              <w:top w:val="single" w:sz="8" w:space="0" w:color="000000"/>
              <w:left w:val="nil"/>
              <w:bottom w:val="single" w:sz="8" w:space="0" w:color="000000"/>
              <w:right w:val="single" w:sz="8" w:space="0" w:color="000000"/>
            </w:tcBorders>
            <w:shd w:val="clear" w:color="000000" w:fill="D9EAD3"/>
            <w:noWrap/>
            <w:vAlign w:val="bottom"/>
            <w:hideMark/>
          </w:tcPr>
          <w:p w14:paraId="048F39EE"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Project C</w:t>
            </w:r>
          </w:p>
        </w:tc>
        <w:tc>
          <w:tcPr>
            <w:tcW w:w="1814" w:type="dxa"/>
            <w:tcBorders>
              <w:top w:val="single" w:sz="8" w:space="0" w:color="000000"/>
              <w:left w:val="nil"/>
              <w:bottom w:val="single" w:sz="8" w:space="0" w:color="000000"/>
              <w:right w:val="single" w:sz="8" w:space="0" w:color="000000"/>
            </w:tcBorders>
            <w:shd w:val="clear" w:color="000000" w:fill="D9EAD3"/>
            <w:noWrap/>
            <w:vAlign w:val="bottom"/>
            <w:hideMark/>
          </w:tcPr>
          <w:p w14:paraId="05AE0BF9" w14:textId="77777777" w:rsidR="004A45B0" w:rsidRPr="004A45B0" w:rsidRDefault="004A45B0" w:rsidP="004A45B0">
            <w:pPr>
              <w:spacing w:after="0" w:line="240" w:lineRule="auto"/>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Preferred</w:t>
            </w:r>
          </w:p>
        </w:tc>
      </w:tr>
      <w:tr w:rsidR="004A45B0" w:rsidRPr="004A45B0" w14:paraId="66A18074"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10F8237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Payback Period</w:t>
            </w:r>
          </w:p>
        </w:tc>
        <w:tc>
          <w:tcPr>
            <w:tcW w:w="1793" w:type="dxa"/>
            <w:tcBorders>
              <w:top w:val="nil"/>
              <w:left w:val="nil"/>
              <w:bottom w:val="single" w:sz="8" w:space="0" w:color="000000"/>
              <w:right w:val="single" w:sz="8" w:space="0" w:color="000000"/>
            </w:tcBorders>
            <w:noWrap/>
            <w:vAlign w:val="bottom"/>
            <w:hideMark/>
          </w:tcPr>
          <w:p w14:paraId="1A75F76F"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4,5</w:t>
            </w:r>
          </w:p>
        </w:tc>
        <w:tc>
          <w:tcPr>
            <w:tcW w:w="1168" w:type="dxa"/>
            <w:tcBorders>
              <w:top w:val="nil"/>
              <w:left w:val="nil"/>
              <w:bottom w:val="single" w:sz="8" w:space="0" w:color="000000"/>
              <w:right w:val="single" w:sz="8" w:space="0" w:color="000000"/>
            </w:tcBorders>
            <w:noWrap/>
            <w:vAlign w:val="bottom"/>
            <w:hideMark/>
          </w:tcPr>
          <w:p w14:paraId="3AA222D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4,55</w:t>
            </w:r>
          </w:p>
        </w:tc>
        <w:tc>
          <w:tcPr>
            <w:tcW w:w="1052" w:type="dxa"/>
            <w:tcBorders>
              <w:top w:val="nil"/>
              <w:left w:val="nil"/>
              <w:bottom w:val="single" w:sz="8" w:space="0" w:color="000000"/>
              <w:right w:val="single" w:sz="8" w:space="0" w:color="000000"/>
            </w:tcBorders>
            <w:noWrap/>
            <w:vAlign w:val="bottom"/>
            <w:hideMark/>
          </w:tcPr>
          <w:p w14:paraId="791EAB0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3,6</w:t>
            </w:r>
          </w:p>
        </w:tc>
        <w:tc>
          <w:tcPr>
            <w:tcW w:w="1814" w:type="dxa"/>
            <w:tcBorders>
              <w:top w:val="nil"/>
              <w:left w:val="nil"/>
              <w:bottom w:val="single" w:sz="8" w:space="0" w:color="000000"/>
              <w:right w:val="single" w:sz="8" w:space="0" w:color="000000"/>
            </w:tcBorders>
            <w:noWrap/>
            <w:vAlign w:val="bottom"/>
            <w:hideMark/>
          </w:tcPr>
          <w:p w14:paraId="28949193"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r>
      <w:tr w:rsidR="004A45B0" w:rsidRPr="004A45B0" w14:paraId="4C782FE1"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5CC9C9FD"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ARR (%)</w:t>
            </w:r>
          </w:p>
        </w:tc>
        <w:tc>
          <w:tcPr>
            <w:tcW w:w="1793" w:type="dxa"/>
            <w:tcBorders>
              <w:top w:val="nil"/>
              <w:left w:val="nil"/>
              <w:bottom w:val="single" w:sz="8" w:space="0" w:color="000000"/>
              <w:right w:val="single" w:sz="8" w:space="0" w:color="000000"/>
            </w:tcBorders>
            <w:noWrap/>
            <w:vAlign w:val="bottom"/>
            <w:hideMark/>
          </w:tcPr>
          <w:p w14:paraId="4456E5AC"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1,6</w:t>
            </w:r>
          </w:p>
        </w:tc>
        <w:tc>
          <w:tcPr>
            <w:tcW w:w="1168" w:type="dxa"/>
            <w:tcBorders>
              <w:top w:val="nil"/>
              <w:left w:val="nil"/>
              <w:bottom w:val="single" w:sz="8" w:space="0" w:color="000000"/>
              <w:right w:val="single" w:sz="8" w:space="0" w:color="000000"/>
            </w:tcBorders>
            <w:noWrap/>
            <w:vAlign w:val="bottom"/>
            <w:hideMark/>
          </w:tcPr>
          <w:p w14:paraId="54B5CD80"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w:t>
            </w:r>
          </w:p>
        </w:tc>
        <w:tc>
          <w:tcPr>
            <w:tcW w:w="1052" w:type="dxa"/>
            <w:tcBorders>
              <w:top w:val="nil"/>
              <w:left w:val="nil"/>
              <w:bottom w:val="single" w:sz="8" w:space="0" w:color="000000"/>
              <w:right w:val="single" w:sz="8" w:space="0" w:color="000000"/>
            </w:tcBorders>
            <w:noWrap/>
            <w:vAlign w:val="bottom"/>
            <w:hideMark/>
          </w:tcPr>
          <w:p w14:paraId="5D99956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w:t>
            </w:r>
          </w:p>
        </w:tc>
        <w:tc>
          <w:tcPr>
            <w:tcW w:w="1814" w:type="dxa"/>
            <w:tcBorders>
              <w:top w:val="nil"/>
              <w:left w:val="nil"/>
              <w:bottom w:val="single" w:sz="8" w:space="0" w:color="000000"/>
              <w:right w:val="single" w:sz="8" w:space="0" w:color="000000"/>
            </w:tcBorders>
            <w:noWrap/>
            <w:vAlign w:val="bottom"/>
            <w:hideMark/>
          </w:tcPr>
          <w:p w14:paraId="6806159E"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r>
      <w:tr w:rsidR="004A45B0" w:rsidRPr="004A45B0" w14:paraId="523615F5"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39D1B0A4"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NPV (£m)</w:t>
            </w:r>
          </w:p>
        </w:tc>
        <w:tc>
          <w:tcPr>
            <w:tcW w:w="1793" w:type="dxa"/>
            <w:tcBorders>
              <w:top w:val="nil"/>
              <w:left w:val="nil"/>
              <w:bottom w:val="single" w:sz="8" w:space="0" w:color="000000"/>
              <w:right w:val="single" w:sz="8" w:space="0" w:color="000000"/>
            </w:tcBorders>
            <w:noWrap/>
            <w:vAlign w:val="bottom"/>
            <w:hideMark/>
          </w:tcPr>
          <w:p w14:paraId="3C725E9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-6,54</w:t>
            </w:r>
          </w:p>
        </w:tc>
        <w:tc>
          <w:tcPr>
            <w:tcW w:w="1168" w:type="dxa"/>
            <w:tcBorders>
              <w:top w:val="nil"/>
              <w:left w:val="nil"/>
              <w:bottom w:val="single" w:sz="8" w:space="0" w:color="000000"/>
              <w:right w:val="single" w:sz="8" w:space="0" w:color="000000"/>
            </w:tcBorders>
            <w:noWrap/>
            <w:vAlign w:val="bottom"/>
            <w:hideMark/>
          </w:tcPr>
          <w:p w14:paraId="0AA4A17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-6,08</w:t>
            </w:r>
          </w:p>
        </w:tc>
        <w:tc>
          <w:tcPr>
            <w:tcW w:w="1052" w:type="dxa"/>
            <w:tcBorders>
              <w:top w:val="nil"/>
              <w:left w:val="nil"/>
              <w:bottom w:val="single" w:sz="8" w:space="0" w:color="000000"/>
              <w:right w:val="single" w:sz="8" w:space="0" w:color="000000"/>
            </w:tcBorders>
            <w:noWrap/>
            <w:vAlign w:val="bottom"/>
            <w:hideMark/>
          </w:tcPr>
          <w:p w14:paraId="68D3832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0,86</w:t>
            </w:r>
          </w:p>
        </w:tc>
        <w:tc>
          <w:tcPr>
            <w:tcW w:w="1814" w:type="dxa"/>
            <w:tcBorders>
              <w:top w:val="nil"/>
              <w:left w:val="nil"/>
              <w:bottom w:val="single" w:sz="8" w:space="0" w:color="000000"/>
              <w:right w:val="single" w:sz="8" w:space="0" w:color="000000"/>
            </w:tcBorders>
            <w:noWrap/>
            <w:vAlign w:val="bottom"/>
            <w:hideMark/>
          </w:tcPr>
          <w:p w14:paraId="155AA9F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r>
      <w:tr w:rsidR="004A45B0" w:rsidRPr="004A45B0" w14:paraId="0F8876EB"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7FF5339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PI</w:t>
            </w:r>
          </w:p>
        </w:tc>
        <w:tc>
          <w:tcPr>
            <w:tcW w:w="1793" w:type="dxa"/>
            <w:tcBorders>
              <w:top w:val="nil"/>
              <w:left w:val="nil"/>
              <w:bottom w:val="single" w:sz="8" w:space="0" w:color="000000"/>
              <w:right w:val="single" w:sz="8" w:space="0" w:color="000000"/>
            </w:tcBorders>
            <w:noWrap/>
            <w:vAlign w:val="bottom"/>
            <w:hideMark/>
          </w:tcPr>
          <w:p w14:paraId="7CC81A2A"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0,869</w:t>
            </w:r>
          </w:p>
        </w:tc>
        <w:tc>
          <w:tcPr>
            <w:tcW w:w="1168" w:type="dxa"/>
            <w:tcBorders>
              <w:top w:val="nil"/>
              <w:left w:val="nil"/>
              <w:bottom w:val="single" w:sz="8" w:space="0" w:color="000000"/>
              <w:right w:val="single" w:sz="8" w:space="0" w:color="000000"/>
            </w:tcBorders>
            <w:noWrap/>
            <w:vAlign w:val="bottom"/>
            <w:hideMark/>
          </w:tcPr>
          <w:p w14:paraId="23A0AB0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0,878</w:t>
            </w:r>
          </w:p>
        </w:tc>
        <w:tc>
          <w:tcPr>
            <w:tcW w:w="1052" w:type="dxa"/>
            <w:tcBorders>
              <w:top w:val="nil"/>
              <w:left w:val="nil"/>
              <w:bottom w:val="single" w:sz="8" w:space="0" w:color="000000"/>
              <w:right w:val="single" w:sz="8" w:space="0" w:color="000000"/>
            </w:tcBorders>
            <w:noWrap/>
            <w:vAlign w:val="bottom"/>
            <w:hideMark/>
          </w:tcPr>
          <w:p w14:paraId="65CE096D"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1,017</w:t>
            </w:r>
          </w:p>
        </w:tc>
        <w:tc>
          <w:tcPr>
            <w:tcW w:w="1814" w:type="dxa"/>
            <w:tcBorders>
              <w:top w:val="nil"/>
              <w:left w:val="nil"/>
              <w:bottom w:val="single" w:sz="8" w:space="0" w:color="000000"/>
              <w:right w:val="single" w:sz="8" w:space="0" w:color="000000"/>
            </w:tcBorders>
            <w:noWrap/>
            <w:vAlign w:val="bottom"/>
            <w:hideMark/>
          </w:tcPr>
          <w:p w14:paraId="2C4C8B4B"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r>
      <w:tr w:rsidR="004A45B0" w:rsidRPr="004A45B0" w14:paraId="490B3E4B" w14:textId="77777777" w:rsidTr="004A45B0">
        <w:trPr>
          <w:trHeight w:val="267"/>
        </w:trPr>
        <w:tc>
          <w:tcPr>
            <w:tcW w:w="4014" w:type="dxa"/>
            <w:tcBorders>
              <w:top w:val="nil"/>
              <w:left w:val="single" w:sz="8" w:space="0" w:color="000000"/>
              <w:bottom w:val="single" w:sz="8" w:space="0" w:color="000000"/>
              <w:right w:val="single" w:sz="8" w:space="0" w:color="000000"/>
            </w:tcBorders>
            <w:noWrap/>
            <w:vAlign w:val="bottom"/>
            <w:hideMark/>
          </w:tcPr>
          <w:p w14:paraId="0146D178"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IRR (%)</w:t>
            </w:r>
          </w:p>
        </w:tc>
        <w:tc>
          <w:tcPr>
            <w:tcW w:w="1793" w:type="dxa"/>
            <w:tcBorders>
              <w:top w:val="nil"/>
              <w:left w:val="nil"/>
              <w:bottom w:val="single" w:sz="8" w:space="0" w:color="000000"/>
              <w:right w:val="single" w:sz="8" w:space="0" w:color="000000"/>
            </w:tcBorders>
            <w:noWrap/>
            <w:vAlign w:val="bottom"/>
            <w:hideMark/>
          </w:tcPr>
          <w:p w14:paraId="14DE8FA2"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2,72</w:t>
            </w:r>
          </w:p>
        </w:tc>
        <w:tc>
          <w:tcPr>
            <w:tcW w:w="1168" w:type="dxa"/>
            <w:tcBorders>
              <w:top w:val="nil"/>
              <w:left w:val="nil"/>
              <w:bottom w:val="single" w:sz="8" w:space="0" w:color="000000"/>
              <w:right w:val="single" w:sz="8" w:space="0" w:color="000000"/>
            </w:tcBorders>
            <w:noWrap/>
            <w:vAlign w:val="bottom"/>
            <w:hideMark/>
          </w:tcPr>
          <w:p w14:paraId="393905A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3,26</w:t>
            </w:r>
          </w:p>
        </w:tc>
        <w:tc>
          <w:tcPr>
            <w:tcW w:w="1052" w:type="dxa"/>
            <w:tcBorders>
              <w:top w:val="nil"/>
              <w:left w:val="nil"/>
              <w:bottom w:val="single" w:sz="8" w:space="0" w:color="000000"/>
              <w:right w:val="single" w:sz="8" w:space="0" w:color="000000"/>
            </w:tcBorders>
            <w:noWrap/>
            <w:vAlign w:val="bottom"/>
            <w:hideMark/>
          </w:tcPr>
          <w:p w14:paraId="5B9BC2A8"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8,59</w:t>
            </w:r>
          </w:p>
        </w:tc>
        <w:tc>
          <w:tcPr>
            <w:tcW w:w="1814" w:type="dxa"/>
            <w:tcBorders>
              <w:top w:val="nil"/>
              <w:left w:val="nil"/>
              <w:bottom w:val="single" w:sz="8" w:space="0" w:color="000000"/>
              <w:right w:val="single" w:sz="8" w:space="0" w:color="000000"/>
            </w:tcBorders>
            <w:noWrap/>
            <w:vAlign w:val="bottom"/>
            <w:hideMark/>
          </w:tcPr>
          <w:p w14:paraId="0187927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C</w:t>
            </w:r>
          </w:p>
        </w:tc>
      </w:tr>
      <w:tr w:rsidR="004A45B0" w:rsidRPr="004A45B0" w14:paraId="3D204ED9" w14:textId="77777777" w:rsidTr="004A45B0">
        <w:trPr>
          <w:trHeight w:val="258"/>
        </w:trPr>
        <w:tc>
          <w:tcPr>
            <w:tcW w:w="4014" w:type="dxa"/>
            <w:tcBorders>
              <w:top w:val="nil"/>
              <w:left w:val="nil"/>
              <w:bottom w:val="nil"/>
              <w:right w:val="nil"/>
            </w:tcBorders>
            <w:noWrap/>
            <w:vAlign w:val="bottom"/>
            <w:hideMark/>
          </w:tcPr>
          <w:p w14:paraId="4F61934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p>
        </w:tc>
        <w:tc>
          <w:tcPr>
            <w:tcW w:w="1793" w:type="dxa"/>
            <w:tcBorders>
              <w:top w:val="nil"/>
              <w:left w:val="nil"/>
              <w:bottom w:val="nil"/>
              <w:right w:val="nil"/>
            </w:tcBorders>
            <w:noWrap/>
            <w:vAlign w:val="bottom"/>
            <w:hideMark/>
          </w:tcPr>
          <w:p w14:paraId="6D5BA31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6F8BBDAE"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5EF8BBD0"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074A014B"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667531A0" w14:textId="77777777" w:rsidTr="004A45B0">
        <w:trPr>
          <w:trHeight w:val="258"/>
        </w:trPr>
        <w:tc>
          <w:tcPr>
            <w:tcW w:w="4014" w:type="dxa"/>
            <w:tcBorders>
              <w:top w:val="nil"/>
              <w:left w:val="nil"/>
              <w:bottom w:val="nil"/>
              <w:right w:val="nil"/>
            </w:tcBorders>
            <w:noWrap/>
            <w:vAlign w:val="bottom"/>
            <w:hideMark/>
          </w:tcPr>
          <w:p w14:paraId="1B7DA1F1"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3DBA5C7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317AFB4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5605D04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3813B0DF"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574274C8" w14:textId="77777777" w:rsidTr="004A45B0">
        <w:trPr>
          <w:trHeight w:val="258"/>
        </w:trPr>
        <w:tc>
          <w:tcPr>
            <w:tcW w:w="4014" w:type="dxa"/>
            <w:tcBorders>
              <w:top w:val="nil"/>
              <w:left w:val="nil"/>
              <w:bottom w:val="nil"/>
              <w:right w:val="nil"/>
            </w:tcBorders>
            <w:noWrap/>
            <w:vAlign w:val="bottom"/>
            <w:hideMark/>
          </w:tcPr>
          <w:p w14:paraId="221495BF" w14:textId="77777777" w:rsidR="004A45B0" w:rsidRDefault="004A45B0" w:rsidP="004A45B0">
            <w:pPr>
              <w:spacing w:after="0" w:line="240" w:lineRule="auto"/>
              <w:rPr>
                <w:rFonts w:ascii="Calibri" w:eastAsia="Times New Roman" w:hAnsi="Calibri" w:cs="Calibri"/>
                <w:color w:val="000000"/>
                <w:sz w:val="22"/>
                <w:szCs w:val="22"/>
                <w:lang w:val="en-US" w:eastAsia="en-US"/>
              </w:rPr>
            </w:pPr>
          </w:p>
          <w:p w14:paraId="3C586202" w14:textId="77777777" w:rsidR="005025C3" w:rsidRDefault="005025C3" w:rsidP="004A45B0">
            <w:pPr>
              <w:spacing w:after="0" w:line="240" w:lineRule="auto"/>
              <w:rPr>
                <w:rFonts w:ascii="Calibri" w:eastAsia="Times New Roman" w:hAnsi="Calibri" w:cs="Calibri"/>
                <w:color w:val="000000"/>
                <w:sz w:val="22"/>
                <w:szCs w:val="22"/>
                <w:lang w:val="en-US" w:eastAsia="en-US"/>
              </w:rPr>
            </w:pPr>
          </w:p>
          <w:p w14:paraId="1FEAE7C4" w14:textId="77777777" w:rsidR="005025C3" w:rsidRDefault="005025C3" w:rsidP="004A45B0">
            <w:pPr>
              <w:spacing w:after="0" w:line="240" w:lineRule="auto"/>
              <w:rPr>
                <w:rFonts w:ascii="Calibri" w:eastAsia="Times New Roman" w:hAnsi="Calibri" w:cs="Calibri"/>
                <w:color w:val="000000"/>
                <w:sz w:val="22"/>
                <w:szCs w:val="22"/>
                <w:lang w:val="en-US" w:eastAsia="en-US"/>
              </w:rPr>
            </w:pPr>
          </w:p>
          <w:p w14:paraId="1176DB73" w14:textId="77777777" w:rsidR="005025C3" w:rsidRDefault="005025C3" w:rsidP="004A45B0">
            <w:pPr>
              <w:spacing w:after="0" w:line="240" w:lineRule="auto"/>
              <w:rPr>
                <w:rFonts w:ascii="Calibri" w:eastAsia="Times New Roman" w:hAnsi="Calibri" w:cs="Calibri"/>
                <w:color w:val="000000"/>
                <w:sz w:val="22"/>
                <w:szCs w:val="22"/>
                <w:lang w:val="en-US" w:eastAsia="en-US"/>
              </w:rPr>
            </w:pPr>
          </w:p>
          <w:p w14:paraId="41FB4F14" w14:textId="77777777" w:rsidR="005025C3" w:rsidRDefault="005025C3" w:rsidP="004A45B0">
            <w:pPr>
              <w:spacing w:after="0" w:line="240" w:lineRule="auto"/>
              <w:rPr>
                <w:rFonts w:ascii="Calibri" w:eastAsia="Times New Roman" w:hAnsi="Calibri" w:cs="Calibri"/>
                <w:color w:val="000000"/>
                <w:sz w:val="22"/>
                <w:szCs w:val="22"/>
                <w:lang w:val="en-US" w:eastAsia="en-US"/>
              </w:rPr>
            </w:pPr>
          </w:p>
          <w:p w14:paraId="11B5849B" w14:textId="77777777" w:rsidR="005025C3" w:rsidRDefault="005025C3" w:rsidP="004A45B0">
            <w:pPr>
              <w:spacing w:after="0" w:line="240" w:lineRule="auto"/>
              <w:rPr>
                <w:rFonts w:ascii="Calibri" w:eastAsia="Times New Roman" w:hAnsi="Calibri" w:cs="Calibri"/>
                <w:color w:val="000000"/>
                <w:sz w:val="22"/>
                <w:szCs w:val="22"/>
                <w:lang w:val="en-US" w:eastAsia="en-US"/>
              </w:rPr>
            </w:pPr>
          </w:p>
          <w:p w14:paraId="38FDC66E" w14:textId="3E430457" w:rsidR="005025C3" w:rsidRPr="004A45B0" w:rsidRDefault="005025C3" w:rsidP="004A45B0">
            <w:pPr>
              <w:spacing w:after="0" w:line="240" w:lineRule="auto"/>
              <w:rPr>
                <w:rFonts w:ascii="Calibri" w:eastAsia="Times New Roman" w:hAnsi="Calibri" w:cs="Calibri"/>
                <w:color w:val="000000"/>
                <w:sz w:val="22"/>
                <w:szCs w:val="22"/>
                <w:lang w:val="en-US" w:eastAsia="en-US"/>
              </w:rPr>
            </w:pPr>
          </w:p>
        </w:tc>
        <w:tc>
          <w:tcPr>
            <w:tcW w:w="1793" w:type="dxa"/>
            <w:tcBorders>
              <w:top w:val="nil"/>
              <w:left w:val="nil"/>
              <w:bottom w:val="nil"/>
              <w:right w:val="nil"/>
            </w:tcBorders>
            <w:noWrap/>
            <w:vAlign w:val="bottom"/>
            <w:hideMark/>
          </w:tcPr>
          <w:p w14:paraId="7AB234B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p>
        </w:tc>
        <w:tc>
          <w:tcPr>
            <w:tcW w:w="1168" w:type="dxa"/>
            <w:tcBorders>
              <w:top w:val="nil"/>
              <w:left w:val="nil"/>
              <w:bottom w:val="nil"/>
              <w:right w:val="nil"/>
            </w:tcBorders>
            <w:noWrap/>
            <w:vAlign w:val="bottom"/>
            <w:hideMark/>
          </w:tcPr>
          <w:p w14:paraId="219E1B2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4983FDE2"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67AF9DB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03E0CB7D" w14:textId="77777777" w:rsidTr="004A45B0">
        <w:trPr>
          <w:trHeight w:val="258"/>
        </w:trPr>
        <w:tc>
          <w:tcPr>
            <w:tcW w:w="4014" w:type="dxa"/>
            <w:tcBorders>
              <w:top w:val="nil"/>
              <w:left w:val="nil"/>
              <w:bottom w:val="nil"/>
              <w:right w:val="nil"/>
            </w:tcBorders>
            <w:noWrap/>
            <w:vAlign w:val="bottom"/>
            <w:hideMark/>
          </w:tcPr>
          <w:p w14:paraId="2B870DCD"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793" w:type="dxa"/>
            <w:tcBorders>
              <w:top w:val="nil"/>
              <w:left w:val="nil"/>
              <w:bottom w:val="nil"/>
              <w:right w:val="nil"/>
            </w:tcBorders>
            <w:noWrap/>
            <w:vAlign w:val="bottom"/>
            <w:hideMark/>
          </w:tcPr>
          <w:p w14:paraId="77292F96"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168" w:type="dxa"/>
            <w:tcBorders>
              <w:top w:val="nil"/>
              <w:left w:val="nil"/>
              <w:bottom w:val="nil"/>
              <w:right w:val="nil"/>
            </w:tcBorders>
            <w:noWrap/>
            <w:vAlign w:val="bottom"/>
            <w:hideMark/>
          </w:tcPr>
          <w:p w14:paraId="02137D97"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052" w:type="dxa"/>
            <w:tcBorders>
              <w:top w:val="nil"/>
              <w:left w:val="nil"/>
              <w:bottom w:val="nil"/>
              <w:right w:val="nil"/>
            </w:tcBorders>
            <w:noWrap/>
            <w:vAlign w:val="bottom"/>
            <w:hideMark/>
          </w:tcPr>
          <w:p w14:paraId="40C5B324"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c>
          <w:tcPr>
            <w:tcW w:w="1814" w:type="dxa"/>
            <w:tcBorders>
              <w:top w:val="nil"/>
              <w:left w:val="nil"/>
              <w:bottom w:val="nil"/>
              <w:right w:val="nil"/>
            </w:tcBorders>
            <w:noWrap/>
            <w:vAlign w:val="bottom"/>
            <w:hideMark/>
          </w:tcPr>
          <w:p w14:paraId="7B764923" w14:textId="77777777" w:rsidR="004A45B0" w:rsidRPr="004A45B0" w:rsidRDefault="004A45B0" w:rsidP="004A45B0">
            <w:pPr>
              <w:spacing w:after="0" w:line="240" w:lineRule="auto"/>
              <w:rPr>
                <w:rFonts w:ascii="Times New Roman" w:eastAsia="Times New Roman" w:hAnsi="Times New Roman" w:cs="Times New Roman"/>
                <w:sz w:val="20"/>
                <w:szCs w:val="20"/>
                <w:lang w:val="en-US" w:eastAsia="en-US"/>
              </w:rPr>
            </w:pPr>
          </w:p>
        </w:tc>
      </w:tr>
      <w:tr w:rsidR="004A45B0" w:rsidRPr="004A45B0" w14:paraId="51FCC6D2" w14:textId="77777777" w:rsidTr="004A45B0">
        <w:trPr>
          <w:trHeight w:val="276"/>
        </w:trPr>
        <w:tc>
          <w:tcPr>
            <w:tcW w:w="4014" w:type="dxa"/>
            <w:tcBorders>
              <w:top w:val="single" w:sz="4" w:space="0" w:color="auto"/>
              <w:left w:val="single" w:sz="4" w:space="0" w:color="auto"/>
              <w:bottom w:val="single" w:sz="4" w:space="0" w:color="auto"/>
              <w:right w:val="nil"/>
            </w:tcBorders>
            <w:shd w:val="clear" w:color="000000" w:fill="1F4E78"/>
            <w:noWrap/>
            <w:vAlign w:val="center"/>
            <w:hideMark/>
          </w:tcPr>
          <w:p w14:paraId="61EB32FB" w14:textId="77777777" w:rsidR="004A45B0" w:rsidRPr="004A45B0" w:rsidRDefault="004A45B0" w:rsidP="004A45B0">
            <w:pPr>
              <w:spacing w:after="0" w:line="240" w:lineRule="auto"/>
              <w:rPr>
                <w:rFonts w:ascii="Calibri" w:eastAsia="Times New Roman" w:hAnsi="Calibri" w:cs="Calibri"/>
                <w:b/>
                <w:bCs/>
                <w:color w:val="FFFFFF"/>
                <w:lang w:val="en-US" w:eastAsia="en-US"/>
              </w:rPr>
            </w:pPr>
            <w:r w:rsidRPr="004A45B0">
              <w:rPr>
                <w:rFonts w:ascii="Calibri" w:eastAsia="Times New Roman" w:hAnsi="Calibri" w:cs="Calibri"/>
                <w:b/>
                <w:bCs/>
                <w:color w:val="FFFFFF"/>
                <w:lang w:val="en-US" w:eastAsia="en-US"/>
              </w:rPr>
              <w:lastRenderedPageBreak/>
              <w:t>Table G10. Capital Rationing Analysis (£100 Million Budget)</w:t>
            </w:r>
          </w:p>
        </w:tc>
        <w:tc>
          <w:tcPr>
            <w:tcW w:w="4014" w:type="dxa"/>
            <w:gridSpan w:val="3"/>
            <w:tcBorders>
              <w:top w:val="single" w:sz="4" w:space="0" w:color="auto"/>
              <w:left w:val="nil"/>
              <w:bottom w:val="single" w:sz="4" w:space="0" w:color="auto"/>
              <w:right w:val="single" w:sz="4" w:space="0" w:color="000000"/>
            </w:tcBorders>
            <w:shd w:val="clear" w:color="000000" w:fill="1F4E78"/>
            <w:noWrap/>
            <w:vAlign w:val="center"/>
            <w:hideMark/>
          </w:tcPr>
          <w:p w14:paraId="170FA658" w14:textId="77777777" w:rsidR="004A45B0" w:rsidRPr="004A45B0" w:rsidRDefault="004A45B0" w:rsidP="004A45B0">
            <w:pPr>
              <w:spacing w:after="0" w:line="240" w:lineRule="auto"/>
              <w:rPr>
                <w:rFonts w:ascii="Calibri" w:eastAsia="Times New Roman" w:hAnsi="Calibri" w:cs="Calibri"/>
                <w:b/>
                <w:bCs/>
                <w:color w:val="FFFFFF"/>
                <w:lang w:val="en-US" w:eastAsia="en-US"/>
              </w:rPr>
            </w:pPr>
            <w:r w:rsidRPr="004A45B0">
              <w:rPr>
                <w:rFonts w:ascii="Calibri" w:eastAsia="Times New Roman" w:hAnsi="Calibri" w:cs="Calibri"/>
                <w:b/>
                <w:bCs/>
                <w:color w:val="FFFFFF"/>
                <w:lang w:val="en-US" w:eastAsia="en-US"/>
              </w:rPr>
              <w:t>Table G10. Capital Rationing Analysis (£100 Million Budget)</w:t>
            </w:r>
          </w:p>
        </w:tc>
        <w:tc>
          <w:tcPr>
            <w:tcW w:w="1814" w:type="dxa"/>
            <w:tcBorders>
              <w:top w:val="nil"/>
              <w:left w:val="nil"/>
              <w:bottom w:val="nil"/>
              <w:right w:val="nil"/>
            </w:tcBorders>
            <w:noWrap/>
            <w:vAlign w:val="bottom"/>
            <w:hideMark/>
          </w:tcPr>
          <w:p w14:paraId="4E6D4BAB" w14:textId="77777777" w:rsidR="004A45B0" w:rsidRPr="004A45B0" w:rsidRDefault="004A45B0" w:rsidP="004A45B0">
            <w:pPr>
              <w:spacing w:after="0" w:line="240" w:lineRule="auto"/>
              <w:rPr>
                <w:rFonts w:ascii="Calibri" w:eastAsia="Times New Roman" w:hAnsi="Calibri" w:cs="Calibri"/>
                <w:b/>
                <w:bCs/>
                <w:color w:val="FFFFFF"/>
                <w:lang w:val="en-US" w:eastAsia="en-US"/>
              </w:rPr>
            </w:pPr>
          </w:p>
        </w:tc>
      </w:tr>
      <w:tr w:rsidR="004A45B0" w:rsidRPr="004A45B0" w14:paraId="1595D4D9" w14:textId="77777777" w:rsidTr="004A45B0">
        <w:trPr>
          <w:trHeight w:val="517"/>
        </w:trPr>
        <w:tc>
          <w:tcPr>
            <w:tcW w:w="4014" w:type="dxa"/>
            <w:tcBorders>
              <w:top w:val="nil"/>
              <w:left w:val="single" w:sz="4" w:space="0" w:color="auto"/>
              <w:bottom w:val="single" w:sz="4" w:space="0" w:color="auto"/>
              <w:right w:val="single" w:sz="4" w:space="0" w:color="auto"/>
            </w:tcBorders>
            <w:shd w:val="clear" w:color="000000" w:fill="E2EFDA"/>
            <w:vAlign w:val="center"/>
            <w:hideMark/>
          </w:tcPr>
          <w:p w14:paraId="69644F1D"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Combination</w:t>
            </w:r>
          </w:p>
        </w:tc>
        <w:tc>
          <w:tcPr>
            <w:tcW w:w="1793" w:type="dxa"/>
            <w:tcBorders>
              <w:top w:val="nil"/>
              <w:left w:val="nil"/>
              <w:bottom w:val="single" w:sz="4" w:space="0" w:color="auto"/>
              <w:right w:val="single" w:sz="4" w:space="0" w:color="auto"/>
            </w:tcBorders>
            <w:shd w:val="clear" w:color="000000" w:fill="E2EFDA"/>
            <w:vAlign w:val="center"/>
            <w:hideMark/>
          </w:tcPr>
          <w:p w14:paraId="483BE9CB"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Initial Investment (£m)</w:t>
            </w:r>
          </w:p>
        </w:tc>
        <w:tc>
          <w:tcPr>
            <w:tcW w:w="1168" w:type="dxa"/>
            <w:tcBorders>
              <w:top w:val="nil"/>
              <w:left w:val="nil"/>
              <w:bottom w:val="single" w:sz="4" w:space="0" w:color="auto"/>
              <w:right w:val="single" w:sz="4" w:space="0" w:color="auto"/>
            </w:tcBorders>
            <w:shd w:val="clear" w:color="000000" w:fill="E2EFDA"/>
            <w:vAlign w:val="center"/>
            <w:hideMark/>
          </w:tcPr>
          <w:p w14:paraId="3D84FDEB"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Combined NPV (£m)</w:t>
            </w:r>
          </w:p>
        </w:tc>
        <w:tc>
          <w:tcPr>
            <w:tcW w:w="1052" w:type="dxa"/>
            <w:tcBorders>
              <w:top w:val="nil"/>
              <w:left w:val="nil"/>
              <w:bottom w:val="single" w:sz="4" w:space="0" w:color="auto"/>
              <w:right w:val="single" w:sz="4" w:space="0" w:color="auto"/>
            </w:tcBorders>
            <w:shd w:val="clear" w:color="000000" w:fill="E2EFDA"/>
            <w:vAlign w:val="center"/>
            <w:hideMark/>
          </w:tcPr>
          <w:p w14:paraId="320DECCD"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Combined PI</w:t>
            </w:r>
          </w:p>
        </w:tc>
        <w:tc>
          <w:tcPr>
            <w:tcW w:w="1814" w:type="dxa"/>
            <w:tcBorders>
              <w:top w:val="single" w:sz="4" w:space="0" w:color="auto"/>
              <w:left w:val="nil"/>
              <w:bottom w:val="single" w:sz="4" w:space="0" w:color="auto"/>
              <w:right w:val="single" w:sz="4" w:space="0" w:color="auto"/>
            </w:tcBorders>
            <w:shd w:val="clear" w:color="000000" w:fill="E2EFDA"/>
            <w:vAlign w:val="center"/>
            <w:hideMark/>
          </w:tcPr>
          <w:p w14:paraId="5B423270" w14:textId="77777777" w:rsidR="004A45B0" w:rsidRPr="004A45B0" w:rsidRDefault="004A45B0" w:rsidP="004A45B0">
            <w:pPr>
              <w:spacing w:after="0" w:line="240" w:lineRule="auto"/>
              <w:jc w:val="center"/>
              <w:rPr>
                <w:rFonts w:ascii="Calibri" w:eastAsia="Times New Roman" w:hAnsi="Calibri" w:cs="Calibri"/>
                <w:b/>
                <w:bCs/>
                <w:color w:val="000000"/>
                <w:sz w:val="22"/>
                <w:szCs w:val="22"/>
                <w:lang w:val="en-US" w:eastAsia="en-US"/>
              </w:rPr>
            </w:pPr>
            <w:r w:rsidRPr="004A45B0">
              <w:rPr>
                <w:rFonts w:ascii="Calibri" w:eastAsia="Times New Roman" w:hAnsi="Calibri" w:cs="Calibri"/>
                <w:b/>
                <w:bCs/>
                <w:color w:val="000000"/>
                <w:sz w:val="22"/>
                <w:szCs w:val="22"/>
                <w:lang w:val="en-US" w:eastAsia="en-US"/>
              </w:rPr>
              <w:t>Financial Decision</w:t>
            </w:r>
          </w:p>
        </w:tc>
      </w:tr>
      <w:tr w:rsidR="004A45B0" w:rsidRPr="004A45B0" w14:paraId="200A6C78" w14:textId="77777777" w:rsidTr="004A45B0">
        <w:trPr>
          <w:trHeight w:val="258"/>
        </w:trPr>
        <w:tc>
          <w:tcPr>
            <w:tcW w:w="4014" w:type="dxa"/>
            <w:tcBorders>
              <w:top w:val="nil"/>
              <w:left w:val="single" w:sz="4" w:space="0" w:color="auto"/>
              <w:bottom w:val="single" w:sz="4" w:space="0" w:color="auto"/>
              <w:right w:val="single" w:sz="4" w:space="0" w:color="auto"/>
            </w:tcBorders>
            <w:vAlign w:val="center"/>
            <w:hideMark/>
          </w:tcPr>
          <w:p w14:paraId="30133A5C"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A + Project B</w:t>
            </w:r>
          </w:p>
        </w:tc>
        <w:tc>
          <w:tcPr>
            <w:tcW w:w="1793" w:type="dxa"/>
            <w:tcBorders>
              <w:top w:val="nil"/>
              <w:left w:val="nil"/>
              <w:bottom w:val="single" w:sz="4" w:space="0" w:color="auto"/>
              <w:right w:val="single" w:sz="4" w:space="0" w:color="auto"/>
            </w:tcBorders>
            <w:vAlign w:val="center"/>
            <w:hideMark/>
          </w:tcPr>
          <w:p w14:paraId="6CB2B7BB"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100</w:t>
            </w:r>
          </w:p>
        </w:tc>
        <w:tc>
          <w:tcPr>
            <w:tcW w:w="1168" w:type="dxa"/>
            <w:tcBorders>
              <w:top w:val="nil"/>
              <w:left w:val="nil"/>
              <w:bottom w:val="single" w:sz="4" w:space="0" w:color="auto"/>
              <w:right w:val="single" w:sz="4" w:space="0" w:color="auto"/>
            </w:tcBorders>
            <w:vAlign w:val="center"/>
            <w:hideMark/>
          </w:tcPr>
          <w:p w14:paraId="1F3F78BF"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-12.62</w:t>
            </w:r>
          </w:p>
        </w:tc>
        <w:tc>
          <w:tcPr>
            <w:tcW w:w="1052" w:type="dxa"/>
            <w:tcBorders>
              <w:top w:val="nil"/>
              <w:left w:val="nil"/>
              <w:bottom w:val="single" w:sz="4" w:space="0" w:color="auto"/>
              <w:right w:val="single" w:sz="4" w:space="0" w:color="auto"/>
            </w:tcBorders>
            <w:vAlign w:val="center"/>
            <w:hideMark/>
          </w:tcPr>
          <w:p w14:paraId="6107FBF2"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0.874</w:t>
            </w:r>
          </w:p>
        </w:tc>
        <w:tc>
          <w:tcPr>
            <w:tcW w:w="1814" w:type="dxa"/>
            <w:tcBorders>
              <w:top w:val="nil"/>
              <w:left w:val="nil"/>
              <w:bottom w:val="single" w:sz="4" w:space="0" w:color="auto"/>
              <w:right w:val="single" w:sz="4" w:space="0" w:color="auto"/>
            </w:tcBorders>
            <w:vAlign w:val="center"/>
            <w:hideMark/>
          </w:tcPr>
          <w:p w14:paraId="0A595479"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Reject</w:t>
            </w:r>
          </w:p>
        </w:tc>
      </w:tr>
      <w:tr w:rsidR="004A45B0" w:rsidRPr="004A45B0" w14:paraId="1B4E6F1A" w14:textId="77777777" w:rsidTr="004A45B0">
        <w:trPr>
          <w:trHeight w:val="258"/>
        </w:trPr>
        <w:tc>
          <w:tcPr>
            <w:tcW w:w="4014" w:type="dxa"/>
            <w:tcBorders>
              <w:top w:val="nil"/>
              <w:left w:val="single" w:sz="4" w:space="0" w:color="auto"/>
              <w:bottom w:val="single" w:sz="4" w:space="0" w:color="auto"/>
              <w:right w:val="single" w:sz="4" w:space="0" w:color="auto"/>
            </w:tcBorders>
            <w:vAlign w:val="center"/>
            <w:hideMark/>
          </w:tcPr>
          <w:p w14:paraId="4AEFE826"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A + Project C</w:t>
            </w:r>
          </w:p>
        </w:tc>
        <w:tc>
          <w:tcPr>
            <w:tcW w:w="1793" w:type="dxa"/>
            <w:tcBorders>
              <w:top w:val="nil"/>
              <w:left w:val="nil"/>
              <w:bottom w:val="single" w:sz="4" w:space="0" w:color="auto"/>
              <w:right w:val="single" w:sz="4" w:space="0" w:color="auto"/>
            </w:tcBorders>
            <w:vAlign w:val="center"/>
            <w:hideMark/>
          </w:tcPr>
          <w:p w14:paraId="70A9C841"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100</w:t>
            </w:r>
          </w:p>
        </w:tc>
        <w:tc>
          <w:tcPr>
            <w:tcW w:w="1168" w:type="dxa"/>
            <w:tcBorders>
              <w:top w:val="nil"/>
              <w:left w:val="nil"/>
              <w:bottom w:val="single" w:sz="4" w:space="0" w:color="auto"/>
              <w:right w:val="single" w:sz="4" w:space="0" w:color="auto"/>
            </w:tcBorders>
            <w:vAlign w:val="center"/>
            <w:hideMark/>
          </w:tcPr>
          <w:p w14:paraId="3C744645"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-5.68</w:t>
            </w:r>
          </w:p>
        </w:tc>
        <w:tc>
          <w:tcPr>
            <w:tcW w:w="1052" w:type="dxa"/>
            <w:tcBorders>
              <w:top w:val="nil"/>
              <w:left w:val="nil"/>
              <w:bottom w:val="single" w:sz="4" w:space="0" w:color="auto"/>
              <w:right w:val="single" w:sz="4" w:space="0" w:color="auto"/>
            </w:tcBorders>
            <w:vAlign w:val="center"/>
            <w:hideMark/>
          </w:tcPr>
          <w:p w14:paraId="53B8AB31"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0.943</w:t>
            </w:r>
          </w:p>
        </w:tc>
        <w:tc>
          <w:tcPr>
            <w:tcW w:w="1814" w:type="dxa"/>
            <w:tcBorders>
              <w:top w:val="nil"/>
              <w:left w:val="nil"/>
              <w:bottom w:val="single" w:sz="4" w:space="0" w:color="auto"/>
              <w:right w:val="single" w:sz="4" w:space="0" w:color="auto"/>
            </w:tcBorders>
            <w:vAlign w:val="center"/>
            <w:hideMark/>
          </w:tcPr>
          <w:p w14:paraId="6E8C66BE"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Reject</w:t>
            </w:r>
          </w:p>
        </w:tc>
      </w:tr>
      <w:tr w:rsidR="004A45B0" w:rsidRPr="004A45B0" w14:paraId="15CBEE15" w14:textId="77777777" w:rsidTr="004A45B0">
        <w:trPr>
          <w:trHeight w:val="1257"/>
        </w:trPr>
        <w:tc>
          <w:tcPr>
            <w:tcW w:w="4014" w:type="dxa"/>
            <w:tcBorders>
              <w:top w:val="nil"/>
              <w:left w:val="single" w:sz="4" w:space="0" w:color="auto"/>
              <w:bottom w:val="single" w:sz="4" w:space="0" w:color="auto"/>
              <w:right w:val="single" w:sz="4" w:space="0" w:color="auto"/>
            </w:tcBorders>
            <w:vAlign w:val="center"/>
            <w:hideMark/>
          </w:tcPr>
          <w:p w14:paraId="2B08F776"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Project B + Project C</w:t>
            </w:r>
          </w:p>
        </w:tc>
        <w:tc>
          <w:tcPr>
            <w:tcW w:w="1793" w:type="dxa"/>
            <w:tcBorders>
              <w:top w:val="nil"/>
              <w:left w:val="nil"/>
              <w:bottom w:val="single" w:sz="4" w:space="0" w:color="auto"/>
              <w:right w:val="single" w:sz="4" w:space="0" w:color="auto"/>
            </w:tcBorders>
            <w:vAlign w:val="center"/>
            <w:hideMark/>
          </w:tcPr>
          <w:p w14:paraId="120A3A7E" w14:textId="77777777" w:rsidR="004A45B0" w:rsidRPr="004A45B0" w:rsidRDefault="004A45B0" w:rsidP="004A45B0">
            <w:pPr>
              <w:spacing w:after="0" w:line="240" w:lineRule="auto"/>
              <w:jc w:val="right"/>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100</w:t>
            </w:r>
          </w:p>
        </w:tc>
        <w:tc>
          <w:tcPr>
            <w:tcW w:w="1168" w:type="dxa"/>
            <w:tcBorders>
              <w:top w:val="nil"/>
              <w:left w:val="nil"/>
              <w:bottom w:val="single" w:sz="4" w:space="0" w:color="auto"/>
              <w:right w:val="single" w:sz="4" w:space="0" w:color="auto"/>
            </w:tcBorders>
            <w:vAlign w:val="center"/>
            <w:hideMark/>
          </w:tcPr>
          <w:p w14:paraId="2D72B856"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-5.22</w:t>
            </w:r>
          </w:p>
        </w:tc>
        <w:tc>
          <w:tcPr>
            <w:tcW w:w="1052" w:type="dxa"/>
            <w:tcBorders>
              <w:top w:val="nil"/>
              <w:left w:val="nil"/>
              <w:bottom w:val="single" w:sz="4" w:space="0" w:color="auto"/>
              <w:right w:val="single" w:sz="4" w:space="0" w:color="auto"/>
            </w:tcBorders>
            <w:vAlign w:val="center"/>
            <w:hideMark/>
          </w:tcPr>
          <w:p w14:paraId="25167670"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0.948</w:t>
            </w:r>
          </w:p>
        </w:tc>
        <w:tc>
          <w:tcPr>
            <w:tcW w:w="1814" w:type="dxa"/>
            <w:tcBorders>
              <w:top w:val="nil"/>
              <w:left w:val="nil"/>
              <w:bottom w:val="single" w:sz="4" w:space="0" w:color="auto"/>
              <w:right w:val="single" w:sz="4" w:space="0" w:color="auto"/>
            </w:tcBorders>
            <w:vAlign w:val="center"/>
            <w:hideMark/>
          </w:tcPr>
          <w:p w14:paraId="69CA6D31" w14:textId="77777777" w:rsidR="004A45B0" w:rsidRPr="004A45B0" w:rsidRDefault="004A45B0" w:rsidP="004A45B0">
            <w:pPr>
              <w:spacing w:after="0" w:line="240" w:lineRule="auto"/>
              <w:rPr>
                <w:rFonts w:ascii="Calibri" w:eastAsia="Times New Roman" w:hAnsi="Calibri" w:cs="Calibri"/>
                <w:color w:val="000000"/>
                <w:sz w:val="22"/>
                <w:szCs w:val="22"/>
                <w:lang w:val="en-US" w:eastAsia="en-US"/>
              </w:rPr>
            </w:pPr>
            <w:r w:rsidRPr="004A45B0">
              <w:rPr>
                <w:rFonts w:ascii="Calibri" w:eastAsia="Times New Roman" w:hAnsi="Calibri" w:cs="Calibri"/>
                <w:color w:val="000000"/>
                <w:sz w:val="22"/>
                <w:szCs w:val="22"/>
                <w:lang w:val="en-US" w:eastAsia="en-US"/>
              </w:rPr>
              <w:t>Best combination under the £100m constraint, but still reject because NPV is negative</w:t>
            </w:r>
          </w:p>
        </w:tc>
      </w:tr>
    </w:tbl>
    <w:p w14:paraId="5C1F4B71" w14:textId="77777777" w:rsidR="004A45B0" w:rsidRPr="004A45B0" w:rsidRDefault="004A45B0" w:rsidP="00AA15B1">
      <w:pPr>
        <w:rPr>
          <w:lang w:val="en-US"/>
        </w:rPr>
      </w:pPr>
    </w:p>
    <w:sectPr w:rsidR="004A45B0" w:rsidRPr="004A45B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rlito">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56F26"/>
    <w:multiLevelType w:val="multilevel"/>
    <w:tmpl w:val="85A82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FD180F"/>
    <w:multiLevelType w:val="multilevel"/>
    <w:tmpl w:val="7754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E634BA"/>
    <w:multiLevelType w:val="hybridMultilevel"/>
    <w:tmpl w:val="E13C73D8"/>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E819CF"/>
    <w:multiLevelType w:val="multilevel"/>
    <w:tmpl w:val="7CA8B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741485"/>
    <w:multiLevelType w:val="hybridMultilevel"/>
    <w:tmpl w:val="1BC6DEA8"/>
    <w:lvl w:ilvl="0" w:tplc="725A5ACC">
      <w:start w:val="1"/>
      <w:numFmt w:val="bullet"/>
      <w:lvlText w:val=""/>
      <w:lvlJc w:val="left"/>
      <w:pPr>
        <w:ind w:left="720" w:hanging="360"/>
      </w:pPr>
      <w:rPr>
        <w:rFonts w:ascii="Symbol" w:hAnsi="Symbol" w:hint="default"/>
      </w:rPr>
    </w:lvl>
    <w:lvl w:ilvl="1" w:tplc="C7F47A78">
      <w:start w:val="1"/>
      <w:numFmt w:val="bullet"/>
      <w:lvlText w:val="o"/>
      <w:lvlJc w:val="left"/>
      <w:pPr>
        <w:ind w:left="1440" w:hanging="360"/>
      </w:pPr>
      <w:rPr>
        <w:rFonts w:ascii="Courier New" w:hAnsi="Courier New" w:hint="default"/>
      </w:rPr>
    </w:lvl>
    <w:lvl w:ilvl="2" w:tplc="AA3EB7E0">
      <w:start w:val="1"/>
      <w:numFmt w:val="bullet"/>
      <w:lvlText w:val=""/>
      <w:lvlJc w:val="left"/>
      <w:pPr>
        <w:ind w:left="2160" w:hanging="360"/>
      </w:pPr>
      <w:rPr>
        <w:rFonts w:ascii="Wingdings" w:hAnsi="Wingdings" w:hint="default"/>
      </w:rPr>
    </w:lvl>
    <w:lvl w:ilvl="3" w:tplc="A5622EF0">
      <w:start w:val="1"/>
      <w:numFmt w:val="bullet"/>
      <w:lvlText w:val=""/>
      <w:lvlJc w:val="left"/>
      <w:pPr>
        <w:ind w:left="2880" w:hanging="360"/>
      </w:pPr>
      <w:rPr>
        <w:rFonts w:ascii="Symbol" w:hAnsi="Symbol" w:hint="default"/>
      </w:rPr>
    </w:lvl>
    <w:lvl w:ilvl="4" w:tplc="1554882A">
      <w:start w:val="1"/>
      <w:numFmt w:val="bullet"/>
      <w:lvlText w:val="o"/>
      <w:lvlJc w:val="left"/>
      <w:pPr>
        <w:ind w:left="3600" w:hanging="360"/>
      </w:pPr>
      <w:rPr>
        <w:rFonts w:ascii="Courier New" w:hAnsi="Courier New" w:hint="default"/>
      </w:rPr>
    </w:lvl>
    <w:lvl w:ilvl="5" w:tplc="2DAEFA0E">
      <w:start w:val="1"/>
      <w:numFmt w:val="bullet"/>
      <w:lvlText w:val=""/>
      <w:lvlJc w:val="left"/>
      <w:pPr>
        <w:ind w:left="4320" w:hanging="360"/>
      </w:pPr>
      <w:rPr>
        <w:rFonts w:ascii="Wingdings" w:hAnsi="Wingdings" w:hint="default"/>
      </w:rPr>
    </w:lvl>
    <w:lvl w:ilvl="6" w:tplc="8F44B866">
      <w:start w:val="1"/>
      <w:numFmt w:val="bullet"/>
      <w:lvlText w:val=""/>
      <w:lvlJc w:val="left"/>
      <w:pPr>
        <w:ind w:left="5040" w:hanging="360"/>
      </w:pPr>
      <w:rPr>
        <w:rFonts w:ascii="Symbol" w:hAnsi="Symbol" w:hint="default"/>
      </w:rPr>
    </w:lvl>
    <w:lvl w:ilvl="7" w:tplc="D0D04048">
      <w:start w:val="1"/>
      <w:numFmt w:val="bullet"/>
      <w:lvlText w:val="o"/>
      <w:lvlJc w:val="left"/>
      <w:pPr>
        <w:ind w:left="5760" w:hanging="360"/>
      </w:pPr>
      <w:rPr>
        <w:rFonts w:ascii="Courier New" w:hAnsi="Courier New" w:hint="default"/>
      </w:rPr>
    </w:lvl>
    <w:lvl w:ilvl="8" w:tplc="7B5855B8">
      <w:start w:val="1"/>
      <w:numFmt w:val="bullet"/>
      <w:lvlText w:val=""/>
      <w:lvlJc w:val="left"/>
      <w:pPr>
        <w:ind w:left="6480" w:hanging="360"/>
      </w:pPr>
      <w:rPr>
        <w:rFonts w:ascii="Wingdings" w:hAnsi="Wingdings" w:hint="default"/>
      </w:rPr>
    </w:lvl>
  </w:abstractNum>
  <w:abstractNum w:abstractNumId="5" w15:restartNumberingAfterBreak="0">
    <w:nsid w:val="64E2043F"/>
    <w:multiLevelType w:val="multilevel"/>
    <w:tmpl w:val="297E2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2364499">
    <w:abstractNumId w:val="4"/>
  </w:num>
  <w:num w:numId="2" w16cid:durableId="1943025133">
    <w:abstractNumId w:val="3"/>
  </w:num>
  <w:num w:numId="3" w16cid:durableId="2135949483">
    <w:abstractNumId w:val="0"/>
  </w:num>
  <w:num w:numId="4" w16cid:durableId="1566644091">
    <w:abstractNumId w:val="5"/>
  </w:num>
  <w:num w:numId="5" w16cid:durableId="297607259">
    <w:abstractNumId w:val="1"/>
  </w:num>
  <w:num w:numId="6" w16cid:durableId="8679589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B3CCAD"/>
    <w:rsid w:val="00023B5F"/>
    <w:rsid w:val="000309A8"/>
    <w:rsid w:val="00082792"/>
    <w:rsid w:val="000B7D2E"/>
    <w:rsid w:val="00100F19"/>
    <w:rsid w:val="00111ADD"/>
    <w:rsid w:val="001132C9"/>
    <w:rsid w:val="00126988"/>
    <w:rsid w:val="001A3E0F"/>
    <w:rsid w:val="001A5797"/>
    <w:rsid w:val="001D3395"/>
    <w:rsid w:val="001F1CD8"/>
    <w:rsid w:val="002006F4"/>
    <w:rsid w:val="002312FC"/>
    <w:rsid w:val="00253C5F"/>
    <w:rsid w:val="00273BA3"/>
    <w:rsid w:val="002A505F"/>
    <w:rsid w:val="002B2652"/>
    <w:rsid w:val="002C0842"/>
    <w:rsid w:val="002D3181"/>
    <w:rsid w:val="002F4F66"/>
    <w:rsid w:val="003067D2"/>
    <w:rsid w:val="0031107E"/>
    <w:rsid w:val="00321C54"/>
    <w:rsid w:val="0035314C"/>
    <w:rsid w:val="00363852"/>
    <w:rsid w:val="00371141"/>
    <w:rsid w:val="0038303B"/>
    <w:rsid w:val="003A13DF"/>
    <w:rsid w:val="00401E76"/>
    <w:rsid w:val="00494F28"/>
    <w:rsid w:val="004A1EB1"/>
    <w:rsid w:val="004A45B0"/>
    <w:rsid w:val="004C02E4"/>
    <w:rsid w:val="004F6BE4"/>
    <w:rsid w:val="00500A21"/>
    <w:rsid w:val="005025C3"/>
    <w:rsid w:val="0051423B"/>
    <w:rsid w:val="0052796D"/>
    <w:rsid w:val="0053704A"/>
    <w:rsid w:val="005A6897"/>
    <w:rsid w:val="005B2FEA"/>
    <w:rsid w:val="005D7BF6"/>
    <w:rsid w:val="006064DE"/>
    <w:rsid w:val="006358D8"/>
    <w:rsid w:val="006E613B"/>
    <w:rsid w:val="006F7EE7"/>
    <w:rsid w:val="00716740"/>
    <w:rsid w:val="007549FD"/>
    <w:rsid w:val="007746DA"/>
    <w:rsid w:val="00790859"/>
    <w:rsid w:val="007921C1"/>
    <w:rsid w:val="007C5AD3"/>
    <w:rsid w:val="007F036C"/>
    <w:rsid w:val="00810843"/>
    <w:rsid w:val="00816959"/>
    <w:rsid w:val="008431DF"/>
    <w:rsid w:val="0088157C"/>
    <w:rsid w:val="00882D0E"/>
    <w:rsid w:val="00887544"/>
    <w:rsid w:val="008A0926"/>
    <w:rsid w:val="008A0991"/>
    <w:rsid w:val="008D3C56"/>
    <w:rsid w:val="009809E0"/>
    <w:rsid w:val="009A5B13"/>
    <w:rsid w:val="009D1808"/>
    <w:rsid w:val="009D1D08"/>
    <w:rsid w:val="009D20A5"/>
    <w:rsid w:val="009E069C"/>
    <w:rsid w:val="009E7F65"/>
    <w:rsid w:val="00A347AE"/>
    <w:rsid w:val="00A36810"/>
    <w:rsid w:val="00A6395C"/>
    <w:rsid w:val="00A92AFE"/>
    <w:rsid w:val="00AA12F1"/>
    <w:rsid w:val="00AA15B1"/>
    <w:rsid w:val="00AA1888"/>
    <w:rsid w:val="00AA43DF"/>
    <w:rsid w:val="00AF3116"/>
    <w:rsid w:val="00B13F9E"/>
    <w:rsid w:val="00B16674"/>
    <w:rsid w:val="00B270DD"/>
    <w:rsid w:val="00B27DFD"/>
    <w:rsid w:val="00B7430F"/>
    <w:rsid w:val="00B7432C"/>
    <w:rsid w:val="00B9519C"/>
    <w:rsid w:val="00BF43F5"/>
    <w:rsid w:val="00C02F17"/>
    <w:rsid w:val="00C65874"/>
    <w:rsid w:val="00C846CA"/>
    <w:rsid w:val="00C964F7"/>
    <w:rsid w:val="00CA1E9C"/>
    <w:rsid w:val="00D87857"/>
    <w:rsid w:val="00DA68AB"/>
    <w:rsid w:val="00DB4947"/>
    <w:rsid w:val="00DE298E"/>
    <w:rsid w:val="00E02E12"/>
    <w:rsid w:val="00E106AA"/>
    <w:rsid w:val="00E31F20"/>
    <w:rsid w:val="00E366A9"/>
    <w:rsid w:val="00E6764F"/>
    <w:rsid w:val="00E84A2A"/>
    <w:rsid w:val="00EB3E35"/>
    <w:rsid w:val="00ED588D"/>
    <w:rsid w:val="00EE51B0"/>
    <w:rsid w:val="00F20D0E"/>
    <w:rsid w:val="00F26D44"/>
    <w:rsid w:val="00F61AFE"/>
    <w:rsid w:val="00FA0D22"/>
    <w:rsid w:val="00FA7B59"/>
    <w:rsid w:val="00FB32DC"/>
    <w:rsid w:val="00FE0D43"/>
    <w:rsid w:val="00FF4B68"/>
    <w:rsid w:val="021D2362"/>
    <w:rsid w:val="0C1E8527"/>
    <w:rsid w:val="123A510E"/>
    <w:rsid w:val="15905128"/>
    <w:rsid w:val="1660A038"/>
    <w:rsid w:val="21681B1D"/>
    <w:rsid w:val="244F9850"/>
    <w:rsid w:val="29B3CCAD"/>
    <w:rsid w:val="35243E79"/>
    <w:rsid w:val="361388D2"/>
    <w:rsid w:val="36C2A92E"/>
    <w:rsid w:val="3BEAEB66"/>
    <w:rsid w:val="41104AAA"/>
    <w:rsid w:val="4277BE5E"/>
    <w:rsid w:val="498824C8"/>
    <w:rsid w:val="578F6B5D"/>
    <w:rsid w:val="5D412F85"/>
    <w:rsid w:val="5F53CE11"/>
    <w:rsid w:val="61C591CF"/>
    <w:rsid w:val="6AD14AD0"/>
    <w:rsid w:val="6FA0A147"/>
    <w:rsid w:val="743C5E13"/>
    <w:rsid w:val="75757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CE239"/>
  <w15:chartTrackingRefBased/>
  <w15:docId w15:val="{D8A5C694-5E6E-471C-B084-02E742E2E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rsid w:val="0C1E85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uiPriority w:val="9"/>
    <w:unhideWhenUsed/>
    <w:qFormat/>
    <w:rsid w:val="0C1E85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uiPriority w:val="9"/>
    <w:unhideWhenUsed/>
    <w:qFormat/>
    <w:rsid w:val="0C1E8527"/>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unhideWhenUsed/>
    <w:qFormat/>
    <w:rsid w:val="005025C3"/>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10">
    <w:name w:val="toc 1"/>
    <w:basedOn w:val="a"/>
    <w:next w:val="a"/>
    <w:uiPriority w:val="39"/>
    <w:unhideWhenUsed/>
    <w:rsid w:val="0C1E8527"/>
    <w:pPr>
      <w:spacing w:after="100"/>
    </w:pPr>
  </w:style>
  <w:style w:type="paragraph" w:styleId="a3">
    <w:name w:val="List Paragraph"/>
    <w:basedOn w:val="a"/>
    <w:uiPriority w:val="34"/>
    <w:qFormat/>
    <w:rsid w:val="0C1E8527"/>
    <w:pPr>
      <w:ind w:left="720"/>
      <w:contextualSpacing/>
    </w:pPr>
  </w:style>
  <w:style w:type="character" w:styleId="a4">
    <w:name w:val="Hyperlink"/>
    <w:basedOn w:val="a0"/>
    <w:uiPriority w:val="99"/>
    <w:unhideWhenUsed/>
    <w:rsid w:val="0C1E8527"/>
    <w:rPr>
      <w:color w:val="467886"/>
      <w:u w:val="single"/>
    </w:rPr>
  </w:style>
  <w:style w:type="paragraph" w:styleId="20">
    <w:name w:val="toc 2"/>
    <w:basedOn w:val="a"/>
    <w:next w:val="a"/>
    <w:uiPriority w:val="39"/>
    <w:unhideWhenUsed/>
    <w:rsid w:val="0C1E8527"/>
    <w:pPr>
      <w:spacing w:after="100"/>
      <w:ind w:left="220"/>
    </w:pPr>
  </w:style>
  <w:style w:type="table" w:styleId="a5">
    <w:name w:val="Table Grid"/>
    <w:basedOn w:val="a1"/>
    <w:uiPriority w:val="39"/>
    <w:rsid w:val="008169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Unresolved Mention"/>
    <w:basedOn w:val="a0"/>
    <w:uiPriority w:val="99"/>
    <w:semiHidden/>
    <w:unhideWhenUsed/>
    <w:rsid w:val="00C02F17"/>
    <w:rPr>
      <w:color w:val="605E5C"/>
      <w:shd w:val="clear" w:color="auto" w:fill="E1DFDD"/>
    </w:rPr>
  </w:style>
  <w:style w:type="paragraph" w:styleId="30">
    <w:name w:val="toc 3"/>
    <w:basedOn w:val="a"/>
    <w:next w:val="a"/>
    <w:autoRedefine/>
    <w:uiPriority w:val="39"/>
    <w:unhideWhenUsed/>
    <w:rsid w:val="005025C3"/>
    <w:pPr>
      <w:spacing w:after="100"/>
      <w:ind w:left="480"/>
    </w:pPr>
  </w:style>
  <w:style w:type="character" w:customStyle="1" w:styleId="40">
    <w:name w:val="Заголовок 4 Знак"/>
    <w:basedOn w:val="a0"/>
    <w:link w:val="4"/>
    <w:uiPriority w:val="9"/>
    <w:rsid w:val="005025C3"/>
    <w:rPr>
      <w:rFonts w:asciiTheme="majorHAnsi" w:eastAsiaTheme="majorEastAsia" w:hAnsiTheme="majorHAnsi" w:cstheme="majorBidi"/>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heducation.co.uk/media/wysiwyg/pdp/ISE_Product_Flyer_Brealey_Principles_of_Corporate_Finance_14e.pdf?utm_source=chatgpt.com" TargetMode="External"/><Relationship Id="rId13" Type="http://schemas.openxmlformats.org/officeDocument/2006/relationships/hyperlink" Target="https://www.ifac.org/knowledge-gateway/artificial-intelligence-technology?utm_source=chatgpt.com" TargetMode="External"/><Relationship Id="rId18" Type="http://schemas.openxmlformats.org/officeDocument/2006/relationships/hyperlink" Target="https://marriott.gcs-web.com/sec-filings/sec-filing/10-k/0001048286-26-000007?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pearson.com/en-gb/subject-catalog/p/accounting-and-finance-for-non-specialists/P200000003619/9781292741734?utm_source=chatgpt.com" TargetMode="External"/><Relationship Id="rId12" Type="http://schemas.openxmlformats.org/officeDocument/2006/relationships/hyperlink" Target="https://ir.hilton.com/financial-reporting/annual-reports?utm_source=chatgpt.com" TargetMode="External"/><Relationship Id="rId17" Type="http://schemas.openxmlformats.org/officeDocument/2006/relationships/hyperlink" Target="https://marriott.gcs-web.com/financial-information/annual-reports?utm_source=chatgpt.com" TargetMode="External"/><Relationship Id="rId2" Type="http://schemas.openxmlformats.org/officeDocument/2006/relationships/numbering" Target="numbering.xml"/><Relationship Id="rId16" Type="http://schemas.openxmlformats.org/officeDocument/2006/relationships/hyperlink" Target="https://arxiv.org/abs/2407.17866?utm_source=chatgpt.com" TargetMode="External"/><Relationship Id="rId20" Type="http://schemas.openxmlformats.org/officeDocument/2006/relationships/hyperlink" Target="https://arxiv.org/abs/2503.16974?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r.hilton.com/financial-reporting/annual-reports?utm_source=chatgpt.com" TargetMode="External"/><Relationship Id="rId5" Type="http://schemas.openxmlformats.org/officeDocument/2006/relationships/webSettings" Target="webSettings.xml"/><Relationship Id="rId15" Type="http://schemas.openxmlformats.org/officeDocument/2006/relationships/hyperlink" Target="https://education.ifac.org/part/ies-4?utm_source=chatgpt.com" TargetMode="External"/><Relationship Id="rId10" Type="http://schemas.openxmlformats.org/officeDocument/2006/relationships/hyperlink" Target="https://journal.kci.go.kr/ipir/archive/articleView?artiId=ART002613664&amp;utm_source=chatgpt.com" TargetMode="External"/><Relationship Id="rId19" Type="http://schemas.openxmlformats.org/officeDocument/2006/relationships/hyperlink" Target="https://en.unwto-ap.org/news/worldtourismbarometer_jan2025/?utm_source=chatgpt.com" TargetMode="External"/><Relationship Id="rId4" Type="http://schemas.openxmlformats.org/officeDocument/2006/relationships/settings" Target="settings.xml"/><Relationship Id="rId9" Type="http://schemas.openxmlformats.org/officeDocument/2006/relationships/hyperlink" Target="https://www.cengage.com/c/etextbook-financial-management-theory-practice-16e-brigham-ehrhardt/9780357691977/?utm_source=chatgpt.com" TargetMode="External"/><Relationship Id="rId14" Type="http://schemas.openxmlformats.org/officeDocument/2006/relationships/hyperlink" Target="https://www.ifac.org/knowledge-gateway/discussion/artificial-intelligence-accounting?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F33D2-E17A-4E33-81F2-39D622D27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TotalTime>
  <Pages>30</Pages>
  <Words>8843</Words>
  <Characters>50407</Characters>
  <Application>Microsoft Office Word</Application>
  <DocSecurity>0</DocSecurity>
  <Lines>420</Lines>
  <Paragraphs>118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59132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Armands Putersevics (2242532)</dc:creator>
  <cp:keywords/>
  <dc:description/>
  <cp:lastModifiedBy>elena kokorieva</cp:lastModifiedBy>
  <cp:revision>33</cp:revision>
  <dcterms:created xsi:type="dcterms:W3CDTF">2026-07-09T20:55:00Z</dcterms:created>
  <dcterms:modified xsi:type="dcterms:W3CDTF">2026-08-10T12:38:00Z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c6c3f75b-7496-4b8c-9287-52b18d5bcb92</vt:lpwstr>
  </property>
</Properties>
</file>