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B95B98">
      <w:pPr>
        <w:spacing w:before="120" w:after="120"/>
        <w:rPr>
          <w:lang w:val="en-GB"/>
        </w:rPr>
      </w:pPr>
    </w:p>
    <w:p w14:paraId="64EBBC4F">
      <w:pPr>
        <w:spacing w:before="120" w:after="120"/>
        <w:rPr>
          <w:lang w:val="en-GB"/>
        </w:rPr>
      </w:pPr>
    </w:p>
    <w:p w14:paraId="77A16552">
      <w:pPr>
        <w:spacing w:before="240" w:line="360" w:lineRule="auto"/>
        <w:jc w:val="center"/>
        <w:rPr>
          <w:b/>
          <w:sz w:val="36"/>
          <w:lang w:val="en-GB"/>
        </w:rPr>
      </w:pPr>
    </w:p>
    <w:p w14:paraId="67A608BB">
      <w:pPr>
        <w:spacing w:line="360" w:lineRule="auto"/>
        <w:jc w:val="center"/>
        <w:rPr>
          <w:rFonts w:ascii="Arial" w:hAnsi="Arial" w:cs="Arial"/>
          <w:b/>
          <w:sz w:val="32"/>
          <w:szCs w:val="32"/>
        </w:rPr>
      </w:pPr>
      <w:r>
        <w:drawing>
          <wp:inline distT="0" distB="0" distL="0" distR="0">
            <wp:extent cx="3381375" cy="1352550"/>
            <wp:effectExtent l="0" t="0" r="1905" b="381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3381375" cy="1352550"/>
                    </a:xfrm>
                    <a:prstGeom prst="rect">
                      <a:avLst/>
                    </a:prstGeom>
                    <a:noFill/>
                  </pic:spPr>
                </pic:pic>
              </a:graphicData>
            </a:graphic>
          </wp:inline>
        </w:drawing>
      </w:r>
    </w:p>
    <w:p w14:paraId="21811744">
      <w:pPr>
        <w:jc w:val="both"/>
      </w:pPr>
    </w:p>
    <w:p w14:paraId="1EC34BAD">
      <w:pPr>
        <w:jc w:val="center"/>
      </w:pPr>
    </w:p>
    <w:p w14:paraId="020B9CFF">
      <w:pPr>
        <w:jc w:val="center"/>
        <w:rPr>
          <w:rFonts w:hint="default" w:ascii="Arial" w:hAnsi="Arial" w:cs="Arial"/>
          <w:b/>
          <w:bCs/>
          <w:lang w:val="en-US"/>
        </w:rPr>
      </w:pPr>
      <w:r>
        <w:rPr>
          <w:rFonts w:ascii="Arial" w:hAnsi="Arial" w:cs="Arial"/>
          <w:b/>
          <w:bCs/>
        </w:rPr>
        <w:t>Student Name:</w:t>
      </w:r>
      <w:r>
        <w:rPr>
          <w:rFonts w:hint="default" w:ascii="Arial" w:hAnsi="Arial" w:cs="Arial"/>
          <w:b/>
          <w:bCs/>
          <w:lang w:val="en-US"/>
        </w:rPr>
        <w:t xml:space="preserve"> ABHI PATEL</w:t>
      </w:r>
    </w:p>
    <w:p w14:paraId="2AAC98E7">
      <w:pPr>
        <w:jc w:val="center"/>
        <w:rPr>
          <w:rFonts w:ascii="Arial" w:hAnsi="Arial" w:cs="Arial"/>
          <w:b/>
          <w:bCs/>
        </w:rPr>
      </w:pPr>
    </w:p>
    <w:p w14:paraId="586C6996">
      <w:pPr>
        <w:jc w:val="center"/>
        <w:rPr>
          <w:rFonts w:hint="default" w:ascii="Arial" w:hAnsi="Arial" w:cs="Arial"/>
          <w:b/>
          <w:bCs/>
          <w:lang w:val="en-US"/>
        </w:rPr>
      </w:pPr>
      <w:r>
        <w:rPr>
          <w:rFonts w:ascii="Arial" w:hAnsi="Arial" w:cs="Arial"/>
          <w:b/>
          <w:bCs/>
        </w:rPr>
        <w:t>Student ID:</w:t>
      </w:r>
      <w:r>
        <w:rPr>
          <w:rFonts w:hint="default" w:ascii="Arial" w:hAnsi="Arial" w:cs="Arial"/>
          <w:b/>
          <w:bCs/>
          <w:lang w:val="en-US"/>
        </w:rPr>
        <w:t>2503794</w:t>
      </w:r>
    </w:p>
    <w:p w14:paraId="63080C9E">
      <w:pPr>
        <w:jc w:val="center"/>
        <w:rPr>
          <w:rFonts w:ascii="Arial" w:hAnsi="Arial" w:cs="Arial"/>
        </w:rPr>
      </w:pPr>
    </w:p>
    <w:p w14:paraId="3D7751B6">
      <w:pPr>
        <w:jc w:val="center"/>
        <w:rPr>
          <w:rFonts w:ascii="Arial" w:hAnsi="Arial" w:cs="Arial"/>
        </w:rPr>
      </w:pPr>
    </w:p>
    <w:p w14:paraId="37F10C9F">
      <w:pPr>
        <w:jc w:val="center"/>
        <w:rPr>
          <w:rFonts w:hint="default" w:ascii="Arial" w:hAnsi="Arial" w:cs="Arial"/>
          <w:b/>
          <w:bCs/>
          <w:lang w:val="en-US"/>
        </w:rPr>
      </w:pPr>
      <w:r>
        <w:rPr>
          <w:rFonts w:ascii="Arial" w:hAnsi="Arial" w:cs="Arial"/>
          <w:b/>
          <w:bCs/>
        </w:rPr>
        <w:t xml:space="preserve">Module Name: </w:t>
      </w:r>
      <w:r>
        <w:rPr>
          <w:rFonts w:hint="default" w:ascii="Arial" w:hAnsi="Arial" w:cs="Arial"/>
          <w:b/>
          <w:bCs/>
          <w:lang w:val="en-US"/>
        </w:rPr>
        <w:t xml:space="preserve">HUMAN CAPITAL MANAGEMENT </w:t>
      </w:r>
    </w:p>
    <w:p w14:paraId="1F614A44">
      <w:pPr>
        <w:jc w:val="center"/>
        <w:rPr>
          <w:rFonts w:ascii="Arial" w:hAnsi="Arial" w:cs="Arial"/>
          <w:b/>
          <w:bCs/>
        </w:rPr>
      </w:pPr>
    </w:p>
    <w:p w14:paraId="0794A99E">
      <w:pPr>
        <w:jc w:val="center"/>
        <w:rPr>
          <w:rFonts w:hint="default" w:ascii="Arial" w:hAnsi="Arial" w:cs="Arial"/>
          <w:b/>
          <w:bCs/>
          <w:lang w:val="en-US"/>
        </w:rPr>
      </w:pPr>
      <w:r>
        <w:rPr>
          <w:rFonts w:ascii="Arial" w:hAnsi="Arial" w:cs="Arial"/>
          <w:b/>
          <w:bCs/>
        </w:rPr>
        <w:t>Module Code: LCMB</w:t>
      </w:r>
      <w:r>
        <w:rPr>
          <w:rFonts w:hint="default" w:ascii="Arial" w:hAnsi="Arial" w:cs="Arial"/>
          <w:b/>
          <w:bCs/>
          <w:lang w:val="en-US"/>
        </w:rPr>
        <w:t>7023</w:t>
      </w:r>
    </w:p>
    <w:p w14:paraId="242318AB">
      <w:pPr>
        <w:jc w:val="center"/>
        <w:rPr>
          <w:rFonts w:ascii="Arial" w:hAnsi="Arial" w:cs="Arial"/>
          <w:b/>
          <w:bCs/>
        </w:rPr>
      </w:pPr>
    </w:p>
    <w:p w14:paraId="5A962802">
      <w:pPr>
        <w:jc w:val="center"/>
        <w:rPr>
          <w:rFonts w:ascii="Arial" w:hAnsi="Arial" w:cs="Arial"/>
          <w:b/>
          <w:bCs/>
        </w:rPr>
      </w:pPr>
    </w:p>
    <w:p w14:paraId="38F1A035">
      <w:pPr>
        <w:jc w:val="center"/>
        <w:rPr>
          <w:rFonts w:ascii="Arial" w:hAnsi="Arial" w:cs="Arial"/>
          <w:b/>
          <w:bCs/>
        </w:rPr>
      </w:pPr>
    </w:p>
    <w:p w14:paraId="7E74A1F6">
      <w:pPr>
        <w:jc w:val="center"/>
        <w:rPr>
          <w:rFonts w:ascii="Arial" w:hAnsi="Arial" w:cs="Arial"/>
          <w:b/>
          <w:bCs/>
        </w:rPr>
      </w:pPr>
    </w:p>
    <w:p w14:paraId="1C05EEAE">
      <w:pPr>
        <w:jc w:val="center"/>
        <w:rPr>
          <w:rFonts w:hint="default" w:ascii="Arial" w:hAnsi="Arial" w:cs="Arial"/>
          <w:b/>
          <w:bCs/>
          <w:lang w:val="en-US"/>
        </w:rPr>
      </w:pPr>
      <w:r>
        <w:rPr>
          <w:rFonts w:ascii="Arial" w:hAnsi="Arial" w:cs="Arial"/>
          <w:b/>
          <w:bCs/>
        </w:rPr>
        <w:t>Lecturer’s Name:</w:t>
      </w:r>
      <w:r>
        <w:rPr>
          <w:rFonts w:hint="default" w:ascii="Arial" w:hAnsi="Arial" w:cs="Arial"/>
          <w:b/>
          <w:bCs/>
          <w:lang w:val="en-US"/>
        </w:rPr>
        <w:t xml:space="preserve"> DR. GLADIUS KULOTHUNGAN</w:t>
      </w:r>
    </w:p>
    <w:p w14:paraId="2534BC8F">
      <w:pPr>
        <w:jc w:val="center"/>
        <w:rPr>
          <w:rFonts w:ascii="Arial" w:hAnsi="Arial" w:cs="Arial"/>
          <w:b/>
          <w:bCs/>
        </w:rPr>
      </w:pPr>
    </w:p>
    <w:p w14:paraId="70E1BD2A">
      <w:pPr>
        <w:jc w:val="center"/>
        <w:rPr>
          <w:rFonts w:ascii="Arial" w:hAnsi="Arial" w:cs="Arial"/>
          <w:b/>
          <w:bCs/>
        </w:rPr>
      </w:pPr>
    </w:p>
    <w:p w14:paraId="55B10977">
      <w:pPr>
        <w:rPr>
          <w:rFonts w:ascii="Arial" w:hAnsi="Arial" w:cs="Arial"/>
          <w:b/>
          <w:bCs/>
        </w:rPr>
      </w:pPr>
    </w:p>
    <w:p w14:paraId="39FE983B">
      <w:pPr>
        <w:jc w:val="center"/>
        <w:rPr>
          <w:rFonts w:hint="default" w:ascii="Arial" w:hAnsi="Arial" w:cs="Arial"/>
          <w:b/>
          <w:bCs/>
          <w:lang w:val="en-US"/>
        </w:rPr>
      </w:pPr>
      <w:r>
        <w:rPr>
          <w:rFonts w:ascii="Arial" w:hAnsi="Arial" w:cs="Arial"/>
          <w:b/>
          <w:bCs/>
        </w:rPr>
        <w:t>Work Count:</w:t>
      </w:r>
      <w:r>
        <w:rPr>
          <w:rFonts w:hint="default" w:ascii="Arial" w:hAnsi="Arial" w:cs="Arial"/>
          <w:b/>
          <w:bCs/>
          <w:lang w:val="en-US"/>
        </w:rPr>
        <w:t>2714</w:t>
      </w:r>
      <w:bookmarkStart w:id="11" w:name="_GoBack"/>
      <w:bookmarkEnd w:id="11"/>
    </w:p>
    <w:p w14:paraId="2CC2A054">
      <w:pPr>
        <w:jc w:val="center"/>
        <w:rPr>
          <w:rFonts w:ascii="Arial" w:hAnsi="Arial" w:cs="Arial"/>
          <w:b/>
          <w:bCs/>
        </w:rPr>
      </w:pPr>
    </w:p>
    <w:p w14:paraId="6A8F56C7">
      <w:pPr>
        <w:jc w:val="center"/>
        <w:rPr>
          <w:rFonts w:ascii="Arial" w:hAnsi="Arial" w:cs="Arial"/>
          <w:b/>
          <w:bCs/>
        </w:rPr>
      </w:pPr>
    </w:p>
    <w:p w14:paraId="74532E5F">
      <w:pPr>
        <w:jc w:val="center"/>
        <w:rPr>
          <w:rFonts w:ascii="Arial" w:hAnsi="Arial" w:cs="Arial"/>
          <w:b/>
          <w:bCs/>
        </w:rPr>
      </w:pPr>
    </w:p>
    <w:p w14:paraId="102B9D5E">
      <w:pPr>
        <w:jc w:val="center"/>
        <w:rPr>
          <w:rFonts w:ascii="Arial" w:hAnsi="Arial" w:cs="Arial"/>
          <w:b/>
          <w:bCs/>
        </w:rPr>
      </w:pPr>
    </w:p>
    <w:p w14:paraId="76B4AC18">
      <w:pPr>
        <w:jc w:val="center"/>
        <w:rPr>
          <w:rFonts w:ascii="Arial" w:hAnsi="Arial" w:cs="Arial"/>
          <w:b/>
          <w:bCs/>
        </w:rPr>
      </w:pPr>
    </w:p>
    <w:p w14:paraId="3D7042D2">
      <w:pPr>
        <w:jc w:val="center"/>
        <w:rPr>
          <w:rFonts w:ascii="Arial" w:hAnsi="Arial" w:cs="Arial"/>
          <w:b/>
          <w:bCs/>
        </w:rPr>
      </w:pPr>
      <w:r>
        <w:rPr>
          <w:rFonts w:ascii="Arial" w:hAnsi="Arial" w:cs="Arial"/>
          <w:b/>
          <w:bCs/>
        </w:rPr>
        <w:t>Term 1</w:t>
      </w:r>
    </w:p>
    <w:p w14:paraId="799E1B1A">
      <w:pPr>
        <w:pStyle w:val="21"/>
        <w:spacing w:line="360" w:lineRule="auto"/>
        <w:jc w:val="center"/>
        <w:rPr>
          <w:rFonts w:ascii="Arial" w:hAnsi="Arial" w:cs="Arial"/>
          <w:b/>
          <w:sz w:val="24"/>
          <w:szCs w:val="24"/>
        </w:rPr>
      </w:pPr>
      <w:r>
        <w:rPr>
          <w:rFonts w:ascii="Arial" w:hAnsi="Arial" w:cs="Arial"/>
          <w:b/>
          <w:sz w:val="24"/>
          <w:szCs w:val="24"/>
        </w:rPr>
        <w:br w:type="page"/>
      </w:r>
    </w:p>
    <w:sdt>
      <w:sdtPr>
        <w:rPr>
          <w:lang w:val="en-GB"/>
        </w:rPr>
        <w:id w:val="987905150"/>
        <w:docPartObj>
          <w:docPartGallery w:val="Table of Contents"/>
          <w:docPartUnique/>
        </w:docPartObj>
      </w:sdtPr>
      <w:sdtEndPr>
        <w:rPr>
          <w:rFonts w:ascii="Times New Roman" w:hAnsi="Times New Roman" w:eastAsia="Times New Roman" w:cs="Times New Roman"/>
          <w:color w:val="auto"/>
          <w:sz w:val="24"/>
          <w:szCs w:val="24"/>
          <w:lang w:val="en-GB" w:eastAsia="en-US"/>
        </w:rPr>
      </w:sdtEndPr>
      <w:sdtContent>
        <w:p w14:paraId="5A6D8DB6">
          <w:pPr>
            <w:pStyle w:val="21"/>
            <w:spacing w:line="360" w:lineRule="auto"/>
            <w:jc w:val="center"/>
            <w:rPr>
              <w:rFonts w:ascii="Times New Roman" w:hAnsi="Times New Roman" w:cs="Times New Roman"/>
              <w:color w:val="000000" w:themeColor="text1"/>
              <w:lang w:val="en-GB"/>
              <w14:textFill>
                <w14:solidFill>
                  <w14:schemeClr w14:val="tx1"/>
                </w14:solidFill>
              </w14:textFill>
            </w:rPr>
          </w:pPr>
          <w:r>
            <w:rPr>
              <w:rFonts w:ascii="Times New Roman" w:hAnsi="Times New Roman" w:cs="Times New Roman"/>
              <w:color w:val="000000" w:themeColor="text1"/>
              <w:lang w:val="en-GB"/>
              <w14:textFill>
                <w14:solidFill>
                  <w14:schemeClr w14:val="tx1"/>
                </w14:solidFill>
              </w14:textFill>
            </w:rPr>
            <w:t>Table of Contents</w:t>
          </w:r>
        </w:p>
        <w:p w14:paraId="70D9B32D">
          <w:pPr>
            <w:pStyle w:val="12"/>
            <w:tabs>
              <w:tab w:val="right" w:leader="dot" w:pos="9350"/>
            </w:tabs>
            <w:spacing w:line="360" w:lineRule="auto"/>
            <w:rPr>
              <w:rFonts w:asciiTheme="minorHAnsi" w:hAnsiTheme="minorHAnsi" w:eastAsiaTheme="minorEastAsia" w:cstheme="minorBidi"/>
              <w:sz w:val="22"/>
              <w:szCs w:val="22"/>
              <w:lang w:val="en-GB" w:eastAsia="en-IN"/>
            </w:rPr>
          </w:pPr>
          <w:r>
            <w:rPr>
              <w:color w:val="000000" w:themeColor="text1"/>
              <w:lang w:val="en-GB"/>
              <w14:textFill>
                <w14:solidFill>
                  <w14:schemeClr w14:val="tx1"/>
                </w14:solidFill>
              </w14:textFill>
            </w:rPr>
            <w:fldChar w:fldCharType="begin"/>
          </w:r>
          <w:r>
            <w:rPr>
              <w:color w:val="000000" w:themeColor="text1"/>
              <w:lang w:val="en-GB"/>
              <w14:textFill>
                <w14:solidFill>
                  <w14:schemeClr w14:val="tx1"/>
                </w14:solidFill>
              </w14:textFill>
            </w:rPr>
            <w:instrText xml:space="preserve"> TOC \o "1-3" \h \z \u </w:instrText>
          </w:r>
          <w:r>
            <w:rPr>
              <w:color w:val="000000" w:themeColor="text1"/>
              <w:lang w:val="en-GB"/>
              <w14:textFill>
                <w14:solidFill>
                  <w14:schemeClr w14:val="tx1"/>
                </w14:solidFill>
              </w14:textFill>
            </w:rPr>
            <w:fldChar w:fldCharType="separate"/>
          </w:r>
          <w:r>
            <w:fldChar w:fldCharType="begin"/>
          </w:r>
          <w:r>
            <w:instrText xml:space="preserve"> HYPERLINK \l "_Toc213714478" </w:instrText>
          </w:r>
          <w:r>
            <w:fldChar w:fldCharType="separate"/>
          </w:r>
          <w:r>
            <w:rPr>
              <w:rStyle w:val="11"/>
              <w:lang w:val="en-GB"/>
            </w:rPr>
            <w:t>Introduction</w:t>
          </w:r>
          <w:r>
            <w:rPr>
              <w:lang w:val="en-GB"/>
            </w:rPr>
            <w:tab/>
          </w:r>
          <w:r>
            <w:rPr>
              <w:lang w:val="en-GB"/>
            </w:rPr>
            <w:fldChar w:fldCharType="begin"/>
          </w:r>
          <w:r>
            <w:rPr>
              <w:lang w:val="en-GB"/>
            </w:rPr>
            <w:instrText xml:space="preserve"> PAGEREF _Toc213714478 \h </w:instrText>
          </w:r>
          <w:r>
            <w:rPr>
              <w:lang w:val="en-GB"/>
            </w:rPr>
            <w:fldChar w:fldCharType="separate"/>
          </w:r>
          <w:r>
            <w:rPr>
              <w:lang w:val="en-GB"/>
            </w:rPr>
            <w:t>3</w:t>
          </w:r>
          <w:r>
            <w:rPr>
              <w:lang w:val="en-GB"/>
            </w:rPr>
            <w:fldChar w:fldCharType="end"/>
          </w:r>
          <w:r>
            <w:rPr>
              <w:lang w:val="en-GB"/>
            </w:rPr>
            <w:fldChar w:fldCharType="end"/>
          </w:r>
        </w:p>
        <w:p w14:paraId="684FDF14">
          <w:pPr>
            <w:pStyle w:val="12"/>
            <w:tabs>
              <w:tab w:val="right" w:leader="dot" w:pos="9350"/>
            </w:tabs>
            <w:spacing w:line="360" w:lineRule="auto"/>
            <w:rPr>
              <w:rFonts w:asciiTheme="minorHAnsi" w:hAnsiTheme="minorHAnsi" w:eastAsiaTheme="minorEastAsia" w:cstheme="minorBidi"/>
              <w:sz w:val="22"/>
              <w:szCs w:val="22"/>
              <w:lang w:val="en-GB" w:eastAsia="en-IN"/>
            </w:rPr>
          </w:pPr>
          <w:r>
            <w:fldChar w:fldCharType="begin"/>
          </w:r>
          <w:r>
            <w:instrText xml:space="preserve"> HYPERLINK \l "_Toc213714479" </w:instrText>
          </w:r>
          <w:r>
            <w:fldChar w:fldCharType="separate"/>
          </w:r>
          <w:r>
            <w:rPr>
              <w:rStyle w:val="11"/>
              <w:lang w:val="en-GB"/>
            </w:rPr>
            <w:t>Technological Developments and Implications for HRM/IHRM</w:t>
          </w:r>
          <w:r>
            <w:rPr>
              <w:lang w:val="en-GB"/>
            </w:rPr>
            <w:tab/>
          </w:r>
          <w:r>
            <w:rPr>
              <w:lang w:val="en-GB"/>
            </w:rPr>
            <w:fldChar w:fldCharType="begin"/>
          </w:r>
          <w:r>
            <w:rPr>
              <w:lang w:val="en-GB"/>
            </w:rPr>
            <w:instrText xml:space="preserve"> PAGEREF _Toc213714479 \h </w:instrText>
          </w:r>
          <w:r>
            <w:rPr>
              <w:lang w:val="en-GB"/>
            </w:rPr>
            <w:fldChar w:fldCharType="separate"/>
          </w:r>
          <w:r>
            <w:rPr>
              <w:lang w:val="en-GB"/>
            </w:rPr>
            <w:t>3</w:t>
          </w:r>
          <w:r>
            <w:rPr>
              <w:lang w:val="en-GB"/>
            </w:rPr>
            <w:fldChar w:fldCharType="end"/>
          </w:r>
          <w:r>
            <w:rPr>
              <w:lang w:val="en-GB"/>
            </w:rPr>
            <w:fldChar w:fldCharType="end"/>
          </w:r>
        </w:p>
        <w:p w14:paraId="6BD4C2D3">
          <w:pPr>
            <w:pStyle w:val="12"/>
            <w:tabs>
              <w:tab w:val="right" w:leader="dot" w:pos="9350"/>
            </w:tabs>
            <w:spacing w:line="360" w:lineRule="auto"/>
            <w:rPr>
              <w:rFonts w:asciiTheme="minorHAnsi" w:hAnsiTheme="minorHAnsi" w:eastAsiaTheme="minorEastAsia" w:cstheme="minorBidi"/>
              <w:sz w:val="22"/>
              <w:szCs w:val="22"/>
              <w:lang w:val="en-GB" w:eastAsia="en-IN"/>
            </w:rPr>
          </w:pPr>
          <w:r>
            <w:fldChar w:fldCharType="begin"/>
          </w:r>
          <w:r>
            <w:instrText xml:space="preserve"> HYPERLINK \l "_Toc213714480" </w:instrText>
          </w:r>
          <w:r>
            <w:fldChar w:fldCharType="separate"/>
          </w:r>
          <w:r>
            <w:rPr>
              <w:rStyle w:val="11"/>
              <w:lang w:val="en-GB"/>
            </w:rPr>
            <w:t>Demographic and Geopolitical Factors that Shape Employment Markets</w:t>
          </w:r>
          <w:r>
            <w:rPr>
              <w:lang w:val="en-GB"/>
            </w:rPr>
            <w:tab/>
          </w:r>
          <w:r>
            <w:rPr>
              <w:lang w:val="en-GB"/>
            </w:rPr>
            <w:fldChar w:fldCharType="begin"/>
          </w:r>
          <w:r>
            <w:rPr>
              <w:lang w:val="en-GB"/>
            </w:rPr>
            <w:instrText xml:space="preserve"> PAGEREF _Toc213714480 \h </w:instrText>
          </w:r>
          <w:r>
            <w:rPr>
              <w:lang w:val="en-GB"/>
            </w:rPr>
            <w:fldChar w:fldCharType="separate"/>
          </w:r>
          <w:r>
            <w:rPr>
              <w:lang w:val="en-GB"/>
            </w:rPr>
            <w:t>4</w:t>
          </w:r>
          <w:r>
            <w:rPr>
              <w:lang w:val="en-GB"/>
            </w:rPr>
            <w:fldChar w:fldCharType="end"/>
          </w:r>
          <w:r>
            <w:rPr>
              <w:lang w:val="en-GB"/>
            </w:rPr>
            <w:fldChar w:fldCharType="end"/>
          </w:r>
        </w:p>
        <w:p w14:paraId="3DDC2125">
          <w:pPr>
            <w:pStyle w:val="12"/>
            <w:tabs>
              <w:tab w:val="right" w:leader="dot" w:pos="9350"/>
            </w:tabs>
            <w:spacing w:line="360" w:lineRule="auto"/>
            <w:rPr>
              <w:rFonts w:asciiTheme="minorHAnsi" w:hAnsiTheme="minorHAnsi" w:eastAsiaTheme="minorEastAsia" w:cstheme="minorBidi"/>
              <w:sz w:val="22"/>
              <w:szCs w:val="22"/>
              <w:lang w:val="en-GB" w:eastAsia="en-IN"/>
            </w:rPr>
          </w:pPr>
          <w:r>
            <w:fldChar w:fldCharType="begin"/>
          </w:r>
          <w:r>
            <w:instrText xml:space="preserve"> HYPERLINK \l "_Toc213714481" </w:instrText>
          </w:r>
          <w:r>
            <w:fldChar w:fldCharType="separate"/>
          </w:r>
          <w:r>
            <w:rPr>
              <w:rStyle w:val="11"/>
              <w:lang w:val="en-GB"/>
            </w:rPr>
            <w:t>Overcoming Skills Gaps by Strategic HRM</w:t>
          </w:r>
          <w:r>
            <w:rPr>
              <w:lang w:val="en-GB"/>
            </w:rPr>
            <w:tab/>
          </w:r>
          <w:r>
            <w:rPr>
              <w:lang w:val="en-GB"/>
            </w:rPr>
            <w:fldChar w:fldCharType="begin"/>
          </w:r>
          <w:r>
            <w:rPr>
              <w:lang w:val="en-GB"/>
            </w:rPr>
            <w:instrText xml:space="preserve"> PAGEREF _Toc213714481 \h </w:instrText>
          </w:r>
          <w:r>
            <w:rPr>
              <w:lang w:val="en-GB"/>
            </w:rPr>
            <w:fldChar w:fldCharType="separate"/>
          </w:r>
          <w:r>
            <w:rPr>
              <w:lang w:val="en-GB"/>
            </w:rPr>
            <w:t>5</w:t>
          </w:r>
          <w:r>
            <w:rPr>
              <w:lang w:val="en-GB"/>
            </w:rPr>
            <w:fldChar w:fldCharType="end"/>
          </w:r>
          <w:r>
            <w:rPr>
              <w:lang w:val="en-GB"/>
            </w:rPr>
            <w:fldChar w:fldCharType="end"/>
          </w:r>
        </w:p>
        <w:p w14:paraId="6550B7D2">
          <w:pPr>
            <w:pStyle w:val="12"/>
            <w:tabs>
              <w:tab w:val="right" w:leader="dot" w:pos="9350"/>
            </w:tabs>
            <w:spacing w:line="360" w:lineRule="auto"/>
            <w:rPr>
              <w:rFonts w:asciiTheme="minorHAnsi" w:hAnsiTheme="minorHAnsi" w:eastAsiaTheme="minorEastAsia" w:cstheme="minorBidi"/>
              <w:sz w:val="22"/>
              <w:szCs w:val="22"/>
              <w:lang w:val="en-GB" w:eastAsia="en-IN"/>
            </w:rPr>
          </w:pPr>
          <w:r>
            <w:fldChar w:fldCharType="begin"/>
          </w:r>
          <w:r>
            <w:instrText xml:space="preserve"> HYPERLINK \l "_Toc213714482" </w:instrText>
          </w:r>
          <w:r>
            <w:fldChar w:fldCharType="separate"/>
          </w:r>
          <w:r>
            <w:rPr>
              <w:rStyle w:val="11"/>
              <w:lang w:val="en-GB"/>
            </w:rPr>
            <w:t>Reflective Report Capabilities in an International and Technological Context</w:t>
          </w:r>
          <w:r>
            <w:rPr>
              <w:lang w:val="en-GB"/>
            </w:rPr>
            <w:tab/>
          </w:r>
          <w:r>
            <w:rPr>
              <w:lang w:val="en-GB"/>
            </w:rPr>
            <w:fldChar w:fldCharType="begin"/>
          </w:r>
          <w:r>
            <w:rPr>
              <w:lang w:val="en-GB"/>
            </w:rPr>
            <w:instrText xml:space="preserve"> PAGEREF _Toc213714482 \h </w:instrText>
          </w:r>
          <w:r>
            <w:rPr>
              <w:lang w:val="en-GB"/>
            </w:rPr>
            <w:fldChar w:fldCharType="separate"/>
          </w:r>
          <w:r>
            <w:rPr>
              <w:lang w:val="en-GB"/>
            </w:rPr>
            <w:t>7</w:t>
          </w:r>
          <w:r>
            <w:rPr>
              <w:lang w:val="en-GB"/>
            </w:rPr>
            <w:fldChar w:fldCharType="end"/>
          </w:r>
          <w:r>
            <w:rPr>
              <w:lang w:val="en-GB"/>
            </w:rPr>
            <w:fldChar w:fldCharType="end"/>
          </w:r>
        </w:p>
        <w:p w14:paraId="51FEE782">
          <w:pPr>
            <w:pStyle w:val="13"/>
            <w:tabs>
              <w:tab w:val="right" w:leader="dot" w:pos="9350"/>
            </w:tabs>
            <w:spacing w:line="360" w:lineRule="auto"/>
            <w:rPr>
              <w:rFonts w:asciiTheme="minorHAnsi" w:hAnsiTheme="minorHAnsi" w:eastAsiaTheme="minorEastAsia" w:cstheme="minorBidi"/>
              <w:sz w:val="22"/>
              <w:szCs w:val="22"/>
              <w:lang w:val="en-GB" w:eastAsia="en-IN"/>
            </w:rPr>
          </w:pPr>
          <w:r>
            <w:fldChar w:fldCharType="begin"/>
          </w:r>
          <w:r>
            <w:instrText xml:space="preserve"> HYPERLINK \l "_Toc213714483" </w:instrText>
          </w:r>
          <w:r>
            <w:fldChar w:fldCharType="separate"/>
          </w:r>
          <w:r>
            <w:rPr>
              <w:rStyle w:val="11"/>
              <w:lang w:val="en-GB"/>
            </w:rPr>
            <w:t>Concrete Experience</w:t>
          </w:r>
          <w:r>
            <w:rPr>
              <w:lang w:val="en-GB"/>
            </w:rPr>
            <w:tab/>
          </w:r>
          <w:r>
            <w:rPr>
              <w:lang w:val="en-GB"/>
            </w:rPr>
            <w:fldChar w:fldCharType="begin"/>
          </w:r>
          <w:r>
            <w:rPr>
              <w:lang w:val="en-GB"/>
            </w:rPr>
            <w:instrText xml:space="preserve"> PAGEREF _Toc213714483 \h </w:instrText>
          </w:r>
          <w:r>
            <w:rPr>
              <w:lang w:val="en-GB"/>
            </w:rPr>
            <w:fldChar w:fldCharType="separate"/>
          </w:r>
          <w:r>
            <w:rPr>
              <w:lang w:val="en-GB"/>
            </w:rPr>
            <w:t>7</w:t>
          </w:r>
          <w:r>
            <w:rPr>
              <w:lang w:val="en-GB"/>
            </w:rPr>
            <w:fldChar w:fldCharType="end"/>
          </w:r>
          <w:r>
            <w:rPr>
              <w:lang w:val="en-GB"/>
            </w:rPr>
            <w:fldChar w:fldCharType="end"/>
          </w:r>
        </w:p>
        <w:p w14:paraId="4DF425E3">
          <w:pPr>
            <w:pStyle w:val="13"/>
            <w:tabs>
              <w:tab w:val="right" w:leader="dot" w:pos="9350"/>
            </w:tabs>
            <w:spacing w:line="360" w:lineRule="auto"/>
            <w:rPr>
              <w:rFonts w:asciiTheme="minorHAnsi" w:hAnsiTheme="minorHAnsi" w:eastAsiaTheme="minorEastAsia" w:cstheme="minorBidi"/>
              <w:sz w:val="22"/>
              <w:szCs w:val="22"/>
              <w:lang w:val="en-GB" w:eastAsia="en-IN"/>
            </w:rPr>
          </w:pPr>
          <w:r>
            <w:fldChar w:fldCharType="begin"/>
          </w:r>
          <w:r>
            <w:instrText xml:space="preserve"> HYPERLINK \l "_Toc213714484" </w:instrText>
          </w:r>
          <w:r>
            <w:fldChar w:fldCharType="separate"/>
          </w:r>
          <w:r>
            <w:rPr>
              <w:rStyle w:val="11"/>
              <w:lang w:val="en-GB"/>
            </w:rPr>
            <w:t>Reflective Observation</w:t>
          </w:r>
          <w:r>
            <w:rPr>
              <w:lang w:val="en-GB"/>
            </w:rPr>
            <w:tab/>
          </w:r>
          <w:r>
            <w:rPr>
              <w:lang w:val="en-GB"/>
            </w:rPr>
            <w:fldChar w:fldCharType="begin"/>
          </w:r>
          <w:r>
            <w:rPr>
              <w:lang w:val="en-GB"/>
            </w:rPr>
            <w:instrText xml:space="preserve"> PAGEREF _Toc213714484 \h </w:instrText>
          </w:r>
          <w:r>
            <w:rPr>
              <w:lang w:val="en-GB"/>
            </w:rPr>
            <w:fldChar w:fldCharType="separate"/>
          </w:r>
          <w:r>
            <w:rPr>
              <w:lang w:val="en-GB"/>
            </w:rPr>
            <w:t>8</w:t>
          </w:r>
          <w:r>
            <w:rPr>
              <w:lang w:val="en-GB"/>
            </w:rPr>
            <w:fldChar w:fldCharType="end"/>
          </w:r>
          <w:r>
            <w:rPr>
              <w:lang w:val="en-GB"/>
            </w:rPr>
            <w:fldChar w:fldCharType="end"/>
          </w:r>
        </w:p>
        <w:p w14:paraId="2A1C410B">
          <w:pPr>
            <w:pStyle w:val="13"/>
            <w:tabs>
              <w:tab w:val="right" w:leader="dot" w:pos="9350"/>
            </w:tabs>
            <w:spacing w:line="360" w:lineRule="auto"/>
            <w:rPr>
              <w:rFonts w:asciiTheme="minorHAnsi" w:hAnsiTheme="minorHAnsi" w:eastAsiaTheme="minorEastAsia" w:cstheme="minorBidi"/>
              <w:sz w:val="22"/>
              <w:szCs w:val="22"/>
              <w:lang w:val="en-GB" w:eastAsia="en-IN"/>
            </w:rPr>
          </w:pPr>
          <w:r>
            <w:fldChar w:fldCharType="begin"/>
          </w:r>
          <w:r>
            <w:instrText xml:space="preserve"> HYPERLINK \l "_Toc213714485" </w:instrText>
          </w:r>
          <w:r>
            <w:fldChar w:fldCharType="separate"/>
          </w:r>
          <w:r>
            <w:rPr>
              <w:rStyle w:val="11"/>
              <w:u w:color="0000EE"/>
              <w:lang w:val="en-GB"/>
            </w:rPr>
            <w:t xml:space="preserve">Abstract </w:t>
          </w:r>
          <w:r>
            <w:rPr>
              <w:rStyle w:val="11"/>
              <w:lang w:val="en-GB"/>
            </w:rPr>
            <w:t>Conceptualisation</w:t>
          </w:r>
          <w:r>
            <w:rPr>
              <w:lang w:val="en-GB"/>
            </w:rPr>
            <w:tab/>
          </w:r>
          <w:r>
            <w:rPr>
              <w:lang w:val="en-GB"/>
            </w:rPr>
            <w:fldChar w:fldCharType="begin"/>
          </w:r>
          <w:r>
            <w:rPr>
              <w:lang w:val="en-GB"/>
            </w:rPr>
            <w:instrText xml:space="preserve"> PAGEREF _Toc213714485 \h </w:instrText>
          </w:r>
          <w:r>
            <w:rPr>
              <w:lang w:val="en-GB"/>
            </w:rPr>
            <w:fldChar w:fldCharType="separate"/>
          </w:r>
          <w:r>
            <w:rPr>
              <w:lang w:val="en-GB"/>
            </w:rPr>
            <w:t>9</w:t>
          </w:r>
          <w:r>
            <w:rPr>
              <w:lang w:val="en-GB"/>
            </w:rPr>
            <w:fldChar w:fldCharType="end"/>
          </w:r>
          <w:r>
            <w:rPr>
              <w:lang w:val="en-GB"/>
            </w:rPr>
            <w:fldChar w:fldCharType="end"/>
          </w:r>
        </w:p>
        <w:p w14:paraId="50A855C7">
          <w:pPr>
            <w:pStyle w:val="13"/>
            <w:tabs>
              <w:tab w:val="right" w:leader="dot" w:pos="9350"/>
            </w:tabs>
            <w:spacing w:line="360" w:lineRule="auto"/>
            <w:rPr>
              <w:rFonts w:asciiTheme="minorHAnsi" w:hAnsiTheme="minorHAnsi" w:eastAsiaTheme="minorEastAsia" w:cstheme="minorBidi"/>
              <w:sz w:val="22"/>
              <w:szCs w:val="22"/>
              <w:lang w:val="en-GB" w:eastAsia="en-IN"/>
            </w:rPr>
          </w:pPr>
          <w:r>
            <w:fldChar w:fldCharType="begin"/>
          </w:r>
          <w:r>
            <w:instrText xml:space="preserve"> HYPERLINK \l "_Toc213714486" </w:instrText>
          </w:r>
          <w:r>
            <w:fldChar w:fldCharType="separate"/>
          </w:r>
          <w:r>
            <w:rPr>
              <w:rStyle w:val="11"/>
              <w:lang w:val="en-GB"/>
            </w:rPr>
            <w:t>Active Experimentation</w:t>
          </w:r>
          <w:r>
            <w:rPr>
              <w:lang w:val="en-GB"/>
            </w:rPr>
            <w:tab/>
          </w:r>
          <w:r>
            <w:rPr>
              <w:lang w:val="en-GB"/>
            </w:rPr>
            <w:fldChar w:fldCharType="begin"/>
          </w:r>
          <w:r>
            <w:rPr>
              <w:lang w:val="en-GB"/>
            </w:rPr>
            <w:instrText xml:space="preserve"> PAGEREF _Toc213714486 \h </w:instrText>
          </w:r>
          <w:r>
            <w:rPr>
              <w:lang w:val="en-GB"/>
            </w:rPr>
            <w:fldChar w:fldCharType="separate"/>
          </w:r>
          <w:r>
            <w:rPr>
              <w:lang w:val="en-GB"/>
            </w:rPr>
            <w:t>9</w:t>
          </w:r>
          <w:r>
            <w:rPr>
              <w:lang w:val="en-GB"/>
            </w:rPr>
            <w:fldChar w:fldCharType="end"/>
          </w:r>
          <w:r>
            <w:rPr>
              <w:lang w:val="en-GB"/>
            </w:rPr>
            <w:fldChar w:fldCharType="end"/>
          </w:r>
        </w:p>
        <w:p w14:paraId="0CF6AF90">
          <w:pPr>
            <w:pStyle w:val="12"/>
            <w:tabs>
              <w:tab w:val="right" w:leader="dot" w:pos="9350"/>
            </w:tabs>
            <w:spacing w:line="360" w:lineRule="auto"/>
            <w:rPr>
              <w:rFonts w:asciiTheme="minorHAnsi" w:hAnsiTheme="minorHAnsi" w:eastAsiaTheme="minorEastAsia" w:cstheme="minorBidi"/>
              <w:sz w:val="22"/>
              <w:szCs w:val="22"/>
              <w:lang w:val="en-GB" w:eastAsia="en-IN"/>
            </w:rPr>
          </w:pPr>
          <w:r>
            <w:fldChar w:fldCharType="begin"/>
          </w:r>
          <w:r>
            <w:instrText xml:space="preserve"> HYPERLINK \l "_Toc213714487" </w:instrText>
          </w:r>
          <w:r>
            <w:fldChar w:fldCharType="separate"/>
          </w:r>
          <w:r>
            <w:rPr>
              <w:rStyle w:val="11"/>
              <w:lang w:val="en-GB"/>
            </w:rPr>
            <w:t>Summary</w:t>
          </w:r>
          <w:r>
            <w:rPr>
              <w:lang w:val="en-GB"/>
            </w:rPr>
            <w:tab/>
          </w:r>
          <w:r>
            <w:rPr>
              <w:lang w:val="en-GB"/>
            </w:rPr>
            <w:fldChar w:fldCharType="begin"/>
          </w:r>
          <w:r>
            <w:rPr>
              <w:lang w:val="en-GB"/>
            </w:rPr>
            <w:instrText xml:space="preserve"> PAGEREF _Toc213714487 \h </w:instrText>
          </w:r>
          <w:r>
            <w:rPr>
              <w:lang w:val="en-GB"/>
            </w:rPr>
            <w:fldChar w:fldCharType="separate"/>
          </w:r>
          <w:r>
            <w:rPr>
              <w:lang w:val="en-GB"/>
            </w:rPr>
            <w:t>10</w:t>
          </w:r>
          <w:r>
            <w:rPr>
              <w:lang w:val="en-GB"/>
            </w:rPr>
            <w:fldChar w:fldCharType="end"/>
          </w:r>
          <w:r>
            <w:rPr>
              <w:lang w:val="en-GB"/>
            </w:rPr>
            <w:fldChar w:fldCharType="end"/>
          </w:r>
        </w:p>
        <w:p w14:paraId="6D0A1183">
          <w:pPr>
            <w:pStyle w:val="12"/>
            <w:tabs>
              <w:tab w:val="right" w:leader="dot" w:pos="9350"/>
            </w:tabs>
            <w:spacing w:line="360" w:lineRule="auto"/>
            <w:rPr>
              <w:rFonts w:asciiTheme="minorHAnsi" w:hAnsiTheme="minorHAnsi" w:eastAsiaTheme="minorEastAsia" w:cstheme="minorBidi"/>
              <w:sz w:val="22"/>
              <w:szCs w:val="22"/>
              <w:lang w:val="en-GB" w:eastAsia="en-IN"/>
            </w:rPr>
          </w:pPr>
          <w:r>
            <w:fldChar w:fldCharType="begin"/>
          </w:r>
          <w:r>
            <w:instrText xml:space="preserve"> HYPERLINK \l "_Toc213714488" </w:instrText>
          </w:r>
          <w:r>
            <w:fldChar w:fldCharType="separate"/>
          </w:r>
          <w:r>
            <w:rPr>
              <w:rStyle w:val="11"/>
              <w:lang w:val="en-GB"/>
            </w:rPr>
            <w:t>References</w:t>
          </w:r>
          <w:r>
            <w:rPr>
              <w:lang w:val="en-GB"/>
            </w:rPr>
            <w:tab/>
          </w:r>
          <w:r>
            <w:rPr>
              <w:lang w:val="en-GB"/>
            </w:rPr>
            <w:fldChar w:fldCharType="begin"/>
          </w:r>
          <w:r>
            <w:rPr>
              <w:lang w:val="en-GB"/>
            </w:rPr>
            <w:instrText xml:space="preserve"> PAGEREF _Toc213714488 \h </w:instrText>
          </w:r>
          <w:r>
            <w:rPr>
              <w:lang w:val="en-GB"/>
            </w:rPr>
            <w:fldChar w:fldCharType="separate"/>
          </w:r>
          <w:r>
            <w:rPr>
              <w:lang w:val="en-GB"/>
            </w:rPr>
            <w:t>11</w:t>
          </w:r>
          <w:r>
            <w:rPr>
              <w:lang w:val="en-GB"/>
            </w:rPr>
            <w:fldChar w:fldCharType="end"/>
          </w:r>
          <w:r>
            <w:rPr>
              <w:lang w:val="en-GB"/>
            </w:rPr>
            <w:fldChar w:fldCharType="end"/>
          </w:r>
        </w:p>
        <w:p w14:paraId="0A390690">
          <w:pPr>
            <w:spacing w:line="360" w:lineRule="auto"/>
            <w:jc w:val="center"/>
            <w:rPr>
              <w:lang w:val="en-GB"/>
            </w:rPr>
          </w:pPr>
          <w:r>
            <w:rPr>
              <w:b/>
              <w:bCs/>
              <w:color w:val="000000" w:themeColor="text1"/>
              <w:lang w:val="en-GB"/>
              <w14:textFill>
                <w14:solidFill>
                  <w14:schemeClr w14:val="tx1"/>
                </w14:solidFill>
              </w14:textFill>
            </w:rPr>
            <w:fldChar w:fldCharType="end"/>
          </w:r>
        </w:p>
      </w:sdtContent>
    </w:sdt>
    <w:p w14:paraId="3FB36806">
      <w:pPr>
        <w:spacing w:before="120" w:after="120"/>
        <w:rPr>
          <w:lang w:val="en-GB"/>
        </w:rPr>
      </w:pPr>
    </w:p>
    <w:p w14:paraId="10AF7E7F">
      <w:pPr>
        <w:spacing w:before="120" w:after="120"/>
        <w:rPr>
          <w:lang w:val="en-GB"/>
        </w:rPr>
      </w:pPr>
    </w:p>
    <w:p w14:paraId="48668A87">
      <w:pPr>
        <w:rPr>
          <w:b/>
          <w:bCs/>
          <w:color w:val="2F5496"/>
          <w:kern w:val="36"/>
          <w:sz w:val="48"/>
          <w:szCs w:val="48"/>
          <w:lang w:val="en-GB"/>
        </w:rPr>
      </w:pPr>
      <w:r>
        <w:rPr>
          <w:lang w:val="en-GB"/>
        </w:rPr>
        <w:br w:type="page"/>
      </w:r>
    </w:p>
    <w:p w14:paraId="24FB28B9">
      <w:pPr>
        <w:pStyle w:val="2"/>
        <w:rPr>
          <w:lang w:val="en-GB"/>
        </w:rPr>
      </w:pPr>
      <w:r>
        <w:fldChar w:fldCharType="begin"/>
      </w:r>
      <w:r>
        <w:instrText xml:space="preserve"> HYPERLINK "NULL" </w:instrText>
      </w:r>
      <w:r>
        <w:fldChar w:fldCharType="separate"/>
      </w:r>
      <w:bookmarkStart w:id="0" w:name="_Toc213714478"/>
      <w:r>
        <w:rPr>
          <w:lang w:val="en-GB"/>
        </w:rPr>
        <w:t>Introduction</w:t>
      </w:r>
      <w:bookmarkEnd w:id="0"/>
      <w:r>
        <w:rPr>
          <w:lang w:val="en-GB"/>
        </w:rPr>
        <w:fldChar w:fldCharType="end"/>
      </w:r>
    </w:p>
    <w:p w14:paraId="609E71EF">
      <w:pPr>
        <w:spacing w:before="120" w:after="120" w:line="360" w:lineRule="auto"/>
        <w:jc w:val="both"/>
        <w:rPr>
          <w:lang w:val="en-GB"/>
        </w:rPr>
      </w:pPr>
      <w:r>
        <w:rPr>
          <w:lang w:val="en-GB"/>
        </w:rPr>
        <w:t>Globalisation, technological disruption, and demographic transformation are redefining labour markets and human resource strategies worldwide. This report critically analyses how technological, demographic, and geopolitical shifts influence HRM and IHRM practices, explores strategies for addressing global skills gaps, and concludes with a reflective evaluation of employability in an international context.</w:t>
      </w:r>
    </w:p>
    <w:p w14:paraId="287EC33A">
      <w:pPr>
        <w:pStyle w:val="2"/>
        <w:rPr>
          <w:lang w:val="en-GB"/>
        </w:rPr>
      </w:pPr>
      <w:r>
        <w:fldChar w:fldCharType="begin"/>
      </w:r>
      <w:r>
        <w:instrText xml:space="preserve"> HYPERLINK "NULL" </w:instrText>
      </w:r>
      <w:r>
        <w:fldChar w:fldCharType="separate"/>
      </w:r>
      <w:bookmarkStart w:id="1" w:name="_Toc213714479"/>
      <w:r>
        <w:rPr>
          <w:lang w:val="en-GB"/>
        </w:rPr>
        <w:t>Technological Developments and Implications for HRM/IHRM</w:t>
      </w:r>
      <w:bookmarkEnd w:id="1"/>
      <w:r>
        <w:rPr>
          <w:lang w:val="en-GB"/>
        </w:rPr>
        <w:fldChar w:fldCharType="end"/>
      </w:r>
    </w:p>
    <w:p w14:paraId="7415D8C9">
      <w:pPr>
        <w:spacing w:before="120" w:after="120" w:line="360" w:lineRule="auto"/>
        <w:jc w:val="both"/>
        <w:rPr>
          <w:lang w:val="en-GB"/>
        </w:rPr>
      </w:pPr>
      <w:r>
        <w:rPr>
          <w:lang w:val="en-GB"/>
        </w:rPr>
        <w:t xml:space="preserve">Technological development-and notably the development of artificial intelligence (AI), automated processes and digitalisation basements-are already fundamentally changing national and international labour markets. AI-driven recruitment, analytics-based decision-making, and the rise of remote work across the globe have eliminated the traditional boundaries of employment and forced HRM and IHRM to transition their roles from administrative coordination to strategic digital leadership (Ekuma, 2024) </w:t>
      </w:r>
      <w:r>
        <w:rPr>
          <w:b/>
          <w:bCs/>
          <w:i/>
          <w:iCs/>
          <w:lang w:val="en-GB"/>
        </w:rPr>
        <w:t>[Refer to Lecture Week 2].</w:t>
      </w:r>
    </w:p>
    <w:p w14:paraId="6FB2BD5A">
      <w:pPr>
        <w:spacing w:before="120" w:after="120" w:line="360" w:lineRule="auto"/>
        <w:jc w:val="both"/>
        <w:rPr>
          <w:lang w:val="en-GB"/>
        </w:rPr>
      </w:pPr>
      <w:r>
        <w:rPr>
          <w:lang w:val="en-GB"/>
        </w:rPr>
        <w:t xml:space="preserve">AI and automation are creating a dual reality, as while they help increase efficiency and predictive workforce planning, they also jeopardise job displacement and ethical accountability </w:t>
      </w:r>
      <w:r>
        <w:rPr>
          <w:b/>
          <w:bCs/>
          <w:i/>
          <w:iCs/>
          <w:lang w:val="en-GB"/>
        </w:rPr>
        <w:t>[Refer to FinServe Bank Case].</w:t>
      </w:r>
      <w:r>
        <w:rPr>
          <w:lang w:val="en-GB"/>
        </w:rPr>
        <w:t xml:space="preserve"> Ekuma's (2024) review of 93 studies reveal that the AI personalisation of learning and workforce analytics does entail a risk to the undue algorithmic bias and breaches of privacy. Therefore, HR needs to incorporate governance mechanisms in order to maintain data use fairness and transparency. These echo the Harvard and Guest models, which stressed balancing efficiency, which is termed as hard HRM, with employee commitment and ethical responsibility, named as soft HRM </w:t>
      </w:r>
      <w:r>
        <w:rPr>
          <w:b/>
          <w:bCs/>
          <w:i/>
          <w:iCs/>
          <w:lang w:val="en-GB"/>
        </w:rPr>
        <w:t>[Refer to Lecture Week 1].</w:t>
      </w:r>
      <w:r>
        <w:rPr>
          <w:lang w:val="en-GB"/>
        </w:rPr>
        <w:t xml:space="preserve"> The Ulrich Model goes even further by reproaching HR as a strategic partner and change agent in leading digital transformation while retaining human sentiment </w:t>
      </w:r>
      <w:r>
        <w:rPr>
          <w:b/>
          <w:bCs/>
          <w:i/>
          <w:iCs/>
          <w:lang w:val="en-GB"/>
        </w:rPr>
        <w:t>[Refer to Lecture Week 3].</w:t>
      </w:r>
    </w:p>
    <w:p w14:paraId="5DFF2A27">
      <w:pPr>
        <w:spacing w:before="120" w:after="120" w:line="360" w:lineRule="auto"/>
        <w:jc w:val="both"/>
        <w:rPr>
          <w:lang w:val="en-GB"/>
        </w:rPr>
      </w:pPr>
      <w:r>
        <w:rPr>
          <w:lang w:val="en-GB"/>
        </w:rPr>
        <w:t xml:space="preserve">Case evidence lays stress on the implication for strategy TechNova, after an acquisition that was enabled with artificial intelligence, and it turned out that technology adoption without cultural integration increases turnover </w:t>
      </w:r>
      <w:r>
        <w:rPr>
          <w:b/>
          <w:bCs/>
          <w:i/>
          <w:iCs/>
          <w:lang w:val="en-GB"/>
        </w:rPr>
        <w:t>[Refer to Case Study: TechNova].</w:t>
      </w:r>
      <w:r>
        <w:rPr>
          <w:lang w:val="en-GB"/>
        </w:rPr>
        <w:t xml:space="preserve"> As opined by Ajayi-Nifise </w:t>
      </w:r>
      <w:r>
        <w:rPr>
          <w:i/>
          <w:iCs/>
          <w:lang w:val="en-GB"/>
        </w:rPr>
        <w:t>et al.</w:t>
      </w:r>
      <w:r>
        <w:rPr>
          <w:lang w:val="en-GB"/>
        </w:rPr>
        <w:t xml:space="preserve"> (2024), only within the context of HR realigning people strategy with digital capability engagement was stabilised. Similarly, StellarTech Ltd. displayed that data-driven HR analytics and leadership pipelines are key to sustainable innovation </w:t>
      </w:r>
      <w:r>
        <w:rPr>
          <w:b/>
          <w:bCs/>
          <w:i/>
          <w:iCs/>
          <w:lang w:val="en-GB"/>
        </w:rPr>
        <w:t>[Refer to Lecture Week 5].</w:t>
      </w:r>
      <w:r>
        <w:rPr>
          <w:lang w:val="en-GB"/>
        </w:rPr>
        <w:t xml:space="preserve"> These examples attest to the fact that the value of AI is only as good as HR's capacity to combine digital acuity with cultural glue.</w:t>
      </w:r>
    </w:p>
    <w:p w14:paraId="3EE411E6">
      <w:pPr>
        <w:spacing w:before="120" w:after="120" w:line="360" w:lineRule="auto"/>
        <w:jc w:val="both"/>
        <w:rPr>
          <w:lang w:val="en-GB"/>
        </w:rPr>
      </w:pPr>
      <w:r>
        <w:rPr>
          <w:lang w:val="en-GB"/>
        </w:rPr>
        <w:t xml:space="preserve">At the international level, the digital platforms, cloud-based H.R systems promote borderless employment ecosystems, facilitating virtual expatriation, the freelancing of global, and hybrid collaboration </w:t>
      </w:r>
      <w:r>
        <w:rPr>
          <w:b/>
          <w:bCs/>
          <w:i/>
          <w:iCs/>
          <w:lang w:val="en-GB"/>
        </w:rPr>
        <w:t>[Refer to Lecture Week 7].</w:t>
      </w:r>
      <w:r>
        <w:rPr>
          <w:lang w:val="en-GB"/>
        </w:rPr>
        <w:t xml:space="preserve"> However, Khan (2025) stated that cross-jurisdictional compliance and data sovereignty challenge the governance of IHRM. Multinationals such as Unilever and IBM have started to use AI in recruitment and talent analytics but both have been criticised because of bias and lack of transparency </w:t>
      </w:r>
      <w:r>
        <w:rPr>
          <w:b/>
          <w:bCs/>
          <w:i/>
          <w:iCs/>
          <w:lang w:val="en-GB"/>
        </w:rPr>
        <w:t>[Refer to Lecture Week 9].</w:t>
      </w:r>
      <w:r>
        <w:rPr>
          <w:lang w:val="en-GB"/>
        </w:rPr>
        <w:t xml:space="preserve"> These are calls for "augmented-intelligence" strategy in which automation supports, but never replaces, human judgment [</w:t>
      </w:r>
      <w:r>
        <w:rPr>
          <w:b/>
          <w:bCs/>
          <w:i/>
          <w:iCs/>
          <w:lang w:val="en-GB"/>
        </w:rPr>
        <w:t>Refer to Lecture Week 10].</w:t>
      </w:r>
    </w:p>
    <w:p w14:paraId="06D2FA74">
      <w:pPr>
        <w:spacing w:before="120" w:after="120" w:line="360" w:lineRule="auto"/>
        <w:jc w:val="both"/>
        <w:rPr>
          <w:lang w:val="en-GB"/>
        </w:rPr>
      </w:pPr>
      <w:r>
        <w:rPr>
          <w:lang w:val="en-GB"/>
        </w:rPr>
        <w:t xml:space="preserve">Strategically, HR has to be an advocate for digital upskilling, an ethics of AI, and workforce planning using analytics. Integrating reskilling programmes and ongoing learning - Similar to the values-driven model by Patagonia, it can help preserve the human dimension of technological change </w:t>
      </w:r>
      <w:r>
        <w:rPr>
          <w:b/>
          <w:bCs/>
          <w:i/>
          <w:iCs/>
          <w:lang w:val="en-GB"/>
        </w:rPr>
        <w:t>[Refer to Lecture Week 8].</w:t>
      </w:r>
      <w:r>
        <w:rPr>
          <w:lang w:val="en-GB"/>
        </w:rPr>
        <w:t xml:space="preserve"> Thus, future-ready HRM or IHRM will have to play not as technology adopters, but as ethical custodians of building Inclusive, Data-empowered, and Sustainable labour ecosystems.</w:t>
      </w:r>
    </w:p>
    <w:p w14:paraId="5FB72DA8">
      <w:pPr>
        <w:pStyle w:val="2"/>
        <w:rPr>
          <w:lang w:val="en-GB"/>
        </w:rPr>
      </w:pPr>
      <w:r>
        <w:fldChar w:fldCharType="begin"/>
      </w:r>
      <w:r>
        <w:instrText xml:space="preserve"> HYPERLINK "NULL" </w:instrText>
      </w:r>
      <w:r>
        <w:fldChar w:fldCharType="separate"/>
      </w:r>
      <w:bookmarkStart w:id="2" w:name="_Toc213714480"/>
      <w:r>
        <w:rPr>
          <w:lang w:val="en-GB"/>
        </w:rPr>
        <w:t>Demographic and Geopolitical Factors that Shape Employment Markets</w:t>
      </w:r>
      <w:bookmarkEnd w:id="2"/>
      <w:r>
        <w:rPr>
          <w:lang w:val="en-GB"/>
        </w:rPr>
        <w:fldChar w:fldCharType="end"/>
      </w:r>
    </w:p>
    <w:p w14:paraId="41C1C37D">
      <w:pPr>
        <w:spacing w:before="120" w:after="120" w:line="360" w:lineRule="auto"/>
        <w:jc w:val="both"/>
        <w:rPr>
          <w:lang w:val="en-GB"/>
        </w:rPr>
      </w:pPr>
      <w:r>
        <w:rPr>
          <w:lang w:val="en-GB"/>
        </w:rPr>
        <w:t xml:space="preserve">Demographic and geopolitical changes are transforming global labour markets and are forcing HRM and IHRM to become agile and more inclusive, and globally responsive. As ageing populations in the developed economies and growing numbers of young people in emerging nations are changing the composition of their workforce pools, HR practitioners face a balancing act of retaining experience and harnessing youth employability </w:t>
      </w:r>
      <w:r>
        <w:rPr>
          <w:b/>
          <w:bCs/>
          <w:i/>
          <w:iCs/>
          <w:lang w:val="en-GB"/>
        </w:rPr>
        <w:t>[Refer to Lecture Week 4].</w:t>
      </w:r>
      <w:r>
        <w:rPr>
          <w:lang w:val="en-GB"/>
        </w:rPr>
        <w:t xml:space="preserve"> In advanced economies such as the UK, Japan, and Germany, facing workforces that are ageing, this is causing shortages in healthcare, manufacturing, and education. Organisations such as the NHS have promoted age-inclusive policies, flexible working arrangements, and lifelong learning initiatives as a way of retaining their older workforce and promoting the intergenerational transfer of knowledge </w:t>
      </w:r>
      <w:r>
        <w:rPr>
          <w:b/>
          <w:bCs/>
          <w:i/>
          <w:iCs/>
          <w:lang w:val="en-GB"/>
        </w:rPr>
        <w:t>[Refer to Lecture Week 6].</w:t>
      </w:r>
      <w:r>
        <w:rPr>
          <w:lang w:val="en-GB"/>
        </w:rPr>
        <w:t xml:space="preserve"> Conversely, underemployment because of skill mismatches and poor professional training are also found in the research by Sudan (2021) in countries like India, Indonesia, and Nigeria. Hence, the role of HRM has to be to promote vocational partnerships, employability programmes, and digital literacy schemes to convert this demographic potential into productive human capital </w:t>
      </w:r>
      <w:r>
        <w:rPr>
          <w:b/>
          <w:bCs/>
          <w:i/>
          <w:iCs/>
          <w:lang w:val="en-GB"/>
        </w:rPr>
        <w:t>[Refer to Lecture Week 8].</w:t>
      </w:r>
    </w:p>
    <w:p w14:paraId="2E9E8656">
      <w:pPr>
        <w:spacing w:before="120" w:after="120" w:line="360" w:lineRule="auto"/>
        <w:jc w:val="both"/>
        <w:rPr>
          <w:lang w:val="en-GB"/>
        </w:rPr>
      </w:pPr>
      <w:r>
        <w:rPr>
          <w:lang w:val="en-GB"/>
        </w:rPr>
        <w:t xml:space="preserve">Geopolitical instability-which include Brexit, Russia-Ukraine War and US-China-Traides have disrupted labour mobility and supply chains globally enticing the IHRM put focus on risk management, crisis response, and regulatory compliances (Bednarski </w:t>
      </w:r>
      <w:r>
        <w:rPr>
          <w:i/>
          <w:iCs/>
          <w:lang w:val="en-GB"/>
        </w:rPr>
        <w:t>et al.</w:t>
      </w:r>
      <w:r>
        <w:rPr>
          <w:lang w:val="en-GB"/>
        </w:rPr>
        <w:t xml:space="preserve"> 2025) [</w:t>
      </w:r>
      <w:r>
        <w:rPr>
          <w:b/>
          <w:bCs/>
          <w:i/>
          <w:iCs/>
          <w:lang w:val="en-GB"/>
        </w:rPr>
        <w:t>Refer to Lecture Week 9].</w:t>
      </w:r>
      <w:r>
        <w:rPr>
          <w:lang w:val="en-GB"/>
        </w:rPr>
        <w:t xml:space="preserve"> TechNova, for example, was able to maintain operations during the pandemic disruptions thanks to the application of virtual expatriation and digital collaboration </w:t>
      </w:r>
      <w:r>
        <w:rPr>
          <w:b/>
          <w:bCs/>
          <w:i/>
          <w:iCs/>
          <w:lang w:val="en-GB"/>
        </w:rPr>
        <w:t>[Refer to Lecture Week 5];</w:t>
      </w:r>
      <w:r>
        <w:rPr>
          <w:lang w:val="en-GB"/>
        </w:rPr>
        <w:t xml:space="preserve"> this may be seen as evidence of the strategic adaptability of IHRM.</w:t>
      </w:r>
    </w:p>
    <w:p w14:paraId="02344DE9">
      <w:pPr>
        <w:spacing w:before="120" w:after="120" w:line="360" w:lineRule="auto"/>
        <w:jc w:val="both"/>
        <w:rPr>
          <w:lang w:val="en-GB"/>
        </w:rPr>
      </w:pPr>
      <w:r>
        <w:rPr>
          <w:lang w:val="en-GB"/>
        </w:rPr>
        <w:t xml:space="preserve">Migration trends are also changing due to pressures in the domain of humanitarian and policy responses. Countries such as Canada and Australia are using systems based on skill-based migration to attract global talent, while protectionist countries, too, have tightened up borders. Multinationals are now evolving towards localisation of HR policies, maintaining global standards of equity </w:t>
      </w:r>
      <w:r>
        <w:rPr>
          <w:b/>
          <w:bCs/>
          <w:i/>
          <w:iCs/>
          <w:lang w:val="en-GB"/>
        </w:rPr>
        <w:t>[Refer to Lecture Week 3].</w:t>
      </w:r>
      <w:r>
        <w:rPr>
          <w:lang w:val="en-GB"/>
        </w:rPr>
        <w:t xml:space="preserve"> Unilever and Nestlé are a great examples of this in "Global Mobility 2.0," using remote working to gain international competition for talent while taking care to incorporate inclusion and compliance.</w:t>
      </w:r>
    </w:p>
    <w:p w14:paraId="2FED5ACE">
      <w:pPr>
        <w:spacing w:before="120" w:after="120" w:line="360" w:lineRule="auto"/>
        <w:jc w:val="both"/>
        <w:rPr>
          <w:lang w:val="en-GB"/>
        </w:rPr>
      </w:pPr>
      <w:r>
        <w:rPr>
          <w:lang w:val="en-GB"/>
        </w:rPr>
        <w:t xml:space="preserve">Diversity, equity, and inclusion (DEI) have become a big part of HRM. StellarTech Ltd. implemented inclusive leadership training after identifying the presence of internal inequities using workforce analytics </w:t>
      </w:r>
      <w:r>
        <w:rPr>
          <w:b/>
          <w:bCs/>
          <w:i/>
          <w:iCs/>
          <w:lang w:val="en-GB"/>
        </w:rPr>
        <w:t>[Refer to Lecture Week 7].</w:t>
      </w:r>
      <w:r>
        <w:rPr>
          <w:lang w:val="en-GB"/>
        </w:rPr>
        <w:t xml:space="preserve"> In support of the Guest Model in promoting equal HR practices. In addition, climate change and green transitions are creating new job opportunities. The ILO estimates that there will be more than 24 million sustainability-related jobs by 2030 (Yeganegi, 2025). Companies such as Unilever are now building green skills training into programmes such as "Future of Work," which prepares employees for low carbon industries [</w:t>
      </w:r>
      <w:r>
        <w:rPr>
          <w:b/>
          <w:bCs/>
          <w:i/>
          <w:iCs/>
          <w:lang w:val="en-GB"/>
        </w:rPr>
        <w:t>Refer to Lecture Week 10].</w:t>
      </w:r>
    </w:p>
    <w:p w14:paraId="456A58B5">
      <w:pPr>
        <w:pStyle w:val="2"/>
        <w:rPr>
          <w:lang w:val="en-GB"/>
        </w:rPr>
      </w:pPr>
      <w:r>
        <w:fldChar w:fldCharType="begin"/>
      </w:r>
      <w:r>
        <w:instrText xml:space="preserve"> HYPERLINK "NULL" </w:instrText>
      </w:r>
      <w:r>
        <w:fldChar w:fldCharType="separate"/>
      </w:r>
      <w:bookmarkStart w:id="3" w:name="_Toc213714481"/>
      <w:r>
        <w:rPr>
          <w:lang w:val="en-GB"/>
        </w:rPr>
        <w:t>Overcoming Skills Gaps by Strategic HRM</w:t>
      </w:r>
      <w:bookmarkEnd w:id="3"/>
      <w:r>
        <w:rPr>
          <w:lang w:val="en-GB"/>
        </w:rPr>
        <w:fldChar w:fldCharType="end"/>
      </w:r>
    </w:p>
    <w:p w14:paraId="3A892BBE">
      <w:pPr>
        <w:spacing w:before="120" w:after="120" w:line="360" w:lineRule="auto"/>
        <w:jc w:val="both"/>
        <w:rPr>
          <w:lang w:val="en-GB"/>
        </w:rPr>
      </w:pPr>
      <w:r>
        <w:rPr>
          <w:lang w:val="en-GB"/>
        </w:rPr>
        <w:t xml:space="preserve">Persistent skills gaps across industries like technology, healthcare, and hospitality are continuing to pose challenges in the national and international labour market, making strategic HRM a necessity in supporting sustainable competition. As industries become digital and automation techniques move forward, employers are having more and more difficulty sourcing talent with relevant digital, technical, and soft skills </w:t>
      </w:r>
      <w:r>
        <w:rPr>
          <w:b/>
          <w:bCs/>
          <w:i/>
          <w:iCs/>
          <w:lang w:val="en-GB"/>
        </w:rPr>
        <w:t xml:space="preserve">[Refer to Lecture Week 5]. </w:t>
      </w:r>
      <w:r>
        <w:rPr>
          <w:lang w:val="en-GB"/>
        </w:rPr>
        <w:t>Addressing these shortages requires a proactive and systemic approach, involving workforce planning efforts, reskilling initiatives, and international collaboration to bridge the talent gaps between on-demand organisational requirements.</w:t>
      </w:r>
    </w:p>
    <w:p w14:paraId="1BBB0477">
      <w:pPr>
        <w:spacing w:before="120" w:after="120" w:line="360" w:lineRule="auto"/>
        <w:jc w:val="both"/>
        <w:rPr>
          <w:lang w:val="en-GB"/>
        </w:rPr>
      </w:pPr>
      <w:r>
        <w:rPr>
          <w:lang w:val="en-GB"/>
        </w:rPr>
        <w:t xml:space="preserve">In the technology sector, the rapid change in the development of artificial intelligence, data analytics, and cybersecurity has led to an acute shortage of highly skilled professionals. The World Economic Forum (2025) is predicting that the core skills of workers will shift in 44% of them in the next five years. Strategic HRM must therefore be focused on constant learning and adaptive workforce planning </w:t>
      </w:r>
      <w:r>
        <w:rPr>
          <w:b/>
          <w:bCs/>
          <w:i/>
          <w:iCs/>
          <w:lang w:val="en-GB"/>
        </w:rPr>
        <w:t>[Refer to Lecture Week 7].</w:t>
      </w:r>
      <w:r>
        <w:rPr>
          <w:lang w:val="en-GB"/>
        </w:rPr>
        <w:t xml:space="preserve"> Tech companies such as IBM have led the way for "SkillsBuild" programmes by integrating digital platforms, micro-credential approvals, and career path mapping to increase employability and internal movement. By incorporating the agility of learning in organisational culture, HR functions can turn employees into lifelong learners capable of evolving together with technological change.</w:t>
      </w:r>
    </w:p>
    <w:p w14:paraId="0178B22E">
      <w:pPr>
        <w:spacing w:before="120" w:after="120" w:line="360" w:lineRule="auto"/>
        <w:jc w:val="both"/>
        <w:rPr>
          <w:lang w:val="en-GB"/>
        </w:rPr>
      </w:pPr>
      <w:r>
        <w:rPr>
          <w:lang w:val="en-GB"/>
        </w:rPr>
        <w:t xml:space="preserve">Similarly, the hospitality industry has chronic labour deficits resulting from low retention rates and digital adoption. Strategic HRM in this sector needs to prioritise on employer branding, inclusive leadership, and hybrid learning solutions </w:t>
      </w:r>
      <w:r>
        <w:rPr>
          <w:b/>
          <w:bCs/>
          <w:i/>
          <w:iCs/>
          <w:lang w:val="en-GB"/>
        </w:rPr>
        <w:t>[Refer to Lecture Week 6].</w:t>
      </w:r>
      <w:r>
        <w:rPr>
          <w:lang w:val="en-GB"/>
        </w:rPr>
        <w:t xml:space="preserve"> Marriott International, for instance, uses the integration and inclusion of digital learning platforms and leadership academies to help reskill its employees in service technology and customer engagement. This is in accordance with the concept of "learning organisations"where sharing of knowledge and innovation are the basis for performance and adaptability.</w:t>
      </w:r>
    </w:p>
    <w:p w14:paraId="10F7A09E">
      <w:pPr>
        <w:spacing w:before="120" w:after="120" w:line="360" w:lineRule="auto"/>
        <w:jc w:val="both"/>
        <w:rPr>
          <w:lang w:val="en-GB"/>
        </w:rPr>
      </w:pPr>
      <w:r>
        <w:rPr>
          <w:lang w:val="en-GB"/>
        </w:rPr>
        <w:t xml:space="preserve">Moreover, digital training software and AI-enabled analytics are now playing a pivotal role in grandiose skills gaps. HR analytics allows for predictive workforce planning so that emerging skill requirements can be identified and training programmes can be customised </w:t>
      </w:r>
      <w:r>
        <w:rPr>
          <w:b/>
          <w:bCs/>
          <w:i/>
          <w:iCs/>
          <w:lang w:val="en-GB"/>
        </w:rPr>
        <w:t>[Refer to Lecture Week 9].</w:t>
      </w:r>
      <w:r>
        <w:rPr>
          <w:lang w:val="en-GB"/>
        </w:rPr>
        <w:t xml:space="preserve"> Platforms such as Coursera for Business and LinkedIn Learning are now strategic tools to upskill in a big way for organisations to react to changes in the market in a dynamic way.</w:t>
      </w:r>
    </w:p>
    <w:p w14:paraId="2429C3C5">
      <w:pPr>
        <w:spacing w:before="120" w:after="120" w:line="360" w:lineRule="auto"/>
        <w:jc w:val="both"/>
        <w:rPr>
          <w:lang w:val="en-GB"/>
        </w:rPr>
      </w:pPr>
      <w:r>
        <w:rPr>
          <w:lang w:val="en-GB"/>
        </w:rPr>
        <w:t xml:space="preserve">As opined by Barrah (2024), global talent mobility also serves as a vital IHRM strategy to local shortage. Multinational businesses like Siemens and Deloitte use rotational assignments, virtual mobility, and expatriate programmes to redeploy skills worldwide </w:t>
      </w:r>
      <w:r>
        <w:rPr>
          <w:b/>
          <w:bCs/>
          <w:i/>
          <w:iCs/>
          <w:lang w:val="en-GB"/>
        </w:rPr>
        <w:t xml:space="preserve">[Refer to Lecture Week 10]. </w:t>
      </w:r>
      <w:r>
        <w:rPr>
          <w:lang w:val="en-GB"/>
        </w:rPr>
        <w:t>This not only leads to increased flexibility of the workforce but also to an increase in cross-cultural competence and knowledge transfer across markets.</w:t>
      </w:r>
    </w:p>
    <w:p w14:paraId="513ADF6C">
      <w:pPr>
        <w:spacing w:before="120" w:after="120" w:line="360" w:lineRule="auto"/>
        <w:jc w:val="both"/>
        <w:rPr>
          <w:lang w:val="en-GB"/>
        </w:rPr>
      </w:pPr>
      <w:r>
        <w:rPr>
          <w:lang w:val="en-GB"/>
        </w:rPr>
        <w:t xml:space="preserve">In conclusion, solving the issue of skills shortage demands HRM to move forward from administration to strategic leadership. By integrating approaches to workforce planning that are data-driven, digital learning systems and global talent management, organisations can develop adaptable and future-ready workforces to thrive in dynamic global labour markets </w:t>
      </w:r>
      <w:r>
        <w:rPr>
          <w:b/>
          <w:bCs/>
          <w:i/>
          <w:iCs/>
          <w:lang w:val="en-GB"/>
        </w:rPr>
        <w:t>[Refer to Lecture Week 11].</w:t>
      </w:r>
    </w:p>
    <w:p w14:paraId="7F6DE92C">
      <w:pPr>
        <w:pStyle w:val="2"/>
        <w:rPr>
          <w:lang w:val="en-GB"/>
        </w:rPr>
      </w:pPr>
      <w:r>
        <w:fldChar w:fldCharType="begin"/>
      </w:r>
      <w:r>
        <w:instrText xml:space="preserve"> HYPERLINK "NULL" </w:instrText>
      </w:r>
      <w:r>
        <w:fldChar w:fldCharType="separate"/>
      </w:r>
      <w:bookmarkStart w:id="4" w:name="_Toc213714482"/>
      <w:r>
        <w:rPr>
          <w:lang w:val="en-GB"/>
        </w:rPr>
        <w:t>Reflective Report Capabilities in an International and Technological Context</w:t>
      </w:r>
      <w:bookmarkEnd w:id="4"/>
      <w:r>
        <w:rPr>
          <w:lang w:val="en-GB"/>
        </w:rPr>
        <w:fldChar w:fldCharType="end"/>
      </w:r>
    </w:p>
    <w:p w14:paraId="261CB67D">
      <w:pPr>
        <w:spacing w:before="120" w:after="120" w:line="360" w:lineRule="auto"/>
        <w:jc w:val="both"/>
        <w:rPr>
          <w:lang w:val="en-GB"/>
        </w:rPr>
      </w:pPr>
      <w:r>
        <w:rPr>
          <w:lang w:val="en-GB"/>
        </w:rPr>
        <w:t>In a world in which globalisation and technological integration have caused changes in how people work, the ability to work effectively across cultures and digital systems is a vital employability competence. As emphasised by Armstrong and Taylor (2020), globalisation and digitisation have redefined the ways in which individuals collaborate, communicate, and innovate. This reflection, organised through Kolb's (1984) Experiential Learning Cycle, which includes the process of concrete experience, reflective observation, abstract conceptualisation, and active experimentation, evaluates my personal strengths and weaknesses in the areas of technology, communication, teamwork, leadership, and self-directed learning, and also outlines my strategies for professional development when in an international context.</w:t>
      </w:r>
    </w:p>
    <w:p w14:paraId="52F81C50">
      <w:pPr>
        <w:pStyle w:val="3"/>
        <w:rPr>
          <w:lang w:val="en-GB"/>
        </w:rPr>
      </w:pPr>
      <w:r>
        <w:fldChar w:fldCharType="begin"/>
      </w:r>
      <w:r>
        <w:instrText xml:space="preserve"> HYPERLINK "NULL" </w:instrText>
      </w:r>
      <w:r>
        <w:fldChar w:fldCharType="separate"/>
      </w:r>
      <w:bookmarkStart w:id="5" w:name="_Toc213714483"/>
      <w:r>
        <w:rPr>
          <w:lang w:val="en-GB"/>
        </w:rPr>
        <w:t>Concrete Experience</w:t>
      </w:r>
      <w:bookmarkEnd w:id="5"/>
      <w:r>
        <w:rPr>
          <w:lang w:val="en-GB"/>
        </w:rPr>
        <w:fldChar w:fldCharType="end"/>
      </w:r>
    </w:p>
    <w:p w14:paraId="7E0D228F">
      <w:pPr>
        <w:spacing w:before="120" w:after="120" w:line="360" w:lineRule="auto"/>
        <w:jc w:val="both"/>
        <w:rPr>
          <w:lang w:val="en-GB"/>
        </w:rPr>
      </w:pPr>
      <w:r>
        <w:rPr>
          <w:lang w:val="en-GB"/>
        </w:rPr>
        <w:t>During my recent experiences both academically and in projects, I have had the opportunity to collaborate with other students, with different cultural and disciplinary backgrounds, through digital tools such as MS Teams, Google Suite and NVivo for research coordination. These experiences highlighted both my strengths and challenges in terms of how to operate in a global virtual team. I demonstrated flexibility of technological tools applications and the capacity to conduct continuous digital communication, which indicates the technological competency that is needed in the modern workplace (Noe et al 2016). However, I witnessed some limitations of cross-cultural communication as well - especially when it comes to the interpretation of indirect feedback or deviation of working norms.</w:t>
      </w:r>
    </w:p>
    <w:p w14:paraId="07A93706">
      <w:pPr>
        <w:spacing w:before="120" w:after="120" w:line="360" w:lineRule="auto"/>
        <w:jc w:val="both"/>
        <w:rPr>
          <w:lang w:val="en-GB"/>
        </w:rPr>
      </w:pPr>
      <w:r>
        <w:rPr>
          <w:lang w:val="en-GB"/>
        </w:rPr>
        <w:t>Leadership came naturally when coordinating group deliverables, where I was able to take initiative in terms of allocation of tasks and allocation of time, as well as resolution of conflict. This experience aligns with Armstrong and Taylor's (2020) concept of "distributed leadership" wherein influence is distributed among teams rather than exercised hierarchically. However, there were cases where I would sometimes not be able to delegate properly because of the difference in engagement and technical capability among the people in the team.</w:t>
      </w:r>
    </w:p>
    <w:p w14:paraId="65A9F723">
      <w:pPr>
        <w:spacing w:before="120" w:after="120" w:line="360" w:lineRule="auto"/>
        <w:jc w:val="both"/>
        <w:rPr>
          <w:lang w:val="en-GB"/>
        </w:rPr>
      </w:pPr>
      <w:r>
        <w:rPr>
          <w:lang w:val="en-GB"/>
        </w:rPr>
        <w:t>My involvement in self-directed learning like research for data analysis tools and management frameworks on my own resulted in further development in digital and analytics literacy. This proactive learning has parallels with Reilly and Williams' (2016) focus on capability building in order to be strategic and build a sustainable career.</w:t>
      </w:r>
    </w:p>
    <w:p w14:paraId="2368283C">
      <w:pPr>
        <w:pStyle w:val="3"/>
        <w:rPr>
          <w:lang w:val="en-GB"/>
        </w:rPr>
      </w:pPr>
      <w:r>
        <w:fldChar w:fldCharType="begin"/>
      </w:r>
      <w:r>
        <w:instrText xml:space="preserve"> HYPERLINK "NULL" </w:instrText>
      </w:r>
      <w:r>
        <w:fldChar w:fldCharType="separate"/>
      </w:r>
      <w:bookmarkStart w:id="6" w:name="_Toc213714484"/>
      <w:r>
        <w:rPr>
          <w:lang w:val="en-GB"/>
        </w:rPr>
        <w:t>Reflective Observation</w:t>
      </w:r>
      <w:bookmarkEnd w:id="6"/>
      <w:r>
        <w:rPr>
          <w:lang w:val="en-GB"/>
        </w:rPr>
        <w:fldChar w:fldCharType="end"/>
      </w:r>
    </w:p>
    <w:p w14:paraId="54A65BD0">
      <w:pPr>
        <w:spacing w:before="120" w:after="120" w:line="360" w:lineRule="auto"/>
        <w:jc w:val="both"/>
        <w:rPr>
          <w:lang w:val="en-GB"/>
        </w:rPr>
      </w:pPr>
      <w:r>
        <w:rPr>
          <w:lang w:val="en-GB"/>
        </w:rPr>
        <w:t xml:space="preserve">eflecting upon these experiences, I realised that the strength of my confidence with technology and propensity to learn on my own has been major enablers to my productivity and adaptability. Digital competence has become a central element in employability, especially when the jobs are being automated and the remote workers are essential. My competence in adopting collaborative platforms had increased efficiency and knowledge sharing, which are important dimensions in modern HRM and international teamwork (Mathis </w:t>
      </w:r>
      <w:r>
        <w:rPr>
          <w:i/>
          <w:lang w:val="en-GB"/>
        </w:rPr>
        <w:t>et al.</w:t>
      </w:r>
      <w:r>
        <w:rPr>
          <w:lang w:val="en-GB"/>
        </w:rPr>
        <w:t>, 2016).</w:t>
      </w:r>
    </w:p>
    <w:p w14:paraId="07FEFED4">
      <w:pPr>
        <w:spacing w:before="120" w:after="120" w:line="360" w:lineRule="auto"/>
        <w:jc w:val="both"/>
        <w:rPr>
          <w:lang w:val="en-GB"/>
        </w:rPr>
      </w:pPr>
      <w:r>
        <w:rPr>
          <w:lang w:val="en-GB"/>
        </w:rPr>
        <w:t>However, my weaknesses were listed as multicultural collaboration, particularly in circumstances where communication forms were very different. As stated in Kirton and Greene (2015), intercultural sensitivity requires awareness, as well as skincampus in navigating implicit cultural assumptions. For instance, although I valued communication in the most direct sense, some of the international peers preferred some more contextually or deferentially, that sometimes lead to misunderstandings. Cox 20001 similarly argues that there is a need to have emotional intelligence and a capacity for openness to areas of diversity if one is to have successful multicultural interaction.</w:t>
      </w:r>
    </w:p>
    <w:p w14:paraId="6D66C01F">
      <w:pPr>
        <w:spacing w:before="120" w:after="120" w:line="360" w:lineRule="auto"/>
        <w:jc w:val="both"/>
        <w:rPr>
          <w:lang w:val="en-GB"/>
        </w:rPr>
      </w:pPr>
      <w:r>
        <w:rPr>
          <w:lang w:val="en-GB"/>
        </w:rPr>
        <w:t>In terms of leadership, although I displayed initiative skills, I recognised that my approach was sometimes very task orientated rather than motivational or transformational leadership. Thomas and Ely (1996) have been quoted as stating that inclusive leaders must embrace diversity as part of collective learning with every member of the team contributing his/her unique learning. My leadership style, therefore, needs to put more emphasis on empathy, inclusivity and empowerment.</w:t>
      </w:r>
    </w:p>
    <w:p w14:paraId="30C33833">
      <w:pPr>
        <w:spacing w:before="120" w:after="120" w:line="360" w:lineRule="auto"/>
        <w:jc w:val="both"/>
        <w:rPr>
          <w:lang w:val="en-GB"/>
        </w:rPr>
      </w:pPr>
      <w:r>
        <w:rPr>
          <w:lang w:val="en-GB"/>
        </w:rPr>
        <w:t xml:space="preserve">Finally, my experience of self-directed education has been that it has been strong in technical areas, but less structured in developing soft skills like intercultural communication skills or emotional resilience. Noe </w:t>
      </w:r>
      <w:r>
        <w:rPr>
          <w:i/>
          <w:lang w:val="en-GB"/>
        </w:rPr>
        <w:t>et al.</w:t>
      </w:r>
      <w:r>
        <w:rPr>
          <w:lang w:val="en-GB"/>
        </w:rPr>
        <w:t xml:space="preserve"> (2016) remarks that those technical and interpersonal aspects should be taken into account when balancing continuous professional development for holistic growth in international environments.</w:t>
      </w:r>
    </w:p>
    <w:p w14:paraId="40258B2C">
      <w:pPr>
        <w:pStyle w:val="3"/>
        <w:rPr>
          <w:lang w:val="en-GB"/>
        </w:rPr>
      </w:pPr>
      <w:r>
        <w:fldChar w:fldCharType="begin"/>
      </w:r>
      <w:r>
        <w:instrText xml:space="preserve"> HYPERLINK "NULL" </w:instrText>
      </w:r>
      <w:r>
        <w:fldChar w:fldCharType="separate"/>
      </w:r>
      <w:bookmarkStart w:id="7" w:name="_Toc213714485"/>
      <w:r>
        <w:rPr>
          <w:u w:color="0000EE"/>
          <w:lang w:val="en-GB"/>
        </w:rPr>
        <w:t xml:space="preserve">Abstract </w:t>
      </w:r>
      <w:r>
        <w:rPr>
          <w:lang w:val="en-GB"/>
        </w:rPr>
        <w:t>Conceptualisation</w:t>
      </w:r>
      <w:bookmarkEnd w:id="7"/>
      <w:r>
        <w:rPr>
          <w:lang w:val="en-GB"/>
        </w:rPr>
        <w:fldChar w:fldCharType="end"/>
      </w:r>
    </w:p>
    <w:p w14:paraId="690FA346">
      <w:pPr>
        <w:spacing w:before="120" w:after="120" w:line="360" w:lineRule="auto"/>
        <w:jc w:val="both"/>
        <w:rPr>
          <w:lang w:val="en-GB"/>
        </w:rPr>
      </w:pPr>
      <w:r>
        <w:rPr>
          <w:lang w:val="en-GB"/>
        </w:rPr>
        <w:t>Synthesising these insights, I can conceptualise my learning in the light of key HRM and IHRM frameworks. Armstrong and Taylor (2020) emphasise that employees in global organisations need to act as "boundary spanners" who bring together people, technology, and knowledge across geographies. My technological adaptability and digital learning relate to this concept and have prepared me for remote or international work.</w:t>
      </w:r>
    </w:p>
    <w:p w14:paraId="09A13FCD">
      <w:pPr>
        <w:spacing w:before="120" w:after="120" w:line="360" w:lineRule="auto"/>
        <w:jc w:val="both"/>
        <w:rPr>
          <w:lang w:val="en-GB"/>
        </w:rPr>
      </w:pPr>
      <w:r>
        <w:rPr>
          <w:lang w:val="en-GB"/>
        </w:rPr>
        <w:t>However, as Kandola and Fullerton (1998) explain, in managing the diversity and communication in a global team, cultural intelligence (CQ) - that is, the ability to interpret unfamiliar behaviours and adapt communication accordingly - is needed. Strengthening this competence would help me better interact in multinational teams. Furthermore, Brannick, Levine, and Morgeson (2019) suggest that knowing what is required to complete a task and what roles entail by self-analysis (similar to work analysis in HRM) can aid individuals in targeting development efforts more effectively. By making these associations to my own personal growth, I can pinpoint behavioural changes to improve collaboration and leadership effectiveness.</w:t>
      </w:r>
    </w:p>
    <w:p w14:paraId="24749979">
      <w:pPr>
        <w:spacing w:before="120" w:after="120" w:line="360" w:lineRule="auto"/>
        <w:jc w:val="both"/>
        <w:rPr>
          <w:lang w:val="en-GB"/>
        </w:rPr>
      </w:pPr>
      <w:r>
        <w:rPr>
          <w:lang w:val="en-GB"/>
        </w:rPr>
        <w:t xml:space="preserve">Reilly and Williams (2016) argue that strategic HR capability is not merely organisational but personal - it is about matching one's strengths to changing business circumstances. My approach to proactive learning is such a strategic alignment, but in order for me to sustain this approach, there is a need for formalising development goals by feedback mechanisms and performance reflection, as advocated by Mathis </w:t>
      </w:r>
      <w:r>
        <w:rPr>
          <w:i/>
          <w:iCs/>
          <w:lang w:val="en-GB"/>
        </w:rPr>
        <w:t>et al.</w:t>
      </w:r>
      <w:r>
        <w:rPr>
          <w:lang w:val="en-GB"/>
        </w:rPr>
        <w:t xml:space="preserve"> (2016).</w:t>
      </w:r>
    </w:p>
    <w:p w14:paraId="68FFFD99">
      <w:pPr>
        <w:pStyle w:val="3"/>
        <w:rPr>
          <w:lang w:val="en-GB"/>
        </w:rPr>
      </w:pPr>
      <w:r>
        <w:fldChar w:fldCharType="begin"/>
      </w:r>
      <w:r>
        <w:instrText xml:space="preserve"> HYPERLINK "NULL" </w:instrText>
      </w:r>
      <w:r>
        <w:fldChar w:fldCharType="separate"/>
      </w:r>
      <w:bookmarkStart w:id="8" w:name="_Toc213714486"/>
      <w:r>
        <w:rPr>
          <w:lang w:val="en-GB"/>
        </w:rPr>
        <w:t>Active Experimentation</w:t>
      </w:r>
      <w:bookmarkEnd w:id="8"/>
      <w:r>
        <w:rPr>
          <w:lang w:val="en-GB"/>
        </w:rPr>
        <w:fldChar w:fldCharType="end"/>
      </w:r>
    </w:p>
    <w:p w14:paraId="1F50A381">
      <w:pPr>
        <w:spacing w:before="120" w:after="120" w:line="360" w:lineRule="auto"/>
        <w:jc w:val="both"/>
        <w:rPr>
          <w:lang w:val="en-GB"/>
        </w:rPr>
      </w:pPr>
      <w:r>
        <w:rPr>
          <w:lang w:val="en-GB"/>
        </w:rPr>
        <w:t>In order to integrate these reflections more concretely into my practice, I plan to put several things into place. First of all, I will enhance my intercultural communication through formal training in cultural intelligence and exposure to multi-cultural networks, using Cox's (2001) model of learning about diversity. Collaborating with international peers in virtual collaboration platforms will enable me to conduct test drives of adaptive communication strategies and get real-time responses from them.</w:t>
      </w:r>
    </w:p>
    <w:p w14:paraId="67397858">
      <w:pPr>
        <w:spacing w:before="120" w:after="120" w:line="360" w:lineRule="auto"/>
        <w:jc w:val="both"/>
        <w:rPr>
          <w:lang w:val="en-GB"/>
        </w:rPr>
      </w:pPr>
      <w:r>
        <w:rPr>
          <w:lang w:val="en-GB"/>
        </w:rPr>
        <w:t>Second, I want to grow as a leader by incorporating inclusivity and motivation into my leadership principles. Following the advice of Armstrong and Taylor (2020) regarding leadership development, I will be employing participative tactics in the form of shared decision-making and open feedback loops to establish psychological safety and engagement within teams.</w:t>
      </w:r>
    </w:p>
    <w:p w14:paraId="1742211E">
      <w:pPr>
        <w:spacing w:before="120" w:after="120" w:line="360" w:lineRule="auto"/>
        <w:jc w:val="both"/>
        <w:rPr>
          <w:lang w:val="en-GB"/>
        </w:rPr>
      </w:pPr>
      <w:r>
        <w:rPr>
          <w:lang w:val="en-GB"/>
        </w:rPr>
        <w:t xml:space="preserve">Thirdly, I will increase my self-directed learning with cycles of reflection in structure (using project journals to assess progress according to clearly-defined learning objectives). As Noe </w:t>
      </w:r>
      <w:r>
        <w:rPr>
          <w:i/>
          <w:iCs/>
          <w:lang w:val="en-GB"/>
        </w:rPr>
        <w:t>et al.</w:t>
      </w:r>
      <w:r>
        <w:rPr>
          <w:lang w:val="en-GB"/>
        </w:rPr>
        <w:t xml:space="preserve"> (2016) hint, the establishment of reflection within the context of ongoing learning guarantees the reinforcement of adaptability in variable contexts.</w:t>
      </w:r>
    </w:p>
    <w:p w14:paraId="5577C7BD">
      <w:pPr>
        <w:spacing w:before="120" w:after="120" w:line="360" w:lineRule="auto"/>
        <w:jc w:val="both"/>
        <w:rPr>
          <w:lang w:val="en-GB"/>
        </w:rPr>
      </w:pPr>
      <w:r>
        <w:rPr>
          <w:lang w:val="en-GB"/>
        </w:rPr>
        <w:t>Finally, using technology for learning and collaboration is still at the core. Within the toolkit, I plan to use advanced tools such as Trello, Slack, and AI-powered analytics platforms to facilitate better project tracking and data interpretation, which is also integrated with technology as a strategic enabler of human performance.</w:t>
      </w:r>
    </w:p>
    <w:p w14:paraId="14EC6FFE">
      <w:pPr>
        <w:pStyle w:val="2"/>
        <w:rPr>
          <w:lang w:val="en-GB"/>
        </w:rPr>
      </w:pPr>
      <w:r>
        <w:fldChar w:fldCharType="begin"/>
      </w:r>
      <w:r>
        <w:instrText xml:space="preserve"> HYPERLINK "NULL" </w:instrText>
      </w:r>
      <w:r>
        <w:fldChar w:fldCharType="separate"/>
      </w:r>
      <w:bookmarkStart w:id="9" w:name="_Toc213714487"/>
      <w:r>
        <w:rPr>
          <w:lang w:val="en-GB"/>
        </w:rPr>
        <w:t>Summary</w:t>
      </w:r>
      <w:bookmarkEnd w:id="9"/>
      <w:r>
        <w:rPr>
          <w:lang w:val="en-GB"/>
        </w:rPr>
        <w:fldChar w:fldCharType="end"/>
      </w:r>
    </w:p>
    <w:p w14:paraId="4B8A496E">
      <w:pPr>
        <w:spacing w:before="120" w:after="120" w:line="360" w:lineRule="auto"/>
        <w:jc w:val="both"/>
        <w:rPr>
          <w:lang w:val="en-GB"/>
        </w:rPr>
      </w:pPr>
      <w:r>
        <w:rPr>
          <w:lang w:val="en-GB"/>
        </w:rPr>
        <w:t>The report highlights that effective HRM and IHRM strategies must embrace digital innovation, demographic foresight, and geopolitical awareness to sustain competitiveness. By fostering continuous learning, inclusivity, and ethical technological integration, organisations can overcome global skills shortages, while individuals must cultivate adaptability, intercultural competence, and digital proficiency to thrive in the evolving global workforce.</w:t>
      </w:r>
    </w:p>
    <w:p w14:paraId="04F65DEE">
      <w:pPr>
        <w:rPr>
          <w:lang w:val="en-GB"/>
        </w:rPr>
      </w:pPr>
      <w:r>
        <w:rPr>
          <w:lang w:val="en-GB"/>
        </w:rPr>
        <w:br w:type="page"/>
      </w:r>
    </w:p>
    <w:p w14:paraId="302A7E28">
      <w:pPr>
        <w:pStyle w:val="2"/>
        <w:rPr>
          <w:lang w:val="en-GB"/>
        </w:rPr>
      </w:pPr>
      <w:r>
        <w:fldChar w:fldCharType="begin"/>
      </w:r>
      <w:r>
        <w:instrText xml:space="preserve"> HYPERLINK "NULL" </w:instrText>
      </w:r>
      <w:r>
        <w:fldChar w:fldCharType="separate"/>
      </w:r>
      <w:bookmarkStart w:id="10" w:name="_Toc213714488"/>
      <w:r>
        <w:rPr>
          <w:lang w:val="en-GB"/>
        </w:rPr>
        <w:t>References</w:t>
      </w:r>
      <w:bookmarkEnd w:id="10"/>
      <w:r>
        <w:rPr>
          <w:lang w:val="en-GB"/>
        </w:rPr>
        <w:fldChar w:fldCharType="end"/>
      </w:r>
    </w:p>
    <w:p w14:paraId="2E78E283">
      <w:pPr>
        <w:spacing w:before="120" w:after="120" w:line="360" w:lineRule="auto"/>
        <w:jc w:val="both"/>
        <w:rPr>
          <w:lang w:val="en-GB"/>
        </w:rPr>
      </w:pPr>
      <w:r>
        <w:rPr>
          <w:lang w:val="en-GB"/>
        </w:rPr>
        <w:t>Ajayi-Nifise, A.O., Odeyemi, O., Mhlongo, N.Z., Ibeh, C.V., Elufioye, O.A. and Falaiye, T., 2024. Digital transformation in banking: The HR perspective on managing change and cultivating digital talent.</w:t>
      </w:r>
      <w:r>
        <w:rPr>
          <w:i/>
          <w:iCs/>
          <w:lang w:val="en-GB"/>
        </w:rPr>
        <w:t>International Journal of Science and Research Archive</w:t>
      </w:r>
      <w:r>
        <w:rPr>
          <w:lang w:val="en-GB"/>
        </w:rPr>
        <w:t>,</w:t>
      </w:r>
      <w:r>
        <w:rPr>
          <w:i/>
          <w:iCs/>
          <w:lang w:val="en-GB"/>
        </w:rPr>
        <w:t>11</w:t>
      </w:r>
      <w:r>
        <w:rPr>
          <w:lang w:val="en-GB"/>
        </w:rPr>
        <w:t xml:space="preserve">(1), pp.1452-1459. </w:t>
      </w:r>
      <w:r>
        <w:fldChar w:fldCharType="begin"/>
      </w:r>
      <w:r>
        <w:instrText xml:space="preserve"> HYPERLINK "https://www.researchgate.net/profile/Titilola-Falaiye/publication/378288804_Digital_transformation_in_banking_The_HR_perspective_on_managing_change_and_cultivating_digital_talent/links/65d1375c476dd15fb3440b64/Digital-transformation-in-banking-The-HR-perspective-on-managing-change-and-cultivating-digital-talent.pdf" </w:instrText>
      </w:r>
      <w:r>
        <w:fldChar w:fldCharType="separate"/>
      </w:r>
      <w:r>
        <w:rPr>
          <w:color w:val="0000EE"/>
          <w:u w:val="single" w:color="0000EE"/>
          <w:lang w:val="en-GB"/>
        </w:rPr>
        <w:t>https://www.researchgate.net/profile/Titilola-Falaiye/publication/378288804_Digital_transformation_in_banking_The_HR_perspective_on_managing_change_and_cultivating_digital_talent/links/65d1375c476dd15fb3440b64/Digital-transformation-in-banking-The-HR-perspective-on-managing-change-and-cultivating-digital-talent.pdf</w:t>
      </w:r>
      <w:r>
        <w:rPr>
          <w:color w:val="0000EE"/>
          <w:u w:val="single" w:color="0000EE"/>
          <w:lang w:val="en-GB"/>
        </w:rPr>
        <w:fldChar w:fldCharType="end"/>
      </w:r>
    </w:p>
    <w:p w14:paraId="1866CDA5">
      <w:pPr>
        <w:spacing w:before="120" w:after="120" w:line="360" w:lineRule="auto"/>
        <w:jc w:val="both"/>
        <w:rPr>
          <w:lang w:val="en-GB"/>
        </w:rPr>
      </w:pPr>
      <w:r>
        <w:rPr>
          <w:lang w:val="en-GB"/>
        </w:rPr>
        <w:t xml:space="preserve">Armstrong, M., &amp; Taylor, S., 2020. 'Armstrong's Handbook of HRM Practice' (15th ed.). Kogan Page. </w:t>
      </w:r>
      <w:r>
        <w:fldChar w:fldCharType="begin"/>
      </w:r>
      <w:r>
        <w:instrText xml:space="preserve"> HYPERLINK "https://www.scirp.org/reference/referencespapers?referenceid=3960100" </w:instrText>
      </w:r>
      <w:r>
        <w:fldChar w:fldCharType="separate"/>
      </w:r>
      <w:r>
        <w:rPr>
          <w:color w:val="0000EE"/>
          <w:u w:val="single" w:color="0000EE"/>
          <w:lang w:val="en-GB"/>
        </w:rPr>
        <w:t>https://www.scirp.org/reference/referencespapers?referenceid=3960100</w:t>
      </w:r>
      <w:r>
        <w:rPr>
          <w:color w:val="0000EE"/>
          <w:u w:val="single" w:color="0000EE"/>
          <w:lang w:val="en-GB"/>
        </w:rPr>
        <w:fldChar w:fldCharType="end"/>
      </w:r>
    </w:p>
    <w:p w14:paraId="24D67FD2">
      <w:pPr>
        <w:spacing w:before="120" w:after="120" w:line="360" w:lineRule="auto"/>
        <w:jc w:val="both"/>
        <w:rPr>
          <w:lang w:val="en-GB"/>
        </w:rPr>
      </w:pPr>
      <w:r>
        <w:rPr>
          <w:lang w:val="en-GB"/>
        </w:rPr>
        <w:t xml:space="preserve">Barrah, G.C., 2024. International Human Resource Management Trends, Future Challenges &amp; Solution. </w:t>
      </w:r>
      <w:r>
        <w:fldChar w:fldCharType="begin"/>
      </w:r>
      <w:r>
        <w:instrText xml:space="preserve"> HYPERLINK "https://iiardjournals.org/get/JBAE/VOL.%2010%20NO.%201%202024/International%20Human%20Resource%2048-56.pdf" </w:instrText>
      </w:r>
      <w:r>
        <w:fldChar w:fldCharType="separate"/>
      </w:r>
      <w:r>
        <w:rPr>
          <w:color w:val="0000EE"/>
          <w:u w:val="single" w:color="0000EE"/>
          <w:lang w:val="en-GB"/>
        </w:rPr>
        <w:t>https://iiardjournals.org/get/JBAE/VOL.%2010%20NO.%201%202024/International%20Human%20Resource%2048-56.pdf</w:t>
      </w:r>
      <w:r>
        <w:rPr>
          <w:color w:val="0000EE"/>
          <w:u w:val="single" w:color="0000EE"/>
          <w:lang w:val="en-GB"/>
        </w:rPr>
        <w:fldChar w:fldCharType="end"/>
      </w:r>
    </w:p>
    <w:p w14:paraId="01DE1EA3">
      <w:pPr>
        <w:spacing w:before="120" w:after="120" w:line="360" w:lineRule="auto"/>
        <w:jc w:val="both"/>
        <w:rPr>
          <w:lang w:val="en-GB"/>
        </w:rPr>
      </w:pPr>
      <w:r>
        <w:rPr>
          <w:lang w:val="en-GB"/>
        </w:rPr>
        <w:t>Bednarski, L., Roscoe, S., Blome, C. and Schleper, M.C., 2025. Geopolitical disruptions in global supply chains: a state-of-the-art literature review.</w:t>
      </w:r>
      <w:r>
        <w:rPr>
          <w:i/>
          <w:iCs/>
          <w:lang w:val="en-GB"/>
        </w:rPr>
        <w:t>Production planning &amp; control</w:t>
      </w:r>
      <w:r>
        <w:rPr>
          <w:lang w:val="en-GB"/>
        </w:rPr>
        <w:t>,</w:t>
      </w:r>
      <w:r>
        <w:rPr>
          <w:i/>
          <w:iCs/>
          <w:lang w:val="en-GB"/>
        </w:rPr>
        <w:t>36</w:t>
      </w:r>
      <w:r>
        <w:rPr>
          <w:lang w:val="en-GB"/>
        </w:rPr>
        <w:t xml:space="preserve">(4), pp.536-562. </w:t>
      </w:r>
      <w:r>
        <w:fldChar w:fldCharType="begin"/>
      </w:r>
      <w:r>
        <w:instrText xml:space="preserve"> HYPERLINK "https://www.tandfonline.com/doi/pdf/10.1080/09537287.2023.2286283" </w:instrText>
      </w:r>
      <w:r>
        <w:fldChar w:fldCharType="separate"/>
      </w:r>
      <w:r>
        <w:rPr>
          <w:color w:val="0000EE"/>
          <w:u w:val="single" w:color="0000EE"/>
          <w:lang w:val="en-GB"/>
        </w:rPr>
        <w:t>https://www.tandfonline.com/doi/pdf/10.1080/09537287.2023.2286283</w:t>
      </w:r>
      <w:r>
        <w:rPr>
          <w:color w:val="0000EE"/>
          <w:u w:val="single" w:color="0000EE"/>
          <w:lang w:val="en-GB"/>
        </w:rPr>
        <w:fldChar w:fldCharType="end"/>
      </w:r>
    </w:p>
    <w:p w14:paraId="1D30D499">
      <w:pPr>
        <w:spacing w:before="120" w:after="120" w:line="360" w:lineRule="auto"/>
        <w:jc w:val="both"/>
        <w:rPr>
          <w:lang w:val="en-GB"/>
        </w:rPr>
      </w:pPr>
      <w:r>
        <w:rPr>
          <w:lang w:val="en-GB"/>
        </w:rPr>
        <w:t xml:space="preserve">Brannick, M. T., Levine, E. L., &amp; Morgeson, F. P., 2019. 'Job and Work Analysis' (3rd ed.). SAGE Publications. </w:t>
      </w:r>
      <w:r>
        <w:fldChar w:fldCharType="begin"/>
      </w:r>
      <w:r>
        <w:instrText xml:space="preserve"> HYPERLINK "https://books.google.com/books?hl=en&amp;lr=&amp;id=JauEDwAAQBAJ&amp;oi=fnd&amp;pg=PP1&amp;dq=Brannick,+M.+T.,+Levine,+E.+L.,+%26+Morgeson,+F.+P.+(2019).+%27Job+and+Work+Analysis%27+(3rd+ed.).+SAGE+Publications.+&amp;ots=tyaJHIK40A&amp;sig=HqjMX4pwndnXvItgRXWC4_wBQGU" </w:instrText>
      </w:r>
      <w:r>
        <w:fldChar w:fldCharType="separate"/>
      </w:r>
      <w:r>
        <w:rPr>
          <w:color w:val="0000EE"/>
          <w:u w:val="single" w:color="0000EE"/>
          <w:lang w:val="en-GB"/>
        </w:rPr>
        <w:t>https://books.google.com/books?hl=en&amp;lr=&amp;id=JauEDwAAQBAJ&amp;oi=fnd&amp;pg=PP1&amp;dq=Brannick,+M.+T.,+Levine,+E.+L.,+%26+Morgeson,+F.+P.+(2019).+%27Job+and+Work+Analysis%27+(3rd+ed.).+SAGE+Publications.+&amp;ots=tyaJHIK40A&amp;sig=HqjMX4pwndnXvItgRXWC4_wBQGU</w:t>
      </w:r>
      <w:r>
        <w:rPr>
          <w:color w:val="0000EE"/>
          <w:u w:val="single" w:color="0000EE"/>
          <w:lang w:val="en-GB"/>
        </w:rPr>
        <w:fldChar w:fldCharType="end"/>
      </w:r>
    </w:p>
    <w:p w14:paraId="49A52DC7">
      <w:pPr>
        <w:spacing w:before="120" w:after="120" w:line="360" w:lineRule="auto"/>
        <w:jc w:val="both"/>
        <w:rPr>
          <w:lang w:val="en-GB"/>
        </w:rPr>
      </w:pPr>
      <w:r>
        <w:rPr>
          <w:lang w:val="en-GB"/>
        </w:rPr>
        <w:t xml:space="preserve">Cox, T., 2001. Creating the Multicultural Organization: A Strategy for Capturing the Power of Diversity. </w:t>
      </w:r>
      <w:r>
        <w:fldChar w:fldCharType="begin"/>
      </w:r>
      <w:r>
        <w:instrText xml:space="preserve"> HYPERLINK "https://books.google.com/books?hl=en&amp;lr=&amp;id=XCJGEAAAQBAJ&amp;oi=fnd&amp;pg=PR11&amp;dq=Cox,+T.+(2001)+Creating+the+Multicultural+Organization:+A+Strategy+for+Capturing+the+Power+of+Diversity.+&amp;ots=V8PuG9uge1&amp;sig=AnSvgU_HZeJ1KBQ2iLva1mZDcHc" </w:instrText>
      </w:r>
      <w:r>
        <w:fldChar w:fldCharType="separate"/>
      </w:r>
      <w:r>
        <w:rPr>
          <w:color w:val="0000EE"/>
          <w:u w:val="single" w:color="0000EE"/>
          <w:lang w:val="en-GB"/>
        </w:rPr>
        <w:t>https://books.google.com/books?hl=en&amp;lr=&amp;id=XCJGEAAAQBAJ&amp;oi=fnd&amp;pg=PR11&amp;dq=Cox,+T.+(2001)+Creating+the+Multicultural+Organization:+A+Strategy+for+Capturing+the+Power+of+Diversity.+&amp;ots=V8PuG9uge1&amp;sig=AnSvgU_HZeJ1KBQ2iLva1mZDcHc</w:t>
      </w:r>
      <w:r>
        <w:rPr>
          <w:color w:val="0000EE"/>
          <w:u w:val="single" w:color="0000EE"/>
          <w:lang w:val="en-GB"/>
        </w:rPr>
        <w:fldChar w:fldCharType="end"/>
      </w:r>
    </w:p>
    <w:p w14:paraId="7278E8E7">
      <w:pPr>
        <w:spacing w:before="120" w:after="120" w:line="360" w:lineRule="auto"/>
        <w:jc w:val="both"/>
        <w:rPr>
          <w:lang w:val="en-GB"/>
        </w:rPr>
      </w:pPr>
      <w:r>
        <w:rPr>
          <w:lang w:val="en-GB"/>
        </w:rPr>
        <w:t>Ekuma, K., 2024. Artificial intelligence and automation in human resource development: A systematic review.</w:t>
      </w:r>
      <w:r>
        <w:rPr>
          <w:i/>
          <w:iCs/>
          <w:lang w:val="en-GB"/>
        </w:rPr>
        <w:t>Human Resource Development Review</w:t>
      </w:r>
      <w:r>
        <w:rPr>
          <w:lang w:val="en-GB"/>
        </w:rPr>
        <w:t>,</w:t>
      </w:r>
      <w:r>
        <w:rPr>
          <w:i/>
          <w:iCs/>
          <w:lang w:val="en-GB"/>
        </w:rPr>
        <w:t>23</w:t>
      </w:r>
      <w:r>
        <w:rPr>
          <w:lang w:val="en-GB"/>
        </w:rPr>
        <w:t xml:space="preserve">(2), pp.199-229. </w:t>
      </w:r>
      <w:r>
        <w:fldChar w:fldCharType="begin"/>
      </w:r>
      <w:r>
        <w:instrText xml:space="preserve"> HYPERLINK "https://journals.sagepub.com/doi/pdf/10.1177/15344843231224009" </w:instrText>
      </w:r>
      <w:r>
        <w:fldChar w:fldCharType="separate"/>
      </w:r>
      <w:r>
        <w:rPr>
          <w:color w:val="0000EE"/>
          <w:u w:val="single" w:color="0000EE"/>
          <w:lang w:val="en-GB"/>
        </w:rPr>
        <w:t>https://journals.sagepub.com/doi/pdf/10.1177/15344843231224009</w:t>
      </w:r>
      <w:r>
        <w:rPr>
          <w:color w:val="0000EE"/>
          <w:u w:val="single" w:color="0000EE"/>
          <w:lang w:val="en-GB"/>
        </w:rPr>
        <w:fldChar w:fldCharType="end"/>
      </w:r>
    </w:p>
    <w:p w14:paraId="73B2C18C">
      <w:pPr>
        <w:spacing w:before="120" w:after="120" w:line="360" w:lineRule="auto"/>
        <w:jc w:val="both"/>
        <w:rPr>
          <w:lang w:val="en-GB"/>
        </w:rPr>
      </w:pPr>
      <w:r>
        <w:rPr>
          <w:lang w:val="en-GB"/>
        </w:rPr>
        <w:t>Hilhorst, D., Hagan, M. and Quinn, O., 2021. Reconsidering humanitarian advocacy through pressure points of the European ‘migration crisis’.</w:t>
      </w:r>
      <w:r>
        <w:rPr>
          <w:i/>
          <w:iCs/>
          <w:lang w:val="en-GB"/>
        </w:rPr>
        <w:t>International Migration</w:t>
      </w:r>
      <w:r>
        <w:rPr>
          <w:lang w:val="en-GB"/>
        </w:rPr>
        <w:t>,</w:t>
      </w:r>
      <w:r>
        <w:rPr>
          <w:i/>
          <w:iCs/>
          <w:lang w:val="en-GB"/>
        </w:rPr>
        <w:t>59</w:t>
      </w:r>
      <w:r>
        <w:rPr>
          <w:lang w:val="en-GB"/>
        </w:rPr>
        <w:t xml:space="preserve">(3), pp.125-144. </w:t>
      </w:r>
      <w:r>
        <w:fldChar w:fldCharType="begin"/>
      </w:r>
      <w:r>
        <w:instrText xml:space="preserve"> HYPERLINK "https://onlinelibrary.wiley.com/doi/pdf/10.1111/imig.12802" </w:instrText>
      </w:r>
      <w:r>
        <w:fldChar w:fldCharType="separate"/>
      </w:r>
      <w:r>
        <w:rPr>
          <w:color w:val="0000EE"/>
          <w:u w:val="single" w:color="0000EE"/>
          <w:lang w:val="en-GB"/>
        </w:rPr>
        <w:t>https://onlinelibrary.wiley.com/doi/pdf/10.1111/imig.12802</w:t>
      </w:r>
      <w:r>
        <w:rPr>
          <w:color w:val="0000EE"/>
          <w:u w:val="single" w:color="0000EE"/>
          <w:lang w:val="en-GB"/>
        </w:rPr>
        <w:fldChar w:fldCharType="end"/>
      </w:r>
    </w:p>
    <w:p w14:paraId="051E0F57">
      <w:pPr>
        <w:spacing w:before="120" w:after="120" w:line="360" w:lineRule="auto"/>
        <w:jc w:val="both"/>
        <w:rPr>
          <w:lang w:val="en-GB"/>
        </w:rPr>
      </w:pPr>
      <w:r>
        <w:rPr>
          <w:lang w:val="en-GB"/>
        </w:rPr>
        <w:t xml:space="preserve">Kandola, R. and Fullerton, J., 1998. Diversity in Action: Managing the Mosaic. </w:t>
      </w:r>
      <w:r>
        <w:fldChar w:fldCharType="begin"/>
      </w:r>
      <w:r>
        <w:instrText xml:space="preserve"> HYPERLINK "https://books.google.com/books?hl=en&amp;lr=&amp;id=pqfdpD_2Z-UC&amp;oi=fnd&amp;pg=PP8&amp;dq=Kandola,+R.+and+Fullerton,+J.+(1998)+Diversity+in+Action:+Managing+the+Mosaic.+&amp;ots=cFXm4YPeki&amp;sig=4YxDxedeqWEDgKY3PJrZKuFSs7U" </w:instrText>
      </w:r>
      <w:r>
        <w:fldChar w:fldCharType="separate"/>
      </w:r>
      <w:r>
        <w:rPr>
          <w:color w:val="0000EE"/>
          <w:u w:val="single" w:color="0000EE"/>
          <w:lang w:val="en-GB"/>
        </w:rPr>
        <w:t>https://books.google.com/books?hl=en&amp;lr=&amp;id=pqfdpD_2Z-UC&amp;oi=fnd&amp;pg=PP8&amp;dq=Kandola,+R.+and+Fullerton,+J.+(1998)+Diversity+in+Action:+Managing+the+Mosaic.+&amp;ots=cFXm4YPeki&amp;sig=4YxDxedeqWEDgKY3PJrZKuFSs7U</w:t>
      </w:r>
      <w:r>
        <w:rPr>
          <w:color w:val="0000EE"/>
          <w:u w:val="single" w:color="0000EE"/>
          <w:lang w:val="en-GB"/>
        </w:rPr>
        <w:fldChar w:fldCharType="end"/>
      </w:r>
    </w:p>
    <w:p w14:paraId="4D489403">
      <w:pPr>
        <w:spacing w:before="120" w:after="120" w:line="360" w:lineRule="auto"/>
        <w:jc w:val="both"/>
        <w:rPr>
          <w:lang w:val="en-GB"/>
        </w:rPr>
      </w:pPr>
      <w:r>
        <w:rPr>
          <w:lang w:val="en-GB"/>
        </w:rPr>
        <w:t xml:space="preserve">Khan, M.N.I., 2025. Cross-Border Data Privacy and Legal Support: A Systematic Review of International Compliance Standards and Cyber Law Practices. </w:t>
      </w:r>
      <w:r>
        <w:fldChar w:fldCharType="begin"/>
      </w:r>
      <w:r>
        <w:instrText xml:space="preserve"> HYPERLINK "https://papers.ssrn.com/sol3/Delivery.cfm?abstractid=5227777" </w:instrText>
      </w:r>
      <w:r>
        <w:fldChar w:fldCharType="separate"/>
      </w:r>
      <w:r>
        <w:rPr>
          <w:color w:val="0000EE"/>
          <w:u w:val="single" w:color="0000EE"/>
          <w:lang w:val="en-GB"/>
        </w:rPr>
        <w:t>https://papers.ssrn.com/sol3/Delivery.cfm?abstractid=5227777</w:t>
      </w:r>
      <w:r>
        <w:rPr>
          <w:color w:val="0000EE"/>
          <w:u w:val="single" w:color="0000EE"/>
          <w:lang w:val="en-GB"/>
        </w:rPr>
        <w:fldChar w:fldCharType="end"/>
      </w:r>
    </w:p>
    <w:p w14:paraId="795AE1CB">
      <w:pPr>
        <w:spacing w:before="120" w:after="120" w:line="360" w:lineRule="auto"/>
        <w:jc w:val="both"/>
        <w:rPr>
          <w:lang w:val="en-GB"/>
        </w:rPr>
      </w:pPr>
      <w:r>
        <w:rPr>
          <w:lang w:val="en-GB"/>
        </w:rPr>
        <w:t xml:space="preserve">Kirton, G. and Greene, A.M., 2015. The Dynamics of Managing Diversity: A Critical Approach. </w:t>
      </w:r>
      <w:r>
        <w:fldChar w:fldCharType="begin"/>
      </w:r>
      <w:r>
        <w:instrText xml:space="preserve"> HYPERLINK "https://doi.org/10.4324/9781315767147?urlappend=%3Futm_source%3Dresearchgate.net%26medium%3Darticle" </w:instrText>
      </w:r>
      <w:r>
        <w:fldChar w:fldCharType="separate"/>
      </w:r>
      <w:r>
        <w:rPr>
          <w:color w:val="0000EE"/>
          <w:u w:val="single" w:color="0000EE"/>
          <w:lang w:val="en-GB"/>
        </w:rPr>
        <w:t>https://doi.org/10.4324/9781315767147?urlappend=%3Futm_source%3Dresearchgate.net%26medium%3Darticle</w:t>
      </w:r>
      <w:r>
        <w:rPr>
          <w:color w:val="0000EE"/>
          <w:u w:val="single" w:color="0000EE"/>
          <w:lang w:val="en-GB"/>
        </w:rPr>
        <w:fldChar w:fldCharType="end"/>
      </w:r>
    </w:p>
    <w:p w14:paraId="23268F0A">
      <w:pPr>
        <w:spacing w:before="120" w:after="120" w:line="360" w:lineRule="auto"/>
        <w:jc w:val="both"/>
        <w:rPr>
          <w:lang w:val="en-GB"/>
        </w:rPr>
      </w:pPr>
      <w:r>
        <w:rPr>
          <w:lang w:val="en-GB"/>
        </w:rPr>
        <w:t xml:space="preserve">Mathis, R. L., Jackson, J. H., Valentine, S. R., &amp; Meglich, P. A., 2016. 'Human Resource Management' (15th ed.). Cengage Learning. </w:t>
      </w:r>
      <w:r>
        <w:fldChar w:fldCharType="begin"/>
      </w:r>
      <w:r>
        <w:instrText xml:space="preserve"> HYPERLINK "https://www.scirp.org/reference/referencespapers?referenceid=3399115" </w:instrText>
      </w:r>
      <w:r>
        <w:fldChar w:fldCharType="separate"/>
      </w:r>
      <w:r>
        <w:rPr>
          <w:color w:val="0000EE"/>
          <w:u w:val="single" w:color="0000EE"/>
          <w:lang w:val="en-GB"/>
        </w:rPr>
        <w:t>https://www.scirp.org/reference/referencespapers?referenceid=3399115</w:t>
      </w:r>
      <w:r>
        <w:rPr>
          <w:color w:val="0000EE"/>
          <w:u w:val="single" w:color="0000EE"/>
          <w:lang w:val="en-GB"/>
        </w:rPr>
        <w:fldChar w:fldCharType="end"/>
      </w:r>
    </w:p>
    <w:p w14:paraId="410C46F8">
      <w:pPr>
        <w:spacing w:before="120" w:after="120" w:line="360" w:lineRule="auto"/>
        <w:jc w:val="both"/>
        <w:rPr>
          <w:lang w:val="en-GB"/>
        </w:rPr>
      </w:pPr>
      <w:r>
        <w:rPr>
          <w:lang w:val="en-GB"/>
        </w:rPr>
        <w:t xml:space="preserve">Morgeson, F. P., &amp; Dierdorff, E. C., 2011. 'Work analysis: From technique to theory'. 'APA Handbook of Industrial and Organizational Psychology', 2(1), 3-41. </w:t>
      </w:r>
      <w:r>
        <w:fldChar w:fldCharType="begin"/>
      </w:r>
      <w:r>
        <w:instrText xml:space="preserve"> HYPERLINK "https://psycnet.apa.org/record/2010-06018-001" </w:instrText>
      </w:r>
      <w:r>
        <w:fldChar w:fldCharType="separate"/>
      </w:r>
      <w:r>
        <w:rPr>
          <w:color w:val="0000EE"/>
          <w:u w:val="single" w:color="0000EE"/>
          <w:lang w:val="en-GB"/>
        </w:rPr>
        <w:t>https://psycnet.apa.org/record/2010-06018-001</w:t>
      </w:r>
      <w:r>
        <w:rPr>
          <w:color w:val="0000EE"/>
          <w:u w:val="single" w:color="0000EE"/>
          <w:lang w:val="en-GB"/>
        </w:rPr>
        <w:fldChar w:fldCharType="end"/>
      </w:r>
    </w:p>
    <w:p w14:paraId="17ACCC7B">
      <w:pPr>
        <w:spacing w:before="120" w:after="120" w:line="360" w:lineRule="auto"/>
        <w:jc w:val="both"/>
        <w:rPr>
          <w:lang w:val="en-GB"/>
        </w:rPr>
      </w:pPr>
      <w:r>
        <w:rPr>
          <w:lang w:val="en-GB"/>
        </w:rPr>
        <w:t>Noe, R.A., Hollenbeck, J.R., Gerhart, B.A. and Wright, P.M., 2016.</w:t>
      </w:r>
      <w:r>
        <w:rPr>
          <w:i/>
          <w:iCs/>
          <w:lang w:val="en-GB"/>
        </w:rPr>
        <w:t>Fundamentals of human resource management</w:t>
      </w:r>
      <w:r>
        <w:rPr>
          <w:lang w:val="en-GB"/>
        </w:rPr>
        <w:t xml:space="preserve">(p. 608). New York, NY: McGraw-Hill Education. </w:t>
      </w:r>
      <w:r>
        <w:fldChar w:fldCharType="begin"/>
      </w:r>
      <w:r>
        <w:instrText xml:space="preserve"> HYPERLINK "https://www.gammaconstruction.mu/sites/default/files/webform/cvs/pdf-fundamentals-of-human-resource-management-raymond-noe-john-hollenbeck-barry-gerhart-patrick-wright-pdf-download-free-book-7e39f4c.pdf" </w:instrText>
      </w:r>
      <w:r>
        <w:fldChar w:fldCharType="separate"/>
      </w:r>
      <w:r>
        <w:rPr>
          <w:color w:val="0000EE"/>
          <w:u w:val="single" w:color="0000EE"/>
          <w:lang w:val="en-GB"/>
        </w:rPr>
        <w:t>https://www.gammaconstruction.mu/sites/default/files/webform/cvs/pdf-fundamentals-of-human-resource-management-raymond-noe-john-hollenbeck-barry-gerhart-patrick-wright-pdf-download-free-book-7e39f4c.pdf</w:t>
      </w:r>
      <w:r>
        <w:rPr>
          <w:color w:val="0000EE"/>
          <w:u w:val="single" w:color="0000EE"/>
          <w:lang w:val="en-GB"/>
        </w:rPr>
        <w:fldChar w:fldCharType="end"/>
      </w:r>
    </w:p>
    <w:p w14:paraId="6D1B9A98">
      <w:pPr>
        <w:spacing w:before="120" w:after="120" w:line="360" w:lineRule="auto"/>
        <w:jc w:val="both"/>
        <w:rPr>
          <w:lang w:val="en-GB"/>
        </w:rPr>
      </w:pPr>
      <w:r>
        <w:rPr>
          <w:lang w:val="en-GB"/>
        </w:rPr>
        <w:t xml:space="preserve">Reilly, P., &amp; Williams, T., 2016. 'Strategic HR: Building the Capability to Deliver'. Gower Publishing. </w:t>
      </w:r>
      <w:r>
        <w:fldChar w:fldCharType="begin"/>
      </w:r>
      <w:r>
        <w:instrText xml:space="preserve"> HYPERLINK "https://www.taylorfrancis.com/books/mono/10.4324/9781315610917/strategic-hr-peter-reilly-tony-williams" </w:instrText>
      </w:r>
      <w:r>
        <w:fldChar w:fldCharType="separate"/>
      </w:r>
      <w:r>
        <w:rPr>
          <w:color w:val="0000EE"/>
          <w:u w:val="single" w:color="0000EE"/>
          <w:lang w:val="en-GB"/>
        </w:rPr>
        <w:t>https://www.taylorfrancis.com/books/mono/10.4324/9781315610917/strategic-hr-peter-reilly-tony-williams</w:t>
      </w:r>
      <w:r>
        <w:rPr>
          <w:color w:val="0000EE"/>
          <w:u w:val="single" w:color="0000EE"/>
          <w:lang w:val="en-GB"/>
        </w:rPr>
        <w:fldChar w:fldCharType="end"/>
      </w:r>
    </w:p>
    <w:p w14:paraId="104E5C67">
      <w:pPr>
        <w:spacing w:before="120" w:after="120" w:line="360" w:lineRule="auto"/>
        <w:jc w:val="both"/>
        <w:rPr>
          <w:lang w:val="en-GB"/>
        </w:rPr>
      </w:pPr>
      <w:r>
        <w:rPr>
          <w:lang w:val="en-GB"/>
        </w:rPr>
        <w:t>Sudan, F.K., 2021. Technological disruptions, youth unemployment and vocational education challenges in south asia: a short report.</w:t>
      </w:r>
      <w:r>
        <w:rPr>
          <w:i/>
          <w:iCs/>
          <w:lang w:val="en-GB"/>
        </w:rPr>
        <w:t>Global Econ. Sci</w:t>
      </w:r>
      <w:r>
        <w:rPr>
          <w:lang w:val="en-GB"/>
        </w:rPr>
        <w:t>,</w:t>
      </w:r>
      <w:r>
        <w:rPr>
          <w:i/>
          <w:iCs/>
          <w:lang w:val="en-GB"/>
        </w:rPr>
        <w:t>2</w:t>
      </w:r>
      <w:r>
        <w:rPr>
          <w:lang w:val="en-GB"/>
        </w:rPr>
        <w:t xml:space="preserve">, pp.80-97. </w:t>
      </w:r>
      <w:r>
        <w:fldChar w:fldCharType="begin"/>
      </w:r>
      <w:r>
        <w:instrText xml:space="preserve"> HYPERLINK "https://wiserpub.com/uploads/1/20210611/1a3a1c02eb71d3abd481083ce6703ae8.pdf" </w:instrText>
      </w:r>
      <w:r>
        <w:fldChar w:fldCharType="separate"/>
      </w:r>
      <w:r>
        <w:rPr>
          <w:color w:val="0000EE"/>
          <w:u w:val="single" w:color="0000EE"/>
          <w:lang w:val="en-GB"/>
        </w:rPr>
        <w:t>https://wiserpub.com/uploads/1/20210611/1a3a1c02eb71d3abd481083ce6703ae8.pdf</w:t>
      </w:r>
      <w:r>
        <w:rPr>
          <w:color w:val="0000EE"/>
          <w:u w:val="single" w:color="0000EE"/>
          <w:lang w:val="en-GB"/>
        </w:rPr>
        <w:fldChar w:fldCharType="end"/>
      </w:r>
    </w:p>
    <w:p w14:paraId="1A091E7B">
      <w:pPr>
        <w:spacing w:before="120" w:after="120" w:line="360" w:lineRule="auto"/>
        <w:jc w:val="both"/>
        <w:rPr>
          <w:lang w:val="en-GB"/>
        </w:rPr>
      </w:pPr>
      <w:r>
        <w:rPr>
          <w:lang w:val="en-GB"/>
        </w:rPr>
        <w:t>The World Economic Forum, 2025.</w:t>
      </w:r>
      <w:r>
        <w:rPr>
          <w:i/>
          <w:iCs/>
          <w:lang w:val="en-GB"/>
        </w:rPr>
        <w:t xml:space="preserve"> What are the most valuable skills for the jobs of the future</w:t>
      </w:r>
      <w:r>
        <w:rPr>
          <w:lang w:val="en-GB"/>
        </w:rPr>
        <w:t xml:space="preserve">. Available at: </w:t>
      </w:r>
      <w:r>
        <w:fldChar w:fldCharType="begin"/>
      </w:r>
      <w:r>
        <w:instrText xml:space="preserve"> HYPERLINK "https://www.weforum.org/videos/future-of-jobs-valuable-skills/" \l ":~:text=Employers%20surveyed%20said%20that%2044%25%20of%20the,social%20influence'%20will%20emerge%20as%20high%2Din%2Ddemand%20skills" </w:instrText>
      </w:r>
      <w:r>
        <w:fldChar w:fldCharType="separate"/>
      </w:r>
      <w:r>
        <w:rPr>
          <w:color w:val="0000EE"/>
          <w:u w:val="single" w:color="0000EE"/>
          <w:lang w:val="en-GB"/>
        </w:rPr>
        <w:t>https://www.weforum.org/videos/future-of-jobs-valuable-skills/#:~:text=Employers%20surveyed%20said%20that%2044%25%20of%20the,social%20influence'%20will%20emerge%20as%20high%2Din%2Ddemand%20skills</w:t>
      </w:r>
      <w:r>
        <w:rPr>
          <w:color w:val="0000EE"/>
          <w:u w:val="single" w:color="0000EE"/>
          <w:lang w:val="en-GB"/>
        </w:rPr>
        <w:fldChar w:fldCharType="end"/>
      </w:r>
      <w:r>
        <w:rPr>
          <w:lang w:val="en-GB"/>
        </w:rPr>
        <w:t xml:space="preserve"> [Accessed on 10th November 2025]</w:t>
      </w:r>
    </w:p>
    <w:p w14:paraId="28F4BE60">
      <w:pPr>
        <w:spacing w:before="120" w:after="120" w:line="360" w:lineRule="auto"/>
        <w:jc w:val="both"/>
        <w:rPr>
          <w:lang w:val="en-GB"/>
        </w:rPr>
      </w:pPr>
      <w:r>
        <w:rPr>
          <w:lang w:val="en-GB"/>
        </w:rPr>
        <w:t xml:space="preserve">Thomas, D.A. and Ely, R.J., 1996. ‘Making differences matter: A new paradigm for managing diversity’, Harvard Business Review. </w:t>
      </w:r>
      <w:r>
        <w:fldChar w:fldCharType="begin"/>
      </w:r>
      <w:r>
        <w:instrText xml:space="preserve"> HYPERLINK "https://www.academia.edu/download/33149013/MAKING_DIFFERENCES_DIFFERENT.pdf" </w:instrText>
      </w:r>
      <w:r>
        <w:fldChar w:fldCharType="separate"/>
      </w:r>
      <w:r>
        <w:rPr>
          <w:color w:val="0000EE"/>
          <w:u w:val="single" w:color="0000EE"/>
          <w:lang w:val="en-GB"/>
        </w:rPr>
        <w:t>https://www.academia.edu/download/33149013/MAKING_DIFFERENCES_DIFFERENT.pdf</w:t>
      </w:r>
      <w:r>
        <w:rPr>
          <w:color w:val="0000EE"/>
          <w:u w:val="single" w:color="0000EE"/>
          <w:lang w:val="en-GB"/>
        </w:rPr>
        <w:fldChar w:fldCharType="end"/>
      </w:r>
    </w:p>
    <w:p w14:paraId="2041A5B0">
      <w:pPr>
        <w:spacing w:before="120" w:after="120" w:line="360" w:lineRule="auto"/>
        <w:jc w:val="both"/>
        <w:rPr>
          <w:lang w:val="en-GB"/>
        </w:rPr>
      </w:pPr>
      <w:r>
        <w:rPr>
          <w:lang w:val="en-GB"/>
        </w:rPr>
        <w:t>Yeganegi, K., 2025.</w:t>
      </w:r>
      <w:r>
        <w:rPr>
          <w:i/>
          <w:iCs/>
          <w:lang w:val="en-GB"/>
        </w:rPr>
        <w:t xml:space="preserve"> Green jobs for MENA in the age of AI: crafting a sustainable labour market</w:t>
      </w:r>
      <w:r>
        <w:rPr>
          <w:lang w:val="en-GB"/>
        </w:rPr>
        <w:t xml:space="preserve">. Available at: </w:t>
      </w:r>
      <w:r>
        <w:fldChar w:fldCharType="begin"/>
      </w:r>
      <w:r>
        <w:instrText xml:space="preserve"> HYPERLINK "https://theforum.erf.org.eg/2025/09/15/green-jobs-for-mena-in-the-age-of-ai-crafting-a-sustainable-labour-market/" </w:instrText>
      </w:r>
      <w:r>
        <w:fldChar w:fldCharType="separate"/>
      </w:r>
      <w:r>
        <w:rPr>
          <w:color w:val="0000EE"/>
          <w:u w:val="single" w:color="0000EE"/>
          <w:lang w:val="en-GB"/>
        </w:rPr>
        <w:t>https://theforum.erf.org.eg/2025/09/15/green-jobs-for-mena-in-the-age-of-ai-crafting-a-sustainable-labour-market/</w:t>
      </w:r>
      <w:r>
        <w:rPr>
          <w:color w:val="0000EE"/>
          <w:u w:val="single" w:color="0000EE"/>
          <w:lang w:val="en-GB"/>
        </w:rPr>
        <w:fldChar w:fldCharType="end"/>
      </w:r>
      <w:r>
        <w:rPr>
          <w:lang w:val="en-GB"/>
        </w:rPr>
        <w:t xml:space="preserve"> [Accessed on 10th November 2025]</w:t>
      </w:r>
    </w:p>
    <w:p w14:paraId="69AE3714">
      <w:pPr>
        <w:spacing w:before="120" w:after="120"/>
        <w:rPr>
          <w:lang w:val="en-GB"/>
        </w:rPr>
      </w:pPr>
    </w:p>
    <w:p w14:paraId="78CBA397">
      <w:pPr>
        <w:spacing w:before="120" w:after="120"/>
        <w:jc w:val="right"/>
        <w:rPr>
          <w:lang w:val="en-GB"/>
        </w:rPr>
      </w:pPr>
      <w:r>
        <w:rPr>
          <w:lang w:val="en-GB"/>
        </w:rPr>
        <w:t>1</w:t>
      </w:r>
    </w:p>
    <w:p w14:paraId="0AF9651D">
      <w:pPr>
        <w:spacing w:before="120" w:after="120"/>
        <w:rPr>
          <w:lang w:val="en-GB"/>
        </w:rPr>
      </w:pPr>
    </w:p>
    <w:sectPr>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noPunctuationKerning w:val="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36D"/>
    <w:rsid w:val="001C3AF9"/>
    <w:rsid w:val="002409ED"/>
    <w:rsid w:val="0049236D"/>
    <w:rsid w:val="005A3C49"/>
    <w:rsid w:val="009C5CE2"/>
    <w:rsid w:val="00B1513E"/>
    <w:rsid w:val="00C20D06"/>
    <w:rsid w:val="00C804BB"/>
    <w:rsid w:val="00FC2EC7"/>
    <w:rsid w:val="48946F81"/>
    <w:rsid w:val="6AD42557"/>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paragraph" w:styleId="2">
    <w:name w:val="heading 1"/>
    <w:basedOn w:val="1"/>
    <w:next w:val="1"/>
    <w:link w:val="15"/>
    <w:qFormat/>
    <w:uiPriority w:val="9"/>
    <w:pPr>
      <w:keepNext/>
      <w:keepLines/>
      <w:spacing w:before="240" w:line="360" w:lineRule="auto"/>
      <w:jc w:val="both"/>
      <w:outlineLvl w:val="0"/>
    </w:pPr>
    <w:rPr>
      <w:b/>
      <w:bCs/>
      <w:color w:val="000000" w:themeColor="text1"/>
      <w:kern w:val="36"/>
      <w:sz w:val="28"/>
      <w:szCs w:val="48"/>
      <w14:textFill>
        <w14:solidFill>
          <w14:schemeClr w14:val="tx1"/>
        </w14:solidFill>
      </w14:textFill>
    </w:rPr>
  </w:style>
  <w:style w:type="paragraph" w:styleId="3">
    <w:name w:val="heading 2"/>
    <w:basedOn w:val="1"/>
    <w:next w:val="1"/>
    <w:link w:val="16"/>
    <w:qFormat/>
    <w:uiPriority w:val="9"/>
    <w:pPr>
      <w:keepNext/>
      <w:keepLines/>
      <w:spacing w:before="40" w:line="360" w:lineRule="auto"/>
      <w:jc w:val="both"/>
      <w:outlineLvl w:val="1"/>
    </w:pPr>
    <w:rPr>
      <w:b/>
      <w:bCs/>
      <w:color w:val="000000" w:themeColor="text1"/>
      <w:szCs w:val="36"/>
      <w14:textFill>
        <w14:solidFill>
          <w14:schemeClr w14:val="tx1"/>
        </w14:solidFill>
      </w14:textFill>
    </w:rPr>
  </w:style>
  <w:style w:type="paragraph" w:styleId="4">
    <w:name w:val="heading 3"/>
    <w:basedOn w:val="1"/>
    <w:next w:val="1"/>
    <w:link w:val="17"/>
    <w:qFormat/>
    <w:uiPriority w:val="9"/>
    <w:pPr>
      <w:keepNext/>
      <w:keepLines/>
      <w:spacing w:before="40"/>
      <w:outlineLvl w:val="2"/>
    </w:pPr>
    <w:rPr>
      <w:b/>
      <w:bCs/>
      <w:color w:val="1F3763"/>
      <w:sz w:val="28"/>
      <w:szCs w:val="28"/>
    </w:rPr>
  </w:style>
  <w:style w:type="paragraph" w:styleId="5">
    <w:name w:val="heading 4"/>
    <w:basedOn w:val="1"/>
    <w:next w:val="1"/>
    <w:link w:val="18"/>
    <w:qFormat/>
    <w:uiPriority w:val="9"/>
    <w:pPr>
      <w:keepNext/>
      <w:keepLines/>
      <w:spacing w:before="40"/>
      <w:outlineLvl w:val="3"/>
    </w:pPr>
    <w:rPr>
      <w:b/>
      <w:bCs/>
      <w:iCs/>
      <w:color w:val="2F5496"/>
    </w:rPr>
  </w:style>
  <w:style w:type="paragraph" w:styleId="6">
    <w:name w:val="heading 5"/>
    <w:basedOn w:val="1"/>
    <w:next w:val="1"/>
    <w:link w:val="19"/>
    <w:qFormat/>
    <w:uiPriority w:val="9"/>
    <w:pPr>
      <w:keepNext/>
      <w:keepLines/>
      <w:spacing w:before="40"/>
      <w:outlineLvl w:val="4"/>
    </w:pPr>
    <w:rPr>
      <w:b/>
      <w:bCs/>
      <w:color w:val="2F5496"/>
      <w:sz w:val="20"/>
      <w:szCs w:val="20"/>
    </w:rPr>
  </w:style>
  <w:style w:type="paragraph" w:styleId="7">
    <w:name w:val="heading 6"/>
    <w:basedOn w:val="1"/>
    <w:next w:val="1"/>
    <w:link w:val="20"/>
    <w:qFormat/>
    <w:uiPriority w:val="9"/>
    <w:pPr>
      <w:keepNext/>
      <w:keepLines/>
      <w:spacing w:before="40"/>
      <w:outlineLvl w:val="5"/>
    </w:pPr>
    <w:rPr>
      <w:b/>
      <w:bCs/>
      <w:color w:val="1F3763"/>
      <w:sz w:val="16"/>
      <w:szCs w:val="16"/>
    </w:rPr>
  </w:style>
  <w:style w:type="character" w:default="1" w:styleId="8">
    <w:name w:val="Default Paragraph Font"/>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22"/>
    <w:semiHidden/>
    <w:unhideWhenUsed/>
    <w:qFormat/>
    <w:uiPriority w:val="99"/>
    <w:rPr>
      <w:rFonts w:ascii="Tahoma" w:hAnsi="Tahoma" w:cs="Tahoma"/>
      <w:sz w:val="16"/>
      <w:szCs w:val="16"/>
    </w:rPr>
  </w:style>
  <w:style w:type="character" w:styleId="11">
    <w:name w:val="Hyperlink"/>
    <w:basedOn w:val="8"/>
    <w:unhideWhenUsed/>
    <w:qFormat/>
    <w:uiPriority w:val="99"/>
    <w:rPr>
      <w:color w:val="0000FF" w:themeColor="hyperlink"/>
      <w:u w:val="single"/>
      <w14:textFill>
        <w14:solidFill>
          <w14:schemeClr w14:val="hlink"/>
        </w14:solidFill>
      </w14:textFill>
    </w:rPr>
  </w:style>
  <w:style w:type="paragraph" w:styleId="12">
    <w:name w:val="toc 1"/>
    <w:basedOn w:val="1"/>
    <w:next w:val="1"/>
    <w:autoRedefine/>
    <w:unhideWhenUsed/>
    <w:qFormat/>
    <w:uiPriority w:val="39"/>
    <w:pPr>
      <w:spacing w:after="100"/>
    </w:pPr>
  </w:style>
  <w:style w:type="paragraph" w:styleId="13">
    <w:name w:val="toc 2"/>
    <w:basedOn w:val="1"/>
    <w:next w:val="1"/>
    <w:autoRedefine/>
    <w:unhideWhenUsed/>
    <w:qFormat/>
    <w:uiPriority w:val="39"/>
    <w:pPr>
      <w:spacing w:after="100"/>
      <w:ind w:left="240"/>
    </w:pPr>
  </w:style>
  <w:style w:type="paragraph" w:styleId="14">
    <w:name w:val="toc 3"/>
    <w:basedOn w:val="1"/>
    <w:next w:val="1"/>
    <w:autoRedefine/>
    <w:unhideWhenUsed/>
    <w:uiPriority w:val="39"/>
    <w:pPr>
      <w:spacing w:after="100"/>
      <w:ind w:left="480"/>
    </w:pPr>
  </w:style>
  <w:style w:type="character" w:customStyle="1" w:styleId="15">
    <w:name w:val="Heading 1 Char"/>
    <w:basedOn w:val="8"/>
    <w:link w:val="2"/>
    <w:qFormat/>
    <w:uiPriority w:val="9"/>
    <w:rPr>
      <w:b/>
      <w:bCs/>
      <w:color w:val="000000" w:themeColor="text1"/>
      <w:kern w:val="36"/>
      <w:sz w:val="28"/>
      <w:szCs w:val="48"/>
      <w14:textFill>
        <w14:solidFill>
          <w14:schemeClr w14:val="tx1"/>
        </w14:solidFill>
      </w14:textFill>
    </w:rPr>
  </w:style>
  <w:style w:type="character" w:customStyle="1" w:styleId="16">
    <w:name w:val="Heading 2 Char"/>
    <w:basedOn w:val="8"/>
    <w:link w:val="3"/>
    <w:qFormat/>
    <w:uiPriority w:val="9"/>
    <w:rPr>
      <w:b/>
      <w:bCs/>
      <w:color w:val="000000" w:themeColor="text1"/>
      <w:sz w:val="24"/>
      <w:szCs w:val="36"/>
      <w14:textFill>
        <w14:solidFill>
          <w14:schemeClr w14:val="tx1"/>
        </w14:solidFill>
      </w14:textFill>
    </w:rPr>
  </w:style>
  <w:style w:type="character" w:customStyle="1" w:styleId="17">
    <w:name w:val="Heading 3 Char"/>
    <w:basedOn w:val="8"/>
    <w:link w:val="4"/>
    <w:qFormat/>
    <w:uiPriority w:val="9"/>
    <w:rPr>
      <w:rFonts w:ascii="Calibri Light" w:hAnsi="Calibri Light" w:eastAsia="Times New Roman" w:cs="Times New Roman"/>
      <w:color w:val="1F3763"/>
      <w:sz w:val="24"/>
      <w:szCs w:val="24"/>
    </w:rPr>
  </w:style>
  <w:style w:type="character" w:customStyle="1" w:styleId="18">
    <w:name w:val="Heading 4 Char"/>
    <w:basedOn w:val="8"/>
    <w:link w:val="5"/>
    <w:qFormat/>
    <w:uiPriority w:val="9"/>
    <w:rPr>
      <w:rFonts w:ascii="Calibri Light" w:hAnsi="Calibri Light" w:eastAsia="Times New Roman" w:cs="Times New Roman"/>
      <w:i/>
      <w:iCs/>
      <w:color w:val="2F5496"/>
    </w:rPr>
  </w:style>
  <w:style w:type="character" w:customStyle="1" w:styleId="19">
    <w:name w:val="Heading 5 Char"/>
    <w:basedOn w:val="8"/>
    <w:link w:val="6"/>
    <w:qFormat/>
    <w:uiPriority w:val="9"/>
    <w:rPr>
      <w:rFonts w:ascii="Calibri Light" w:hAnsi="Calibri Light" w:eastAsia="Times New Roman" w:cs="Times New Roman"/>
      <w:color w:val="2F5496"/>
    </w:rPr>
  </w:style>
  <w:style w:type="character" w:customStyle="1" w:styleId="20">
    <w:name w:val="Heading 6 Char"/>
    <w:basedOn w:val="8"/>
    <w:link w:val="7"/>
    <w:qFormat/>
    <w:uiPriority w:val="9"/>
    <w:rPr>
      <w:rFonts w:ascii="Calibri Light" w:hAnsi="Calibri Light" w:eastAsia="Times New Roman" w:cs="Times New Roman"/>
      <w:color w:val="1F3763"/>
    </w:rPr>
  </w:style>
  <w:style w:type="paragraph" w:customStyle="1" w:styleId="21">
    <w:name w:val="TOC Heading"/>
    <w:basedOn w:val="2"/>
    <w:next w:val="1"/>
    <w:semiHidden/>
    <w:unhideWhenUsed/>
    <w:qFormat/>
    <w:uiPriority w:val="39"/>
    <w:pPr>
      <w:spacing w:before="480" w:line="276" w:lineRule="auto"/>
      <w:jc w:val="left"/>
      <w:outlineLvl w:val="9"/>
    </w:pPr>
    <w:rPr>
      <w:rFonts w:asciiTheme="majorHAnsi" w:hAnsiTheme="majorHAnsi" w:eastAsiaTheme="majorEastAsia" w:cstheme="majorBidi"/>
      <w:color w:val="376092" w:themeColor="accent1" w:themeShade="BF"/>
      <w:kern w:val="0"/>
      <w:szCs w:val="28"/>
      <w:lang w:eastAsia="ja-JP"/>
    </w:rPr>
  </w:style>
  <w:style w:type="character" w:customStyle="1" w:styleId="22">
    <w:name w:val="Balloon Text Char"/>
    <w:basedOn w:val="8"/>
    <w:link w:val="10"/>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C4A62-D030-4433-9BBA-DC729307F345}">
  <ds:schemaRefs/>
</ds:datastoreItem>
</file>

<file path=docProps/app.xml><?xml version="1.0" encoding="utf-8"?>
<Properties xmlns="http://schemas.openxmlformats.org/officeDocument/2006/extended-properties" xmlns:vt="http://schemas.openxmlformats.org/officeDocument/2006/docPropsVTypes">
  <Template>Normal</Template>
  <Pages>13</Pages>
  <Words>4209</Words>
  <Characters>23996</Characters>
  <Lines>199</Lines>
  <Paragraphs>56</Paragraphs>
  <TotalTime>2</TotalTime>
  <ScaleCrop>false</ScaleCrop>
  <LinksUpToDate>false</LinksUpToDate>
  <CharactersWithSpaces>28149</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2025-11-10T19:21:00Z</dcterms:created>
  <dc:creator>DELL</dc:creator>
  <cp:lastModifiedBy>Abhi Patel</cp:lastModifiedBy>
  <dcterms:modified xsi:type="dcterms:W3CDTF">2025-11-13T20:15:50Z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594EC9EE722342B3B6BF2B1B89B97CB6_12</vt:lpwstr>
  </property>
</Properties>
</file>