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F0EEA" w14:textId="7C422E0B" w:rsidR="00F3600C" w:rsidRPr="00332709" w:rsidRDefault="00D829D2" w:rsidP="00F3600C">
      <w:pPr>
        <w:jc w:val="center"/>
      </w:pPr>
      <w:r>
        <w:rPr>
          <w:noProof/>
        </w:rPr>
        <mc:AlternateContent>
          <mc:Choice Requires="wps">
            <w:drawing>
              <wp:anchor distT="0" distB="0" distL="114300" distR="114300" simplePos="0" relativeHeight="251657728" behindDoc="1" locked="0" layoutInCell="1" allowOverlap="1" wp14:anchorId="4AE11AF9" wp14:editId="703D5712">
                <wp:simplePos x="0" y="0"/>
                <wp:positionH relativeFrom="column">
                  <wp:posOffset>1314450</wp:posOffset>
                </wp:positionH>
                <wp:positionV relativeFrom="paragraph">
                  <wp:posOffset>-114300</wp:posOffset>
                </wp:positionV>
                <wp:extent cx="3533775" cy="1590675"/>
                <wp:effectExtent l="38100" t="38100" r="38100" b="38100"/>
                <wp:wrapNone/>
                <wp:docPr id="68407778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33775" cy="1590675"/>
                        </a:xfrm>
                        <a:prstGeom prst="rect">
                          <a:avLst/>
                        </a:prstGeom>
                        <a:solidFill>
                          <a:schemeClr val="lt1">
                            <a:lumMod val="100000"/>
                            <a:lumOff val="0"/>
                          </a:schemeClr>
                        </a:solidFill>
                        <a:ln w="63500" cmpd="thickThin">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434574" id="Rectangle 2" o:spid="_x0000_s1026" style="position:absolute;margin-left:103.5pt;margin-top:-9pt;width:278.25pt;height:125.2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" fillcolor="white [3201]" strokecolor="#e7bc29 [3206]" strokeweight="5pt">
                <v:stroke linestyle="thickThin"/>
                <v:shadow color="#868686"/>
              </v:rect>
            </w:pict>
          </mc:Fallback>
        </mc:AlternateContent>
      </w:r>
      <w:r w:rsidR="00EA4B73" w:rsidRPr="00332709">
        <w:t xml:space="preserve">       </w:t>
      </w:r>
      <w:r w:rsidR="00EA4B73" w:rsidRPr="00332709">
        <w:rPr>
          <w:rStyle w:val="wacimagecontainer"/>
          <w:noProof/>
        </w:rPr>
        <w:drawing>
          <wp:inline distT="0" distB="0" distL="0" distR="0" wp14:anchorId="00AA8921" wp14:editId="2BEED740">
            <wp:extent cx="3314700" cy="1447800"/>
            <wp:effectExtent l="0" t="0" r="0" b="0"/>
            <wp:docPr id="9" name="Picture 5"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 descr="A close-up of a person's 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400" cy="1468634"/>
                    </a:xfrm>
                    <a:prstGeom prst="rect">
                      <a:avLst/>
                    </a:prstGeom>
                    <a:noFill/>
                    <a:ln>
                      <a:noFill/>
                    </a:ln>
                  </pic:spPr>
                </pic:pic>
              </a:graphicData>
            </a:graphic>
          </wp:inline>
        </w:drawing>
      </w:r>
    </w:p>
    <w:p w14:paraId="1BD38645" w14:textId="6742EF14" w:rsidR="00A447FC" w:rsidRPr="00332709" w:rsidRDefault="00335715" w:rsidP="00A5073B">
      <w:pPr>
        <w:spacing w:line="360" w:lineRule="auto"/>
        <w:jc w:val="center"/>
        <w:rPr>
          <w:rFonts w:ascii="Arial" w:hAnsi="Arial" w:cs="Arial"/>
          <w:b/>
          <w:bCs/>
          <w:sz w:val="40"/>
          <w:szCs w:val="40"/>
        </w:rPr>
      </w:pPr>
      <w:r w:rsidRPr="00332709">
        <w:rPr>
          <w:noProof/>
        </w:rPr>
        <w:drawing>
          <wp:inline distT="0" distB="0" distL="0" distR="0" wp14:anchorId="0FC2501C" wp14:editId="2AE0FB8D">
            <wp:extent cx="5724525" cy="2052084"/>
            <wp:effectExtent l="38100" t="0" r="9525" b="62865"/>
            <wp:docPr id="92633000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332709">
        <w:rPr>
          <w:noProof/>
        </w:rPr>
        <w:drawing>
          <wp:inline distT="0" distB="0" distL="0" distR="0" wp14:anchorId="1FD97A2A" wp14:editId="79BDA9A2">
            <wp:extent cx="5724525" cy="2052084"/>
            <wp:effectExtent l="19050" t="0" r="9525" b="62865"/>
            <wp:docPr id="16590225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Pr="00332709">
        <w:rPr>
          <w:noProof/>
        </w:rPr>
        <w:drawing>
          <wp:inline distT="0" distB="0" distL="0" distR="0" wp14:anchorId="7D85DB70" wp14:editId="0BE1EB64">
            <wp:extent cx="5724525" cy="2052084"/>
            <wp:effectExtent l="38100" t="0" r="9525" b="62865"/>
            <wp:docPr id="176207353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1B79C60" w14:textId="35AE7A5D" w:rsidR="009D0BC7" w:rsidRPr="00332709" w:rsidRDefault="009D0BC7" w:rsidP="00380D8E">
      <w:pPr>
        <w:spacing w:line="360" w:lineRule="auto"/>
        <w:ind w:right="83"/>
        <w:rPr>
          <w:rFonts w:ascii="Arial" w:hAnsi="Arial" w:cs="Arial"/>
          <w:b/>
          <w:bCs/>
          <w:sz w:val="28"/>
          <w:szCs w:val="28"/>
        </w:rPr>
      </w:pPr>
      <w:r w:rsidRPr="00332709">
        <w:rPr>
          <w:rFonts w:ascii="Arial" w:hAnsi="Arial" w:cs="Arial"/>
          <w:b/>
          <w:bCs/>
          <w:sz w:val="28"/>
          <w:szCs w:val="28"/>
        </w:rPr>
        <w:lastRenderedPageBreak/>
        <w:t>TABLE OF CONTENTS</w:t>
      </w:r>
    </w:p>
    <w:sdt>
      <w:sdtPr>
        <w:rPr>
          <w:rFonts w:asciiTheme="minorHAnsi" w:eastAsiaTheme="minorHAnsi" w:hAnsiTheme="minorHAnsi" w:cstheme="minorBidi"/>
          <w:color w:val="auto"/>
          <w:kern w:val="2"/>
          <w:sz w:val="24"/>
          <w:szCs w:val="24"/>
          <w:lang w:val="en-GB"/>
        </w:rPr>
        <w:id w:val="1775210937"/>
        <w:docPartObj>
          <w:docPartGallery w:val="Table of Contents"/>
          <w:docPartUnique/>
        </w:docPartObj>
      </w:sdtPr>
      <w:sdtEndPr>
        <w:rPr>
          <w:b/>
          <w:bCs/>
          <w:noProof/>
        </w:rPr>
      </w:sdtEndPr>
      <w:sdtContent>
        <w:p w14:paraId="0987676E" w14:textId="0025F3B3" w:rsidR="007E799F" w:rsidRDefault="007E799F">
          <w:pPr>
            <w:pStyle w:val="TOCHeading"/>
          </w:pPr>
        </w:p>
        <w:p w14:paraId="3A60348A" w14:textId="07D909E7" w:rsidR="007E799F" w:rsidRDefault="007E799F">
          <w:pPr>
            <w:pStyle w:val="TOC1"/>
            <w:tabs>
              <w:tab w:val="right" w:leader="dot" w:pos="9350"/>
            </w:tabs>
            <w:rPr>
              <w:noProof/>
            </w:rPr>
          </w:pPr>
          <w:r>
            <w:fldChar w:fldCharType="begin"/>
          </w:r>
          <w:r>
            <w:instrText xml:space="preserve"> TOC \o "1-3" \h \z \u </w:instrText>
          </w:r>
          <w:r>
            <w:fldChar w:fldCharType="separate"/>
          </w:r>
          <w:hyperlink w:anchor="_Toc242993992" w:history="1">
            <w:r w:rsidRPr="003C0D60">
              <w:rPr>
                <w:rStyle w:val="Hyperlink"/>
                <w:rFonts w:ascii="Arial" w:hAnsi="Arial" w:cs="Arial"/>
                <w:b/>
                <w:bCs/>
                <w:noProof/>
              </w:rPr>
              <w:t>ABBREVIATION</w:t>
            </w:r>
            <w:r>
              <w:rPr>
                <w:noProof/>
                <w:webHidden/>
              </w:rPr>
              <w:tab/>
            </w:r>
            <w:r>
              <w:rPr>
                <w:noProof/>
                <w:webHidden/>
              </w:rPr>
              <w:fldChar w:fldCharType="begin"/>
            </w:r>
            <w:r>
              <w:rPr>
                <w:noProof/>
                <w:webHidden/>
              </w:rPr>
              <w:instrText xml:space="preserve"> PAGEREF _Toc242993992 \h </w:instrText>
            </w:r>
            <w:r>
              <w:rPr>
                <w:noProof/>
                <w:webHidden/>
              </w:rPr>
            </w:r>
            <w:r>
              <w:rPr>
                <w:noProof/>
                <w:webHidden/>
              </w:rPr>
              <w:fldChar w:fldCharType="separate"/>
            </w:r>
            <w:r w:rsidR="000422D9">
              <w:rPr>
                <w:noProof/>
                <w:webHidden/>
              </w:rPr>
              <w:t>3</w:t>
            </w:r>
            <w:r>
              <w:rPr>
                <w:noProof/>
                <w:webHidden/>
              </w:rPr>
              <w:fldChar w:fldCharType="end"/>
            </w:r>
          </w:hyperlink>
        </w:p>
        <w:p w14:paraId="17CC66BB" w14:textId="662578E6" w:rsidR="007E799F" w:rsidRDefault="007E799F">
          <w:pPr>
            <w:pStyle w:val="TOC1"/>
            <w:tabs>
              <w:tab w:val="right" w:leader="dot" w:pos="9350"/>
            </w:tabs>
            <w:rPr>
              <w:noProof/>
            </w:rPr>
          </w:pPr>
          <w:hyperlink w:anchor="_Toc242993993" w:history="1">
            <w:r w:rsidRPr="003C0D6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_Toc242993993 \h </w:instrText>
            </w:r>
            <w:r>
              <w:rPr>
                <w:noProof/>
                <w:webHidden/>
              </w:rPr>
            </w:r>
            <w:r>
              <w:rPr>
                <w:noProof/>
                <w:webHidden/>
              </w:rPr>
              <w:fldChar w:fldCharType="separate"/>
            </w:r>
            <w:r w:rsidR="000422D9">
              <w:rPr>
                <w:noProof/>
                <w:webHidden/>
              </w:rPr>
              <w:t>4</w:t>
            </w:r>
            <w:r>
              <w:rPr>
                <w:noProof/>
                <w:webHidden/>
              </w:rPr>
              <w:fldChar w:fldCharType="end"/>
            </w:r>
          </w:hyperlink>
        </w:p>
        <w:p w14:paraId="178DCA2F" w14:textId="5BA15577" w:rsidR="007E799F" w:rsidRDefault="007E799F">
          <w:pPr>
            <w:pStyle w:val="TOC1"/>
            <w:tabs>
              <w:tab w:val="right" w:leader="dot" w:pos="9350"/>
            </w:tabs>
            <w:rPr>
              <w:noProof/>
            </w:rPr>
          </w:pPr>
          <w:hyperlink w:anchor="_Toc242993994" w:history="1">
            <w:r w:rsidRPr="003C0D60">
              <w:rPr>
                <w:rStyle w:val="Hyperlink"/>
                <w:rFonts w:ascii="Arial" w:hAnsi="Arial" w:cs="Arial"/>
                <w:b/>
                <w:bCs/>
                <w:noProof/>
              </w:rPr>
              <w:t>TASK 1: MARKETING ENVIRONMENT ANALYSIS</w:t>
            </w:r>
            <w:r>
              <w:rPr>
                <w:noProof/>
                <w:webHidden/>
              </w:rPr>
              <w:tab/>
            </w:r>
            <w:r>
              <w:rPr>
                <w:noProof/>
                <w:webHidden/>
              </w:rPr>
              <w:fldChar w:fldCharType="begin"/>
            </w:r>
            <w:r>
              <w:rPr>
                <w:noProof/>
                <w:webHidden/>
              </w:rPr>
              <w:instrText xml:space="preserve"> PAGEREF _Toc242993994 \h </w:instrText>
            </w:r>
            <w:r>
              <w:rPr>
                <w:noProof/>
                <w:webHidden/>
              </w:rPr>
            </w:r>
            <w:r>
              <w:rPr>
                <w:noProof/>
                <w:webHidden/>
              </w:rPr>
              <w:fldChar w:fldCharType="separate"/>
            </w:r>
            <w:r w:rsidR="000422D9">
              <w:rPr>
                <w:noProof/>
                <w:webHidden/>
              </w:rPr>
              <w:t>4</w:t>
            </w:r>
            <w:r>
              <w:rPr>
                <w:noProof/>
                <w:webHidden/>
              </w:rPr>
              <w:fldChar w:fldCharType="end"/>
            </w:r>
          </w:hyperlink>
        </w:p>
        <w:p w14:paraId="35923408" w14:textId="399F0964" w:rsidR="007E799F" w:rsidRDefault="007E799F">
          <w:pPr>
            <w:pStyle w:val="TOC2"/>
            <w:tabs>
              <w:tab w:val="right" w:leader="dot" w:pos="9350"/>
            </w:tabs>
            <w:rPr>
              <w:noProof/>
            </w:rPr>
          </w:pPr>
          <w:hyperlink w:anchor="_Toc242993995" w:history="1">
            <w:r w:rsidRPr="003C0D60">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_Toc242993995 \h </w:instrText>
            </w:r>
            <w:r>
              <w:rPr>
                <w:noProof/>
                <w:webHidden/>
              </w:rPr>
            </w:r>
            <w:r>
              <w:rPr>
                <w:noProof/>
                <w:webHidden/>
              </w:rPr>
              <w:fldChar w:fldCharType="separate"/>
            </w:r>
            <w:r w:rsidR="000422D9">
              <w:rPr>
                <w:noProof/>
                <w:webHidden/>
              </w:rPr>
              <w:t>4</w:t>
            </w:r>
            <w:r>
              <w:rPr>
                <w:noProof/>
                <w:webHidden/>
              </w:rPr>
              <w:fldChar w:fldCharType="end"/>
            </w:r>
          </w:hyperlink>
        </w:p>
        <w:p w14:paraId="44E2F145" w14:textId="1B373896" w:rsidR="007E799F" w:rsidRDefault="007E799F">
          <w:pPr>
            <w:pStyle w:val="TOC2"/>
            <w:tabs>
              <w:tab w:val="right" w:leader="dot" w:pos="9350"/>
            </w:tabs>
            <w:rPr>
              <w:noProof/>
            </w:rPr>
          </w:pPr>
          <w:hyperlink w:anchor="_Toc242993996" w:history="1">
            <w:r w:rsidRPr="003C0D60">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_Toc242993996 \h </w:instrText>
            </w:r>
            <w:r>
              <w:rPr>
                <w:noProof/>
                <w:webHidden/>
              </w:rPr>
            </w:r>
            <w:r>
              <w:rPr>
                <w:noProof/>
                <w:webHidden/>
              </w:rPr>
              <w:fldChar w:fldCharType="separate"/>
            </w:r>
            <w:r w:rsidR="000422D9">
              <w:rPr>
                <w:noProof/>
                <w:webHidden/>
              </w:rPr>
              <w:t>7</w:t>
            </w:r>
            <w:r>
              <w:rPr>
                <w:noProof/>
                <w:webHidden/>
              </w:rPr>
              <w:fldChar w:fldCharType="end"/>
            </w:r>
          </w:hyperlink>
        </w:p>
        <w:p w14:paraId="514EC027" w14:textId="6BBADB15" w:rsidR="007E799F" w:rsidRDefault="007E799F">
          <w:pPr>
            <w:pStyle w:val="TOC2"/>
            <w:tabs>
              <w:tab w:val="right" w:leader="dot" w:pos="9350"/>
            </w:tabs>
            <w:rPr>
              <w:noProof/>
            </w:rPr>
          </w:pPr>
          <w:hyperlink w:anchor="_Toc242993997" w:history="1">
            <w:r w:rsidRPr="003C0D60">
              <w:rPr>
                <w:rStyle w:val="Hyperlink"/>
                <w:rFonts w:ascii="Arial" w:hAnsi="Arial" w:cs="Arial"/>
                <w:b/>
                <w:bCs/>
                <w:noProof/>
              </w:rPr>
              <w:t>Technological factors and integrated implications</w:t>
            </w:r>
            <w:r>
              <w:rPr>
                <w:noProof/>
                <w:webHidden/>
              </w:rPr>
              <w:tab/>
            </w:r>
            <w:r>
              <w:rPr>
                <w:noProof/>
                <w:webHidden/>
              </w:rPr>
              <w:fldChar w:fldCharType="begin"/>
            </w:r>
            <w:r>
              <w:rPr>
                <w:noProof/>
                <w:webHidden/>
              </w:rPr>
              <w:instrText xml:space="preserve"> PAGEREF _Toc242993997 \h </w:instrText>
            </w:r>
            <w:r>
              <w:rPr>
                <w:noProof/>
                <w:webHidden/>
              </w:rPr>
            </w:r>
            <w:r>
              <w:rPr>
                <w:noProof/>
                <w:webHidden/>
              </w:rPr>
              <w:fldChar w:fldCharType="separate"/>
            </w:r>
            <w:r w:rsidR="000422D9">
              <w:rPr>
                <w:noProof/>
                <w:webHidden/>
              </w:rPr>
              <w:t>7</w:t>
            </w:r>
            <w:r>
              <w:rPr>
                <w:noProof/>
                <w:webHidden/>
              </w:rPr>
              <w:fldChar w:fldCharType="end"/>
            </w:r>
          </w:hyperlink>
        </w:p>
        <w:p w14:paraId="552E7B13" w14:textId="2EE02AB7" w:rsidR="007E799F" w:rsidRDefault="007E799F">
          <w:pPr>
            <w:pStyle w:val="TOC1"/>
            <w:tabs>
              <w:tab w:val="right" w:leader="dot" w:pos="9350"/>
            </w:tabs>
            <w:rPr>
              <w:noProof/>
            </w:rPr>
          </w:pPr>
          <w:hyperlink w:anchor="_Toc242993998" w:history="1">
            <w:r w:rsidRPr="003C0D60">
              <w:rPr>
                <w:rStyle w:val="Hyperlink"/>
                <w:rFonts w:ascii="Arial" w:hAnsi="Arial" w:cs="Arial"/>
                <w:b/>
                <w:bCs/>
                <w:noProof/>
              </w:rPr>
              <w:t>TASK 2: STRATEGIC GROWTH AND COMPETITIVE POSITIONING</w:t>
            </w:r>
            <w:r>
              <w:rPr>
                <w:noProof/>
                <w:webHidden/>
              </w:rPr>
              <w:tab/>
            </w:r>
            <w:r>
              <w:rPr>
                <w:noProof/>
                <w:webHidden/>
              </w:rPr>
              <w:fldChar w:fldCharType="begin"/>
            </w:r>
            <w:r>
              <w:rPr>
                <w:noProof/>
                <w:webHidden/>
              </w:rPr>
              <w:instrText xml:space="preserve"> PAGEREF _Toc242993998 \h </w:instrText>
            </w:r>
            <w:r>
              <w:rPr>
                <w:noProof/>
                <w:webHidden/>
              </w:rPr>
            </w:r>
            <w:r>
              <w:rPr>
                <w:noProof/>
                <w:webHidden/>
              </w:rPr>
              <w:fldChar w:fldCharType="separate"/>
            </w:r>
            <w:r w:rsidR="000422D9">
              <w:rPr>
                <w:noProof/>
                <w:webHidden/>
              </w:rPr>
              <w:t>8</w:t>
            </w:r>
            <w:r>
              <w:rPr>
                <w:noProof/>
                <w:webHidden/>
              </w:rPr>
              <w:fldChar w:fldCharType="end"/>
            </w:r>
          </w:hyperlink>
        </w:p>
        <w:p w14:paraId="733458BF" w14:textId="4E363E03" w:rsidR="007E799F" w:rsidRDefault="007E799F">
          <w:pPr>
            <w:pStyle w:val="TOC2"/>
            <w:tabs>
              <w:tab w:val="right" w:leader="dot" w:pos="9350"/>
            </w:tabs>
            <w:rPr>
              <w:noProof/>
            </w:rPr>
          </w:pPr>
          <w:hyperlink w:anchor="_Toc242993999" w:history="1">
            <w:r w:rsidRPr="003C0D60">
              <w:rPr>
                <w:rStyle w:val="Hyperlink"/>
                <w:rFonts w:ascii="Arial" w:hAnsi="Arial" w:cs="Arial"/>
                <w:b/>
                <w:bCs/>
                <w:noProof/>
              </w:rPr>
              <w:t>Ansoff Matrix</w:t>
            </w:r>
            <w:r>
              <w:rPr>
                <w:noProof/>
                <w:webHidden/>
              </w:rPr>
              <w:tab/>
            </w:r>
            <w:r>
              <w:rPr>
                <w:noProof/>
                <w:webHidden/>
              </w:rPr>
              <w:fldChar w:fldCharType="begin"/>
            </w:r>
            <w:r>
              <w:rPr>
                <w:noProof/>
                <w:webHidden/>
              </w:rPr>
              <w:instrText xml:space="preserve"> PAGEREF _Toc242993999 \h </w:instrText>
            </w:r>
            <w:r>
              <w:rPr>
                <w:noProof/>
                <w:webHidden/>
              </w:rPr>
            </w:r>
            <w:r>
              <w:rPr>
                <w:noProof/>
                <w:webHidden/>
              </w:rPr>
              <w:fldChar w:fldCharType="separate"/>
            </w:r>
            <w:r w:rsidR="000422D9">
              <w:rPr>
                <w:noProof/>
                <w:webHidden/>
              </w:rPr>
              <w:t>8</w:t>
            </w:r>
            <w:r>
              <w:rPr>
                <w:noProof/>
                <w:webHidden/>
              </w:rPr>
              <w:fldChar w:fldCharType="end"/>
            </w:r>
          </w:hyperlink>
        </w:p>
        <w:p w14:paraId="3A3D9737" w14:textId="71073532" w:rsidR="007E799F" w:rsidRDefault="007E799F">
          <w:pPr>
            <w:pStyle w:val="TOC2"/>
            <w:tabs>
              <w:tab w:val="right" w:leader="dot" w:pos="9350"/>
            </w:tabs>
            <w:rPr>
              <w:noProof/>
            </w:rPr>
          </w:pPr>
          <w:hyperlink w:anchor="_Toc242994000" w:history="1">
            <w:r w:rsidRPr="003C0D60">
              <w:rPr>
                <w:rStyle w:val="Hyperlink"/>
                <w:rFonts w:ascii="Arial" w:hAnsi="Arial" w:cs="Arial"/>
                <w:b/>
                <w:bCs/>
                <w:noProof/>
              </w:rPr>
              <w:t>Porter’s Generic Strategies</w:t>
            </w:r>
            <w:r>
              <w:rPr>
                <w:noProof/>
                <w:webHidden/>
              </w:rPr>
              <w:tab/>
            </w:r>
            <w:r>
              <w:rPr>
                <w:noProof/>
                <w:webHidden/>
              </w:rPr>
              <w:fldChar w:fldCharType="begin"/>
            </w:r>
            <w:r>
              <w:rPr>
                <w:noProof/>
                <w:webHidden/>
              </w:rPr>
              <w:instrText xml:space="preserve"> PAGEREF _Toc242994000 \h </w:instrText>
            </w:r>
            <w:r>
              <w:rPr>
                <w:noProof/>
                <w:webHidden/>
              </w:rPr>
            </w:r>
            <w:r>
              <w:rPr>
                <w:noProof/>
                <w:webHidden/>
              </w:rPr>
              <w:fldChar w:fldCharType="separate"/>
            </w:r>
            <w:r w:rsidR="000422D9">
              <w:rPr>
                <w:noProof/>
                <w:webHidden/>
              </w:rPr>
              <w:t>11</w:t>
            </w:r>
            <w:r>
              <w:rPr>
                <w:noProof/>
                <w:webHidden/>
              </w:rPr>
              <w:fldChar w:fldCharType="end"/>
            </w:r>
          </w:hyperlink>
        </w:p>
        <w:p w14:paraId="67DEEE52" w14:textId="07C6D0AC" w:rsidR="007E799F" w:rsidRDefault="007E799F">
          <w:pPr>
            <w:pStyle w:val="TOC2"/>
            <w:tabs>
              <w:tab w:val="right" w:leader="dot" w:pos="9350"/>
            </w:tabs>
            <w:rPr>
              <w:noProof/>
            </w:rPr>
          </w:pPr>
          <w:hyperlink w:anchor="_Toc242994001" w:history="1">
            <w:r w:rsidRPr="003C0D60">
              <w:rPr>
                <w:rStyle w:val="Hyperlink"/>
                <w:rFonts w:ascii="Arial" w:hAnsi="Arial" w:cs="Arial"/>
                <w:b/>
                <w:bCs/>
                <w:noProof/>
              </w:rPr>
              <w:t>Implementation and evaluation</w:t>
            </w:r>
            <w:r>
              <w:rPr>
                <w:noProof/>
                <w:webHidden/>
              </w:rPr>
              <w:tab/>
            </w:r>
            <w:r>
              <w:rPr>
                <w:noProof/>
                <w:webHidden/>
              </w:rPr>
              <w:fldChar w:fldCharType="begin"/>
            </w:r>
            <w:r>
              <w:rPr>
                <w:noProof/>
                <w:webHidden/>
              </w:rPr>
              <w:instrText xml:space="preserve"> PAGEREF _Toc242994001 \h </w:instrText>
            </w:r>
            <w:r>
              <w:rPr>
                <w:noProof/>
                <w:webHidden/>
              </w:rPr>
            </w:r>
            <w:r>
              <w:rPr>
                <w:noProof/>
                <w:webHidden/>
              </w:rPr>
              <w:fldChar w:fldCharType="separate"/>
            </w:r>
            <w:r w:rsidR="000422D9">
              <w:rPr>
                <w:noProof/>
                <w:webHidden/>
              </w:rPr>
              <w:t>13</w:t>
            </w:r>
            <w:r>
              <w:rPr>
                <w:noProof/>
                <w:webHidden/>
              </w:rPr>
              <w:fldChar w:fldCharType="end"/>
            </w:r>
          </w:hyperlink>
        </w:p>
        <w:p w14:paraId="6E69BBB8" w14:textId="08CB60E9" w:rsidR="007E799F" w:rsidRDefault="007E799F">
          <w:pPr>
            <w:pStyle w:val="TOC1"/>
            <w:tabs>
              <w:tab w:val="right" w:leader="dot" w:pos="9350"/>
            </w:tabs>
            <w:rPr>
              <w:noProof/>
            </w:rPr>
          </w:pPr>
          <w:hyperlink w:anchor="_Toc242994002" w:history="1">
            <w:r w:rsidRPr="003C0D60">
              <w:rPr>
                <w:rStyle w:val="Hyperlink"/>
                <w:rFonts w:ascii="Arial" w:hAnsi="Arial" w:cs="Arial"/>
                <w:b/>
                <w:bCs/>
                <w:noProof/>
              </w:rPr>
              <w:t>TASK 3: MANAGERIAL AND PROFESSIONAL REFLECTION</w:t>
            </w:r>
            <w:r>
              <w:rPr>
                <w:noProof/>
                <w:webHidden/>
              </w:rPr>
              <w:tab/>
            </w:r>
            <w:r>
              <w:rPr>
                <w:noProof/>
                <w:webHidden/>
              </w:rPr>
              <w:fldChar w:fldCharType="begin"/>
            </w:r>
            <w:r>
              <w:rPr>
                <w:noProof/>
                <w:webHidden/>
              </w:rPr>
              <w:instrText xml:space="preserve"> PAGEREF _Toc242994002 \h </w:instrText>
            </w:r>
            <w:r>
              <w:rPr>
                <w:noProof/>
                <w:webHidden/>
              </w:rPr>
            </w:r>
            <w:r>
              <w:rPr>
                <w:noProof/>
                <w:webHidden/>
              </w:rPr>
              <w:fldChar w:fldCharType="separate"/>
            </w:r>
            <w:r w:rsidR="000422D9">
              <w:rPr>
                <w:noProof/>
                <w:webHidden/>
              </w:rPr>
              <w:t>13</w:t>
            </w:r>
            <w:r>
              <w:rPr>
                <w:noProof/>
                <w:webHidden/>
              </w:rPr>
              <w:fldChar w:fldCharType="end"/>
            </w:r>
          </w:hyperlink>
        </w:p>
        <w:p w14:paraId="69536C51" w14:textId="2DF3B6ED" w:rsidR="007E799F" w:rsidRDefault="007E799F">
          <w:pPr>
            <w:pStyle w:val="TOC2"/>
            <w:tabs>
              <w:tab w:val="right" w:leader="dot" w:pos="9350"/>
            </w:tabs>
            <w:rPr>
              <w:noProof/>
            </w:rPr>
          </w:pPr>
          <w:hyperlink w:anchor="_Toc242994003" w:history="1">
            <w:r w:rsidRPr="003C0D60">
              <w:rPr>
                <w:rStyle w:val="Hyperlink"/>
                <w:rFonts w:ascii="Arial" w:hAnsi="Arial" w:cs="Arial"/>
                <w:b/>
                <w:bCs/>
                <w:noProof/>
              </w:rPr>
              <w:t>Why I chose BHP</w:t>
            </w:r>
            <w:r>
              <w:rPr>
                <w:noProof/>
                <w:webHidden/>
              </w:rPr>
              <w:tab/>
            </w:r>
            <w:r>
              <w:rPr>
                <w:noProof/>
                <w:webHidden/>
              </w:rPr>
              <w:fldChar w:fldCharType="begin"/>
            </w:r>
            <w:r>
              <w:rPr>
                <w:noProof/>
                <w:webHidden/>
              </w:rPr>
              <w:instrText xml:space="preserve"> PAGEREF _Toc242994003 \h </w:instrText>
            </w:r>
            <w:r>
              <w:rPr>
                <w:noProof/>
                <w:webHidden/>
              </w:rPr>
            </w:r>
            <w:r>
              <w:rPr>
                <w:noProof/>
                <w:webHidden/>
              </w:rPr>
              <w:fldChar w:fldCharType="separate"/>
            </w:r>
            <w:r w:rsidR="000422D9">
              <w:rPr>
                <w:noProof/>
                <w:webHidden/>
              </w:rPr>
              <w:t>13</w:t>
            </w:r>
            <w:r>
              <w:rPr>
                <w:noProof/>
                <w:webHidden/>
              </w:rPr>
              <w:fldChar w:fldCharType="end"/>
            </w:r>
          </w:hyperlink>
        </w:p>
        <w:p w14:paraId="406F3D9C" w14:textId="22C2D7EB" w:rsidR="007E799F" w:rsidRDefault="007E799F">
          <w:pPr>
            <w:pStyle w:val="TOC2"/>
            <w:tabs>
              <w:tab w:val="right" w:leader="dot" w:pos="9350"/>
            </w:tabs>
            <w:rPr>
              <w:noProof/>
            </w:rPr>
          </w:pPr>
          <w:hyperlink w:anchor="_Toc242994004" w:history="1">
            <w:r w:rsidRPr="003C0D60">
              <w:rPr>
                <w:rStyle w:val="Hyperlink"/>
                <w:rFonts w:ascii="Arial" w:hAnsi="Arial" w:cs="Arial"/>
                <w:b/>
                <w:bCs/>
                <w:noProof/>
              </w:rPr>
              <w:t>My choice of environmental actors</w:t>
            </w:r>
            <w:r>
              <w:rPr>
                <w:noProof/>
                <w:webHidden/>
              </w:rPr>
              <w:tab/>
            </w:r>
            <w:r>
              <w:rPr>
                <w:noProof/>
                <w:webHidden/>
              </w:rPr>
              <w:fldChar w:fldCharType="begin"/>
            </w:r>
            <w:r>
              <w:rPr>
                <w:noProof/>
                <w:webHidden/>
              </w:rPr>
              <w:instrText xml:space="preserve"> PAGEREF _Toc242994004 \h </w:instrText>
            </w:r>
            <w:r>
              <w:rPr>
                <w:noProof/>
                <w:webHidden/>
              </w:rPr>
            </w:r>
            <w:r>
              <w:rPr>
                <w:noProof/>
                <w:webHidden/>
              </w:rPr>
              <w:fldChar w:fldCharType="separate"/>
            </w:r>
            <w:r w:rsidR="000422D9">
              <w:rPr>
                <w:noProof/>
                <w:webHidden/>
              </w:rPr>
              <w:t>14</w:t>
            </w:r>
            <w:r>
              <w:rPr>
                <w:noProof/>
                <w:webHidden/>
              </w:rPr>
              <w:fldChar w:fldCharType="end"/>
            </w:r>
          </w:hyperlink>
        </w:p>
        <w:p w14:paraId="069B6FE1" w14:textId="22072F75" w:rsidR="007E799F" w:rsidRDefault="007E799F">
          <w:pPr>
            <w:pStyle w:val="TOC2"/>
            <w:tabs>
              <w:tab w:val="right" w:leader="dot" w:pos="9350"/>
            </w:tabs>
            <w:rPr>
              <w:noProof/>
            </w:rPr>
          </w:pPr>
          <w:hyperlink w:anchor="_Toc242994005" w:history="1">
            <w:r w:rsidRPr="003C0D60">
              <w:rPr>
                <w:rStyle w:val="Hyperlink"/>
                <w:rFonts w:ascii="Arial" w:hAnsi="Arial" w:cs="Arial"/>
                <w:b/>
                <w:bCs/>
                <w:noProof/>
              </w:rPr>
              <w:t>My growth strategies</w:t>
            </w:r>
            <w:r>
              <w:rPr>
                <w:noProof/>
                <w:webHidden/>
              </w:rPr>
              <w:tab/>
            </w:r>
            <w:r>
              <w:rPr>
                <w:noProof/>
                <w:webHidden/>
              </w:rPr>
              <w:fldChar w:fldCharType="begin"/>
            </w:r>
            <w:r>
              <w:rPr>
                <w:noProof/>
                <w:webHidden/>
              </w:rPr>
              <w:instrText xml:space="preserve"> PAGEREF _Toc242994005 \h </w:instrText>
            </w:r>
            <w:r>
              <w:rPr>
                <w:noProof/>
                <w:webHidden/>
              </w:rPr>
            </w:r>
            <w:r>
              <w:rPr>
                <w:noProof/>
                <w:webHidden/>
              </w:rPr>
              <w:fldChar w:fldCharType="separate"/>
            </w:r>
            <w:r w:rsidR="000422D9">
              <w:rPr>
                <w:noProof/>
                <w:webHidden/>
              </w:rPr>
              <w:t>14</w:t>
            </w:r>
            <w:r>
              <w:rPr>
                <w:noProof/>
                <w:webHidden/>
              </w:rPr>
              <w:fldChar w:fldCharType="end"/>
            </w:r>
          </w:hyperlink>
        </w:p>
        <w:p w14:paraId="141FB4ED" w14:textId="53079E98" w:rsidR="007E799F" w:rsidRDefault="007E799F">
          <w:pPr>
            <w:pStyle w:val="TOC2"/>
            <w:tabs>
              <w:tab w:val="right" w:leader="dot" w:pos="9350"/>
            </w:tabs>
            <w:rPr>
              <w:noProof/>
            </w:rPr>
          </w:pPr>
          <w:hyperlink w:anchor="_Toc242994006" w:history="1">
            <w:r w:rsidRPr="003C0D60">
              <w:rPr>
                <w:rStyle w:val="Hyperlink"/>
                <w:rFonts w:ascii="Arial" w:hAnsi="Arial" w:cs="Arial"/>
                <w:b/>
                <w:bCs/>
                <w:noProof/>
              </w:rPr>
              <w:t>My limitations and identified gaps</w:t>
            </w:r>
            <w:r>
              <w:rPr>
                <w:noProof/>
                <w:webHidden/>
              </w:rPr>
              <w:tab/>
            </w:r>
            <w:r>
              <w:rPr>
                <w:noProof/>
                <w:webHidden/>
              </w:rPr>
              <w:fldChar w:fldCharType="begin"/>
            </w:r>
            <w:r>
              <w:rPr>
                <w:noProof/>
                <w:webHidden/>
              </w:rPr>
              <w:instrText xml:space="preserve"> PAGEREF _Toc242994006 \h </w:instrText>
            </w:r>
            <w:r>
              <w:rPr>
                <w:noProof/>
                <w:webHidden/>
              </w:rPr>
            </w:r>
            <w:r>
              <w:rPr>
                <w:noProof/>
                <w:webHidden/>
              </w:rPr>
              <w:fldChar w:fldCharType="separate"/>
            </w:r>
            <w:r w:rsidR="000422D9">
              <w:rPr>
                <w:noProof/>
                <w:webHidden/>
              </w:rPr>
              <w:t>15</w:t>
            </w:r>
            <w:r>
              <w:rPr>
                <w:noProof/>
                <w:webHidden/>
              </w:rPr>
              <w:fldChar w:fldCharType="end"/>
            </w:r>
          </w:hyperlink>
        </w:p>
        <w:p w14:paraId="1F6CA5B1" w14:textId="36C9ED9F" w:rsidR="007E799F" w:rsidRDefault="007E799F">
          <w:pPr>
            <w:pStyle w:val="TOC2"/>
            <w:tabs>
              <w:tab w:val="right" w:leader="dot" w:pos="9350"/>
            </w:tabs>
            <w:rPr>
              <w:noProof/>
            </w:rPr>
          </w:pPr>
          <w:hyperlink w:anchor="_Toc242994007" w:history="1">
            <w:r w:rsidRPr="003C0D60">
              <w:rPr>
                <w:rStyle w:val="Hyperlink"/>
                <w:rFonts w:ascii="Arial" w:hAnsi="Arial" w:cs="Arial"/>
                <w:b/>
                <w:bCs/>
                <w:noProof/>
              </w:rPr>
              <w:t>My recommendations</w:t>
            </w:r>
            <w:r>
              <w:rPr>
                <w:noProof/>
                <w:webHidden/>
              </w:rPr>
              <w:tab/>
            </w:r>
            <w:r>
              <w:rPr>
                <w:noProof/>
                <w:webHidden/>
              </w:rPr>
              <w:fldChar w:fldCharType="begin"/>
            </w:r>
            <w:r>
              <w:rPr>
                <w:noProof/>
                <w:webHidden/>
              </w:rPr>
              <w:instrText xml:space="preserve"> PAGEREF _Toc242994007 \h </w:instrText>
            </w:r>
            <w:r>
              <w:rPr>
                <w:noProof/>
                <w:webHidden/>
              </w:rPr>
            </w:r>
            <w:r>
              <w:rPr>
                <w:noProof/>
                <w:webHidden/>
              </w:rPr>
              <w:fldChar w:fldCharType="separate"/>
            </w:r>
            <w:r w:rsidR="000422D9">
              <w:rPr>
                <w:noProof/>
                <w:webHidden/>
              </w:rPr>
              <w:t>15</w:t>
            </w:r>
            <w:r>
              <w:rPr>
                <w:noProof/>
                <w:webHidden/>
              </w:rPr>
              <w:fldChar w:fldCharType="end"/>
            </w:r>
          </w:hyperlink>
        </w:p>
        <w:p w14:paraId="261D369E" w14:textId="182E76E5" w:rsidR="007E799F" w:rsidRDefault="007E799F">
          <w:pPr>
            <w:pStyle w:val="TOC1"/>
            <w:tabs>
              <w:tab w:val="right" w:leader="dot" w:pos="9350"/>
            </w:tabs>
            <w:rPr>
              <w:noProof/>
            </w:rPr>
          </w:pPr>
          <w:hyperlink w:anchor="_Toc242994008" w:history="1">
            <w:r w:rsidRPr="003C0D6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_Toc242994008 \h </w:instrText>
            </w:r>
            <w:r>
              <w:rPr>
                <w:noProof/>
                <w:webHidden/>
              </w:rPr>
            </w:r>
            <w:r>
              <w:rPr>
                <w:noProof/>
                <w:webHidden/>
              </w:rPr>
              <w:fldChar w:fldCharType="separate"/>
            </w:r>
            <w:r w:rsidR="000422D9">
              <w:rPr>
                <w:noProof/>
                <w:webHidden/>
              </w:rPr>
              <w:t>17</w:t>
            </w:r>
            <w:r>
              <w:rPr>
                <w:noProof/>
                <w:webHidden/>
              </w:rPr>
              <w:fldChar w:fldCharType="end"/>
            </w:r>
          </w:hyperlink>
        </w:p>
        <w:p w14:paraId="49C51188" w14:textId="08B4CACA" w:rsidR="007E799F" w:rsidRDefault="007E799F">
          <w:pPr>
            <w:pStyle w:val="TOC1"/>
            <w:tabs>
              <w:tab w:val="right" w:leader="dot" w:pos="9350"/>
            </w:tabs>
            <w:rPr>
              <w:noProof/>
            </w:rPr>
          </w:pPr>
          <w:hyperlink w:anchor="_Toc242994009" w:history="1">
            <w:r w:rsidRPr="003C0D6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_Toc242994009 \h </w:instrText>
            </w:r>
            <w:r>
              <w:rPr>
                <w:noProof/>
                <w:webHidden/>
              </w:rPr>
            </w:r>
            <w:r>
              <w:rPr>
                <w:noProof/>
                <w:webHidden/>
              </w:rPr>
              <w:fldChar w:fldCharType="separate"/>
            </w:r>
            <w:r w:rsidR="000422D9">
              <w:rPr>
                <w:noProof/>
                <w:webHidden/>
              </w:rPr>
              <w:t>1</w:t>
            </w:r>
            <w:r w:rsidR="00364871">
              <w:rPr>
                <w:noProof/>
                <w:webHidden/>
              </w:rPr>
              <w:t>8</w:t>
            </w:r>
            <w:r>
              <w:rPr>
                <w:noProof/>
                <w:webHidden/>
              </w:rPr>
              <w:fldChar w:fldCharType="end"/>
            </w:r>
          </w:hyperlink>
        </w:p>
        <w:p w14:paraId="2A97AE5F" w14:textId="6B47CC12" w:rsidR="007E799F" w:rsidRDefault="007E799F">
          <w:r>
            <w:rPr>
              <w:b/>
              <w:bCs/>
              <w:noProof/>
            </w:rPr>
            <w:fldChar w:fldCharType="end"/>
          </w:r>
        </w:p>
      </w:sdtContent>
    </w:sdt>
    <w:p w14:paraId="0C66EDD8" w14:textId="77777777" w:rsidR="009D0BC7" w:rsidRPr="00332709" w:rsidRDefault="009D0BC7" w:rsidP="00380D8E">
      <w:pPr>
        <w:spacing w:line="360" w:lineRule="auto"/>
        <w:ind w:right="83"/>
        <w:rPr>
          <w:rFonts w:ascii="Arial" w:hAnsi="Arial" w:cs="Arial"/>
          <w:b/>
          <w:bCs/>
          <w:sz w:val="28"/>
          <w:szCs w:val="28"/>
        </w:rPr>
      </w:pPr>
    </w:p>
    <w:p w14:paraId="66280470" w14:textId="77777777" w:rsidR="009D0BC7" w:rsidRPr="00332709" w:rsidRDefault="009D0BC7" w:rsidP="00380D8E">
      <w:pPr>
        <w:spacing w:line="360" w:lineRule="auto"/>
        <w:ind w:right="83"/>
        <w:rPr>
          <w:rFonts w:ascii="Arial" w:hAnsi="Arial" w:cs="Arial"/>
          <w:b/>
          <w:bCs/>
          <w:sz w:val="28"/>
          <w:szCs w:val="28"/>
        </w:rPr>
      </w:pPr>
    </w:p>
    <w:p w14:paraId="1AA2EFE7" w14:textId="77777777" w:rsidR="009D0BC7" w:rsidRPr="00332709" w:rsidRDefault="009D0BC7" w:rsidP="00380D8E">
      <w:pPr>
        <w:spacing w:line="360" w:lineRule="auto"/>
        <w:ind w:right="83"/>
        <w:rPr>
          <w:rFonts w:ascii="Arial" w:hAnsi="Arial" w:cs="Arial"/>
          <w:b/>
          <w:bCs/>
          <w:sz w:val="28"/>
          <w:szCs w:val="28"/>
        </w:rPr>
      </w:pPr>
    </w:p>
    <w:p w14:paraId="06992988" w14:textId="77777777" w:rsidR="009D0BC7" w:rsidRPr="00332709" w:rsidRDefault="009D0BC7" w:rsidP="00380D8E">
      <w:pPr>
        <w:spacing w:line="360" w:lineRule="auto"/>
        <w:ind w:right="83"/>
        <w:rPr>
          <w:rFonts w:ascii="Arial" w:hAnsi="Arial" w:cs="Arial"/>
          <w:b/>
          <w:bCs/>
          <w:sz w:val="28"/>
          <w:szCs w:val="28"/>
        </w:rPr>
      </w:pPr>
    </w:p>
    <w:p w14:paraId="47027243" w14:textId="77777777" w:rsidR="002F40A7" w:rsidRPr="00332709" w:rsidRDefault="002F40A7" w:rsidP="00380D8E">
      <w:pPr>
        <w:spacing w:line="360" w:lineRule="auto"/>
        <w:ind w:right="83"/>
        <w:rPr>
          <w:rFonts w:ascii="Arial" w:hAnsi="Arial" w:cs="Arial"/>
          <w:b/>
          <w:bCs/>
          <w:sz w:val="28"/>
          <w:szCs w:val="28"/>
        </w:rPr>
      </w:pPr>
    </w:p>
    <w:p w14:paraId="57EF747B" w14:textId="1019C0B4" w:rsidR="00380D8E" w:rsidRPr="006C502E" w:rsidRDefault="00EE79E7" w:rsidP="0050359F">
      <w:pPr>
        <w:pStyle w:val="Heading1"/>
        <w:rPr>
          <w:rFonts w:ascii="Arial" w:hAnsi="Arial" w:cs="Arial"/>
          <w:b/>
          <w:bCs/>
          <w:color w:val="auto"/>
          <w:sz w:val="28"/>
          <w:szCs w:val="28"/>
        </w:rPr>
      </w:pPr>
      <w:bookmarkStart w:id="0" w:name="_Toc242993992"/>
      <w:r w:rsidRPr="006C502E">
        <w:rPr>
          <w:rFonts w:ascii="Arial" w:hAnsi="Arial" w:cs="Arial"/>
          <w:b/>
          <w:bCs/>
          <w:color w:val="auto"/>
          <w:sz w:val="28"/>
          <w:szCs w:val="28"/>
        </w:rPr>
        <w:lastRenderedPageBreak/>
        <w:t>ABBREVIATION</w:t>
      </w:r>
      <w:bookmarkEnd w:id="0"/>
    </w:p>
    <w:p w14:paraId="6F222658" w14:textId="77777777" w:rsidR="00324451" w:rsidRPr="00332709" w:rsidRDefault="00324451" w:rsidP="00380D8E">
      <w:pPr>
        <w:spacing w:line="360" w:lineRule="auto"/>
        <w:ind w:right="83"/>
        <w:rPr>
          <w:rFonts w:ascii="Arial" w:hAnsi="Arial" w:cs="Arial"/>
          <w:b/>
          <w:bCs/>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83"/>
        <w:gridCol w:w="1950"/>
      </w:tblGrid>
      <w:tr w:rsidR="00380D8E" w:rsidRPr="00332709" w14:paraId="59BA3BA8" w14:textId="77777777">
        <w:trPr>
          <w:tblHeader/>
          <w:tblCellSpacing w:w="15" w:type="dxa"/>
        </w:trPr>
        <w:tc>
          <w:tcPr>
            <w:tcW w:w="0" w:type="auto"/>
            <w:vAlign w:val="center"/>
            <w:hideMark/>
          </w:tcPr>
          <w:p w14:paraId="18548002" w14:textId="77777777" w:rsidR="00380D8E" w:rsidRPr="00332709" w:rsidRDefault="00380D8E" w:rsidP="00380D8E">
            <w:pPr>
              <w:spacing w:line="360" w:lineRule="auto"/>
              <w:ind w:right="83"/>
              <w:rPr>
                <w:rFonts w:ascii="Arial" w:hAnsi="Arial" w:cs="Arial"/>
                <w:b/>
                <w:bCs/>
              </w:rPr>
            </w:pPr>
            <w:r w:rsidRPr="00332709">
              <w:rPr>
                <w:rFonts w:ascii="Arial" w:hAnsi="Arial" w:cs="Arial"/>
                <w:b/>
                <w:bCs/>
              </w:rPr>
              <w:t>Full meaning</w:t>
            </w:r>
          </w:p>
        </w:tc>
        <w:tc>
          <w:tcPr>
            <w:tcW w:w="0" w:type="auto"/>
            <w:vAlign w:val="center"/>
            <w:hideMark/>
          </w:tcPr>
          <w:p w14:paraId="7CBF80B9" w14:textId="03D99EE2" w:rsidR="00380D8E" w:rsidRPr="00332709" w:rsidRDefault="00A743A4" w:rsidP="00380D8E">
            <w:pPr>
              <w:spacing w:line="360" w:lineRule="auto"/>
              <w:ind w:right="83"/>
              <w:rPr>
                <w:rFonts w:ascii="Arial" w:hAnsi="Arial" w:cs="Arial"/>
                <w:b/>
                <w:bCs/>
              </w:rPr>
            </w:pPr>
            <w:r w:rsidRPr="00332709">
              <w:rPr>
                <w:rFonts w:ascii="Arial" w:hAnsi="Arial" w:cs="Arial"/>
                <w:b/>
                <w:bCs/>
              </w:rPr>
              <w:t xml:space="preserve">   </w:t>
            </w:r>
            <w:r w:rsidR="00324451" w:rsidRPr="00332709">
              <w:rPr>
                <w:rFonts w:ascii="Arial" w:hAnsi="Arial" w:cs="Arial"/>
                <w:b/>
                <w:bCs/>
              </w:rPr>
              <w:t xml:space="preserve">  </w:t>
            </w:r>
            <w:r w:rsidR="00380D8E" w:rsidRPr="00332709">
              <w:rPr>
                <w:rFonts w:ascii="Arial" w:hAnsi="Arial" w:cs="Arial"/>
                <w:b/>
                <w:bCs/>
              </w:rPr>
              <w:t>Abbreviation</w:t>
            </w:r>
          </w:p>
        </w:tc>
      </w:tr>
      <w:tr w:rsidR="00380D8E" w:rsidRPr="00332709" w14:paraId="226D32A0" w14:textId="77777777">
        <w:trPr>
          <w:tblCellSpacing w:w="15" w:type="dxa"/>
        </w:trPr>
        <w:tc>
          <w:tcPr>
            <w:tcW w:w="0" w:type="auto"/>
            <w:vAlign w:val="center"/>
            <w:hideMark/>
          </w:tcPr>
          <w:p w14:paraId="588F7F03" w14:textId="77777777" w:rsidR="00380D8E" w:rsidRPr="00332709" w:rsidRDefault="00380D8E" w:rsidP="00380D8E">
            <w:pPr>
              <w:spacing w:line="360" w:lineRule="auto"/>
              <w:ind w:right="83"/>
              <w:rPr>
                <w:rFonts w:ascii="Arial" w:hAnsi="Arial" w:cs="Arial"/>
              </w:rPr>
            </w:pPr>
            <w:r w:rsidRPr="00332709">
              <w:rPr>
                <w:rFonts w:ascii="Arial" w:hAnsi="Arial" w:cs="Arial"/>
              </w:rPr>
              <w:t>BHP Group Limited, formerly Broken Hill Proprietary Company</w:t>
            </w:r>
          </w:p>
        </w:tc>
        <w:tc>
          <w:tcPr>
            <w:tcW w:w="0" w:type="auto"/>
            <w:vAlign w:val="center"/>
            <w:hideMark/>
          </w:tcPr>
          <w:p w14:paraId="14086DE9" w14:textId="7350BA61"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BHP</w:t>
            </w:r>
          </w:p>
        </w:tc>
      </w:tr>
      <w:tr w:rsidR="00380D8E" w:rsidRPr="00332709" w14:paraId="7209BB09" w14:textId="77777777">
        <w:trPr>
          <w:tblCellSpacing w:w="15" w:type="dxa"/>
        </w:trPr>
        <w:tc>
          <w:tcPr>
            <w:tcW w:w="0" w:type="auto"/>
            <w:vAlign w:val="center"/>
            <w:hideMark/>
          </w:tcPr>
          <w:p w14:paraId="523BF9B1" w14:textId="77777777" w:rsidR="00380D8E" w:rsidRPr="00332709" w:rsidRDefault="00380D8E" w:rsidP="00380D8E">
            <w:pPr>
              <w:spacing w:line="360" w:lineRule="auto"/>
              <w:ind w:right="83"/>
              <w:rPr>
                <w:rFonts w:ascii="Arial" w:hAnsi="Arial" w:cs="Arial"/>
              </w:rPr>
            </w:pPr>
            <w:r w:rsidRPr="00332709">
              <w:rPr>
                <w:rFonts w:ascii="Arial" w:hAnsi="Arial" w:cs="Arial"/>
              </w:rPr>
              <w:t>Financial Year</w:t>
            </w:r>
          </w:p>
        </w:tc>
        <w:tc>
          <w:tcPr>
            <w:tcW w:w="0" w:type="auto"/>
            <w:vAlign w:val="center"/>
            <w:hideMark/>
          </w:tcPr>
          <w:p w14:paraId="61E6E5C6" w14:textId="71684F8E"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FY</w:t>
            </w:r>
          </w:p>
        </w:tc>
      </w:tr>
      <w:tr w:rsidR="00380D8E" w:rsidRPr="00332709" w14:paraId="438770F4" w14:textId="77777777">
        <w:trPr>
          <w:tblCellSpacing w:w="15" w:type="dxa"/>
        </w:trPr>
        <w:tc>
          <w:tcPr>
            <w:tcW w:w="0" w:type="auto"/>
            <w:vAlign w:val="center"/>
            <w:hideMark/>
          </w:tcPr>
          <w:p w14:paraId="7A594DDD" w14:textId="77777777" w:rsidR="00380D8E" w:rsidRPr="00332709" w:rsidRDefault="00380D8E" w:rsidP="00380D8E">
            <w:pPr>
              <w:spacing w:line="360" w:lineRule="auto"/>
              <w:ind w:right="83"/>
              <w:rPr>
                <w:rFonts w:ascii="Arial" w:hAnsi="Arial" w:cs="Arial"/>
              </w:rPr>
            </w:pPr>
            <w:r w:rsidRPr="00332709">
              <w:rPr>
                <w:rFonts w:ascii="Arial" w:hAnsi="Arial" w:cs="Arial"/>
              </w:rPr>
              <w:t>Financial Year 2020</w:t>
            </w:r>
          </w:p>
        </w:tc>
        <w:tc>
          <w:tcPr>
            <w:tcW w:w="0" w:type="auto"/>
            <w:vAlign w:val="center"/>
            <w:hideMark/>
          </w:tcPr>
          <w:p w14:paraId="4F0D1264" w14:textId="097EFEDC"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FY2020</w:t>
            </w:r>
          </w:p>
        </w:tc>
      </w:tr>
      <w:tr w:rsidR="00380D8E" w:rsidRPr="00332709" w14:paraId="152AE1DD" w14:textId="77777777">
        <w:trPr>
          <w:tblCellSpacing w:w="15" w:type="dxa"/>
        </w:trPr>
        <w:tc>
          <w:tcPr>
            <w:tcW w:w="0" w:type="auto"/>
            <w:vAlign w:val="center"/>
            <w:hideMark/>
          </w:tcPr>
          <w:p w14:paraId="3E050653" w14:textId="77777777" w:rsidR="00380D8E" w:rsidRPr="00332709" w:rsidRDefault="00380D8E" w:rsidP="00380D8E">
            <w:pPr>
              <w:spacing w:line="360" w:lineRule="auto"/>
              <w:ind w:right="83"/>
              <w:rPr>
                <w:rFonts w:ascii="Arial" w:hAnsi="Arial" w:cs="Arial"/>
              </w:rPr>
            </w:pPr>
            <w:r w:rsidRPr="00332709">
              <w:rPr>
                <w:rFonts w:ascii="Arial" w:hAnsi="Arial" w:cs="Arial"/>
              </w:rPr>
              <w:t>Financial Year 2025</w:t>
            </w:r>
          </w:p>
        </w:tc>
        <w:tc>
          <w:tcPr>
            <w:tcW w:w="0" w:type="auto"/>
            <w:vAlign w:val="center"/>
            <w:hideMark/>
          </w:tcPr>
          <w:p w14:paraId="61D07524" w14:textId="7B8FB95E"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FY2025</w:t>
            </w:r>
          </w:p>
        </w:tc>
      </w:tr>
      <w:tr w:rsidR="00380D8E" w:rsidRPr="00332709" w14:paraId="2EAD7F0B" w14:textId="77777777">
        <w:trPr>
          <w:tblCellSpacing w:w="15" w:type="dxa"/>
        </w:trPr>
        <w:tc>
          <w:tcPr>
            <w:tcW w:w="0" w:type="auto"/>
            <w:vAlign w:val="center"/>
            <w:hideMark/>
          </w:tcPr>
          <w:p w14:paraId="29279176" w14:textId="77777777" w:rsidR="00380D8E" w:rsidRPr="00332709" w:rsidRDefault="00380D8E" w:rsidP="00380D8E">
            <w:pPr>
              <w:spacing w:line="360" w:lineRule="auto"/>
              <w:ind w:right="83"/>
              <w:rPr>
                <w:rFonts w:ascii="Arial" w:hAnsi="Arial" w:cs="Arial"/>
              </w:rPr>
            </w:pPr>
            <w:r w:rsidRPr="00332709">
              <w:rPr>
                <w:rFonts w:ascii="Arial" w:hAnsi="Arial" w:cs="Arial"/>
              </w:rPr>
              <w:t>Financial Year 2030</w:t>
            </w:r>
          </w:p>
        </w:tc>
        <w:tc>
          <w:tcPr>
            <w:tcW w:w="0" w:type="auto"/>
            <w:vAlign w:val="center"/>
            <w:hideMark/>
          </w:tcPr>
          <w:p w14:paraId="6E041BDA" w14:textId="2001691A"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FY2030</w:t>
            </w:r>
          </w:p>
        </w:tc>
      </w:tr>
      <w:tr w:rsidR="00380D8E" w:rsidRPr="00332709" w14:paraId="2C04260E" w14:textId="77777777">
        <w:trPr>
          <w:tblCellSpacing w:w="15" w:type="dxa"/>
        </w:trPr>
        <w:tc>
          <w:tcPr>
            <w:tcW w:w="0" w:type="auto"/>
            <w:vAlign w:val="center"/>
            <w:hideMark/>
          </w:tcPr>
          <w:p w14:paraId="50EFA4C8" w14:textId="77777777" w:rsidR="00380D8E" w:rsidRPr="00332709" w:rsidRDefault="00380D8E" w:rsidP="00380D8E">
            <w:pPr>
              <w:spacing w:line="360" w:lineRule="auto"/>
              <w:ind w:right="83"/>
              <w:rPr>
                <w:rFonts w:ascii="Arial" w:hAnsi="Arial" w:cs="Arial"/>
              </w:rPr>
            </w:pPr>
            <w:r w:rsidRPr="00332709">
              <w:rPr>
                <w:rFonts w:ascii="Arial" w:hAnsi="Arial" w:cs="Arial"/>
              </w:rPr>
              <w:t>Greenhouse Gas</w:t>
            </w:r>
          </w:p>
        </w:tc>
        <w:tc>
          <w:tcPr>
            <w:tcW w:w="0" w:type="auto"/>
            <w:vAlign w:val="center"/>
            <w:hideMark/>
          </w:tcPr>
          <w:p w14:paraId="14917A0E" w14:textId="6BF45B0C"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GHG</w:t>
            </w:r>
          </w:p>
        </w:tc>
      </w:tr>
      <w:tr w:rsidR="00380D8E" w:rsidRPr="00332709" w14:paraId="24A1A8B1" w14:textId="77777777">
        <w:trPr>
          <w:tblCellSpacing w:w="15" w:type="dxa"/>
        </w:trPr>
        <w:tc>
          <w:tcPr>
            <w:tcW w:w="0" w:type="auto"/>
            <w:vAlign w:val="center"/>
            <w:hideMark/>
          </w:tcPr>
          <w:p w14:paraId="3634BF0D" w14:textId="77777777" w:rsidR="00380D8E" w:rsidRPr="00332709" w:rsidRDefault="00380D8E" w:rsidP="00380D8E">
            <w:pPr>
              <w:spacing w:line="360" w:lineRule="auto"/>
              <w:ind w:right="83"/>
              <w:rPr>
                <w:rFonts w:ascii="Arial" w:hAnsi="Arial" w:cs="Arial"/>
              </w:rPr>
            </w:pPr>
            <w:r w:rsidRPr="00332709">
              <w:rPr>
                <w:rFonts w:ascii="Arial" w:hAnsi="Arial" w:cs="Arial"/>
              </w:rPr>
              <w:t>Greenhouse Gases</w:t>
            </w:r>
          </w:p>
        </w:tc>
        <w:tc>
          <w:tcPr>
            <w:tcW w:w="0" w:type="auto"/>
            <w:vAlign w:val="center"/>
            <w:hideMark/>
          </w:tcPr>
          <w:p w14:paraId="20923901" w14:textId="2E904F2F" w:rsidR="00380D8E" w:rsidRPr="00332709" w:rsidRDefault="00A743A4" w:rsidP="00380D8E">
            <w:pPr>
              <w:spacing w:line="360" w:lineRule="auto"/>
              <w:ind w:right="83"/>
              <w:rPr>
                <w:rFonts w:ascii="Arial" w:hAnsi="Arial" w:cs="Arial"/>
              </w:rPr>
            </w:pPr>
            <w:r w:rsidRPr="00332709">
              <w:rPr>
                <w:rFonts w:ascii="Arial" w:hAnsi="Arial" w:cs="Arial"/>
              </w:rPr>
              <w:t xml:space="preserve">   </w:t>
            </w:r>
            <w:r w:rsidR="00324451" w:rsidRPr="00332709">
              <w:rPr>
                <w:rFonts w:ascii="Arial" w:hAnsi="Arial" w:cs="Arial"/>
              </w:rPr>
              <w:t xml:space="preserve">  </w:t>
            </w:r>
            <w:r w:rsidR="00380D8E" w:rsidRPr="00332709">
              <w:rPr>
                <w:rFonts w:ascii="Arial" w:hAnsi="Arial" w:cs="Arial"/>
              </w:rPr>
              <w:t>GHGs</w:t>
            </w:r>
          </w:p>
        </w:tc>
      </w:tr>
    </w:tbl>
    <w:p w14:paraId="607144F6" w14:textId="77777777" w:rsidR="00EE79E7" w:rsidRPr="00332709" w:rsidRDefault="00EE79E7" w:rsidP="002D4471">
      <w:pPr>
        <w:spacing w:line="360" w:lineRule="auto"/>
        <w:ind w:right="83"/>
        <w:rPr>
          <w:rFonts w:ascii="Arial" w:hAnsi="Arial" w:cs="Arial"/>
        </w:rPr>
      </w:pPr>
    </w:p>
    <w:p w14:paraId="7589D2B8" w14:textId="77777777" w:rsidR="00EE79E7" w:rsidRPr="00332709" w:rsidRDefault="00EE79E7" w:rsidP="002D4471">
      <w:pPr>
        <w:spacing w:line="360" w:lineRule="auto"/>
        <w:ind w:right="83"/>
        <w:rPr>
          <w:rFonts w:ascii="Arial" w:hAnsi="Arial" w:cs="Arial"/>
          <w:b/>
          <w:bCs/>
          <w:sz w:val="28"/>
          <w:szCs w:val="28"/>
        </w:rPr>
      </w:pPr>
    </w:p>
    <w:p w14:paraId="349BF597" w14:textId="77777777" w:rsidR="00EE79E7" w:rsidRPr="00332709" w:rsidRDefault="00EE79E7" w:rsidP="002D4471">
      <w:pPr>
        <w:spacing w:line="360" w:lineRule="auto"/>
        <w:ind w:right="83"/>
        <w:rPr>
          <w:rFonts w:ascii="Arial" w:hAnsi="Arial" w:cs="Arial"/>
          <w:b/>
          <w:bCs/>
          <w:sz w:val="28"/>
          <w:szCs w:val="28"/>
        </w:rPr>
      </w:pPr>
    </w:p>
    <w:p w14:paraId="79A34003" w14:textId="77777777" w:rsidR="00EE79E7" w:rsidRPr="00332709" w:rsidRDefault="00EE79E7" w:rsidP="002D4471">
      <w:pPr>
        <w:spacing w:line="360" w:lineRule="auto"/>
        <w:ind w:right="83"/>
        <w:rPr>
          <w:rFonts w:ascii="Arial" w:hAnsi="Arial" w:cs="Arial"/>
          <w:b/>
          <w:bCs/>
          <w:sz w:val="28"/>
          <w:szCs w:val="28"/>
        </w:rPr>
      </w:pPr>
    </w:p>
    <w:p w14:paraId="3509FAF6" w14:textId="77777777" w:rsidR="00EE79E7" w:rsidRPr="00332709" w:rsidRDefault="00EE79E7" w:rsidP="002D4471">
      <w:pPr>
        <w:spacing w:line="360" w:lineRule="auto"/>
        <w:ind w:right="83"/>
        <w:rPr>
          <w:rFonts w:ascii="Arial" w:hAnsi="Arial" w:cs="Arial"/>
          <w:b/>
          <w:bCs/>
          <w:sz w:val="28"/>
          <w:szCs w:val="28"/>
        </w:rPr>
      </w:pPr>
    </w:p>
    <w:p w14:paraId="66BB1C28" w14:textId="77777777" w:rsidR="00EE79E7" w:rsidRPr="00332709" w:rsidRDefault="00EE79E7" w:rsidP="002D4471">
      <w:pPr>
        <w:spacing w:line="360" w:lineRule="auto"/>
        <w:ind w:right="83"/>
        <w:rPr>
          <w:rFonts w:ascii="Arial" w:hAnsi="Arial" w:cs="Arial"/>
          <w:b/>
          <w:bCs/>
          <w:sz w:val="28"/>
          <w:szCs w:val="28"/>
        </w:rPr>
      </w:pPr>
    </w:p>
    <w:p w14:paraId="6ED1D416" w14:textId="77777777" w:rsidR="00EE79E7" w:rsidRPr="00332709" w:rsidRDefault="00EE79E7" w:rsidP="002D4471">
      <w:pPr>
        <w:spacing w:line="360" w:lineRule="auto"/>
        <w:ind w:right="83"/>
        <w:rPr>
          <w:rFonts w:ascii="Arial" w:hAnsi="Arial" w:cs="Arial"/>
          <w:b/>
          <w:bCs/>
          <w:sz w:val="28"/>
          <w:szCs w:val="28"/>
        </w:rPr>
      </w:pPr>
    </w:p>
    <w:p w14:paraId="6F66AFB4" w14:textId="77777777" w:rsidR="00EE79E7" w:rsidRPr="00332709" w:rsidRDefault="00EE79E7" w:rsidP="002D4471">
      <w:pPr>
        <w:spacing w:line="360" w:lineRule="auto"/>
        <w:ind w:right="83"/>
        <w:rPr>
          <w:rFonts w:ascii="Arial" w:hAnsi="Arial" w:cs="Arial"/>
          <w:b/>
          <w:bCs/>
          <w:sz w:val="28"/>
          <w:szCs w:val="28"/>
        </w:rPr>
      </w:pPr>
    </w:p>
    <w:p w14:paraId="3F632C9E" w14:textId="77777777" w:rsidR="00EE79E7" w:rsidRDefault="00EE79E7" w:rsidP="002D4471">
      <w:pPr>
        <w:spacing w:line="360" w:lineRule="auto"/>
        <w:ind w:right="83"/>
        <w:rPr>
          <w:rFonts w:ascii="Arial" w:hAnsi="Arial" w:cs="Arial"/>
          <w:b/>
          <w:bCs/>
          <w:sz w:val="28"/>
          <w:szCs w:val="28"/>
        </w:rPr>
      </w:pPr>
    </w:p>
    <w:p w14:paraId="35391C7E" w14:textId="77777777" w:rsidR="00A33D6B" w:rsidRPr="00332709" w:rsidRDefault="00A33D6B" w:rsidP="002D4471">
      <w:pPr>
        <w:spacing w:line="360" w:lineRule="auto"/>
        <w:ind w:right="83"/>
        <w:rPr>
          <w:rFonts w:ascii="Arial" w:hAnsi="Arial" w:cs="Arial"/>
          <w:b/>
          <w:bCs/>
          <w:sz w:val="28"/>
          <w:szCs w:val="28"/>
        </w:rPr>
      </w:pPr>
    </w:p>
    <w:p w14:paraId="572E2F79" w14:textId="77777777" w:rsidR="006F3A80" w:rsidRPr="00332709" w:rsidRDefault="006F3A80" w:rsidP="003A13C1">
      <w:pPr>
        <w:spacing w:line="360" w:lineRule="auto"/>
        <w:rPr>
          <w:rFonts w:ascii="Arial" w:hAnsi="Arial" w:cs="Arial"/>
          <w:b/>
          <w:bCs/>
          <w:sz w:val="28"/>
          <w:szCs w:val="28"/>
        </w:rPr>
      </w:pPr>
    </w:p>
    <w:p w14:paraId="5136B18C" w14:textId="24983190" w:rsidR="008134C0" w:rsidRPr="00482B48" w:rsidRDefault="00334850" w:rsidP="00A33D6B">
      <w:pPr>
        <w:pStyle w:val="Heading1"/>
        <w:rPr>
          <w:rFonts w:ascii="Arial" w:hAnsi="Arial" w:cs="Arial"/>
          <w:b/>
          <w:bCs/>
          <w:color w:val="auto"/>
        </w:rPr>
      </w:pPr>
      <w:bookmarkStart w:id="1" w:name="_Toc242993993"/>
      <w:r w:rsidRPr="00482B48">
        <w:rPr>
          <w:rFonts w:ascii="Arial" w:hAnsi="Arial" w:cs="Arial"/>
          <w:b/>
          <w:bCs/>
          <w:color w:val="auto"/>
          <w:sz w:val="28"/>
          <w:szCs w:val="28"/>
        </w:rPr>
        <w:lastRenderedPageBreak/>
        <w:t>INTRODUCTION</w:t>
      </w:r>
      <w:bookmarkEnd w:id="1"/>
      <w:r w:rsidR="00607689" w:rsidRPr="00482B48">
        <w:rPr>
          <w:rFonts w:ascii="Arial" w:hAnsi="Arial" w:cs="Arial"/>
          <w:b/>
          <w:bCs/>
          <w:color w:val="auto"/>
          <w:sz w:val="32"/>
          <w:szCs w:val="32"/>
        </w:rPr>
        <w:t xml:space="preserve"> </w:t>
      </w:r>
      <w:r w:rsidR="00607689" w:rsidRPr="00482B48">
        <w:rPr>
          <w:rFonts w:ascii="Arial" w:hAnsi="Arial" w:cs="Arial"/>
          <w:b/>
          <w:bCs/>
          <w:color w:val="auto"/>
          <w:sz w:val="28"/>
          <w:szCs w:val="28"/>
        </w:rPr>
        <w:t xml:space="preserve"> </w:t>
      </w:r>
      <w:r w:rsidR="00607689" w:rsidRPr="00482B48">
        <w:rPr>
          <w:rFonts w:ascii="Arial" w:hAnsi="Arial" w:cs="Arial"/>
          <w:b/>
          <w:bCs/>
          <w:color w:val="auto"/>
        </w:rPr>
        <w:t xml:space="preserve"> </w:t>
      </w:r>
    </w:p>
    <w:p w14:paraId="57506AA3" w14:textId="226462F8" w:rsidR="00903CC1" w:rsidRPr="00332709" w:rsidRDefault="00A40538" w:rsidP="00903CC1">
      <w:pPr>
        <w:spacing w:line="360" w:lineRule="auto"/>
        <w:ind w:firstLine="432"/>
        <w:rPr>
          <w:rFonts w:ascii="Arial" w:hAnsi="Arial" w:cs="Arial"/>
        </w:rPr>
      </w:pPr>
      <w:r w:rsidRPr="00332709">
        <w:rPr>
          <w:rFonts w:ascii="Arial" w:hAnsi="Arial" w:cs="Arial"/>
        </w:rPr>
        <w:t xml:space="preserve">Broken Hill Proprietary Company </w:t>
      </w:r>
      <w:r w:rsidR="00335FED">
        <w:rPr>
          <w:rFonts w:ascii="Arial" w:hAnsi="Arial" w:cs="Arial"/>
        </w:rPr>
        <w:t>(</w:t>
      </w:r>
      <w:r w:rsidR="008134C0" w:rsidRPr="00332709">
        <w:rPr>
          <w:rFonts w:ascii="Arial" w:hAnsi="Arial" w:cs="Arial"/>
        </w:rPr>
        <w:t>BHP</w:t>
      </w:r>
      <w:r w:rsidR="00335FED">
        <w:rPr>
          <w:rFonts w:ascii="Arial" w:hAnsi="Arial" w:cs="Arial"/>
        </w:rPr>
        <w:t>)</w:t>
      </w:r>
      <w:r w:rsidR="008134C0" w:rsidRPr="00332709">
        <w:rPr>
          <w:rFonts w:ascii="Arial" w:hAnsi="Arial" w:cs="Arial"/>
        </w:rPr>
        <w:t xml:space="preserve"> is one of the world’s largest diversified resources compan</w:t>
      </w:r>
      <w:r w:rsidR="001674F5">
        <w:rPr>
          <w:rFonts w:ascii="Arial" w:hAnsi="Arial" w:cs="Arial"/>
        </w:rPr>
        <w:t>ies</w:t>
      </w:r>
      <w:r w:rsidR="008134C0" w:rsidRPr="00332709">
        <w:rPr>
          <w:rFonts w:ascii="Arial" w:hAnsi="Arial" w:cs="Arial"/>
        </w:rPr>
        <w:t xml:space="preserve">, supplying iron ore, copper, metallurgical coal and potash to global markets. </w:t>
      </w:r>
      <w:r w:rsidR="00F0691C" w:rsidRPr="00332709">
        <w:rPr>
          <w:rFonts w:ascii="Arial" w:hAnsi="Arial" w:cs="Arial"/>
        </w:rPr>
        <w:t>Its products are essential for building and electr</w:t>
      </w:r>
      <w:r w:rsidR="008D309F" w:rsidRPr="00332709">
        <w:rPr>
          <w:rFonts w:ascii="Arial" w:hAnsi="Arial" w:cs="Arial"/>
        </w:rPr>
        <w:t>ification</w:t>
      </w:r>
      <w:r w:rsidR="00F0691C" w:rsidRPr="00332709">
        <w:rPr>
          <w:rFonts w:ascii="Arial" w:hAnsi="Arial" w:cs="Arial"/>
        </w:rPr>
        <w:t xml:space="preserve">, but there are issues that come from the extraction and </w:t>
      </w:r>
      <w:r w:rsidR="00E9189D">
        <w:rPr>
          <w:rFonts w:ascii="Arial" w:hAnsi="Arial" w:cs="Arial"/>
        </w:rPr>
        <w:t xml:space="preserve">manufacturing of these products, including greenhouse gas emissions, water usage, and land disturbance, </w:t>
      </w:r>
      <w:r w:rsidR="000623C5">
        <w:rPr>
          <w:rFonts w:ascii="Arial" w:hAnsi="Arial" w:cs="Arial"/>
        </w:rPr>
        <w:t>that affect</w:t>
      </w:r>
      <w:r w:rsidR="00F0691C" w:rsidRPr="00332709">
        <w:rPr>
          <w:rFonts w:ascii="Arial" w:hAnsi="Arial" w:cs="Arial"/>
        </w:rPr>
        <w:t xml:space="preserve"> local </w:t>
      </w:r>
      <w:r w:rsidR="00CF731D" w:rsidRPr="00332709">
        <w:rPr>
          <w:rFonts w:ascii="Arial" w:hAnsi="Arial" w:cs="Arial"/>
        </w:rPr>
        <w:t>communities</w:t>
      </w:r>
      <w:r w:rsidR="00F0691C" w:rsidRPr="00332709">
        <w:rPr>
          <w:rFonts w:ascii="Arial" w:hAnsi="Arial" w:cs="Arial"/>
        </w:rPr>
        <w:t xml:space="preserve">. This report will look at social, technological and environmental factors that will drive demand for </w:t>
      </w:r>
      <w:r w:rsidR="00575A1D" w:rsidRPr="00332709">
        <w:rPr>
          <w:rFonts w:ascii="Arial" w:hAnsi="Arial" w:cs="Arial"/>
        </w:rPr>
        <w:t>low-carbon</w:t>
      </w:r>
      <w:r w:rsidR="00F0691C" w:rsidRPr="00332709">
        <w:rPr>
          <w:rFonts w:ascii="Arial" w:hAnsi="Arial" w:cs="Arial"/>
        </w:rPr>
        <w:t xml:space="preserve"> materials</w:t>
      </w:r>
      <w:r w:rsidR="001F329C" w:rsidRPr="00332709">
        <w:rPr>
          <w:rFonts w:ascii="Arial" w:hAnsi="Arial" w:cs="Arial"/>
        </w:rPr>
        <w:t>,</w:t>
      </w:r>
      <w:r w:rsidR="00F0691C" w:rsidRPr="00332709">
        <w:rPr>
          <w:rFonts w:ascii="Arial" w:hAnsi="Arial" w:cs="Arial"/>
        </w:rPr>
        <w:t xml:space="preserve"> us</w:t>
      </w:r>
      <w:r w:rsidR="001F329C" w:rsidRPr="00332709">
        <w:rPr>
          <w:rFonts w:ascii="Arial" w:hAnsi="Arial" w:cs="Arial"/>
        </w:rPr>
        <w:t>ing</w:t>
      </w:r>
      <w:r w:rsidR="00F0691C" w:rsidRPr="00332709">
        <w:rPr>
          <w:rFonts w:ascii="Arial" w:hAnsi="Arial" w:cs="Arial"/>
        </w:rPr>
        <w:t xml:space="preserve"> the</w:t>
      </w:r>
      <w:r w:rsidR="00C22682">
        <w:rPr>
          <w:rFonts w:ascii="Arial" w:hAnsi="Arial" w:cs="Arial"/>
        </w:rPr>
        <w:t xml:space="preserve"> Ansoff Matrix and the</w:t>
      </w:r>
      <w:r w:rsidR="00F0691C" w:rsidRPr="00332709">
        <w:rPr>
          <w:rFonts w:ascii="Arial" w:hAnsi="Arial" w:cs="Arial"/>
        </w:rPr>
        <w:t xml:space="preserve"> </w:t>
      </w:r>
      <w:r w:rsidR="004B048C" w:rsidRPr="00332709">
        <w:rPr>
          <w:rFonts w:ascii="Arial" w:hAnsi="Arial" w:cs="Arial"/>
        </w:rPr>
        <w:t>Porter's Generic Strategies</w:t>
      </w:r>
      <w:r w:rsidR="00F0691C" w:rsidRPr="00332709">
        <w:rPr>
          <w:rFonts w:ascii="Arial" w:hAnsi="Arial" w:cs="Arial"/>
        </w:rPr>
        <w:t xml:space="preserve"> to create recommendations that allow BHP to g</w:t>
      </w:r>
      <w:r w:rsidR="00D87739">
        <w:rPr>
          <w:rFonts w:ascii="Arial" w:hAnsi="Arial" w:cs="Arial"/>
        </w:rPr>
        <w:t>row</w:t>
      </w:r>
      <w:r w:rsidR="00F0691C" w:rsidRPr="00332709">
        <w:rPr>
          <w:rFonts w:ascii="Arial" w:hAnsi="Arial" w:cs="Arial"/>
        </w:rPr>
        <w:t xml:space="preserve">. </w:t>
      </w:r>
    </w:p>
    <w:p w14:paraId="25C1DD69" w14:textId="7275C2BE" w:rsidR="00205E80" w:rsidRPr="00332709" w:rsidRDefault="00D87739" w:rsidP="00903CC1">
      <w:pPr>
        <w:spacing w:line="360" w:lineRule="auto"/>
        <w:ind w:firstLine="432"/>
        <w:rPr>
          <w:rFonts w:ascii="Arial" w:hAnsi="Arial" w:cs="Arial"/>
        </w:rPr>
      </w:pPr>
      <w:r>
        <w:rPr>
          <w:rFonts w:ascii="Arial" w:hAnsi="Arial" w:cs="Arial"/>
        </w:rPr>
        <w:t>Differentiat</w:t>
      </w:r>
      <w:r w:rsidR="00DC51CB">
        <w:rPr>
          <w:rFonts w:ascii="Arial" w:hAnsi="Arial" w:cs="Arial"/>
        </w:rPr>
        <w:t>ing</w:t>
      </w:r>
      <w:r>
        <w:rPr>
          <w:rFonts w:ascii="Arial" w:hAnsi="Arial" w:cs="Arial"/>
        </w:rPr>
        <w:t xml:space="preserve"> products</w:t>
      </w:r>
      <w:r w:rsidR="00C50E6A">
        <w:rPr>
          <w:rFonts w:ascii="Arial" w:hAnsi="Arial" w:cs="Arial"/>
        </w:rPr>
        <w:t xml:space="preserve">, </w:t>
      </w:r>
      <w:r w:rsidR="0066306B">
        <w:rPr>
          <w:rFonts w:ascii="Arial" w:hAnsi="Arial" w:cs="Arial"/>
        </w:rPr>
        <w:t>reducing the carbon footprint, building stakeholder relationships, and developing</w:t>
      </w:r>
      <w:r w:rsidR="00A57837">
        <w:rPr>
          <w:rFonts w:ascii="Arial" w:hAnsi="Arial" w:cs="Arial"/>
        </w:rPr>
        <w:t xml:space="preserve"> capabilities that allow </w:t>
      </w:r>
      <w:r w:rsidR="00472B8D">
        <w:rPr>
          <w:rFonts w:ascii="Arial" w:hAnsi="Arial" w:cs="Arial"/>
        </w:rPr>
        <w:t xml:space="preserve">the </w:t>
      </w:r>
      <w:r w:rsidR="00A57837">
        <w:rPr>
          <w:rFonts w:ascii="Arial" w:hAnsi="Arial" w:cs="Arial"/>
        </w:rPr>
        <w:t>compan</w:t>
      </w:r>
      <w:r w:rsidR="00472B8D">
        <w:rPr>
          <w:rFonts w:ascii="Arial" w:hAnsi="Arial" w:cs="Arial"/>
        </w:rPr>
        <w:t>y</w:t>
      </w:r>
      <w:r w:rsidR="00A57837">
        <w:rPr>
          <w:rFonts w:ascii="Arial" w:hAnsi="Arial" w:cs="Arial"/>
        </w:rPr>
        <w:t xml:space="preserve"> to move toward less carbon-intensive products</w:t>
      </w:r>
      <w:r w:rsidR="00401E0D" w:rsidRPr="00401E0D">
        <w:rPr>
          <w:rFonts w:ascii="Arial" w:hAnsi="Arial" w:cs="Arial"/>
        </w:rPr>
        <w:t xml:space="preserve">. </w:t>
      </w:r>
      <w:r w:rsidR="00FF167A">
        <w:rPr>
          <w:rFonts w:ascii="Arial" w:hAnsi="Arial" w:cs="Arial"/>
        </w:rPr>
        <w:t>BHP</w:t>
      </w:r>
      <w:r w:rsidR="00443043" w:rsidRPr="00443043">
        <w:rPr>
          <w:rFonts w:ascii="Arial" w:hAnsi="Arial" w:cs="Arial"/>
        </w:rPr>
        <w:t xml:space="preserve"> should not claim </w:t>
      </w:r>
      <w:r w:rsidR="004E58F4">
        <w:rPr>
          <w:rFonts w:ascii="Arial" w:hAnsi="Arial" w:cs="Arial"/>
        </w:rPr>
        <w:t>its products are green unless it can provide evidence and help lower emissions across its value chain while maintaining relationships with ecosystems and communities; then it</w:t>
      </w:r>
      <w:r w:rsidR="00443043" w:rsidRPr="00443043">
        <w:rPr>
          <w:rFonts w:ascii="Arial" w:hAnsi="Arial" w:cs="Arial"/>
        </w:rPr>
        <w:t xml:space="preserve"> can compete with others.</w:t>
      </w:r>
    </w:p>
    <w:p w14:paraId="2EF7E82B" w14:textId="443D26D6" w:rsidR="008134C0" w:rsidRPr="00332709" w:rsidRDefault="00EA25CC" w:rsidP="00FA1981">
      <w:pPr>
        <w:pStyle w:val="Heading1"/>
        <w:rPr>
          <w:rFonts w:ascii="Arial" w:hAnsi="Arial" w:cs="Arial"/>
          <w:b/>
          <w:bCs/>
          <w:color w:val="auto"/>
          <w:sz w:val="28"/>
          <w:szCs w:val="28"/>
        </w:rPr>
      </w:pPr>
      <w:bookmarkStart w:id="2" w:name="_Toc242993994"/>
      <w:r w:rsidRPr="00332709">
        <w:rPr>
          <w:rFonts w:ascii="Arial" w:hAnsi="Arial" w:cs="Arial"/>
          <w:b/>
          <w:bCs/>
          <w:color w:val="auto"/>
          <w:sz w:val="28"/>
          <w:szCs w:val="28"/>
        </w:rPr>
        <w:t>TASK 1</w:t>
      </w:r>
      <w:r w:rsidR="00E02521" w:rsidRPr="00332709">
        <w:rPr>
          <w:rFonts w:ascii="Arial" w:hAnsi="Arial" w:cs="Arial"/>
          <w:b/>
          <w:bCs/>
          <w:color w:val="auto"/>
          <w:sz w:val="28"/>
          <w:szCs w:val="28"/>
        </w:rPr>
        <w:t>:</w:t>
      </w:r>
      <w:r w:rsidRPr="00332709">
        <w:rPr>
          <w:rFonts w:ascii="Arial" w:hAnsi="Arial" w:cs="Arial"/>
          <w:b/>
          <w:bCs/>
          <w:color w:val="auto"/>
          <w:sz w:val="28"/>
          <w:szCs w:val="28"/>
        </w:rPr>
        <w:t xml:space="preserve"> MARKETING ENVIRONMENT ANALYSIS</w:t>
      </w:r>
      <w:bookmarkEnd w:id="2"/>
    </w:p>
    <w:p w14:paraId="77927AE1" w14:textId="77777777" w:rsidR="008134C0" w:rsidRPr="00332709" w:rsidRDefault="008134C0" w:rsidP="00BA0FE5">
      <w:pPr>
        <w:pStyle w:val="Heading2"/>
        <w:spacing w:line="360" w:lineRule="auto"/>
        <w:rPr>
          <w:rFonts w:ascii="Arial" w:hAnsi="Arial" w:cs="Arial"/>
          <w:b/>
          <w:bCs/>
          <w:color w:val="auto"/>
          <w:sz w:val="28"/>
          <w:szCs w:val="28"/>
        </w:rPr>
      </w:pPr>
      <w:bookmarkStart w:id="3" w:name="_Toc242993995"/>
      <w:r w:rsidRPr="00332709">
        <w:rPr>
          <w:rFonts w:ascii="Arial" w:hAnsi="Arial" w:cs="Arial"/>
          <w:b/>
          <w:bCs/>
          <w:color w:val="auto"/>
          <w:sz w:val="28"/>
          <w:szCs w:val="28"/>
        </w:rPr>
        <w:t>Environmental factors</w:t>
      </w:r>
      <w:bookmarkEnd w:id="3"/>
    </w:p>
    <w:p w14:paraId="498111F5" w14:textId="57218C2A" w:rsidR="008134C0" w:rsidRPr="00332709" w:rsidRDefault="008134C0" w:rsidP="00BA0FE5">
      <w:pPr>
        <w:spacing w:line="360" w:lineRule="auto"/>
        <w:ind w:firstLine="432"/>
        <w:rPr>
          <w:rFonts w:ascii="Arial" w:hAnsi="Arial" w:cs="Arial"/>
        </w:rPr>
      </w:pPr>
      <w:r w:rsidRPr="00332709">
        <w:rPr>
          <w:rFonts w:ascii="Arial" w:hAnsi="Arial" w:cs="Arial"/>
        </w:rPr>
        <w:t>Environmental pressures are the most significant external influence affect</w:t>
      </w:r>
      <w:r w:rsidR="00F427B1">
        <w:rPr>
          <w:rFonts w:ascii="Arial" w:hAnsi="Arial" w:cs="Arial"/>
        </w:rPr>
        <w:t>ing</w:t>
      </w:r>
      <w:r w:rsidRPr="00332709">
        <w:rPr>
          <w:rFonts w:ascii="Arial" w:hAnsi="Arial" w:cs="Arial"/>
        </w:rPr>
        <w:t xml:space="preserve"> </w:t>
      </w:r>
      <w:r w:rsidR="00C542D4">
        <w:rPr>
          <w:rFonts w:ascii="Arial" w:hAnsi="Arial" w:cs="Arial"/>
        </w:rPr>
        <w:t>business</w:t>
      </w:r>
      <w:r w:rsidR="003351FC">
        <w:rPr>
          <w:rFonts w:ascii="Arial" w:hAnsi="Arial" w:cs="Arial"/>
        </w:rPr>
        <w:t xml:space="preserve"> </w:t>
      </w:r>
      <w:r w:rsidRPr="00332709">
        <w:rPr>
          <w:rFonts w:ascii="Arial" w:hAnsi="Arial" w:cs="Arial"/>
        </w:rPr>
        <w:t>operati</w:t>
      </w:r>
      <w:r w:rsidR="00F427B1">
        <w:rPr>
          <w:rFonts w:ascii="Arial" w:hAnsi="Arial" w:cs="Arial"/>
        </w:rPr>
        <w:t>on</w:t>
      </w:r>
      <w:r w:rsidR="00C542D4">
        <w:rPr>
          <w:rFonts w:ascii="Arial" w:hAnsi="Arial" w:cs="Arial"/>
        </w:rPr>
        <w:t>s</w:t>
      </w:r>
      <w:r w:rsidRPr="00332709">
        <w:rPr>
          <w:rFonts w:ascii="Arial" w:hAnsi="Arial" w:cs="Arial"/>
        </w:rPr>
        <w:t>, regulatory approval, capital allocation and customer demand. Mining contributes to emissions through diesel-powered equipment, electricity consumption and fugitive methane, while ore processing and steelmaking create much larger value-chain impacts. Mining also changes habitats, generates waste</w:t>
      </w:r>
      <w:r w:rsidR="00E0435B">
        <w:rPr>
          <w:rFonts w:ascii="Arial" w:hAnsi="Arial" w:cs="Arial"/>
        </w:rPr>
        <w:t xml:space="preserve">, and competes for water, so carbon reduction is </w:t>
      </w:r>
      <w:r w:rsidRPr="00332709">
        <w:rPr>
          <w:rFonts w:ascii="Arial" w:hAnsi="Arial" w:cs="Arial"/>
        </w:rPr>
        <w:t>only one dimension of environmental performance (Tost et al., 2018). Climate change intensifies these exposures because heat, drought, floods and water scarcity can disrupt production and increase adaptation costs. BHP must assess physical and transition climate risks together.</w:t>
      </w:r>
    </w:p>
    <w:p w14:paraId="779AC688" w14:textId="3BF0D6D5" w:rsidR="008134C0" w:rsidRPr="00332709" w:rsidRDefault="008134C0" w:rsidP="00BA0FE5">
      <w:pPr>
        <w:spacing w:line="360" w:lineRule="auto"/>
        <w:ind w:firstLine="432"/>
        <w:rPr>
          <w:rFonts w:ascii="Arial" w:hAnsi="Arial" w:cs="Arial"/>
        </w:rPr>
      </w:pPr>
      <w:r w:rsidRPr="00332709">
        <w:rPr>
          <w:rFonts w:ascii="Arial" w:hAnsi="Arial" w:cs="Arial"/>
        </w:rPr>
        <w:t xml:space="preserve">BHP targets at least a 30 per cent reduction in operational greenhouse-gas emissions by </w:t>
      </w:r>
      <w:r w:rsidR="00836DE8">
        <w:rPr>
          <w:rFonts w:ascii="Arial" w:hAnsi="Arial" w:cs="Arial"/>
        </w:rPr>
        <w:t>the 2030 fi</w:t>
      </w:r>
      <w:r w:rsidR="00047584">
        <w:rPr>
          <w:rFonts w:ascii="Arial" w:hAnsi="Arial" w:cs="Arial"/>
        </w:rPr>
        <w:t>nancial</w:t>
      </w:r>
      <w:r w:rsidR="00836DE8">
        <w:rPr>
          <w:rFonts w:ascii="Arial" w:hAnsi="Arial" w:cs="Arial"/>
        </w:rPr>
        <w:t xml:space="preserve"> year (</w:t>
      </w:r>
      <w:r w:rsidRPr="00332709">
        <w:rPr>
          <w:rFonts w:ascii="Arial" w:hAnsi="Arial" w:cs="Arial"/>
        </w:rPr>
        <w:t>FY2030</w:t>
      </w:r>
      <w:r w:rsidR="00836DE8">
        <w:rPr>
          <w:rFonts w:ascii="Arial" w:hAnsi="Arial" w:cs="Arial"/>
        </w:rPr>
        <w:t>)</w:t>
      </w:r>
      <w:r w:rsidRPr="00332709">
        <w:rPr>
          <w:rFonts w:ascii="Arial" w:hAnsi="Arial" w:cs="Arial"/>
        </w:rPr>
        <w:t xml:space="preserve"> against an adjusted</w:t>
      </w:r>
      <w:r w:rsidR="00773324">
        <w:rPr>
          <w:rFonts w:ascii="Arial" w:hAnsi="Arial" w:cs="Arial"/>
        </w:rPr>
        <w:t xml:space="preserve"> (</w:t>
      </w:r>
      <w:r w:rsidRPr="00332709">
        <w:rPr>
          <w:rFonts w:ascii="Arial" w:hAnsi="Arial" w:cs="Arial"/>
        </w:rPr>
        <w:t>FY2020</w:t>
      </w:r>
      <w:r w:rsidR="00773324">
        <w:rPr>
          <w:rFonts w:ascii="Arial" w:hAnsi="Arial" w:cs="Arial"/>
        </w:rPr>
        <w:t>)</w:t>
      </w:r>
      <w:r w:rsidRPr="00332709">
        <w:rPr>
          <w:rFonts w:ascii="Arial" w:hAnsi="Arial" w:cs="Arial"/>
        </w:rPr>
        <w:t xml:space="preserve"> baseline and </w:t>
      </w:r>
      <w:r w:rsidR="00C43307" w:rsidRPr="00332709">
        <w:rPr>
          <w:rFonts w:ascii="Arial" w:hAnsi="Arial" w:cs="Arial"/>
        </w:rPr>
        <w:t>aims for long-term operational net-zero by</w:t>
      </w:r>
      <w:r w:rsidRPr="00332709">
        <w:rPr>
          <w:rFonts w:ascii="Arial" w:hAnsi="Arial" w:cs="Arial"/>
        </w:rPr>
        <w:t xml:space="preserve"> 2050 (BHP, 2025). Its reported </w:t>
      </w:r>
      <w:r w:rsidR="00674D0B">
        <w:rPr>
          <w:rFonts w:ascii="Arial" w:hAnsi="Arial" w:cs="Arial"/>
        </w:rPr>
        <w:t>(</w:t>
      </w:r>
      <w:r w:rsidRPr="00332709">
        <w:rPr>
          <w:rFonts w:ascii="Arial" w:hAnsi="Arial" w:cs="Arial"/>
        </w:rPr>
        <w:t>FY2025</w:t>
      </w:r>
      <w:r w:rsidR="00674D0B">
        <w:rPr>
          <w:rFonts w:ascii="Arial" w:hAnsi="Arial" w:cs="Arial"/>
        </w:rPr>
        <w:t>)</w:t>
      </w:r>
      <w:r w:rsidRPr="00332709">
        <w:rPr>
          <w:rFonts w:ascii="Arial" w:hAnsi="Arial" w:cs="Arial"/>
        </w:rPr>
        <w:t xml:space="preserve"> operational emissions were 36 per cent below that adjusted baseline. This indicates </w:t>
      </w:r>
      <w:r w:rsidRPr="00332709">
        <w:rPr>
          <w:rFonts w:ascii="Arial" w:hAnsi="Arial" w:cs="Arial"/>
        </w:rPr>
        <w:lastRenderedPageBreak/>
        <w:t>progress, but it should not be attributed entirely to technology: renewable power agreements contributed, while portfolio changes, temporary asset suspension and baseline adjustments also influenced performance. Technology supports decarbonisation but did not alone cause the reported reduction. Transparent disclosure of calculation boundaries is therefore necessary for meaningful comparison.</w:t>
      </w:r>
    </w:p>
    <w:p w14:paraId="0C127E03" w14:textId="77777777" w:rsidR="00F26EA2" w:rsidRPr="00332709" w:rsidRDefault="008134C0" w:rsidP="00E30D3B">
      <w:pPr>
        <w:spacing w:line="360" w:lineRule="auto"/>
        <w:ind w:firstLine="432"/>
        <w:rPr>
          <w:rFonts w:ascii="Arial" w:hAnsi="Arial" w:cs="Arial"/>
        </w:rPr>
      </w:pPr>
      <w:r w:rsidRPr="00332709">
        <w:rPr>
          <w:rFonts w:ascii="Arial" w:hAnsi="Arial" w:cs="Arial"/>
        </w:rPr>
        <w:t xml:space="preserve">The central marketing challenge concerns Scope 3 emissions. BHP can reduce emissions from operated assets directly, whereas emissions from steelmakers using its iron ore belong to customers’ operations and cannot be controlled by BHP. The company can nevertheless influence outcomes through research, procurement, partnerships and investment. Its 2030 steelmaking goal is to support </w:t>
      </w:r>
      <w:r w:rsidR="00911A17" w:rsidRPr="00332709">
        <w:rPr>
          <w:rFonts w:ascii="Arial" w:hAnsi="Arial" w:cs="Arial"/>
        </w:rPr>
        <w:t>the development of technology that produces</w:t>
      </w:r>
      <w:r w:rsidRPr="00332709">
        <w:rPr>
          <w:rFonts w:ascii="Arial" w:hAnsi="Arial" w:cs="Arial"/>
        </w:rPr>
        <w:t xml:space="preserve"> steel with 30 per cent lower emissions intensity than conventional blast-furnace production, with widespread adoption expected after 2030 (BHP, 2024). </w:t>
      </w:r>
    </w:p>
    <w:p w14:paraId="762B3FA4" w14:textId="004C5982" w:rsidR="00B95EB7" w:rsidRPr="00332709" w:rsidRDefault="008134C0" w:rsidP="00E30D3B">
      <w:pPr>
        <w:spacing w:line="360" w:lineRule="auto"/>
        <w:ind w:firstLine="432"/>
        <w:rPr>
          <w:rFonts w:ascii="Arial" w:hAnsi="Arial" w:cs="Arial"/>
        </w:rPr>
      </w:pPr>
      <w:r w:rsidRPr="00332709">
        <w:rPr>
          <w:rFonts w:ascii="Arial" w:hAnsi="Arial" w:cs="Arial"/>
        </w:rPr>
        <w:t>This capability-development goal does not imply that BHP supplies zero-emission iron ore. Indeed, only a small share of seaborne iron ore presently meets specifications commonly accepted for direct-reduced-iron production. Describing existing output as “green” would therefore overstate performance and expose BHP to greenwashing risk. Delmas and Burbano (2011) show that weak regulation, market pressure and internal incentives can encourage misleading environmental communication. BHP should use qualified claims supported by lifecycle data and independent assurance.</w:t>
      </w:r>
    </w:p>
    <w:p w14:paraId="125BFF8B" w14:textId="5F1871B7" w:rsidR="004E6134" w:rsidRPr="00332709" w:rsidRDefault="004E6134" w:rsidP="007039D2">
      <w:pPr>
        <w:spacing w:line="360" w:lineRule="auto"/>
        <w:rPr>
          <w:rFonts w:ascii="Arial" w:hAnsi="Arial" w:cs="Arial"/>
        </w:rPr>
      </w:pPr>
      <w:r w:rsidRPr="00332709">
        <w:rPr>
          <w:rFonts w:ascii="Arial" w:hAnsi="Arial" w:cs="Arial"/>
          <w:noProof/>
        </w:rPr>
        <w:lastRenderedPageBreak/>
        <w:drawing>
          <wp:inline distT="0" distB="0" distL="0" distR="0" wp14:anchorId="5363E605" wp14:editId="37066707">
            <wp:extent cx="5943600" cy="4397654"/>
            <wp:effectExtent l="0" t="0" r="0" b="0"/>
            <wp:docPr id="2110225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83253" name="Picture 24328325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4397654"/>
                    </a:xfrm>
                    <a:prstGeom prst="rect">
                      <a:avLst/>
                    </a:prstGeom>
                  </pic:spPr>
                </pic:pic>
              </a:graphicData>
            </a:graphic>
          </wp:inline>
        </w:drawing>
      </w:r>
    </w:p>
    <w:p w14:paraId="4526E8C8" w14:textId="5268DB69" w:rsidR="004E6134" w:rsidRPr="00332709" w:rsidRDefault="009D1FDA" w:rsidP="007039D2">
      <w:pPr>
        <w:spacing w:line="360" w:lineRule="auto"/>
        <w:jc w:val="center"/>
        <w:rPr>
          <w:rFonts w:ascii="Arial" w:hAnsi="Arial" w:cs="Arial"/>
          <w:b/>
          <w:bCs/>
        </w:rPr>
      </w:pPr>
      <w:r w:rsidRPr="00332709">
        <w:rPr>
          <w:rFonts w:ascii="Arial" w:hAnsi="Arial" w:cs="Arial"/>
          <w:b/>
          <w:bCs/>
        </w:rPr>
        <w:t>Image</w:t>
      </w:r>
      <w:r w:rsidR="00606E1A" w:rsidRPr="00332709">
        <w:rPr>
          <w:rFonts w:ascii="Arial" w:hAnsi="Arial" w:cs="Arial"/>
          <w:b/>
          <w:bCs/>
        </w:rPr>
        <w:t xml:space="preserve"> </w:t>
      </w:r>
      <w:r w:rsidR="00A05EF2" w:rsidRPr="00332709">
        <w:rPr>
          <w:rFonts w:ascii="Arial" w:hAnsi="Arial" w:cs="Arial"/>
          <w:b/>
          <w:bCs/>
        </w:rPr>
        <w:t xml:space="preserve">1: BHP </w:t>
      </w:r>
      <w:r w:rsidR="003107F4" w:rsidRPr="00332709">
        <w:rPr>
          <w:rFonts w:ascii="Arial" w:hAnsi="Arial" w:cs="Arial"/>
          <w:b/>
          <w:bCs/>
        </w:rPr>
        <w:t>T</w:t>
      </w:r>
      <w:r w:rsidR="00A05EF2" w:rsidRPr="00332709">
        <w:rPr>
          <w:rFonts w:ascii="Arial" w:hAnsi="Arial" w:cs="Arial"/>
          <w:b/>
          <w:bCs/>
        </w:rPr>
        <w:t xml:space="preserve">echnological and </w:t>
      </w:r>
      <w:r w:rsidR="003107F4" w:rsidRPr="00332709">
        <w:rPr>
          <w:rFonts w:ascii="Arial" w:hAnsi="Arial" w:cs="Arial"/>
          <w:b/>
          <w:bCs/>
        </w:rPr>
        <w:t>E</w:t>
      </w:r>
      <w:r w:rsidR="00A05EF2" w:rsidRPr="00332709">
        <w:rPr>
          <w:rFonts w:ascii="Arial" w:hAnsi="Arial" w:cs="Arial"/>
          <w:b/>
          <w:bCs/>
        </w:rPr>
        <w:t xml:space="preserve">nvironmental transition, 2005–2025 </w:t>
      </w:r>
      <w:r w:rsidR="00A05EF2" w:rsidRPr="00332709">
        <w:rPr>
          <w:rFonts w:ascii="Arial" w:hAnsi="Arial" w:cs="Arial"/>
          <w:sz w:val="20"/>
          <w:szCs w:val="20"/>
        </w:rPr>
        <w:t>(Source: BHP Annual Report 2020; BHP Annual Report 2025; BHP Climate Transition Action Plan 2024)</w:t>
      </w:r>
    </w:p>
    <w:p w14:paraId="74BC9892" w14:textId="77777777" w:rsidR="00DA6231" w:rsidRDefault="008134C0" w:rsidP="00BA0FE5">
      <w:pPr>
        <w:spacing w:line="360" w:lineRule="auto"/>
        <w:ind w:firstLine="432"/>
        <w:rPr>
          <w:rFonts w:ascii="Arial" w:hAnsi="Arial" w:cs="Arial"/>
        </w:rPr>
      </w:pPr>
      <w:r w:rsidRPr="00332709">
        <w:rPr>
          <w:rFonts w:ascii="Arial" w:hAnsi="Arial" w:cs="Arial"/>
        </w:rPr>
        <w:t xml:space="preserve">The environmental case also requires a double-materiality perspective. Climate and ecological change affect BHP financially, while BHP’s decisions create material consequences for ecosystems and society. These directions cannot be collapsed into a single emissions-intensity measure. Efficiency may improve while absolute emissions rise if production expands, producing a rebound effect that undermines the transition narrative. </w:t>
      </w:r>
    </w:p>
    <w:p w14:paraId="508C0EEF" w14:textId="4A0D2120" w:rsidR="008134C0" w:rsidRPr="00332709" w:rsidRDefault="00DC2E17" w:rsidP="00BA0FE5">
      <w:pPr>
        <w:spacing w:line="360" w:lineRule="auto"/>
        <w:ind w:firstLine="432"/>
        <w:rPr>
          <w:rFonts w:ascii="Arial" w:hAnsi="Arial" w:cs="Arial"/>
        </w:rPr>
      </w:pPr>
      <w:r w:rsidRPr="00332709">
        <w:rPr>
          <w:rFonts w:ascii="Arial" w:hAnsi="Arial" w:cs="Arial"/>
        </w:rPr>
        <w:t>Similarly, divesting a high-emitting asset may improve reported operational performance without reducing global emissions</w:t>
      </w:r>
      <w:r w:rsidR="008134C0" w:rsidRPr="00332709">
        <w:rPr>
          <w:rFonts w:ascii="Arial" w:hAnsi="Arial" w:cs="Arial"/>
        </w:rPr>
        <w:t xml:space="preserve"> if another owner continues production. Senior managers should therefore compare intensity, absolute emissions and transferred impacts. This wider boundary makes environmental claims more demanding, but it also improves credibility and capital-allocation discipline.</w:t>
      </w:r>
    </w:p>
    <w:p w14:paraId="2825C815" w14:textId="77777777" w:rsidR="008134C0" w:rsidRPr="00332709" w:rsidRDefault="008134C0" w:rsidP="00BA0FE5">
      <w:pPr>
        <w:pStyle w:val="Heading2"/>
        <w:spacing w:line="360" w:lineRule="auto"/>
        <w:rPr>
          <w:rFonts w:ascii="Arial" w:hAnsi="Arial" w:cs="Arial"/>
          <w:b/>
          <w:bCs/>
          <w:color w:val="auto"/>
          <w:sz w:val="28"/>
          <w:szCs w:val="28"/>
        </w:rPr>
      </w:pPr>
      <w:bookmarkStart w:id="4" w:name="_Toc242993996"/>
      <w:r w:rsidRPr="00332709">
        <w:rPr>
          <w:rFonts w:ascii="Arial" w:hAnsi="Arial" w:cs="Arial"/>
          <w:b/>
          <w:bCs/>
          <w:color w:val="auto"/>
          <w:sz w:val="28"/>
          <w:szCs w:val="28"/>
        </w:rPr>
        <w:lastRenderedPageBreak/>
        <w:t>Social factors</w:t>
      </w:r>
      <w:bookmarkEnd w:id="4"/>
    </w:p>
    <w:p w14:paraId="501A1176" w14:textId="77777777" w:rsidR="006F2CFA" w:rsidRDefault="008134C0" w:rsidP="00BA0FE5">
      <w:pPr>
        <w:spacing w:line="360" w:lineRule="auto"/>
        <w:ind w:firstLine="432"/>
        <w:rPr>
          <w:rFonts w:ascii="Arial" w:hAnsi="Arial" w:cs="Arial"/>
        </w:rPr>
      </w:pPr>
      <w:r w:rsidRPr="00332709">
        <w:rPr>
          <w:rFonts w:ascii="Arial" w:hAnsi="Arial" w:cs="Arial"/>
        </w:rPr>
        <w:t xml:space="preserve">Social expectations shape BHP’s licence to operate and the credibility of its marketing. Indigenous peoples, host communities, employees, customers and investors may support transition-mineral development while opposing projects that threaten water, cultural heritage, employment or local livelihoods. Stakeholder theory requires organisations to consider how value and risk are distributed beyond shareholders (Freeman et al., 2010). </w:t>
      </w:r>
    </w:p>
    <w:p w14:paraId="4C799EA0" w14:textId="3B83F350" w:rsidR="008134C0" w:rsidRPr="00332709" w:rsidRDefault="008134C0" w:rsidP="00BA0FE5">
      <w:pPr>
        <w:spacing w:line="360" w:lineRule="auto"/>
        <w:ind w:firstLine="432"/>
        <w:rPr>
          <w:rFonts w:ascii="Arial" w:hAnsi="Arial" w:cs="Arial"/>
        </w:rPr>
      </w:pPr>
      <w:r w:rsidRPr="00332709">
        <w:rPr>
          <w:rFonts w:ascii="Arial" w:hAnsi="Arial" w:cs="Arial"/>
        </w:rPr>
        <w:t>Accordingly, BHP should involve affected communities before major investment decisions, publish grievance outcomes and link local procurement and benefit-sharing commitments to measurable results. Chipangamate et al. (2023) argue that mining modernisation is more likely to gain acceptance when stakeholder engagement is integrated into technology strategy. Consultation must influence decisions; retrospective communication is insufficient.</w:t>
      </w:r>
    </w:p>
    <w:p w14:paraId="70C74786" w14:textId="052D17C6" w:rsidR="008134C0" w:rsidRPr="00332709" w:rsidRDefault="008134C0" w:rsidP="00BA0FE5">
      <w:pPr>
        <w:spacing w:line="360" w:lineRule="auto"/>
        <w:ind w:firstLine="432"/>
        <w:rPr>
          <w:rFonts w:ascii="Arial" w:hAnsi="Arial" w:cs="Arial"/>
        </w:rPr>
      </w:pPr>
      <w:r w:rsidRPr="00332709">
        <w:rPr>
          <w:rFonts w:ascii="Arial" w:hAnsi="Arial" w:cs="Arial"/>
        </w:rPr>
        <w:t>Legitimacy also depends on consistency between promises and conduct. Suchman (1995) distinguishes pragmatic, moral</w:t>
      </w:r>
      <w:r w:rsidR="00AB1FA6" w:rsidRPr="00332709">
        <w:rPr>
          <w:rFonts w:ascii="Arial" w:hAnsi="Arial" w:cs="Arial"/>
        </w:rPr>
        <w:t>, and cognitive legitimacy, suggesting stakeholders judge whether BHP serves their interests, behaves appropriately, and provides clear</w:t>
      </w:r>
      <w:r w:rsidRPr="00332709">
        <w:rPr>
          <w:rFonts w:ascii="Arial" w:hAnsi="Arial" w:cs="Arial"/>
        </w:rPr>
        <w:t xml:space="preserve"> evidence. Advanced technology cannot compensate for poor consultation or unremedied environmental damage. Conversely, credible participation can reduce delays, strengthen learning and protect access to resources. Social value is therefore not merely promotional; it affects project feasibility and competitive position.</w:t>
      </w:r>
    </w:p>
    <w:p w14:paraId="280FD2FF" w14:textId="77777777" w:rsidR="008134C0" w:rsidRPr="00332709" w:rsidRDefault="008134C0" w:rsidP="00BA0FE5">
      <w:pPr>
        <w:pStyle w:val="Heading2"/>
        <w:spacing w:line="360" w:lineRule="auto"/>
        <w:rPr>
          <w:rFonts w:ascii="Arial" w:hAnsi="Arial" w:cs="Arial"/>
          <w:b/>
          <w:bCs/>
          <w:color w:val="auto"/>
          <w:sz w:val="28"/>
          <w:szCs w:val="28"/>
        </w:rPr>
      </w:pPr>
      <w:bookmarkStart w:id="5" w:name="_Toc242993997"/>
      <w:r w:rsidRPr="00332709">
        <w:rPr>
          <w:rFonts w:ascii="Arial" w:hAnsi="Arial" w:cs="Arial"/>
          <w:b/>
          <w:bCs/>
          <w:color w:val="auto"/>
          <w:sz w:val="28"/>
          <w:szCs w:val="28"/>
        </w:rPr>
        <w:t>Technological factors and integrated implications</w:t>
      </w:r>
      <w:bookmarkEnd w:id="5"/>
    </w:p>
    <w:p w14:paraId="021E4919" w14:textId="51AB8164" w:rsidR="008134C0" w:rsidRPr="00332709" w:rsidRDefault="008134C0" w:rsidP="00BA0FE5">
      <w:pPr>
        <w:spacing w:line="360" w:lineRule="auto"/>
        <w:ind w:firstLine="432"/>
        <w:rPr>
          <w:rFonts w:ascii="Arial" w:hAnsi="Arial" w:cs="Arial"/>
        </w:rPr>
      </w:pPr>
      <w:r w:rsidRPr="00332709">
        <w:rPr>
          <w:rFonts w:ascii="Arial" w:hAnsi="Arial" w:cs="Arial"/>
        </w:rPr>
        <w:t xml:space="preserve">Technological change creates opportunities but also uncertainty. Renewable electricity, battery-electric haul trucks, methane abatement, low-emission shipping, carbon capture, hydrogen-based direct reduction and electric-smelting furnaces could reduce operational or downstream emissions. Lindgren et al. (2022) demonstrate the technical potential of battery-electric haulage, although infrastructure, electricity sources, battery life and </w:t>
      </w:r>
      <w:r w:rsidR="00811823" w:rsidRPr="00332709">
        <w:rPr>
          <w:rFonts w:ascii="Arial" w:hAnsi="Arial" w:cs="Arial"/>
        </w:rPr>
        <w:t>design</w:t>
      </w:r>
      <w:r w:rsidRPr="00332709">
        <w:rPr>
          <w:rFonts w:ascii="Arial" w:hAnsi="Arial" w:cs="Arial"/>
        </w:rPr>
        <w:t xml:space="preserve"> affect economic performance. Digital monitoring and traceability can also provide product-level carbon data, allowing customers to compare materials and enabling BHP to substantiate differentiated claims.</w:t>
      </w:r>
    </w:p>
    <w:p w14:paraId="3549149F" w14:textId="77777777" w:rsidR="004432DF" w:rsidRDefault="008134C0" w:rsidP="00BA0FE5">
      <w:pPr>
        <w:spacing w:line="360" w:lineRule="auto"/>
        <w:ind w:firstLine="432"/>
        <w:rPr>
          <w:rFonts w:ascii="Arial" w:hAnsi="Arial" w:cs="Arial"/>
        </w:rPr>
      </w:pPr>
      <w:r w:rsidRPr="00332709">
        <w:rPr>
          <w:rFonts w:ascii="Arial" w:hAnsi="Arial" w:cs="Arial"/>
        </w:rPr>
        <w:lastRenderedPageBreak/>
        <w:t>However, readiness varies across technologies, and commercial adoption depends on policy, energy availability, customer investment and cost. BHP should therefore avoid fixed promises where outcomes depend on partners. A portfolio of staged trials is more defensible, with projects advanced only when they meet emissions, safety, productivity and financial thresholds. The three external factors are interdependent: environmental pressures stimulate innovation, technology changes employment and community impacts, and social scrutiny determines whether environmental claims are trusted.</w:t>
      </w:r>
    </w:p>
    <w:p w14:paraId="5EE6E9FF" w14:textId="5875ABB5" w:rsidR="008134C0" w:rsidRPr="00332709" w:rsidRDefault="008134C0" w:rsidP="00BA0FE5">
      <w:pPr>
        <w:spacing w:line="360" w:lineRule="auto"/>
        <w:ind w:firstLine="432"/>
        <w:rPr>
          <w:rFonts w:ascii="Arial" w:hAnsi="Arial" w:cs="Arial"/>
        </w:rPr>
      </w:pPr>
      <w:r w:rsidRPr="00332709">
        <w:rPr>
          <w:rFonts w:ascii="Arial" w:hAnsi="Arial" w:cs="Arial"/>
        </w:rPr>
        <w:t xml:space="preserve">Marketing should </w:t>
      </w:r>
      <w:r w:rsidR="00811823" w:rsidRPr="00332709">
        <w:rPr>
          <w:rFonts w:ascii="Arial" w:hAnsi="Arial" w:cs="Arial"/>
        </w:rPr>
        <w:t>therefore present verified progress alongside unresolved limitations</w:t>
      </w:r>
      <w:r w:rsidRPr="00332709">
        <w:rPr>
          <w:rFonts w:ascii="Arial" w:hAnsi="Arial" w:cs="Arial"/>
        </w:rPr>
        <w:t>. Kotler et al. (2024) emphasise that market orientation requires creating customer value while responding to wider societal expectations. For BHP, lower-carbon positioning is credible only when product evidence, ecosystem protection and stakeholder participation reinforce one another.</w:t>
      </w:r>
    </w:p>
    <w:p w14:paraId="5BABB208" w14:textId="6DFE072C" w:rsidR="008134C0" w:rsidRPr="00332709" w:rsidRDefault="003D040B" w:rsidP="00BA0FE5">
      <w:pPr>
        <w:spacing w:line="360" w:lineRule="auto"/>
        <w:ind w:firstLine="432"/>
        <w:rPr>
          <w:rFonts w:ascii="Arial" w:hAnsi="Arial" w:cs="Arial"/>
        </w:rPr>
      </w:pPr>
      <w:r w:rsidRPr="00332709">
        <w:rPr>
          <w:rFonts w:ascii="Arial" w:hAnsi="Arial" w:cs="Arial"/>
        </w:rPr>
        <w:t xml:space="preserve">Evaluate technology as part of a socio-technical system rather than </w:t>
      </w:r>
      <w:r w:rsidR="008134C0" w:rsidRPr="00332709">
        <w:rPr>
          <w:rFonts w:ascii="Arial" w:hAnsi="Arial" w:cs="Arial"/>
        </w:rPr>
        <w:t xml:space="preserve">a neutral solution. Electrified equipment reduces diesel consumption only </w:t>
      </w:r>
      <w:r w:rsidR="000D7CF3" w:rsidRPr="00332709">
        <w:rPr>
          <w:rFonts w:ascii="Arial" w:hAnsi="Arial" w:cs="Arial"/>
        </w:rPr>
        <w:t>when electricity is renewable, infrastructure is reliable, and workers have the</w:t>
      </w:r>
      <w:r w:rsidR="008134C0" w:rsidRPr="00332709">
        <w:rPr>
          <w:rFonts w:ascii="Arial" w:hAnsi="Arial" w:cs="Arial"/>
        </w:rPr>
        <w:t xml:space="preserve"> capabilities. Hydrogen-based steelmaking similarly depends on renewable power, hydrogen supply, plant conversion and customers’ willingness to absorb higher near-term costs. These complementarities create path dependence: early infrastructure choices can lock BHP and its customers into technologies before performance is proven. Real-options reasoning therefore favours modular pilots, interoperable data standards and staged capital commitments. Such flexibility preserves learning while limiting exposure to technologies that may not achieve scale.</w:t>
      </w:r>
    </w:p>
    <w:p w14:paraId="64D9B7F1" w14:textId="782BD2A6" w:rsidR="008134C0" w:rsidRPr="00332709" w:rsidRDefault="007125AC" w:rsidP="00BA0FE5">
      <w:pPr>
        <w:pStyle w:val="Heading1"/>
        <w:spacing w:line="360" w:lineRule="auto"/>
        <w:rPr>
          <w:rFonts w:ascii="Arial" w:hAnsi="Arial" w:cs="Arial"/>
          <w:b/>
          <w:bCs/>
          <w:color w:val="auto"/>
          <w:sz w:val="28"/>
          <w:szCs w:val="28"/>
        </w:rPr>
      </w:pPr>
      <w:bookmarkStart w:id="6" w:name="_Toc242993998"/>
      <w:r w:rsidRPr="00332709">
        <w:rPr>
          <w:rFonts w:ascii="Arial" w:hAnsi="Arial" w:cs="Arial"/>
          <w:b/>
          <w:bCs/>
          <w:color w:val="auto"/>
          <w:sz w:val="28"/>
          <w:szCs w:val="28"/>
        </w:rPr>
        <w:t>TASK 2</w:t>
      </w:r>
      <w:r w:rsidR="00E02521" w:rsidRPr="00332709">
        <w:rPr>
          <w:rFonts w:ascii="Arial" w:hAnsi="Arial" w:cs="Arial"/>
          <w:b/>
          <w:bCs/>
          <w:color w:val="auto"/>
          <w:sz w:val="28"/>
          <w:szCs w:val="28"/>
        </w:rPr>
        <w:t>:</w:t>
      </w:r>
      <w:r w:rsidRPr="00332709">
        <w:rPr>
          <w:rFonts w:ascii="Arial" w:hAnsi="Arial" w:cs="Arial"/>
          <w:b/>
          <w:bCs/>
          <w:color w:val="auto"/>
          <w:sz w:val="28"/>
          <w:szCs w:val="28"/>
        </w:rPr>
        <w:t xml:space="preserve"> STRATEGIC GROWTH AND COMPETITIVE POSITIONING</w:t>
      </w:r>
      <w:bookmarkEnd w:id="6"/>
    </w:p>
    <w:p w14:paraId="171D81A3" w14:textId="77777777" w:rsidR="00EC5828" w:rsidRPr="00332709" w:rsidRDefault="00EC5828" w:rsidP="00EC5828">
      <w:pPr>
        <w:pStyle w:val="Heading2"/>
        <w:spacing w:line="360" w:lineRule="auto"/>
        <w:rPr>
          <w:rFonts w:ascii="Arial" w:hAnsi="Arial" w:cs="Arial"/>
          <w:b/>
          <w:bCs/>
          <w:color w:val="auto"/>
          <w:sz w:val="28"/>
          <w:szCs w:val="28"/>
        </w:rPr>
      </w:pPr>
      <w:bookmarkStart w:id="7" w:name="_Toc242993999"/>
      <w:r w:rsidRPr="00332709">
        <w:rPr>
          <w:rFonts w:ascii="Arial" w:hAnsi="Arial" w:cs="Arial"/>
          <w:b/>
          <w:bCs/>
          <w:color w:val="auto"/>
          <w:sz w:val="28"/>
          <w:szCs w:val="28"/>
        </w:rPr>
        <w:t>Ansoff Matrix</w:t>
      </w:r>
      <w:bookmarkEnd w:id="7"/>
    </w:p>
    <w:p w14:paraId="6202F931" w14:textId="77777777" w:rsidR="00EC5828" w:rsidRPr="00332709" w:rsidRDefault="00EC5828" w:rsidP="00EC5828">
      <w:pPr>
        <w:spacing w:line="360" w:lineRule="auto"/>
        <w:ind w:firstLine="432"/>
        <w:rPr>
          <w:rFonts w:ascii="Arial" w:hAnsi="Arial" w:cs="Arial"/>
        </w:rPr>
      </w:pPr>
      <w:r w:rsidRPr="00332709">
        <w:rPr>
          <w:rFonts w:ascii="Arial" w:hAnsi="Arial" w:cs="Arial"/>
        </w:rPr>
        <w:t xml:space="preserve">The Ansoff Matrix clarifies the growth pathway and its risks (Ansoff, 1957). Market penetration should remain selective: BHP can deepen existing relationships with steelmakers through traceability, joint emissions projects, and reliable delivery, but increasing sales of unchanged high-impact products would conflict with its positioning. </w:t>
      </w:r>
      <w:r w:rsidRPr="00332709">
        <w:rPr>
          <w:rFonts w:ascii="Arial" w:hAnsi="Arial" w:cs="Arial"/>
        </w:rPr>
        <w:lastRenderedPageBreak/>
        <w:t>Assess growth using risk-adjusted margins and absolute environmental outcomes rather than volume alone.</w:t>
      </w:r>
    </w:p>
    <w:p w14:paraId="271EC8BC" w14:textId="77777777" w:rsidR="00EC5828" w:rsidRPr="00332709" w:rsidRDefault="00EC5828" w:rsidP="00EC5828">
      <w:pPr>
        <w:spacing w:line="360" w:lineRule="auto"/>
        <w:ind w:firstLine="432"/>
        <w:rPr>
          <w:rFonts w:ascii="Arial" w:hAnsi="Arial" w:cs="Arial"/>
        </w:rPr>
      </w:pPr>
      <w:r w:rsidRPr="00332709">
        <w:rPr>
          <w:rFonts w:ascii="Arial" w:hAnsi="Arial" w:cs="Arial"/>
        </w:rPr>
        <w:t>Product development is the strongest near-term option. BHP can offer existing customers enhanced ore preparation, verified carbon information, technical services and materials tested for electric-smelting or direct-reduction pathways. This route uses established relationships while building new capabilities. Nidumolu, Prahalad and Rangaswami (2009) argue that sustainability can drive innovation in products, processes and business models. However, BHP should distinguish a lower-emission production pathway from a “green product”; lifecycle emissions and residual impacts must remain visible.</w:t>
      </w:r>
    </w:p>
    <w:p w14:paraId="63079868" w14:textId="6AF6BCE5" w:rsidR="00EC5828" w:rsidRPr="00332709" w:rsidRDefault="00EC5828" w:rsidP="00EC5828">
      <w:pPr>
        <w:spacing w:line="360" w:lineRule="auto"/>
        <w:ind w:firstLine="432"/>
        <w:rPr>
          <w:rFonts w:ascii="Arial" w:hAnsi="Arial" w:cs="Arial"/>
        </w:rPr>
      </w:pPr>
      <w:r w:rsidRPr="00332709">
        <w:rPr>
          <w:rFonts w:ascii="Arial" w:hAnsi="Arial" w:cs="Arial"/>
        </w:rPr>
        <w:t>Market development should target regions and customers where carbon pricing, green procurement and disclosure requirements create demand for traceable materials</w:t>
      </w:r>
      <w:r w:rsidR="00AF0CA8">
        <w:rPr>
          <w:rFonts w:ascii="Arial" w:hAnsi="Arial" w:cs="Arial"/>
        </w:rPr>
        <w:t>, consi</w:t>
      </w:r>
      <w:r w:rsidR="0038472E">
        <w:rPr>
          <w:rFonts w:ascii="Arial" w:hAnsi="Arial" w:cs="Arial"/>
        </w:rPr>
        <w:t>stent with Ansoff’s market-development strateg</w:t>
      </w:r>
      <w:r w:rsidR="006A65CD">
        <w:rPr>
          <w:rFonts w:ascii="Arial" w:hAnsi="Arial" w:cs="Arial"/>
        </w:rPr>
        <w:t>y (Ansoff, 1957)</w:t>
      </w:r>
      <w:r w:rsidRPr="00332709">
        <w:rPr>
          <w:rFonts w:ascii="Arial" w:hAnsi="Arial" w:cs="Arial"/>
        </w:rPr>
        <w:t xml:space="preserve">. </w:t>
      </w:r>
      <w:r w:rsidR="006A65CD">
        <w:rPr>
          <w:rFonts w:ascii="Arial" w:hAnsi="Arial" w:cs="Arial"/>
        </w:rPr>
        <w:t xml:space="preserve">Although BHP’s </w:t>
      </w:r>
      <w:r w:rsidR="005E63C0">
        <w:rPr>
          <w:rFonts w:ascii="Arial" w:hAnsi="Arial" w:cs="Arial"/>
        </w:rPr>
        <w:t>c</w:t>
      </w:r>
      <w:r w:rsidRPr="00332709">
        <w:rPr>
          <w:rFonts w:ascii="Arial" w:hAnsi="Arial" w:cs="Arial"/>
        </w:rPr>
        <w:t>opper and potash provide exposure to electrification and agricultural productivity,</w:t>
      </w:r>
      <w:r w:rsidR="009D087C">
        <w:rPr>
          <w:rFonts w:ascii="Arial" w:hAnsi="Arial" w:cs="Arial"/>
        </w:rPr>
        <w:t xml:space="preserve"> transitio</w:t>
      </w:r>
      <w:r w:rsidRPr="00332709">
        <w:rPr>
          <w:rFonts w:ascii="Arial" w:hAnsi="Arial" w:cs="Arial"/>
        </w:rPr>
        <w:t xml:space="preserve">n commodities </w:t>
      </w:r>
      <w:r w:rsidR="007D7C6D">
        <w:rPr>
          <w:rFonts w:ascii="Arial" w:hAnsi="Arial" w:cs="Arial"/>
        </w:rPr>
        <w:t>still create environmental and social impacts</w:t>
      </w:r>
      <w:r w:rsidRPr="00332709">
        <w:rPr>
          <w:rFonts w:ascii="Arial" w:hAnsi="Arial" w:cs="Arial"/>
        </w:rPr>
        <w:t xml:space="preserve"> </w:t>
      </w:r>
      <w:r w:rsidR="007D7C6D">
        <w:rPr>
          <w:rFonts w:ascii="Arial" w:hAnsi="Arial" w:cs="Arial"/>
        </w:rPr>
        <w:t>(BHP, 2025)</w:t>
      </w:r>
      <w:r w:rsidRPr="00332709">
        <w:rPr>
          <w:rFonts w:ascii="Arial" w:hAnsi="Arial" w:cs="Arial"/>
        </w:rPr>
        <w:t>. Expansion decisions should account for water availability, biodiversity sensitivity, Indigenous rights, infrastructure emissions, and rehabilitation liabilities. This resolves the contradiction between supporting decarbonisation and causing local environmental damage: growth is acceptable only where combined environmental and social thresholds are met</w:t>
      </w:r>
      <w:r w:rsidR="004E5F69">
        <w:rPr>
          <w:rFonts w:ascii="Arial" w:hAnsi="Arial" w:cs="Arial"/>
        </w:rPr>
        <w:t>.</w:t>
      </w:r>
    </w:p>
    <w:p w14:paraId="356EABE4" w14:textId="77777777" w:rsidR="00EC5828" w:rsidRPr="00332709" w:rsidRDefault="00EC5828" w:rsidP="00EC5828">
      <w:pPr>
        <w:spacing w:line="360" w:lineRule="auto"/>
        <w:ind w:firstLine="432"/>
        <w:rPr>
          <w:rFonts w:ascii="Arial" w:hAnsi="Arial" w:cs="Arial"/>
        </w:rPr>
      </w:pPr>
      <w:r w:rsidRPr="00332709">
        <w:rPr>
          <w:rFonts w:ascii="Arial" w:hAnsi="Arial" w:cs="Arial"/>
        </w:rPr>
        <w:t>Related diversification offers longer-term growth through recycling partnerships, mineral-processing technologies, carbon-data platforms and minority investments in low-emission steelmaking. Unrelated diversification is inappropriate because unfamiliar technologies and markets increase execution risk. Ansoff (1957) identifies diversification as the riskiest growth direction, while Whittington et al. (2020) emphasise alignment among strategic choices, organisational capabilities and stakeholder context. BHP should use joint ventures, milestone-based funding and options to learn before committing significant capital.</w:t>
      </w:r>
    </w:p>
    <w:p w14:paraId="71C5290F" w14:textId="77777777" w:rsidR="00EC5828" w:rsidRPr="00332709" w:rsidRDefault="00EC5828" w:rsidP="00EC5828">
      <w:pPr>
        <w:spacing w:line="360" w:lineRule="auto"/>
        <w:ind w:firstLine="432"/>
        <w:rPr>
          <w:rFonts w:ascii="Arial" w:hAnsi="Arial" w:cs="Arial"/>
        </w:rPr>
      </w:pPr>
      <w:r w:rsidRPr="00332709">
        <w:rPr>
          <w:rFonts w:ascii="Arial" w:hAnsi="Arial" w:cs="Arial"/>
        </w:rPr>
        <w:t xml:space="preserve">Ansoff analysis also exposes a temporal tension. Market penetration can generate cash needed to finance transition investments, yet dependence on carbon-intensive </w:t>
      </w:r>
      <w:r w:rsidRPr="00332709">
        <w:rPr>
          <w:rFonts w:ascii="Arial" w:hAnsi="Arial" w:cs="Arial"/>
        </w:rPr>
        <w:lastRenderedPageBreak/>
        <w:t>products may create stranded-asset and reputational risk. Product development aligns more closely with BHP’s capabilities, but its returns still depend on customer adoption and infrastructure. Diversification offers learning and portfolio resilience, although acquisitions can destroy value when attention or integration capabilities are overestimated. Growth choices should therefore be treated as a sequenced portfolio rather than mutually exclusive alternatives: defend existing positions, scale validated lower-carbon services, enter policy-supported markets and retain options in technologies. This sequencing balances exploration with exploitation.</w:t>
      </w:r>
    </w:p>
    <w:p w14:paraId="7C191BE6" w14:textId="5EA49726" w:rsidR="00EC5828" w:rsidRPr="00332709" w:rsidRDefault="00EC5828" w:rsidP="00525831">
      <w:pPr>
        <w:spacing w:line="360" w:lineRule="auto"/>
        <w:rPr>
          <w:rFonts w:ascii="Arial" w:hAnsi="Arial" w:cs="Arial"/>
        </w:rPr>
      </w:pPr>
      <w:r w:rsidRPr="00332709">
        <w:rPr>
          <w:rFonts w:ascii="Arial" w:hAnsi="Arial" w:cs="Arial"/>
          <w:noProof/>
        </w:rPr>
        <w:drawing>
          <wp:inline distT="0" distB="0" distL="0" distR="0" wp14:anchorId="0293A7F4" wp14:editId="16870C8D">
            <wp:extent cx="5943600" cy="4457700"/>
            <wp:effectExtent l="0" t="0" r="0" b="0"/>
            <wp:docPr id="136354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4593" name="Picture 136354593"/>
                    <pic:cNvPicPr/>
                  </pic:nvPicPr>
                  <pic:blipFill>
                    <a:blip r:embed="rId2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33815274" w14:textId="72AF69E6" w:rsidR="00525831" w:rsidRPr="00332709" w:rsidRDefault="00525831" w:rsidP="00525831">
      <w:pPr>
        <w:spacing w:line="360" w:lineRule="auto"/>
        <w:jc w:val="center"/>
        <w:rPr>
          <w:rFonts w:ascii="Arial" w:hAnsi="Arial" w:cs="Arial"/>
          <w:b/>
          <w:bCs/>
        </w:rPr>
      </w:pPr>
      <w:r w:rsidRPr="00332709">
        <w:rPr>
          <w:rFonts w:ascii="Arial" w:hAnsi="Arial" w:cs="Arial"/>
          <w:b/>
          <w:bCs/>
        </w:rPr>
        <w:t xml:space="preserve">Image 2: BHP Ansoff Matrix. </w:t>
      </w:r>
      <w:r w:rsidR="00EE663E" w:rsidRPr="00332709">
        <w:rPr>
          <w:rFonts w:ascii="Arial" w:hAnsi="Arial" w:cs="Arial"/>
          <w:sz w:val="20"/>
          <w:szCs w:val="20"/>
        </w:rPr>
        <w:t>(Source: Canva – Self-made)</w:t>
      </w:r>
    </w:p>
    <w:p w14:paraId="31DCC434" w14:textId="02425AD0" w:rsidR="00525831" w:rsidRPr="00332709" w:rsidRDefault="00525831" w:rsidP="006771B6">
      <w:pPr>
        <w:spacing w:line="360" w:lineRule="auto"/>
        <w:ind w:firstLine="432"/>
        <w:rPr>
          <w:rFonts w:ascii="Arial" w:hAnsi="Arial" w:cs="Arial"/>
        </w:rPr>
      </w:pPr>
      <w:r w:rsidRPr="00332709">
        <w:rPr>
          <w:rFonts w:ascii="Arial" w:hAnsi="Arial" w:cs="Arial"/>
        </w:rPr>
        <w:t xml:space="preserve">The resource-based view explains how the position could become defensible. BHP’s geological portfolio, infrastructure, engineering knowledge, customer relationships, operational data and partnership network may create value when combined. Sustained advantage requires resources that are valuable, rare, difficult to </w:t>
      </w:r>
      <w:r w:rsidRPr="00332709">
        <w:rPr>
          <w:rFonts w:ascii="Arial" w:hAnsi="Arial" w:cs="Arial"/>
        </w:rPr>
        <w:lastRenderedPageBreak/>
        <w:t>imitate and without equivalent substitutes (Barney, 1991). Competitors can buy renewable power, but accumulated trial data, integration with specific ores, and trusted customer relationships are harder to reproduce. Hart’s (1995) natural-resource-based view extends this logic by linking pollution prevention, product stewardship and sustainable development to capability building. BHP should therefore embed sustainability in operations and customer solutions rather than isolate it within communications teams.</w:t>
      </w:r>
    </w:p>
    <w:p w14:paraId="54F8BC19" w14:textId="6A50500C" w:rsidR="00D13CD9" w:rsidRPr="00332709" w:rsidRDefault="00D13CD9" w:rsidP="00D13CD9">
      <w:pPr>
        <w:pStyle w:val="Heading2"/>
        <w:spacing w:line="360" w:lineRule="auto"/>
        <w:rPr>
          <w:rFonts w:ascii="Arial" w:hAnsi="Arial" w:cs="Arial"/>
          <w:b/>
          <w:bCs/>
          <w:color w:val="auto"/>
          <w:sz w:val="28"/>
          <w:szCs w:val="28"/>
        </w:rPr>
      </w:pPr>
      <w:bookmarkStart w:id="8" w:name="_Toc242994000"/>
      <w:r w:rsidRPr="00332709">
        <w:rPr>
          <w:rFonts w:ascii="Arial" w:hAnsi="Arial" w:cs="Arial"/>
          <w:b/>
          <w:bCs/>
          <w:color w:val="auto"/>
          <w:sz w:val="28"/>
          <w:szCs w:val="28"/>
        </w:rPr>
        <w:t>Porter’s Generic Strategies</w:t>
      </w:r>
      <w:bookmarkEnd w:id="8"/>
    </w:p>
    <w:p w14:paraId="6554F4BB" w14:textId="77777777" w:rsidR="00D13CD9" w:rsidRPr="00332709" w:rsidRDefault="00D13CD9" w:rsidP="00D13CD9">
      <w:pPr>
        <w:spacing w:line="360" w:lineRule="auto"/>
        <w:ind w:firstLine="432"/>
        <w:rPr>
          <w:rFonts w:ascii="Arial" w:hAnsi="Arial" w:cs="Arial"/>
        </w:rPr>
      </w:pPr>
      <w:r w:rsidRPr="00332709">
        <w:rPr>
          <w:rFonts w:ascii="Arial" w:hAnsi="Arial" w:cs="Arial"/>
        </w:rPr>
        <w:t>BHP should pursue broad differentiation rather than pure cost leadership. Scale, asset quality and operational efficiency remain important, but a price-led strategy could encourage volume growth without adequately pricing environmental risk. Decarbonisation also requires investment in renewable electricity, equipment, trials, traceability, and rehabilitation. Porter (1985) argues that differentiation succeeds when buyers value distinctive benefits, and the firm can defend the activities that create them. BHP should therefore position itself as a provider of trusted lower-carbon materials and transition solutions, not simply as the lowest-cost miner.</w:t>
      </w:r>
    </w:p>
    <w:p w14:paraId="535DDB67" w14:textId="42F9284D" w:rsidR="00533FE0" w:rsidRPr="00332709" w:rsidRDefault="00D13CD9" w:rsidP="00533FE0">
      <w:pPr>
        <w:spacing w:line="360" w:lineRule="auto"/>
        <w:ind w:firstLine="432"/>
        <w:rPr>
          <w:rFonts w:ascii="Arial" w:hAnsi="Arial" w:cs="Arial"/>
        </w:rPr>
      </w:pPr>
      <w:r w:rsidRPr="00332709">
        <w:rPr>
          <w:rFonts w:ascii="Arial" w:hAnsi="Arial" w:cs="Arial"/>
        </w:rPr>
        <w:t xml:space="preserve">The differentiated offer should combine verified product-level emissions information, dependable supply, technical collaboration and transparent reporting. Steel customers need materials compatible with evolving production routes and credible evidence for their own disclosures. BHP can increase switching costs through long-term co-development agreements, shared trials, and integrated data. Nevertheless, differentiation will fail if customers do not value the </w:t>
      </w:r>
      <w:r w:rsidR="005B1735">
        <w:rPr>
          <w:rFonts w:ascii="Arial" w:hAnsi="Arial" w:cs="Arial"/>
        </w:rPr>
        <w:t>added benefits or if they cannot verify the claims</w:t>
      </w:r>
      <w:r w:rsidRPr="00332709">
        <w:rPr>
          <w:rFonts w:ascii="Arial" w:hAnsi="Arial" w:cs="Arial"/>
        </w:rPr>
        <w:t>. Belz and Peattie (2012) argue that sustainability marketing must connect environmental value to customer needs, while Porter and van der Linde (1995) contend that well-designed environmental innovation can improve resource productivity and competitiveness. These arguments support investment, but they do not guarantee a price premium. BHP should test willingness to pay and evaluate total customer value rather than assume that every lower-carbon attribute increases margins.</w:t>
      </w:r>
      <w:r w:rsidR="00533FE0" w:rsidRPr="00332709">
        <w:rPr>
          <w:rFonts w:ascii="Arial" w:hAnsi="Arial" w:cs="Arial"/>
        </w:rPr>
        <w:t xml:space="preserve"> </w:t>
      </w:r>
    </w:p>
    <w:p w14:paraId="073D881F" w14:textId="043494B2" w:rsidR="00D13CD9" w:rsidRPr="00332709" w:rsidRDefault="00533FE0" w:rsidP="00F40053">
      <w:pPr>
        <w:spacing w:line="360" w:lineRule="auto"/>
        <w:ind w:firstLine="432"/>
        <w:rPr>
          <w:rFonts w:ascii="Arial" w:hAnsi="Arial" w:cs="Arial"/>
        </w:rPr>
      </w:pPr>
      <w:r w:rsidRPr="00332709">
        <w:rPr>
          <w:rFonts w:ascii="Arial" w:hAnsi="Arial" w:cs="Arial"/>
        </w:rPr>
        <w:t xml:space="preserve">Porter’s categories nevertheless require careful application because environmental differentiation cannot ignore cost. Commodity buyers remain price sensitive, and rivals </w:t>
      </w:r>
      <w:r w:rsidRPr="00332709">
        <w:rPr>
          <w:rFonts w:ascii="Arial" w:hAnsi="Arial" w:cs="Arial"/>
        </w:rPr>
        <w:lastRenderedPageBreak/>
        <w:t>can imitate technologies or reporting practices. A broad differentiator that lets its cost base diverge too much may lose volume before customers recognise sufficient environmental value. Conversely, aggressive cost leadership could defer investment and create regulatory, remediation and reputational liabilities. BHP therefore needs differentiation supported by cost discipline, not an attempt to pursue incompatible positions. The relevant test is whether traceability, technical support and lower-risk supply reduce customers’ total costs or compliance exposure sufficiently to offset any premium and sustain returns.</w:t>
      </w:r>
    </w:p>
    <w:p w14:paraId="203FAAC2" w14:textId="61EDDE9C" w:rsidR="005E045A" w:rsidRPr="00332709" w:rsidRDefault="00C90821" w:rsidP="00533FE0">
      <w:pPr>
        <w:spacing w:line="360" w:lineRule="auto"/>
        <w:rPr>
          <w:rFonts w:ascii="Arial" w:hAnsi="Arial" w:cs="Arial"/>
        </w:rPr>
      </w:pPr>
      <w:r w:rsidRPr="00332709">
        <w:rPr>
          <w:rFonts w:ascii="Arial" w:hAnsi="Arial" w:cs="Arial"/>
          <w:noProof/>
        </w:rPr>
        <w:drawing>
          <wp:inline distT="0" distB="0" distL="0" distR="0" wp14:anchorId="7D81E467" wp14:editId="79997C23">
            <wp:extent cx="5943600" cy="4457700"/>
            <wp:effectExtent l="0" t="0" r="0" b="0"/>
            <wp:docPr id="12551469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46992" name="Picture 1255146992"/>
                    <pic:cNvPicPr/>
                  </pic:nvPicPr>
                  <pic:blipFill>
                    <a:blip r:embed="rId2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0553577" w14:textId="0B50971C" w:rsidR="00D46067" w:rsidRDefault="00A5413C" w:rsidP="006771B6">
      <w:pPr>
        <w:spacing w:line="360" w:lineRule="auto"/>
        <w:ind w:firstLine="432"/>
        <w:jc w:val="center"/>
        <w:rPr>
          <w:rFonts w:ascii="Arial" w:hAnsi="Arial" w:cs="Arial"/>
          <w:sz w:val="20"/>
          <w:szCs w:val="20"/>
        </w:rPr>
      </w:pPr>
      <w:r w:rsidRPr="00332709">
        <w:rPr>
          <w:rFonts w:ascii="Arial" w:hAnsi="Arial" w:cs="Arial"/>
          <w:b/>
          <w:bCs/>
        </w:rPr>
        <w:t xml:space="preserve">Image 3: BHP </w:t>
      </w:r>
      <w:r w:rsidR="002E4A1D" w:rsidRPr="00332709">
        <w:rPr>
          <w:rFonts w:ascii="Arial" w:hAnsi="Arial" w:cs="Arial"/>
          <w:b/>
          <w:bCs/>
        </w:rPr>
        <w:t>Porter’s Generic Strategies</w:t>
      </w:r>
      <w:r w:rsidR="0080307E" w:rsidRPr="00332709">
        <w:rPr>
          <w:rFonts w:ascii="Arial" w:hAnsi="Arial" w:cs="Arial"/>
          <w:b/>
          <w:bCs/>
        </w:rPr>
        <w:t xml:space="preserve">. </w:t>
      </w:r>
      <w:r w:rsidR="0080307E" w:rsidRPr="00332709">
        <w:rPr>
          <w:rFonts w:ascii="Arial" w:hAnsi="Arial" w:cs="Arial"/>
          <w:sz w:val="20"/>
          <w:szCs w:val="20"/>
        </w:rPr>
        <w:t>(</w:t>
      </w:r>
      <w:r w:rsidR="006771B6" w:rsidRPr="00332709">
        <w:rPr>
          <w:rFonts w:ascii="Arial" w:hAnsi="Arial" w:cs="Arial"/>
          <w:sz w:val="20"/>
          <w:szCs w:val="20"/>
        </w:rPr>
        <w:t>Source</w:t>
      </w:r>
      <w:r w:rsidR="007B358C" w:rsidRPr="00332709">
        <w:rPr>
          <w:rFonts w:ascii="Arial" w:hAnsi="Arial" w:cs="Arial"/>
          <w:sz w:val="20"/>
          <w:szCs w:val="20"/>
        </w:rPr>
        <w:t xml:space="preserve">: Canva – </w:t>
      </w:r>
      <w:r w:rsidR="00EE663E" w:rsidRPr="00332709">
        <w:rPr>
          <w:rFonts w:ascii="Arial" w:hAnsi="Arial" w:cs="Arial"/>
          <w:sz w:val="20"/>
          <w:szCs w:val="20"/>
        </w:rPr>
        <w:t>Self-made</w:t>
      </w:r>
      <w:r w:rsidR="0080307E" w:rsidRPr="00332709">
        <w:rPr>
          <w:rFonts w:ascii="Arial" w:hAnsi="Arial" w:cs="Arial"/>
          <w:sz w:val="20"/>
          <w:szCs w:val="20"/>
        </w:rPr>
        <w:t>)</w:t>
      </w:r>
    </w:p>
    <w:p w14:paraId="07D0E2BB" w14:textId="77777777" w:rsidR="009B427E" w:rsidRPr="00332709" w:rsidRDefault="009B427E" w:rsidP="006771B6">
      <w:pPr>
        <w:spacing w:line="360" w:lineRule="auto"/>
        <w:ind w:firstLine="432"/>
        <w:jc w:val="center"/>
        <w:rPr>
          <w:rFonts w:ascii="Arial" w:hAnsi="Arial" w:cs="Arial"/>
          <w:b/>
          <w:bCs/>
        </w:rPr>
      </w:pPr>
    </w:p>
    <w:p w14:paraId="3E715BA3" w14:textId="77777777" w:rsidR="008134C0" w:rsidRPr="00332709" w:rsidRDefault="008134C0" w:rsidP="00BA0FE5">
      <w:pPr>
        <w:pStyle w:val="Heading2"/>
        <w:spacing w:line="360" w:lineRule="auto"/>
        <w:rPr>
          <w:rFonts w:ascii="Arial" w:hAnsi="Arial" w:cs="Arial"/>
          <w:b/>
          <w:bCs/>
          <w:color w:val="auto"/>
          <w:sz w:val="28"/>
          <w:szCs w:val="28"/>
        </w:rPr>
      </w:pPr>
      <w:bookmarkStart w:id="9" w:name="_Toc242994001"/>
      <w:r w:rsidRPr="00332709">
        <w:rPr>
          <w:rFonts w:ascii="Arial" w:hAnsi="Arial" w:cs="Arial"/>
          <w:b/>
          <w:bCs/>
          <w:color w:val="auto"/>
          <w:sz w:val="28"/>
          <w:szCs w:val="28"/>
        </w:rPr>
        <w:lastRenderedPageBreak/>
        <w:t>Implementation and evaluation</w:t>
      </w:r>
      <w:bookmarkEnd w:id="9"/>
    </w:p>
    <w:p w14:paraId="1DD55741" w14:textId="1D08C9E3" w:rsidR="008134C0" w:rsidRPr="00332709" w:rsidRDefault="008134C0" w:rsidP="00BA0FE5">
      <w:pPr>
        <w:spacing w:line="360" w:lineRule="auto"/>
        <w:ind w:firstLine="432"/>
        <w:rPr>
          <w:rFonts w:ascii="Arial" w:hAnsi="Arial" w:cs="Arial"/>
        </w:rPr>
      </w:pPr>
      <w:r w:rsidRPr="00332709">
        <w:rPr>
          <w:rFonts w:ascii="Arial" w:hAnsi="Arial" w:cs="Arial"/>
        </w:rPr>
        <w:t xml:space="preserve">Implementation requires governance that prevents sustainability claims from </w:t>
      </w:r>
      <w:r w:rsidR="00F54904" w:rsidRPr="00332709">
        <w:rPr>
          <w:rFonts w:ascii="Arial" w:hAnsi="Arial" w:cs="Arial"/>
        </w:rPr>
        <w:t>outpacing the</w:t>
      </w:r>
      <w:r w:rsidRPr="00332709">
        <w:rPr>
          <w:rFonts w:ascii="Arial" w:hAnsi="Arial" w:cs="Arial"/>
        </w:rPr>
        <w:t xml:space="preserve"> evidence. Investment committees should apply carbon, water, biodiversity and community criteria alongside financial returns. Marketing, operations, sustainability and legal teams should approve product claims using consistent lifecycle boundaries. Dyllick and Muff (2016) warn that business-centred sustainability improvements may </w:t>
      </w:r>
      <w:r w:rsidR="006E3776">
        <w:rPr>
          <w:rFonts w:ascii="Arial" w:hAnsi="Arial" w:cs="Arial"/>
        </w:rPr>
        <w:t>boost corporate performance without resolving societal problems; therefore, BHP should report outcomes, not just</w:t>
      </w:r>
      <w:r w:rsidRPr="00332709">
        <w:rPr>
          <w:rFonts w:ascii="Arial" w:hAnsi="Arial" w:cs="Arial"/>
        </w:rPr>
        <w:t xml:space="preserve"> activities.</w:t>
      </w:r>
    </w:p>
    <w:p w14:paraId="1C8126B1" w14:textId="77777777" w:rsidR="008134C0" w:rsidRPr="00332709" w:rsidRDefault="008134C0" w:rsidP="00BA0FE5">
      <w:pPr>
        <w:spacing w:line="360" w:lineRule="auto"/>
        <w:ind w:firstLine="432"/>
        <w:rPr>
          <w:rFonts w:ascii="Arial" w:hAnsi="Arial" w:cs="Arial"/>
        </w:rPr>
      </w:pPr>
      <w:r w:rsidRPr="00332709">
        <w:rPr>
          <w:rFonts w:ascii="Arial" w:hAnsi="Arial" w:cs="Arial"/>
        </w:rPr>
        <w:t>Performance measures should include absolute Scope 1 and Scope 2 emissions, emissions intensity, verified customer abatement enabled by partnerships, renewable electricity, water stress, rehabilitation, biodiversity outcomes, grievance resolution, local procurement, technology readiness and risk-adjusted return. Scope 3 progress should be presented as influence and collaboration unless BHP controls delivery. This balanced scorecard would allow senior leaders to stop projects that fail environmental or commercial thresholds and scale those producing credible shared value.</w:t>
      </w:r>
    </w:p>
    <w:p w14:paraId="21B6121E" w14:textId="38142713" w:rsidR="008134C0" w:rsidRPr="00332709" w:rsidRDefault="00E02521" w:rsidP="00BA0FE5">
      <w:pPr>
        <w:pStyle w:val="Heading1"/>
        <w:spacing w:line="360" w:lineRule="auto"/>
        <w:rPr>
          <w:rFonts w:ascii="Arial" w:hAnsi="Arial" w:cs="Arial"/>
          <w:b/>
          <w:bCs/>
          <w:color w:val="auto"/>
          <w:sz w:val="28"/>
          <w:szCs w:val="28"/>
        </w:rPr>
      </w:pPr>
      <w:bookmarkStart w:id="10" w:name="_Toc242994002"/>
      <w:r w:rsidRPr="00332709">
        <w:rPr>
          <w:rFonts w:ascii="Arial" w:hAnsi="Arial" w:cs="Arial"/>
          <w:b/>
          <w:bCs/>
          <w:color w:val="auto"/>
          <w:sz w:val="28"/>
          <w:szCs w:val="28"/>
        </w:rPr>
        <w:t>TASK 3: MANAGERIAL AND PROFESSIONAL REFLECTION</w:t>
      </w:r>
      <w:bookmarkEnd w:id="10"/>
    </w:p>
    <w:p w14:paraId="34B80F54" w14:textId="77777777" w:rsidR="0052004B" w:rsidRPr="002C2BE1" w:rsidRDefault="0052004B" w:rsidP="002C2BE1">
      <w:pPr>
        <w:pStyle w:val="Heading2"/>
        <w:rPr>
          <w:rFonts w:ascii="Arial" w:hAnsi="Arial" w:cs="Arial"/>
          <w:color w:val="auto"/>
          <w:sz w:val="28"/>
          <w:szCs w:val="28"/>
        </w:rPr>
      </w:pPr>
      <w:bookmarkStart w:id="11" w:name="_Toc242994003"/>
      <w:r w:rsidRPr="002C2BE1">
        <w:rPr>
          <w:rFonts w:ascii="Arial" w:hAnsi="Arial" w:cs="Arial"/>
          <w:b/>
          <w:bCs/>
          <w:color w:val="auto"/>
          <w:sz w:val="28"/>
          <w:szCs w:val="28"/>
        </w:rPr>
        <w:t>Why I chose BHP</w:t>
      </w:r>
      <w:bookmarkEnd w:id="11"/>
    </w:p>
    <w:p w14:paraId="1430E5FB" w14:textId="77CB0784" w:rsidR="0052004B" w:rsidRPr="00332709" w:rsidRDefault="0052004B" w:rsidP="0052004B">
      <w:pPr>
        <w:spacing w:line="360" w:lineRule="auto"/>
        <w:ind w:firstLine="432"/>
        <w:rPr>
          <w:rFonts w:ascii="Arial" w:hAnsi="Arial" w:cs="Arial"/>
        </w:rPr>
      </w:pPr>
      <w:r w:rsidRPr="00332709">
        <w:rPr>
          <w:rFonts w:ascii="Arial" w:hAnsi="Arial" w:cs="Arial"/>
        </w:rPr>
        <w:t xml:space="preserve">I selected BHP because its business model illustrates a fundamental tension within the global sustainability transition. Society </w:t>
      </w:r>
      <w:r w:rsidR="006E3776">
        <w:rPr>
          <w:rFonts w:ascii="Arial" w:hAnsi="Arial" w:cs="Arial"/>
        </w:rPr>
        <w:t>needs minerals for infrastructure, renewable energy, electrification, and food production, yet extracting and processing these resources can cause</w:t>
      </w:r>
      <w:r w:rsidRPr="00332709">
        <w:rPr>
          <w:rFonts w:ascii="Arial" w:hAnsi="Arial" w:cs="Arial"/>
        </w:rPr>
        <w:t xml:space="preserve"> substantial environmental and social harm. BHP therefore </w:t>
      </w:r>
      <w:r w:rsidR="006E3776">
        <w:rPr>
          <w:rFonts w:ascii="Arial" w:hAnsi="Arial" w:cs="Arial"/>
        </w:rPr>
        <w:t>provides a strong</w:t>
      </w:r>
      <w:r w:rsidRPr="00332709">
        <w:rPr>
          <w:rFonts w:ascii="Arial" w:hAnsi="Arial" w:cs="Arial"/>
        </w:rPr>
        <w:t xml:space="preserve"> case for examining whether a mining company can pursue commercial growth while reducing its negative externalities. Initially, I interpreted improvements in BHP’s reported emissions performance mainly as evidence of successful technological investment. However, closer examination demonstrated that emissions outcomes may also reflect portfolio restructuring, temporary operational changes and adjustments to the reporting baseline. This strengthened my ability to distinguish corporate targets from independently verified achievements and correlation from causation.</w:t>
      </w:r>
    </w:p>
    <w:p w14:paraId="32F38735" w14:textId="77777777" w:rsidR="0052004B" w:rsidRPr="002C2BE1" w:rsidRDefault="0052004B" w:rsidP="002C2BE1">
      <w:pPr>
        <w:pStyle w:val="Heading2"/>
        <w:rPr>
          <w:rFonts w:ascii="Arial" w:hAnsi="Arial" w:cs="Arial"/>
          <w:color w:val="auto"/>
          <w:sz w:val="28"/>
          <w:szCs w:val="28"/>
        </w:rPr>
      </w:pPr>
      <w:bookmarkStart w:id="12" w:name="_Toc242994004"/>
      <w:r w:rsidRPr="002C2BE1">
        <w:rPr>
          <w:rFonts w:ascii="Arial" w:hAnsi="Arial" w:cs="Arial"/>
          <w:b/>
          <w:bCs/>
          <w:color w:val="auto"/>
          <w:sz w:val="28"/>
          <w:szCs w:val="28"/>
        </w:rPr>
        <w:lastRenderedPageBreak/>
        <w:t>My choice of environmental actors</w:t>
      </w:r>
      <w:bookmarkEnd w:id="12"/>
    </w:p>
    <w:p w14:paraId="11FAD8F5" w14:textId="2E2EE28E" w:rsidR="00007219" w:rsidRDefault="0052004B" w:rsidP="0052004B">
      <w:pPr>
        <w:spacing w:line="360" w:lineRule="auto"/>
        <w:ind w:firstLine="432"/>
        <w:rPr>
          <w:rFonts w:ascii="Arial" w:hAnsi="Arial" w:cs="Arial"/>
        </w:rPr>
      </w:pPr>
      <w:r w:rsidRPr="00332709">
        <w:rPr>
          <w:rFonts w:ascii="Arial" w:hAnsi="Arial" w:cs="Arial"/>
        </w:rPr>
        <w:t xml:space="preserve">I prioritised </w:t>
      </w:r>
      <w:r w:rsidR="006A02BD">
        <w:rPr>
          <w:rFonts w:ascii="Arial" w:hAnsi="Arial" w:cs="Arial"/>
        </w:rPr>
        <w:t>these environmental actors because climate change, emissions regulation, water availability, biodiversity loss, and rehabilitation obligations directly affect BHP’s operating continuity, customer demand,</w:t>
      </w:r>
      <w:r w:rsidRPr="00332709">
        <w:rPr>
          <w:rFonts w:ascii="Arial" w:hAnsi="Arial" w:cs="Arial"/>
        </w:rPr>
        <w:t xml:space="preserve"> and social legitimacy. Nevertheless, my original analysis concentrated too heavily on greenhouse-gas emissions. I </w:t>
      </w:r>
      <w:r w:rsidR="006A02BD">
        <w:rPr>
          <w:rFonts w:ascii="Arial" w:hAnsi="Arial" w:cs="Arial"/>
        </w:rPr>
        <w:t xml:space="preserve">later recognised that carbon reduction </w:t>
      </w:r>
      <w:r w:rsidR="00E27BA1">
        <w:rPr>
          <w:rFonts w:ascii="Arial" w:hAnsi="Arial" w:cs="Arial"/>
        </w:rPr>
        <w:t xml:space="preserve">alone cannot capture a mining company's full </w:t>
      </w:r>
      <w:r w:rsidR="006A02BD">
        <w:rPr>
          <w:rFonts w:ascii="Arial" w:hAnsi="Arial" w:cs="Arial"/>
        </w:rPr>
        <w:t>environmental performance</w:t>
      </w:r>
      <w:r w:rsidRPr="00332709">
        <w:rPr>
          <w:rFonts w:ascii="Arial" w:hAnsi="Arial" w:cs="Arial"/>
        </w:rPr>
        <w:t xml:space="preserve">. </w:t>
      </w:r>
    </w:p>
    <w:p w14:paraId="4396B87F" w14:textId="71B398D3" w:rsidR="0052004B" w:rsidRPr="00332709" w:rsidRDefault="0052004B" w:rsidP="0052004B">
      <w:pPr>
        <w:spacing w:line="360" w:lineRule="auto"/>
        <w:ind w:firstLine="432"/>
        <w:rPr>
          <w:rFonts w:ascii="Arial" w:hAnsi="Arial" w:cs="Arial"/>
        </w:rPr>
      </w:pPr>
      <w:r w:rsidRPr="00332709">
        <w:rPr>
          <w:rFonts w:ascii="Arial" w:hAnsi="Arial" w:cs="Arial"/>
        </w:rPr>
        <w:t>Expanding copper and potash production may support global decarbonisation and food security, but it can also increase pressure on land, water resources, ecosystems and Indigenous communities. This challenged my earlier assumption that transition minerals are automatically sustainable. Schön (1983) argues that reflective practice involves questioning established assumptions when professionals encounter uncertain situations. Applying this perspective encouraged me to reconsider both the scope of the environmental problem and the quality of the evidence used.</w:t>
      </w:r>
    </w:p>
    <w:p w14:paraId="0830BB7A" w14:textId="77777777" w:rsidR="0052004B" w:rsidRPr="002C2BE1" w:rsidRDefault="0052004B" w:rsidP="002C2BE1">
      <w:pPr>
        <w:pStyle w:val="Heading2"/>
        <w:rPr>
          <w:rFonts w:ascii="Arial" w:hAnsi="Arial" w:cs="Arial"/>
          <w:color w:val="auto"/>
          <w:sz w:val="28"/>
          <w:szCs w:val="28"/>
        </w:rPr>
      </w:pPr>
      <w:bookmarkStart w:id="13" w:name="_Toc242994005"/>
      <w:r w:rsidRPr="002C2BE1">
        <w:rPr>
          <w:rFonts w:ascii="Arial" w:hAnsi="Arial" w:cs="Arial"/>
          <w:b/>
          <w:bCs/>
          <w:color w:val="auto"/>
          <w:sz w:val="28"/>
          <w:szCs w:val="28"/>
        </w:rPr>
        <w:t>My growth strategies</w:t>
      </w:r>
      <w:bookmarkEnd w:id="13"/>
    </w:p>
    <w:p w14:paraId="0A6EBDC9" w14:textId="7C642A0C" w:rsidR="00E0144E" w:rsidRDefault="00FE059C" w:rsidP="0052004B">
      <w:pPr>
        <w:spacing w:line="360" w:lineRule="auto"/>
        <w:ind w:firstLine="432"/>
        <w:rPr>
          <w:rFonts w:ascii="Arial" w:hAnsi="Arial" w:cs="Arial"/>
        </w:rPr>
      </w:pPr>
      <w:r>
        <w:rPr>
          <w:rFonts w:ascii="Arial" w:hAnsi="Arial" w:cs="Arial"/>
        </w:rPr>
        <w:t xml:space="preserve">I also developed my strategic recommendation </w:t>
      </w:r>
      <w:r w:rsidR="0052004B" w:rsidRPr="00332709">
        <w:rPr>
          <w:rFonts w:ascii="Arial" w:hAnsi="Arial" w:cs="Arial"/>
        </w:rPr>
        <w:t xml:space="preserve">during the analysis. I initially </w:t>
      </w:r>
      <w:r w:rsidR="00007219">
        <w:rPr>
          <w:rFonts w:ascii="Arial" w:hAnsi="Arial" w:cs="Arial"/>
        </w:rPr>
        <w:t>saw differentiation primarily as</w:t>
      </w:r>
      <w:r w:rsidR="0052004B" w:rsidRPr="00332709">
        <w:rPr>
          <w:rFonts w:ascii="Arial" w:hAnsi="Arial" w:cs="Arial"/>
        </w:rPr>
        <w:t xml:space="preserve"> a communication strategy. However, Porter’s Generic Strategies demonstrated that credible differentiation requires a coordinated system of activities rather than an environmental label. I therefore connected BHP’s proposed positioning to traceability, verified product-level emissions information, technical partnerships, operational data and independent assurance. </w:t>
      </w:r>
    </w:p>
    <w:p w14:paraId="5094FAE8" w14:textId="172BE7F7" w:rsidR="0052004B" w:rsidRPr="00332709" w:rsidRDefault="0052004B" w:rsidP="0052004B">
      <w:pPr>
        <w:spacing w:line="360" w:lineRule="auto"/>
        <w:ind w:firstLine="432"/>
        <w:rPr>
          <w:rFonts w:ascii="Arial" w:hAnsi="Arial" w:cs="Arial"/>
        </w:rPr>
      </w:pPr>
      <w:r w:rsidRPr="00332709">
        <w:rPr>
          <w:rFonts w:ascii="Arial" w:hAnsi="Arial" w:cs="Arial"/>
        </w:rPr>
        <w:t xml:space="preserve">The Ansoff Matrix </w:t>
      </w:r>
      <w:r w:rsidR="00007219">
        <w:rPr>
          <w:rFonts w:ascii="Arial" w:hAnsi="Arial" w:cs="Arial"/>
        </w:rPr>
        <w:t>also showed that growth options carry different levels</w:t>
      </w:r>
      <w:r w:rsidRPr="00332709">
        <w:rPr>
          <w:rFonts w:ascii="Arial" w:hAnsi="Arial" w:cs="Arial"/>
        </w:rPr>
        <w:t xml:space="preserve"> of strategic risk. Product development and selective market development appear more appropriate because they use BHP’s existing capabilities and customer relationships. Related diversification may provide longer-term opportunities, but staged partnerships and milestone-based investment are required to limit exposure to immature technologies.</w:t>
      </w:r>
    </w:p>
    <w:p w14:paraId="7E6A69F9" w14:textId="77777777" w:rsidR="0052004B" w:rsidRPr="002C2BE1" w:rsidRDefault="0052004B" w:rsidP="002C2BE1">
      <w:pPr>
        <w:pStyle w:val="Heading2"/>
        <w:rPr>
          <w:rFonts w:ascii="Arial" w:hAnsi="Arial" w:cs="Arial"/>
          <w:color w:val="auto"/>
        </w:rPr>
      </w:pPr>
      <w:bookmarkStart w:id="14" w:name="_Toc242994006"/>
      <w:r w:rsidRPr="002C2BE1">
        <w:rPr>
          <w:rFonts w:ascii="Arial" w:hAnsi="Arial" w:cs="Arial"/>
          <w:b/>
          <w:bCs/>
          <w:color w:val="auto"/>
        </w:rPr>
        <w:lastRenderedPageBreak/>
        <w:t>My limitations and identified gaps</w:t>
      </w:r>
      <w:bookmarkEnd w:id="14"/>
    </w:p>
    <w:p w14:paraId="36EC742F" w14:textId="77777777" w:rsidR="00264A46" w:rsidRDefault="0052004B" w:rsidP="0052004B">
      <w:pPr>
        <w:spacing w:line="360" w:lineRule="auto"/>
        <w:ind w:firstLine="432"/>
        <w:rPr>
          <w:rFonts w:ascii="Arial" w:hAnsi="Arial" w:cs="Arial"/>
        </w:rPr>
      </w:pPr>
      <w:r w:rsidRPr="00332709">
        <w:rPr>
          <w:rFonts w:ascii="Arial" w:hAnsi="Arial" w:cs="Arial"/>
        </w:rPr>
        <w:t xml:space="preserve">The analysis was limited by uncertainty concerning customers’ willingness to pay for lower-carbon materials, the commercial readiness of emerging technologies and the reliability of lifecycle information. </w:t>
      </w:r>
    </w:p>
    <w:p w14:paraId="2383FF8F" w14:textId="77777777" w:rsidR="00264A46" w:rsidRPr="008D65A0" w:rsidRDefault="0052004B" w:rsidP="008D65A0">
      <w:pPr>
        <w:pStyle w:val="ListParagraph"/>
        <w:numPr>
          <w:ilvl w:val="0"/>
          <w:numId w:val="2"/>
        </w:numPr>
        <w:spacing w:line="360" w:lineRule="auto"/>
        <w:rPr>
          <w:rFonts w:ascii="Arial" w:hAnsi="Arial" w:cs="Arial"/>
        </w:rPr>
      </w:pPr>
      <w:r w:rsidRPr="008D65A0">
        <w:rPr>
          <w:rFonts w:ascii="Arial" w:hAnsi="Arial" w:cs="Arial"/>
        </w:rPr>
        <w:t xml:space="preserve">Evidence </w:t>
      </w:r>
      <w:r w:rsidR="009E614B" w:rsidRPr="008D65A0">
        <w:rPr>
          <w:rFonts w:ascii="Arial" w:hAnsi="Arial" w:cs="Arial"/>
        </w:rPr>
        <w:t>on community outcomes, biodiversity impacts, and BHP’s influence on</w:t>
      </w:r>
      <w:r w:rsidRPr="008D65A0">
        <w:rPr>
          <w:rFonts w:ascii="Arial" w:hAnsi="Arial" w:cs="Arial"/>
        </w:rPr>
        <w:t xml:space="preserve"> Scope 3 emissions was also incomplete. </w:t>
      </w:r>
    </w:p>
    <w:p w14:paraId="713B0B13" w14:textId="77777777" w:rsidR="00FE1A10" w:rsidRPr="008D65A0" w:rsidRDefault="0052004B" w:rsidP="008D65A0">
      <w:pPr>
        <w:pStyle w:val="ListParagraph"/>
        <w:numPr>
          <w:ilvl w:val="0"/>
          <w:numId w:val="2"/>
        </w:numPr>
        <w:spacing w:line="360" w:lineRule="auto"/>
        <w:rPr>
          <w:rFonts w:ascii="Arial" w:hAnsi="Arial" w:cs="Arial"/>
        </w:rPr>
      </w:pPr>
      <w:r w:rsidRPr="008D65A0">
        <w:rPr>
          <w:rFonts w:ascii="Arial" w:hAnsi="Arial" w:cs="Arial"/>
        </w:rPr>
        <w:t xml:space="preserve">Furthermore, reliance on company publications created a risk of accepting corporate narratives without sufficient challenge. </w:t>
      </w:r>
    </w:p>
    <w:p w14:paraId="06E784BF" w14:textId="7ADC51CC" w:rsidR="00FE1A10" w:rsidRPr="008D65A0" w:rsidRDefault="0052004B" w:rsidP="008D65A0">
      <w:pPr>
        <w:pStyle w:val="ListParagraph"/>
        <w:numPr>
          <w:ilvl w:val="0"/>
          <w:numId w:val="2"/>
        </w:numPr>
        <w:spacing w:line="360" w:lineRule="auto"/>
        <w:rPr>
          <w:rFonts w:ascii="Arial" w:hAnsi="Arial" w:cs="Arial"/>
        </w:rPr>
      </w:pPr>
      <w:r w:rsidRPr="008D65A0">
        <w:rPr>
          <w:rFonts w:ascii="Arial" w:hAnsi="Arial" w:cs="Arial"/>
        </w:rPr>
        <w:t xml:space="preserve">I addressed this limitation by qualifying uncertain claims and distinguishing BHP’s direct operational control from its ability to influence customers and partners. </w:t>
      </w:r>
    </w:p>
    <w:p w14:paraId="5370718A" w14:textId="1E9CF81F" w:rsidR="0052004B" w:rsidRPr="00AF1251" w:rsidRDefault="0052004B" w:rsidP="00AF1251">
      <w:pPr>
        <w:pStyle w:val="ListParagraph"/>
        <w:numPr>
          <w:ilvl w:val="0"/>
          <w:numId w:val="2"/>
        </w:numPr>
        <w:spacing w:line="360" w:lineRule="auto"/>
        <w:rPr>
          <w:rFonts w:ascii="Arial" w:hAnsi="Arial" w:cs="Arial"/>
        </w:rPr>
      </w:pPr>
      <w:r w:rsidRPr="00AF1251">
        <w:rPr>
          <w:rFonts w:ascii="Arial" w:hAnsi="Arial" w:cs="Arial"/>
        </w:rPr>
        <w:t>Nevertheless, stronger conclusions would require independently assured data, customer research and site-specific environmental evidence.</w:t>
      </w:r>
    </w:p>
    <w:p w14:paraId="1BC08D2F" w14:textId="77777777" w:rsidR="0052004B" w:rsidRPr="002C2BE1" w:rsidRDefault="0052004B" w:rsidP="002C2BE1">
      <w:pPr>
        <w:pStyle w:val="Heading2"/>
        <w:rPr>
          <w:rFonts w:ascii="Arial" w:hAnsi="Arial" w:cs="Arial"/>
          <w:color w:val="auto"/>
        </w:rPr>
      </w:pPr>
      <w:bookmarkStart w:id="15" w:name="_Toc242994007"/>
      <w:r w:rsidRPr="002C2BE1">
        <w:rPr>
          <w:rFonts w:ascii="Arial" w:hAnsi="Arial" w:cs="Arial"/>
          <w:b/>
          <w:bCs/>
          <w:color w:val="auto"/>
        </w:rPr>
        <w:t>My recommendations</w:t>
      </w:r>
      <w:bookmarkEnd w:id="15"/>
    </w:p>
    <w:p w14:paraId="2C48C866" w14:textId="1927E51A" w:rsidR="00080A76" w:rsidRPr="00332709" w:rsidRDefault="0052004B" w:rsidP="0052004B">
      <w:pPr>
        <w:spacing w:line="360" w:lineRule="auto"/>
        <w:ind w:firstLine="432"/>
        <w:rPr>
          <w:rFonts w:ascii="Arial" w:hAnsi="Arial" w:cs="Arial"/>
        </w:rPr>
      </w:pPr>
      <w:r w:rsidRPr="00332709">
        <w:rPr>
          <w:rFonts w:ascii="Arial" w:hAnsi="Arial" w:cs="Arial"/>
        </w:rPr>
        <w:t xml:space="preserve">I evaluated the final recommendations against three questions: </w:t>
      </w:r>
      <w:r w:rsidR="00C245D2" w:rsidRPr="00332709">
        <w:rPr>
          <w:rFonts w:ascii="Arial" w:hAnsi="Arial" w:cs="Arial"/>
        </w:rPr>
        <w:t>D</w:t>
      </w:r>
      <w:r w:rsidRPr="00332709">
        <w:rPr>
          <w:rFonts w:ascii="Arial" w:hAnsi="Arial" w:cs="Arial"/>
        </w:rPr>
        <w:t>o they create measurable customer value</w:t>
      </w:r>
      <w:r w:rsidR="002C12DC" w:rsidRPr="00332709">
        <w:rPr>
          <w:rFonts w:ascii="Arial" w:hAnsi="Arial" w:cs="Arial"/>
        </w:rPr>
        <w:t>?</w:t>
      </w:r>
      <w:r w:rsidRPr="00332709">
        <w:rPr>
          <w:rFonts w:ascii="Arial" w:hAnsi="Arial" w:cs="Arial"/>
        </w:rPr>
        <w:t xml:space="preserve"> </w:t>
      </w:r>
      <w:r w:rsidR="00A072D0" w:rsidRPr="00332709">
        <w:rPr>
          <w:rFonts w:ascii="Arial" w:hAnsi="Arial" w:cs="Arial"/>
        </w:rPr>
        <w:t>Do</w:t>
      </w:r>
      <w:r w:rsidRPr="00332709">
        <w:rPr>
          <w:rFonts w:ascii="Arial" w:hAnsi="Arial" w:cs="Arial"/>
        </w:rPr>
        <w:t xml:space="preserve"> they reduce or responsibly manage environmental harm</w:t>
      </w:r>
      <w:r w:rsidR="00080A76" w:rsidRPr="00332709">
        <w:rPr>
          <w:rFonts w:ascii="Arial" w:hAnsi="Arial" w:cs="Arial"/>
        </w:rPr>
        <w:t>?</w:t>
      </w:r>
      <w:r w:rsidRPr="00332709">
        <w:rPr>
          <w:rFonts w:ascii="Arial" w:hAnsi="Arial" w:cs="Arial"/>
        </w:rPr>
        <w:t xml:space="preserve"> </w:t>
      </w:r>
      <w:r w:rsidR="00C245D2" w:rsidRPr="00332709">
        <w:rPr>
          <w:rFonts w:ascii="Arial" w:hAnsi="Arial" w:cs="Arial"/>
        </w:rPr>
        <w:t>And can</w:t>
      </w:r>
      <w:r w:rsidRPr="00332709">
        <w:rPr>
          <w:rFonts w:ascii="Arial" w:hAnsi="Arial" w:cs="Arial"/>
        </w:rPr>
        <w:t xml:space="preserve"> BHP deliver them through credible capabilities? </w:t>
      </w:r>
    </w:p>
    <w:p w14:paraId="1CC357CA" w14:textId="77777777" w:rsidR="00CD46F9" w:rsidRPr="00332709" w:rsidRDefault="0052004B" w:rsidP="00A072D0">
      <w:pPr>
        <w:pStyle w:val="ListParagraph"/>
        <w:numPr>
          <w:ilvl w:val="0"/>
          <w:numId w:val="1"/>
        </w:numPr>
        <w:spacing w:line="360" w:lineRule="auto"/>
        <w:rPr>
          <w:rFonts w:ascii="Arial" w:hAnsi="Arial" w:cs="Arial"/>
        </w:rPr>
      </w:pPr>
      <w:r w:rsidRPr="00332709">
        <w:rPr>
          <w:rFonts w:ascii="Arial" w:hAnsi="Arial" w:cs="Arial"/>
        </w:rPr>
        <w:t xml:space="preserve">I recommend that BHP prioritise verified lower-carbon product development, selective market expansion and collaborative technology trials. </w:t>
      </w:r>
    </w:p>
    <w:p w14:paraId="0FB5B64A" w14:textId="77777777" w:rsidR="00CD46F9" w:rsidRPr="00332709" w:rsidRDefault="0052004B" w:rsidP="00A072D0">
      <w:pPr>
        <w:pStyle w:val="ListParagraph"/>
        <w:numPr>
          <w:ilvl w:val="0"/>
          <w:numId w:val="1"/>
        </w:numPr>
        <w:spacing w:line="360" w:lineRule="auto"/>
        <w:rPr>
          <w:rFonts w:ascii="Arial" w:hAnsi="Arial" w:cs="Arial"/>
        </w:rPr>
      </w:pPr>
      <w:r w:rsidRPr="00332709">
        <w:rPr>
          <w:rFonts w:ascii="Arial" w:hAnsi="Arial" w:cs="Arial"/>
        </w:rPr>
        <w:t xml:space="preserve">Senior leadership should use pilot programmes, lifecycle assessments, community participation and independent assurance before approving substantial investment or making stronger environmental claims. </w:t>
      </w:r>
    </w:p>
    <w:p w14:paraId="402135FA" w14:textId="29CCAB1A" w:rsidR="00CD46F9" w:rsidRPr="00332709" w:rsidRDefault="0052004B" w:rsidP="00A072D0">
      <w:pPr>
        <w:pStyle w:val="ListParagraph"/>
        <w:numPr>
          <w:ilvl w:val="0"/>
          <w:numId w:val="1"/>
        </w:numPr>
        <w:spacing w:line="360" w:lineRule="auto"/>
        <w:rPr>
          <w:rFonts w:ascii="Arial" w:hAnsi="Arial" w:cs="Arial"/>
        </w:rPr>
      </w:pPr>
      <w:r w:rsidRPr="00332709">
        <w:rPr>
          <w:rFonts w:ascii="Arial" w:hAnsi="Arial" w:cs="Arial"/>
        </w:rPr>
        <w:t xml:space="preserve">Transparent reporting should communicate achievements, limitations and unresolved </w:t>
      </w:r>
      <w:r w:rsidR="00B72B3E">
        <w:rPr>
          <w:rFonts w:ascii="Arial" w:hAnsi="Arial" w:cs="Arial"/>
        </w:rPr>
        <w:t>concessions</w:t>
      </w:r>
      <w:r w:rsidRPr="00332709">
        <w:rPr>
          <w:rFonts w:ascii="Arial" w:hAnsi="Arial" w:cs="Arial"/>
        </w:rPr>
        <w:t xml:space="preserve">. </w:t>
      </w:r>
    </w:p>
    <w:p w14:paraId="44F4F394" w14:textId="491EDD6B" w:rsidR="0052004B" w:rsidRPr="00332709" w:rsidRDefault="0052004B" w:rsidP="00CD46F9">
      <w:pPr>
        <w:spacing w:line="360" w:lineRule="auto"/>
        <w:rPr>
          <w:rFonts w:ascii="Arial" w:hAnsi="Arial" w:cs="Arial"/>
        </w:rPr>
      </w:pPr>
      <w:r w:rsidRPr="00332709">
        <w:rPr>
          <w:rFonts w:ascii="Arial" w:hAnsi="Arial" w:cs="Arial"/>
        </w:rPr>
        <w:t>This reflective process improved my ability to integrate strategic frameworks, question organisational narratives and present evidence-based, conditional recommendations rather than treating uncertain forecasts as established facts.</w:t>
      </w:r>
    </w:p>
    <w:p w14:paraId="628B06F8" w14:textId="1C94F9F4" w:rsidR="00632542" w:rsidRPr="00332709" w:rsidRDefault="0040423C" w:rsidP="0040423C">
      <w:pPr>
        <w:spacing w:line="360" w:lineRule="auto"/>
        <w:jc w:val="center"/>
        <w:rPr>
          <w:rFonts w:ascii="Arial" w:hAnsi="Arial" w:cs="Arial"/>
          <w:b/>
          <w:bCs/>
        </w:rPr>
      </w:pPr>
      <w:r>
        <w:rPr>
          <w:rFonts w:ascii="Arial" w:hAnsi="Arial" w:cs="Arial"/>
          <w:b/>
          <w:bCs/>
          <w:noProof/>
        </w:rPr>
        <w:lastRenderedPageBreak/>
        <w:drawing>
          <wp:inline distT="0" distB="0" distL="0" distR="0" wp14:anchorId="1A45C1A9" wp14:editId="7E55D0E2">
            <wp:extent cx="6299200" cy="6838950"/>
            <wp:effectExtent l="0" t="0" r="6350" b="0"/>
            <wp:docPr id="835439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39115" name="Picture 835439115"/>
                    <pic:cNvPicPr/>
                  </pic:nvPicPr>
                  <pic:blipFill>
                    <a:blip r:embed="rId27">
                      <a:extLst>
                        <a:ext uri="{28A0092B-C50C-407E-A947-70E740481C1C}">
                          <a14:useLocalDpi xmlns:a14="http://schemas.microsoft.com/office/drawing/2010/main" val="0"/>
                        </a:ext>
                      </a:extLst>
                    </a:blip>
                    <a:stretch>
                      <a:fillRect/>
                    </a:stretch>
                  </pic:blipFill>
                  <pic:spPr>
                    <a:xfrm>
                      <a:off x="0" y="0"/>
                      <a:ext cx="6299200" cy="6838950"/>
                    </a:xfrm>
                    <a:prstGeom prst="rect">
                      <a:avLst/>
                    </a:prstGeom>
                  </pic:spPr>
                </pic:pic>
              </a:graphicData>
            </a:graphic>
          </wp:inline>
        </w:drawing>
      </w:r>
    </w:p>
    <w:p w14:paraId="2502FB53" w14:textId="36A21402" w:rsidR="002D45C6" w:rsidRPr="00332709" w:rsidRDefault="00B729C9" w:rsidP="002D45C6">
      <w:pPr>
        <w:spacing w:line="360" w:lineRule="auto"/>
        <w:ind w:firstLine="432"/>
        <w:jc w:val="center"/>
        <w:rPr>
          <w:rFonts w:ascii="Arial" w:hAnsi="Arial" w:cs="Arial"/>
          <w:b/>
          <w:bCs/>
        </w:rPr>
      </w:pPr>
      <w:r w:rsidRPr="00332709">
        <w:rPr>
          <w:rFonts w:ascii="Arial" w:hAnsi="Arial" w:cs="Arial"/>
          <w:b/>
          <w:bCs/>
        </w:rPr>
        <w:t xml:space="preserve">Image 4: </w:t>
      </w:r>
      <w:r w:rsidR="00560F72" w:rsidRPr="00332709">
        <w:rPr>
          <w:rFonts w:ascii="Arial" w:hAnsi="Arial" w:cs="Arial"/>
          <w:b/>
          <w:bCs/>
        </w:rPr>
        <w:t xml:space="preserve">Reflection. </w:t>
      </w:r>
      <w:r w:rsidR="008D2C55" w:rsidRPr="00332709">
        <w:rPr>
          <w:rFonts w:ascii="Arial" w:hAnsi="Arial" w:cs="Arial"/>
          <w:sz w:val="20"/>
          <w:szCs w:val="20"/>
        </w:rPr>
        <w:t>(Source: Canva – Self-made)</w:t>
      </w:r>
    </w:p>
    <w:p w14:paraId="17F95D54" w14:textId="37C6620B" w:rsidR="008134C0" w:rsidRPr="00332709" w:rsidRDefault="00E02521" w:rsidP="00BA0FE5">
      <w:pPr>
        <w:pStyle w:val="Heading1"/>
        <w:spacing w:line="360" w:lineRule="auto"/>
        <w:rPr>
          <w:rFonts w:ascii="Arial" w:hAnsi="Arial" w:cs="Arial"/>
          <w:b/>
          <w:bCs/>
          <w:color w:val="auto"/>
          <w:sz w:val="28"/>
          <w:szCs w:val="28"/>
        </w:rPr>
      </w:pPr>
      <w:bookmarkStart w:id="16" w:name="_Toc242994008"/>
      <w:r w:rsidRPr="00332709">
        <w:rPr>
          <w:rFonts w:ascii="Arial" w:hAnsi="Arial" w:cs="Arial"/>
          <w:b/>
          <w:bCs/>
          <w:color w:val="auto"/>
          <w:sz w:val="28"/>
          <w:szCs w:val="28"/>
        </w:rPr>
        <w:lastRenderedPageBreak/>
        <w:t>CONCLUSION</w:t>
      </w:r>
      <w:bookmarkEnd w:id="16"/>
    </w:p>
    <w:p w14:paraId="63DDFE9D" w14:textId="77777777" w:rsidR="00D36E98" w:rsidRDefault="008134C0" w:rsidP="00A05EF2">
      <w:pPr>
        <w:spacing w:line="360" w:lineRule="auto"/>
        <w:ind w:firstLine="432"/>
        <w:rPr>
          <w:rFonts w:ascii="Arial" w:hAnsi="Arial" w:cs="Arial"/>
        </w:rPr>
      </w:pPr>
      <w:r w:rsidRPr="00332709">
        <w:rPr>
          <w:rFonts w:ascii="Arial" w:hAnsi="Arial" w:cs="Arial"/>
        </w:rPr>
        <w:t xml:space="preserve">BHP can achieve competitive advantage during its lower-carbon transition by combining broad differentiation with disciplined growth. Its strongest position is not to market conventional minerals as green, but to provide verified emissions information, dependable transition materials and collaborative customer solutions. Product development should lead, supported by targeted market development and selective related diversification. Investment decisions must incorporate absolute emissions, water, biodiversity and community outcomes alongside financial returns. Transparent reporting is essential because BHP can influence, but not control, most Scope 3 emissions. </w:t>
      </w:r>
    </w:p>
    <w:p w14:paraId="55D8C290" w14:textId="001C971E" w:rsidR="00334850" w:rsidRDefault="008134C0" w:rsidP="00A05EF2">
      <w:pPr>
        <w:spacing w:line="360" w:lineRule="auto"/>
        <w:ind w:firstLine="432"/>
        <w:rPr>
          <w:rFonts w:ascii="Arial" w:hAnsi="Arial" w:cs="Arial"/>
        </w:rPr>
      </w:pPr>
      <w:r w:rsidRPr="00332709">
        <w:rPr>
          <w:rFonts w:ascii="Arial" w:hAnsi="Arial" w:cs="Arial"/>
        </w:rPr>
        <w:t>By aligning environmental evidence, stakeholder participation, technological capability and robust governance, BHP can strengthen legitimacy while building commercially defensible advantages.</w:t>
      </w:r>
    </w:p>
    <w:p w14:paraId="61C03946" w14:textId="77777777" w:rsidR="00D62CF5" w:rsidRDefault="00D62CF5" w:rsidP="00A05EF2">
      <w:pPr>
        <w:spacing w:line="360" w:lineRule="auto"/>
        <w:ind w:firstLine="432"/>
        <w:rPr>
          <w:rFonts w:ascii="Arial" w:hAnsi="Arial" w:cs="Arial"/>
        </w:rPr>
      </w:pPr>
    </w:p>
    <w:p w14:paraId="1A2D13D3" w14:textId="77777777" w:rsidR="00D62CF5" w:rsidRDefault="00D62CF5" w:rsidP="00A05EF2">
      <w:pPr>
        <w:spacing w:line="360" w:lineRule="auto"/>
        <w:ind w:firstLine="432"/>
        <w:rPr>
          <w:rFonts w:ascii="Arial" w:hAnsi="Arial" w:cs="Arial"/>
        </w:rPr>
      </w:pPr>
    </w:p>
    <w:p w14:paraId="1448E48B" w14:textId="77777777" w:rsidR="00D62CF5" w:rsidRPr="00D62CF5" w:rsidRDefault="00D62CF5" w:rsidP="00A05EF2">
      <w:pPr>
        <w:spacing w:line="360" w:lineRule="auto"/>
        <w:ind w:firstLine="432"/>
        <w:rPr>
          <w:rFonts w:ascii="Arial" w:hAnsi="Arial" w:cs="Arial"/>
          <w:lang w:val="en-US"/>
        </w:rPr>
      </w:pPr>
    </w:p>
    <w:p w14:paraId="29B57CC5" w14:textId="77777777" w:rsidR="00A05EF2" w:rsidRPr="00332709" w:rsidRDefault="00A05EF2" w:rsidP="00485E1B">
      <w:pPr>
        <w:rPr>
          <w:rFonts w:ascii="Arial" w:hAnsi="Arial" w:cs="Arial"/>
          <w:b/>
          <w:bCs/>
          <w:sz w:val="2"/>
          <w:szCs w:val="2"/>
        </w:rPr>
      </w:pPr>
    </w:p>
    <w:p w14:paraId="22B18FB1" w14:textId="77777777" w:rsidR="00133910" w:rsidRDefault="00133910" w:rsidP="00925828">
      <w:pPr>
        <w:pStyle w:val="Heading1"/>
        <w:rPr>
          <w:rFonts w:ascii="Arial" w:hAnsi="Arial" w:cs="Arial"/>
          <w:b/>
          <w:bCs/>
          <w:color w:val="auto"/>
          <w:sz w:val="28"/>
          <w:szCs w:val="28"/>
        </w:rPr>
      </w:pPr>
      <w:bookmarkStart w:id="17" w:name="_Toc242994009"/>
    </w:p>
    <w:p w14:paraId="5143EFCC" w14:textId="77777777" w:rsidR="00133910" w:rsidRDefault="00133910" w:rsidP="00925828">
      <w:pPr>
        <w:pStyle w:val="Heading1"/>
        <w:rPr>
          <w:rFonts w:ascii="Arial" w:hAnsi="Arial" w:cs="Arial"/>
          <w:b/>
          <w:bCs/>
          <w:color w:val="auto"/>
          <w:sz w:val="28"/>
          <w:szCs w:val="28"/>
        </w:rPr>
      </w:pPr>
    </w:p>
    <w:p w14:paraId="35DBBCD5" w14:textId="77777777" w:rsidR="00133910" w:rsidRDefault="00133910" w:rsidP="00925828">
      <w:pPr>
        <w:pStyle w:val="Heading1"/>
        <w:rPr>
          <w:rFonts w:ascii="Arial" w:hAnsi="Arial" w:cs="Arial"/>
          <w:b/>
          <w:bCs/>
          <w:color w:val="auto"/>
          <w:sz w:val="28"/>
          <w:szCs w:val="28"/>
        </w:rPr>
      </w:pPr>
    </w:p>
    <w:p w14:paraId="67D2388A" w14:textId="77777777" w:rsidR="00133910" w:rsidRDefault="00133910" w:rsidP="00925828">
      <w:pPr>
        <w:pStyle w:val="Heading1"/>
        <w:rPr>
          <w:rFonts w:ascii="Arial" w:hAnsi="Arial" w:cs="Arial"/>
          <w:b/>
          <w:bCs/>
          <w:color w:val="auto"/>
          <w:sz w:val="28"/>
          <w:szCs w:val="28"/>
        </w:rPr>
      </w:pPr>
    </w:p>
    <w:p w14:paraId="7176B21E" w14:textId="77777777" w:rsidR="00133910" w:rsidRDefault="00133910" w:rsidP="00925828">
      <w:pPr>
        <w:pStyle w:val="Heading1"/>
        <w:rPr>
          <w:rFonts w:ascii="Arial" w:hAnsi="Arial" w:cs="Arial"/>
          <w:b/>
          <w:bCs/>
          <w:color w:val="auto"/>
          <w:sz w:val="28"/>
          <w:szCs w:val="28"/>
        </w:rPr>
      </w:pPr>
    </w:p>
    <w:bookmarkEnd w:id="17"/>
    <w:p w14:paraId="46FBC563" w14:textId="77777777" w:rsidR="00133910" w:rsidRDefault="00133910" w:rsidP="004A2C6A">
      <w:pPr>
        <w:spacing w:line="360" w:lineRule="auto"/>
        <w:rPr>
          <w:rFonts w:ascii="Arial" w:hAnsi="Arial" w:cs="Arial"/>
        </w:rPr>
      </w:pPr>
    </w:p>
    <w:p w14:paraId="43D053D6" w14:textId="77777777" w:rsidR="00133910" w:rsidRPr="00925828" w:rsidRDefault="00133910" w:rsidP="00133910">
      <w:pPr>
        <w:pStyle w:val="Heading1"/>
        <w:rPr>
          <w:rFonts w:ascii="Arial" w:hAnsi="Arial" w:cs="Arial"/>
          <w:b/>
          <w:bCs/>
          <w:color w:val="auto"/>
          <w:sz w:val="28"/>
          <w:szCs w:val="28"/>
        </w:rPr>
      </w:pPr>
      <w:r w:rsidRPr="00925828">
        <w:rPr>
          <w:rFonts w:ascii="Arial" w:hAnsi="Arial" w:cs="Arial"/>
          <w:b/>
          <w:bCs/>
          <w:color w:val="auto"/>
          <w:sz w:val="28"/>
          <w:szCs w:val="28"/>
        </w:rPr>
        <w:lastRenderedPageBreak/>
        <w:t>REFERENCE LIST</w:t>
      </w:r>
    </w:p>
    <w:p w14:paraId="2A2D0FA9" w14:textId="77777777" w:rsidR="00133910" w:rsidRPr="00332709" w:rsidRDefault="00133910" w:rsidP="00133910">
      <w:pPr>
        <w:spacing w:line="360" w:lineRule="auto"/>
        <w:rPr>
          <w:rFonts w:ascii="Arial" w:hAnsi="Arial" w:cs="Arial"/>
        </w:rPr>
      </w:pPr>
      <w:r w:rsidRPr="00332709">
        <w:rPr>
          <w:rFonts w:ascii="Arial" w:hAnsi="Arial" w:cs="Arial"/>
        </w:rPr>
        <w:t xml:space="preserve">Ansoff, H.I. (1957) ‘Strategies for diversification’, </w:t>
      </w:r>
      <w:r w:rsidRPr="00332709">
        <w:rPr>
          <w:rFonts w:ascii="Arial" w:hAnsi="Arial" w:cs="Arial"/>
          <w:i/>
          <w:iCs/>
        </w:rPr>
        <w:t>Harvard Business Review</w:t>
      </w:r>
      <w:r w:rsidRPr="00332709">
        <w:rPr>
          <w:rFonts w:ascii="Arial" w:hAnsi="Arial" w:cs="Arial"/>
        </w:rPr>
        <w:t>, 35(5), pp. 113–124.</w:t>
      </w:r>
    </w:p>
    <w:p w14:paraId="643DE284" w14:textId="1383EBDA" w:rsidR="004A2C6A" w:rsidRPr="00332709" w:rsidRDefault="004A2C6A" w:rsidP="004A2C6A">
      <w:pPr>
        <w:spacing w:line="360" w:lineRule="auto"/>
        <w:rPr>
          <w:rFonts w:ascii="Arial" w:hAnsi="Arial" w:cs="Arial"/>
        </w:rPr>
      </w:pPr>
      <w:r w:rsidRPr="00332709">
        <w:rPr>
          <w:rFonts w:ascii="Arial" w:hAnsi="Arial" w:cs="Arial"/>
        </w:rPr>
        <w:t xml:space="preserve">Barney, J.B. (1991) ‘Firm resources and sustained competitive advantage’, </w:t>
      </w:r>
      <w:r w:rsidRPr="00332709">
        <w:rPr>
          <w:rFonts w:ascii="Arial" w:hAnsi="Arial" w:cs="Arial"/>
          <w:i/>
          <w:iCs/>
        </w:rPr>
        <w:t>Journal of Management</w:t>
      </w:r>
      <w:r w:rsidRPr="00332709">
        <w:rPr>
          <w:rFonts w:ascii="Arial" w:hAnsi="Arial" w:cs="Arial"/>
        </w:rPr>
        <w:t xml:space="preserve">, 17(1), pp. 99–120. Available at: </w:t>
      </w:r>
      <w:hyperlink r:id="rId28" w:history="1">
        <w:r w:rsidRPr="00332709">
          <w:rPr>
            <w:rStyle w:val="Hyperlink"/>
            <w:rFonts w:ascii="Arial" w:hAnsi="Arial" w:cs="Arial"/>
          </w:rPr>
          <w:t>https://doi.org/10.1177/014920639101700108</w:t>
        </w:r>
      </w:hyperlink>
      <w:r w:rsidRPr="00332709">
        <w:rPr>
          <w:rFonts w:ascii="Arial" w:hAnsi="Arial" w:cs="Arial"/>
        </w:rPr>
        <w:t>.</w:t>
      </w:r>
    </w:p>
    <w:p w14:paraId="3527C862" w14:textId="77777777" w:rsidR="004A2C6A" w:rsidRPr="00332709" w:rsidRDefault="004A2C6A" w:rsidP="004A2C6A">
      <w:pPr>
        <w:spacing w:line="360" w:lineRule="auto"/>
        <w:rPr>
          <w:rFonts w:ascii="Arial" w:hAnsi="Arial" w:cs="Arial"/>
        </w:rPr>
      </w:pPr>
      <w:r w:rsidRPr="00332709">
        <w:rPr>
          <w:rFonts w:ascii="Arial" w:hAnsi="Arial" w:cs="Arial"/>
        </w:rPr>
        <w:t xml:space="preserve">Belz, F.M. and Peattie, K. (2012) </w:t>
      </w:r>
      <w:r w:rsidRPr="00332709">
        <w:rPr>
          <w:rFonts w:ascii="Arial" w:hAnsi="Arial" w:cs="Arial"/>
          <w:i/>
          <w:iCs/>
        </w:rPr>
        <w:t>Sustainability marketing: A global perspective</w:t>
      </w:r>
      <w:r w:rsidRPr="00332709">
        <w:rPr>
          <w:rFonts w:ascii="Arial" w:hAnsi="Arial" w:cs="Arial"/>
        </w:rPr>
        <w:t>. 2nd edn. Chichester: John Wiley &amp; Sons.</w:t>
      </w:r>
    </w:p>
    <w:p w14:paraId="523F16B1" w14:textId="77777777" w:rsidR="004A2C6A" w:rsidRPr="00332709" w:rsidRDefault="004A2C6A" w:rsidP="004A2C6A">
      <w:pPr>
        <w:spacing w:line="360" w:lineRule="auto"/>
        <w:rPr>
          <w:rFonts w:ascii="Arial" w:hAnsi="Arial" w:cs="Arial"/>
        </w:rPr>
      </w:pPr>
      <w:r w:rsidRPr="00332709">
        <w:rPr>
          <w:rFonts w:ascii="Arial" w:hAnsi="Arial" w:cs="Arial"/>
        </w:rPr>
        <w:t xml:space="preserve">BHP (2024) </w:t>
      </w:r>
      <w:r w:rsidRPr="00332709">
        <w:rPr>
          <w:rFonts w:ascii="Arial" w:hAnsi="Arial" w:cs="Arial"/>
          <w:i/>
          <w:iCs/>
        </w:rPr>
        <w:t>Climate transition action plan 2024</w:t>
      </w:r>
      <w:r w:rsidRPr="00332709">
        <w:rPr>
          <w:rFonts w:ascii="Arial" w:hAnsi="Arial" w:cs="Arial"/>
        </w:rPr>
        <w:t xml:space="preserve">. Melbourne: BHP Group Limited. Available at: </w:t>
      </w:r>
      <w:hyperlink r:id="rId29" w:history="1">
        <w:r w:rsidRPr="00332709">
          <w:rPr>
            <w:rStyle w:val="Hyperlink"/>
            <w:rFonts w:ascii="Arial" w:hAnsi="Arial" w:cs="Arial"/>
          </w:rPr>
          <w:t>https://www.bhp.com/ctap2024</w:t>
        </w:r>
      </w:hyperlink>
      <w:r w:rsidRPr="00332709">
        <w:rPr>
          <w:rFonts w:ascii="Arial" w:hAnsi="Arial" w:cs="Arial"/>
        </w:rPr>
        <w:t xml:space="preserve"> (Accessed: 13 October 2026).</w:t>
      </w:r>
    </w:p>
    <w:p w14:paraId="59565BE4" w14:textId="77777777" w:rsidR="004A2C6A" w:rsidRPr="00332709" w:rsidRDefault="004A2C6A" w:rsidP="004A2C6A">
      <w:pPr>
        <w:spacing w:line="360" w:lineRule="auto"/>
        <w:rPr>
          <w:rFonts w:ascii="Arial" w:hAnsi="Arial" w:cs="Arial"/>
        </w:rPr>
      </w:pPr>
      <w:r w:rsidRPr="00332709">
        <w:rPr>
          <w:rFonts w:ascii="Arial" w:hAnsi="Arial" w:cs="Arial"/>
        </w:rPr>
        <w:t xml:space="preserve">BHP (2025) </w:t>
      </w:r>
      <w:r w:rsidRPr="00332709">
        <w:rPr>
          <w:rFonts w:ascii="Arial" w:hAnsi="Arial" w:cs="Arial"/>
          <w:i/>
          <w:iCs/>
        </w:rPr>
        <w:t>Annual report 2025</w:t>
      </w:r>
      <w:r w:rsidRPr="00332709">
        <w:rPr>
          <w:rFonts w:ascii="Arial" w:hAnsi="Arial" w:cs="Arial"/>
        </w:rPr>
        <w:t xml:space="preserve">. Melbourne: BHP Group Limited. Available at: </w:t>
      </w:r>
      <w:hyperlink r:id="rId30" w:history="1">
        <w:r w:rsidRPr="00332709">
          <w:rPr>
            <w:rStyle w:val="Hyperlink"/>
            <w:rFonts w:ascii="Arial" w:hAnsi="Arial" w:cs="Arial"/>
          </w:rPr>
          <w:t>https://www.bhp.com/-/media/documents/investors/annual-reports/2025/250819_bhpannualreport2025.pdf</w:t>
        </w:r>
      </w:hyperlink>
      <w:r w:rsidRPr="00332709">
        <w:rPr>
          <w:rFonts w:ascii="Arial" w:hAnsi="Arial" w:cs="Arial"/>
        </w:rPr>
        <w:t xml:space="preserve"> (Accessed: 13 October 2026).</w:t>
      </w:r>
    </w:p>
    <w:p w14:paraId="611020A1" w14:textId="77777777" w:rsidR="004A2C6A" w:rsidRPr="00332709" w:rsidRDefault="004A2C6A" w:rsidP="004A2C6A">
      <w:pPr>
        <w:spacing w:line="360" w:lineRule="auto"/>
        <w:rPr>
          <w:rFonts w:ascii="Arial" w:hAnsi="Arial" w:cs="Arial"/>
        </w:rPr>
      </w:pPr>
      <w:r w:rsidRPr="00332709">
        <w:rPr>
          <w:rFonts w:ascii="Arial" w:hAnsi="Arial" w:cs="Arial"/>
        </w:rPr>
        <w:t xml:space="preserve">Chipangamate, N.S., Nwaila, G.T., Bourdeau, J.E. and Zhang, S.E. (2023) ‘Integration of stakeholder engagement practices in pursuit of social licence to operate in a modernising mining industry’, </w:t>
      </w:r>
      <w:r w:rsidRPr="00332709">
        <w:rPr>
          <w:rFonts w:ascii="Arial" w:hAnsi="Arial" w:cs="Arial"/>
          <w:i/>
          <w:iCs/>
        </w:rPr>
        <w:t>Resources Policy</w:t>
      </w:r>
      <w:r w:rsidRPr="00332709">
        <w:rPr>
          <w:rFonts w:ascii="Arial" w:hAnsi="Arial" w:cs="Arial"/>
        </w:rPr>
        <w:t xml:space="preserve">, 85, article 103851. Available at: </w:t>
      </w:r>
      <w:hyperlink r:id="rId31" w:history="1">
        <w:r w:rsidRPr="00332709">
          <w:rPr>
            <w:rStyle w:val="Hyperlink"/>
            <w:rFonts w:ascii="Arial" w:hAnsi="Arial" w:cs="Arial"/>
          </w:rPr>
          <w:t>https://doi.org/10.1016/j.resourpol.2023.103851</w:t>
        </w:r>
      </w:hyperlink>
      <w:r w:rsidRPr="00332709">
        <w:rPr>
          <w:rFonts w:ascii="Arial" w:hAnsi="Arial" w:cs="Arial"/>
        </w:rPr>
        <w:t>.</w:t>
      </w:r>
    </w:p>
    <w:p w14:paraId="42C0A26B" w14:textId="77777777" w:rsidR="004A2C6A" w:rsidRPr="00332709" w:rsidRDefault="004A2C6A" w:rsidP="004A2C6A">
      <w:pPr>
        <w:spacing w:line="360" w:lineRule="auto"/>
        <w:rPr>
          <w:rFonts w:ascii="Arial" w:hAnsi="Arial" w:cs="Arial"/>
        </w:rPr>
      </w:pPr>
      <w:r w:rsidRPr="00332709">
        <w:rPr>
          <w:rFonts w:ascii="Arial" w:hAnsi="Arial" w:cs="Arial"/>
        </w:rPr>
        <w:t xml:space="preserve">Delmas, M.A. and Burbano, V.C. (2011) ‘The drivers of greenwashing’, </w:t>
      </w:r>
      <w:r w:rsidRPr="00332709">
        <w:rPr>
          <w:rFonts w:ascii="Arial" w:hAnsi="Arial" w:cs="Arial"/>
          <w:i/>
          <w:iCs/>
        </w:rPr>
        <w:t>California Management Review</w:t>
      </w:r>
      <w:r w:rsidRPr="00332709">
        <w:rPr>
          <w:rFonts w:ascii="Arial" w:hAnsi="Arial" w:cs="Arial"/>
        </w:rPr>
        <w:t xml:space="preserve">, 54(1), pp. 64–87. Available at: </w:t>
      </w:r>
      <w:hyperlink r:id="rId32" w:history="1">
        <w:r w:rsidRPr="00332709">
          <w:rPr>
            <w:rStyle w:val="Hyperlink"/>
            <w:rFonts w:ascii="Arial" w:hAnsi="Arial" w:cs="Arial"/>
          </w:rPr>
          <w:t>https://doi.org/10.1525/cmr.2011.54.1.64</w:t>
        </w:r>
      </w:hyperlink>
      <w:r w:rsidRPr="00332709">
        <w:rPr>
          <w:rFonts w:ascii="Arial" w:hAnsi="Arial" w:cs="Arial"/>
        </w:rPr>
        <w:t>.</w:t>
      </w:r>
    </w:p>
    <w:p w14:paraId="7323CC38" w14:textId="77777777" w:rsidR="004A2C6A" w:rsidRPr="00332709" w:rsidRDefault="004A2C6A" w:rsidP="004A2C6A">
      <w:pPr>
        <w:spacing w:line="360" w:lineRule="auto"/>
        <w:rPr>
          <w:rFonts w:ascii="Arial" w:hAnsi="Arial" w:cs="Arial"/>
        </w:rPr>
      </w:pPr>
      <w:r w:rsidRPr="00332709">
        <w:rPr>
          <w:rFonts w:ascii="Arial" w:hAnsi="Arial" w:cs="Arial"/>
        </w:rPr>
        <w:t xml:space="preserve">Dyllick, T. and Muff, K. (2016) ‘Clarifying the meaning of sustainable business: Introducing a typology from business-as-usual to true business sustainability’, </w:t>
      </w:r>
      <w:r w:rsidRPr="00332709">
        <w:rPr>
          <w:rFonts w:ascii="Arial" w:hAnsi="Arial" w:cs="Arial"/>
          <w:i/>
          <w:iCs/>
        </w:rPr>
        <w:t>Organization &amp; Environment</w:t>
      </w:r>
      <w:r w:rsidRPr="00332709">
        <w:rPr>
          <w:rFonts w:ascii="Arial" w:hAnsi="Arial" w:cs="Arial"/>
        </w:rPr>
        <w:t xml:space="preserve">, 29(2), pp. 156–174. Available at: </w:t>
      </w:r>
      <w:hyperlink r:id="rId33" w:history="1">
        <w:r w:rsidRPr="00332709">
          <w:rPr>
            <w:rStyle w:val="Hyperlink"/>
            <w:rFonts w:ascii="Arial" w:hAnsi="Arial" w:cs="Arial"/>
          </w:rPr>
          <w:t>https://doi.org/10.1177/1086026615575176</w:t>
        </w:r>
      </w:hyperlink>
      <w:r w:rsidRPr="00332709">
        <w:rPr>
          <w:rFonts w:ascii="Arial" w:hAnsi="Arial" w:cs="Arial"/>
        </w:rPr>
        <w:t>.</w:t>
      </w:r>
    </w:p>
    <w:p w14:paraId="3F5E6905" w14:textId="77777777" w:rsidR="004A2C6A" w:rsidRPr="00332709" w:rsidRDefault="004A2C6A" w:rsidP="004A2C6A">
      <w:pPr>
        <w:spacing w:line="360" w:lineRule="auto"/>
        <w:rPr>
          <w:rFonts w:ascii="Arial" w:hAnsi="Arial" w:cs="Arial"/>
        </w:rPr>
      </w:pPr>
      <w:r w:rsidRPr="00332709">
        <w:rPr>
          <w:rFonts w:ascii="Arial" w:hAnsi="Arial" w:cs="Arial"/>
        </w:rPr>
        <w:t xml:space="preserve">Freeman, R.E., Harrison, J.S., Wicks, A.C., Parmar, B.L. and de Colle, S. (2010) </w:t>
      </w:r>
      <w:r w:rsidRPr="00332709">
        <w:rPr>
          <w:rFonts w:ascii="Arial" w:hAnsi="Arial" w:cs="Arial"/>
          <w:i/>
          <w:iCs/>
        </w:rPr>
        <w:t>Stakeholder theory: The state of the art</w:t>
      </w:r>
      <w:r w:rsidRPr="00332709">
        <w:rPr>
          <w:rFonts w:ascii="Arial" w:hAnsi="Arial" w:cs="Arial"/>
        </w:rPr>
        <w:t>. Cambridge: Cambridge University Press.</w:t>
      </w:r>
    </w:p>
    <w:p w14:paraId="23EFB537" w14:textId="77777777" w:rsidR="004A2C6A" w:rsidRPr="00332709" w:rsidRDefault="004A2C6A" w:rsidP="004A2C6A">
      <w:pPr>
        <w:spacing w:line="360" w:lineRule="auto"/>
        <w:rPr>
          <w:rFonts w:ascii="Arial" w:hAnsi="Arial" w:cs="Arial"/>
        </w:rPr>
      </w:pPr>
      <w:r w:rsidRPr="00332709">
        <w:rPr>
          <w:rFonts w:ascii="Arial" w:hAnsi="Arial" w:cs="Arial"/>
        </w:rPr>
        <w:lastRenderedPageBreak/>
        <w:t xml:space="preserve">Hart, S.L. (1995) ‘A natural-resource-based view of the firm’, </w:t>
      </w:r>
      <w:r w:rsidRPr="00332709">
        <w:rPr>
          <w:rFonts w:ascii="Arial" w:hAnsi="Arial" w:cs="Arial"/>
          <w:i/>
          <w:iCs/>
        </w:rPr>
        <w:t>Academy of Management Review</w:t>
      </w:r>
      <w:r w:rsidRPr="00332709">
        <w:rPr>
          <w:rFonts w:ascii="Arial" w:hAnsi="Arial" w:cs="Arial"/>
        </w:rPr>
        <w:t xml:space="preserve">, 20(4), pp. 986–1014. Available at: </w:t>
      </w:r>
      <w:hyperlink r:id="rId34" w:history="1">
        <w:r w:rsidRPr="00332709">
          <w:rPr>
            <w:rStyle w:val="Hyperlink"/>
            <w:rFonts w:ascii="Arial" w:hAnsi="Arial" w:cs="Arial"/>
          </w:rPr>
          <w:t>https://doi.org/10.5465/amr.1995.9512280033</w:t>
        </w:r>
      </w:hyperlink>
      <w:r w:rsidRPr="00332709">
        <w:rPr>
          <w:rFonts w:ascii="Arial" w:hAnsi="Arial" w:cs="Arial"/>
        </w:rPr>
        <w:t>.</w:t>
      </w:r>
    </w:p>
    <w:p w14:paraId="3E07D500" w14:textId="77777777" w:rsidR="004A2C6A" w:rsidRPr="00332709" w:rsidRDefault="004A2C6A" w:rsidP="004A2C6A">
      <w:pPr>
        <w:spacing w:line="360" w:lineRule="auto"/>
        <w:rPr>
          <w:rFonts w:ascii="Arial" w:hAnsi="Arial" w:cs="Arial"/>
        </w:rPr>
      </w:pPr>
      <w:r w:rsidRPr="00332709">
        <w:rPr>
          <w:rFonts w:ascii="Arial" w:hAnsi="Arial" w:cs="Arial"/>
        </w:rPr>
        <w:t xml:space="preserve">Kotler, P., Keller, K.L., Brady, M., Goodman, M. and Hansen, T. (2024) </w:t>
      </w:r>
      <w:r w:rsidRPr="00332709">
        <w:rPr>
          <w:rFonts w:ascii="Arial" w:hAnsi="Arial" w:cs="Arial"/>
          <w:i/>
          <w:iCs/>
        </w:rPr>
        <w:t>Marketing management</w:t>
      </w:r>
      <w:r w:rsidRPr="00332709">
        <w:rPr>
          <w:rFonts w:ascii="Arial" w:hAnsi="Arial" w:cs="Arial"/>
        </w:rPr>
        <w:t>. 5th European edn. Harlow: Pearson.</w:t>
      </w:r>
    </w:p>
    <w:p w14:paraId="4D83288E" w14:textId="77777777" w:rsidR="004A2C6A" w:rsidRPr="00332709" w:rsidRDefault="004A2C6A" w:rsidP="004A2C6A">
      <w:pPr>
        <w:spacing w:line="360" w:lineRule="auto"/>
        <w:rPr>
          <w:rFonts w:ascii="Arial" w:hAnsi="Arial" w:cs="Arial"/>
        </w:rPr>
      </w:pPr>
      <w:r w:rsidRPr="00332709">
        <w:rPr>
          <w:rFonts w:ascii="Arial" w:hAnsi="Arial" w:cs="Arial"/>
        </w:rPr>
        <w:t xml:space="preserve">Lindgren, L., Grauers, A., Ranggård, J. and Mäki, R. (2022) ‘Drive-cycle simulations of battery-electric large haul trucks for open-pit mining with electric roads’, </w:t>
      </w:r>
      <w:r w:rsidRPr="00332709">
        <w:rPr>
          <w:rFonts w:ascii="Arial" w:hAnsi="Arial" w:cs="Arial"/>
          <w:i/>
          <w:iCs/>
        </w:rPr>
        <w:t>Energies</w:t>
      </w:r>
      <w:r w:rsidRPr="00332709">
        <w:rPr>
          <w:rFonts w:ascii="Arial" w:hAnsi="Arial" w:cs="Arial"/>
        </w:rPr>
        <w:t xml:space="preserve">, 15(13), article 4871. Available at: </w:t>
      </w:r>
      <w:hyperlink r:id="rId35" w:history="1">
        <w:r w:rsidRPr="00332709">
          <w:rPr>
            <w:rStyle w:val="Hyperlink"/>
            <w:rFonts w:ascii="Arial" w:hAnsi="Arial" w:cs="Arial"/>
          </w:rPr>
          <w:t>https://doi.org/10.3390/en15134871</w:t>
        </w:r>
      </w:hyperlink>
      <w:r w:rsidRPr="00332709">
        <w:rPr>
          <w:rFonts w:ascii="Arial" w:hAnsi="Arial" w:cs="Arial"/>
        </w:rPr>
        <w:t>.</w:t>
      </w:r>
    </w:p>
    <w:p w14:paraId="3BB7BB55" w14:textId="77777777" w:rsidR="004A2C6A" w:rsidRPr="00332709" w:rsidRDefault="004A2C6A" w:rsidP="004A2C6A">
      <w:pPr>
        <w:spacing w:line="360" w:lineRule="auto"/>
        <w:rPr>
          <w:rFonts w:ascii="Arial" w:hAnsi="Arial" w:cs="Arial"/>
        </w:rPr>
      </w:pPr>
      <w:r w:rsidRPr="00332709">
        <w:rPr>
          <w:rFonts w:ascii="Arial" w:hAnsi="Arial" w:cs="Arial"/>
        </w:rPr>
        <w:t xml:space="preserve">Nidumolu, R., Prahalad, C.K. and Rangaswami, M.R. (2009) ‘Why sustainability is now the key driver of innovation’, </w:t>
      </w:r>
      <w:r w:rsidRPr="00332709">
        <w:rPr>
          <w:rFonts w:ascii="Arial" w:hAnsi="Arial" w:cs="Arial"/>
          <w:i/>
          <w:iCs/>
        </w:rPr>
        <w:t>Harvard Business Review</w:t>
      </w:r>
      <w:r w:rsidRPr="00332709">
        <w:rPr>
          <w:rFonts w:ascii="Arial" w:hAnsi="Arial" w:cs="Arial"/>
        </w:rPr>
        <w:t>, 87(9), pp. 56–64.</w:t>
      </w:r>
    </w:p>
    <w:p w14:paraId="129A8D5D" w14:textId="77777777" w:rsidR="004A2C6A" w:rsidRPr="00332709" w:rsidRDefault="004A2C6A" w:rsidP="004A2C6A">
      <w:pPr>
        <w:spacing w:line="360" w:lineRule="auto"/>
        <w:rPr>
          <w:rFonts w:ascii="Arial" w:hAnsi="Arial" w:cs="Arial"/>
        </w:rPr>
      </w:pPr>
      <w:r w:rsidRPr="00332709">
        <w:rPr>
          <w:rFonts w:ascii="Arial" w:hAnsi="Arial" w:cs="Arial"/>
        </w:rPr>
        <w:t xml:space="preserve">Porter, M.E. (1985) </w:t>
      </w:r>
      <w:r w:rsidRPr="00332709">
        <w:rPr>
          <w:rFonts w:ascii="Arial" w:hAnsi="Arial" w:cs="Arial"/>
          <w:i/>
          <w:iCs/>
        </w:rPr>
        <w:t>Competitive advantage: Creating and sustaining superior performance</w:t>
      </w:r>
      <w:r w:rsidRPr="00332709">
        <w:rPr>
          <w:rFonts w:ascii="Arial" w:hAnsi="Arial" w:cs="Arial"/>
        </w:rPr>
        <w:t>. New York: Free Press.</w:t>
      </w:r>
    </w:p>
    <w:p w14:paraId="4E2DE853" w14:textId="77777777" w:rsidR="004A2C6A" w:rsidRPr="00332709" w:rsidRDefault="004A2C6A" w:rsidP="004A2C6A">
      <w:pPr>
        <w:spacing w:line="360" w:lineRule="auto"/>
        <w:rPr>
          <w:rFonts w:ascii="Arial" w:hAnsi="Arial" w:cs="Arial"/>
        </w:rPr>
      </w:pPr>
      <w:r w:rsidRPr="00332709">
        <w:rPr>
          <w:rFonts w:ascii="Arial" w:hAnsi="Arial" w:cs="Arial"/>
        </w:rPr>
        <w:t xml:space="preserve">Porter, M.E. and van der Linde, C. (1995) ‘Green and competitive: Ending the stalemate’, </w:t>
      </w:r>
      <w:r w:rsidRPr="00332709">
        <w:rPr>
          <w:rFonts w:ascii="Arial" w:hAnsi="Arial" w:cs="Arial"/>
          <w:i/>
          <w:iCs/>
        </w:rPr>
        <w:t>Harvard Business Review</w:t>
      </w:r>
      <w:r w:rsidRPr="00332709">
        <w:rPr>
          <w:rFonts w:ascii="Arial" w:hAnsi="Arial" w:cs="Arial"/>
        </w:rPr>
        <w:t>, 73(5), pp. 120–134.</w:t>
      </w:r>
    </w:p>
    <w:p w14:paraId="52369330" w14:textId="77777777" w:rsidR="004A2C6A" w:rsidRPr="00332709" w:rsidRDefault="004A2C6A" w:rsidP="004A2C6A">
      <w:pPr>
        <w:spacing w:line="360" w:lineRule="auto"/>
        <w:rPr>
          <w:rFonts w:ascii="Arial" w:hAnsi="Arial" w:cs="Arial"/>
        </w:rPr>
      </w:pPr>
      <w:r w:rsidRPr="00332709">
        <w:rPr>
          <w:rFonts w:ascii="Arial" w:hAnsi="Arial" w:cs="Arial"/>
        </w:rPr>
        <w:t xml:space="preserve">Schön, D.A. (1983) </w:t>
      </w:r>
      <w:r w:rsidRPr="00332709">
        <w:rPr>
          <w:rFonts w:ascii="Arial" w:hAnsi="Arial" w:cs="Arial"/>
          <w:i/>
          <w:iCs/>
        </w:rPr>
        <w:t>The reflective practitioner: How professionals think in action</w:t>
      </w:r>
      <w:r w:rsidRPr="00332709">
        <w:rPr>
          <w:rFonts w:ascii="Arial" w:hAnsi="Arial" w:cs="Arial"/>
        </w:rPr>
        <w:t>. New York: Basic Books.</w:t>
      </w:r>
    </w:p>
    <w:p w14:paraId="12B98CE1" w14:textId="77777777" w:rsidR="004A2C6A" w:rsidRPr="00332709" w:rsidRDefault="004A2C6A" w:rsidP="004A2C6A">
      <w:pPr>
        <w:spacing w:line="360" w:lineRule="auto"/>
        <w:rPr>
          <w:rFonts w:ascii="Arial" w:hAnsi="Arial" w:cs="Arial"/>
        </w:rPr>
      </w:pPr>
      <w:r w:rsidRPr="00332709">
        <w:rPr>
          <w:rFonts w:ascii="Arial" w:hAnsi="Arial" w:cs="Arial"/>
        </w:rPr>
        <w:t xml:space="preserve">Suchman, M.C. (1995) ‘Managing legitimacy: Strategic and institutional approaches’, </w:t>
      </w:r>
      <w:r w:rsidRPr="00332709">
        <w:rPr>
          <w:rFonts w:ascii="Arial" w:hAnsi="Arial" w:cs="Arial"/>
          <w:i/>
          <w:iCs/>
        </w:rPr>
        <w:t>Academy of Management Review</w:t>
      </w:r>
      <w:r w:rsidRPr="00332709">
        <w:rPr>
          <w:rFonts w:ascii="Arial" w:hAnsi="Arial" w:cs="Arial"/>
        </w:rPr>
        <w:t xml:space="preserve">, 20(3), pp. 571–610. Available at: </w:t>
      </w:r>
      <w:hyperlink r:id="rId36" w:history="1">
        <w:r w:rsidRPr="00332709">
          <w:rPr>
            <w:rStyle w:val="Hyperlink"/>
            <w:rFonts w:ascii="Arial" w:hAnsi="Arial" w:cs="Arial"/>
          </w:rPr>
          <w:t>https://doi.org/10.5465/amr.1995.9508080331</w:t>
        </w:r>
      </w:hyperlink>
      <w:r w:rsidRPr="00332709">
        <w:rPr>
          <w:rFonts w:ascii="Arial" w:hAnsi="Arial" w:cs="Arial"/>
        </w:rPr>
        <w:t>.</w:t>
      </w:r>
    </w:p>
    <w:p w14:paraId="735E518D" w14:textId="77777777" w:rsidR="004A2C6A" w:rsidRPr="00332709" w:rsidRDefault="004A2C6A" w:rsidP="004A2C6A">
      <w:pPr>
        <w:spacing w:line="360" w:lineRule="auto"/>
        <w:rPr>
          <w:rFonts w:ascii="Arial" w:hAnsi="Arial" w:cs="Arial"/>
        </w:rPr>
      </w:pPr>
      <w:r w:rsidRPr="00332709">
        <w:rPr>
          <w:rFonts w:ascii="Arial" w:hAnsi="Arial" w:cs="Arial"/>
        </w:rPr>
        <w:t>Tost, M., Bayer, B., Hitch, M., Lutter, S., Moser, P. and Feiel, S. (2018) ‘Metal mining’s environmental pressures: A review and updated estimates on CO</w:t>
      </w:r>
      <w:r w:rsidRPr="00332709">
        <w:rPr>
          <w:rFonts w:ascii="Cambria Math" w:hAnsi="Cambria Math" w:cs="Cambria Math"/>
        </w:rPr>
        <w:t>₂</w:t>
      </w:r>
      <w:r w:rsidRPr="00332709">
        <w:rPr>
          <w:rFonts w:ascii="Arial" w:hAnsi="Arial" w:cs="Arial"/>
        </w:rPr>
        <w:t xml:space="preserve"> emissions, water use, and land requirements’, </w:t>
      </w:r>
      <w:r w:rsidRPr="00332709">
        <w:rPr>
          <w:rFonts w:ascii="Arial" w:hAnsi="Arial" w:cs="Arial"/>
          <w:i/>
          <w:iCs/>
        </w:rPr>
        <w:t>Sustainability</w:t>
      </w:r>
      <w:r w:rsidRPr="00332709">
        <w:rPr>
          <w:rFonts w:ascii="Arial" w:hAnsi="Arial" w:cs="Arial"/>
        </w:rPr>
        <w:t xml:space="preserve">, 10(8), article 2881. Available at: </w:t>
      </w:r>
      <w:hyperlink r:id="rId37" w:history="1">
        <w:r w:rsidRPr="00332709">
          <w:rPr>
            <w:rStyle w:val="Hyperlink"/>
            <w:rFonts w:ascii="Arial" w:hAnsi="Arial" w:cs="Arial"/>
          </w:rPr>
          <w:t>https://doi.org/10.3390/su10082881</w:t>
        </w:r>
      </w:hyperlink>
      <w:r w:rsidRPr="00332709">
        <w:rPr>
          <w:rFonts w:ascii="Arial" w:hAnsi="Arial" w:cs="Arial"/>
        </w:rPr>
        <w:t>.</w:t>
      </w:r>
    </w:p>
    <w:p w14:paraId="70862942" w14:textId="237E82B2" w:rsidR="00164512" w:rsidRPr="004524F7" w:rsidRDefault="004A2C6A" w:rsidP="00017C1E">
      <w:pPr>
        <w:spacing w:line="360" w:lineRule="auto"/>
        <w:rPr>
          <w:rFonts w:ascii="Arial" w:hAnsi="Arial" w:cs="Arial"/>
        </w:rPr>
      </w:pPr>
      <w:r w:rsidRPr="00332709">
        <w:rPr>
          <w:rFonts w:ascii="Arial" w:hAnsi="Arial" w:cs="Arial"/>
        </w:rPr>
        <w:t xml:space="preserve">Whittington, R., Regnér, P., Angwin, D., Johnson, G. and Scholes, K. (2020) </w:t>
      </w:r>
      <w:r w:rsidRPr="00332709">
        <w:rPr>
          <w:rFonts w:ascii="Arial" w:hAnsi="Arial" w:cs="Arial"/>
          <w:i/>
          <w:iCs/>
        </w:rPr>
        <w:t>Exploring strategy: Text and cases</w:t>
      </w:r>
      <w:r w:rsidRPr="00332709">
        <w:rPr>
          <w:rFonts w:ascii="Arial" w:hAnsi="Arial" w:cs="Arial"/>
        </w:rPr>
        <w:t>. 12th edn. Harlow: Pearson.</w:t>
      </w:r>
    </w:p>
    <w:sectPr w:rsidR="00164512" w:rsidRPr="004524F7" w:rsidSect="00E65EAA">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E8463" w14:textId="77777777" w:rsidR="00EB7CCC" w:rsidRPr="00332709" w:rsidRDefault="00EB7CCC" w:rsidP="008D28D1">
      <w:pPr>
        <w:spacing w:after="0" w:line="240" w:lineRule="auto"/>
      </w:pPr>
      <w:r w:rsidRPr="00332709">
        <w:separator/>
      </w:r>
    </w:p>
  </w:endnote>
  <w:endnote w:type="continuationSeparator" w:id="0">
    <w:p w14:paraId="1B6EE66B" w14:textId="77777777" w:rsidR="00EB7CCC" w:rsidRPr="00332709" w:rsidRDefault="00EB7CCC" w:rsidP="008D28D1">
      <w:pPr>
        <w:spacing w:after="0" w:line="240" w:lineRule="auto"/>
      </w:pPr>
      <w:r w:rsidRPr="0033270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8869579"/>
      <w:docPartObj>
        <w:docPartGallery w:val="Page Numbers (Bottom of Page)"/>
        <w:docPartUnique/>
      </w:docPartObj>
    </w:sdtPr>
    <w:sdtEndPr/>
    <w:sdtContent>
      <w:sdt>
        <w:sdtPr>
          <w:id w:val="1728636285"/>
          <w:docPartObj>
            <w:docPartGallery w:val="Page Numbers (Top of Page)"/>
            <w:docPartUnique/>
          </w:docPartObj>
        </w:sdtPr>
        <w:sdtEndPr/>
        <w:sdtContent>
          <w:p w14:paraId="56DC232B" w14:textId="2589682D" w:rsidR="008D28D1" w:rsidRPr="00332709" w:rsidRDefault="008D28D1">
            <w:pPr>
              <w:pStyle w:val="Footer"/>
              <w:jc w:val="center"/>
            </w:pPr>
            <w:r w:rsidRPr="00332709">
              <w:t xml:space="preserve">Page </w:t>
            </w:r>
            <w:r w:rsidRPr="00332709">
              <w:rPr>
                <w:b/>
                <w:bCs/>
              </w:rPr>
              <w:fldChar w:fldCharType="begin"/>
            </w:r>
            <w:r w:rsidRPr="00332709">
              <w:rPr>
                <w:b/>
                <w:bCs/>
              </w:rPr>
              <w:instrText xml:space="preserve"> PAGE </w:instrText>
            </w:r>
            <w:r w:rsidRPr="00332709">
              <w:rPr>
                <w:b/>
                <w:bCs/>
              </w:rPr>
              <w:fldChar w:fldCharType="separate"/>
            </w:r>
            <w:r w:rsidRPr="00332709">
              <w:rPr>
                <w:b/>
                <w:bCs/>
              </w:rPr>
              <w:t>2</w:t>
            </w:r>
            <w:r w:rsidRPr="00332709">
              <w:rPr>
                <w:b/>
                <w:bCs/>
              </w:rPr>
              <w:fldChar w:fldCharType="end"/>
            </w:r>
            <w:r w:rsidRPr="00332709">
              <w:t xml:space="preserve"> of </w:t>
            </w:r>
            <w:r w:rsidRPr="00332709">
              <w:rPr>
                <w:b/>
                <w:bCs/>
              </w:rPr>
              <w:fldChar w:fldCharType="begin"/>
            </w:r>
            <w:r w:rsidRPr="00332709">
              <w:rPr>
                <w:b/>
                <w:bCs/>
              </w:rPr>
              <w:instrText xml:space="preserve"> NUMPAGES  </w:instrText>
            </w:r>
            <w:r w:rsidRPr="00332709">
              <w:rPr>
                <w:b/>
                <w:bCs/>
              </w:rPr>
              <w:fldChar w:fldCharType="separate"/>
            </w:r>
            <w:r w:rsidRPr="00332709">
              <w:rPr>
                <w:b/>
                <w:bCs/>
              </w:rPr>
              <w:t>2</w:t>
            </w:r>
            <w:r w:rsidRPr="00332709">
              <w:rPr>
                <w:b/>
                <w:bCs/>
              </w:rPr>
              <w:fldChar w:fldCharType="end"/>
            </w:r>
          </w:p>
        </w:sdtContent>
      </w:sdt>
    </w:sdtContent>
  </w:sdt>
  <w:p w14:paraId="69A701E2" w14:textId="77777777" w:rsidR="008D28D1" w:rsidRPr="00332709" w:rsidRDefault="008D2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BAC30" w14:textId="77777777" w:rsidR="00EB7CCC" w:rsidRPr="00332709" w:rsidRDefault="00EB7CCC" w:rsidP="008D28D1">
      <w:pPr>
        <w:spacing w:after="0" w:line="240" w:lineRule="auto"/>
      </w:pPr>
      <w:r w:rsidRPr="00332709">
        <w:separator/>
      </w:r>
    </w:p>
  </w:footnote>
  <w:footnote w:type="continuationSeparator" w:id="0">
    <w:p w14:paraId="0F465620" w14:textId="77777777" w:rsidR="00EB7CCC" w:rsidRPr="00332709" w:rsidRDefault="00EB7CCC" w:rsidP="008D28D1">
      <w:pPr>
        <w:spacing w:after="0" w:line="240" w:lineRule="auto"/>
      </w:pPr>
      <w:r w:rsidRPr="0033270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7462E"/>
    <w:multiLevelType w:val="hybridMultilevel"/>
    <w:tmpl w:val="411C4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6707B6"/>
    <w:multiLevelType w:val="hybridMultilevel"/>
    <w:tmpl w:val="16A04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9542707">
    <w:abstractNumId w:val="1"/>
  </w:num>
  <w:num w:numId="2" w16cid:durableId="172906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14E"/>
    <w:rsid w:val="00000431"/>
    <w:rsid w:val="00006FC4"/>
    <w:rsid w:val="00007219"/>
    <w:rsid w:val="00014B55"/>
    <w:rsid w:val="00017C1E"/>
    <w:rsid w:val="00026631"/>
    <w:rsid w:val="000271A9"/>
    <w:rsid w:val="00031338"/>
    <w:rsid w:val="0003358B"/>
    <w:rsid w:val="00036682"/>
    <w:rsid w:val="000422D9"/>
    <w:rsid w:val="00042684"/>
    <w:rsid w:val="00043EC0"/>
    <w:rsid w:val="000454A1"/>
    <w:rsid w:val="00047584"/>
    <w:rsid w:val="0005419A"/>
    <w:rsid w:val="00055B24"/>
    <w:rsid w:val="000623C5"/>
    <w:rsid w:val="00062753"/>
    <w:rsid w:val="0006386C"/>
    <w:rsid w:val="0006773F"/>
    <w:rsid w:val="00072A9C"/>
    <w:rsid w:val="00072CA6"/>
    <w:rsid w:val="000760C5"/>
    <w:rsid w:val="00080A76"/>
    <w:rsid w:val="00081038"/>
    <w:rsid w:val="00091AFE"/>
    <w:rsid w:val="000A009E"/>
    <w:rsid w:val="000B2741"/>
    <w:rsid w:val="000B3D94"/>
    <w:rsid w:val="000C3CC5"/>
    <w:rsid w:val="000D0E58"/>
    <w:rsid w:val="000D511F"/>
    <w:rsid w:val="000D7CF3"/>
    <w:rsid w:val="000F2676"/>
    <w:rsid w:val="000F32E4"/>
    <w:rsid w:val="000F7111"/>
    <w:rsid w:val="00100E30"/>
    <w:rsid w:val="00114CEE"/>
    <w:rsid w:val="001243CA"/>
    <w:rsid w:val="00126195"/>
    <w:rsid w:val="00127EA1"/>
    <w:rsid w:val="00130BE9"/>
    <w:rsid w:val="00133910"/>
    <w:rsid w:val="00155975"/>
    <w:rsid w:val="00155DDA"/>
    <w:rsid w:val="001578CF"/>
    <w:rsid w:val="00164512"/>
    <w:rsid w:val="0016573E"/>
    <w:rsid w:val="001661DC"/>
    <w:rsid w:val="001674F5"/>
    <w:rsid w:val="001721FE"/>
    <w:rsid w:val="001724C3"/>
    <w:rsid w:val="001744E7"/>
    <w:rsid w:val="00174C3A"/>
    <w:rsid w:val="00182CAE"/>
    <w:rsid w:val="00192B9E"/>
    <w:rsid w:val="001940F2"/>
    <w:rsid w:val="00196BA5"/>
    <w:rsid w:val="001A02F5"/>
    <w:rsid w:val="001A05AE"/>
    <w:rsid w:val="001A100C"/>
    <w:rsid w:val="001A1561"/>
    <w:rsid w:val="001A1F35"/>
    <w:rsid w:val="001A770D"/>
    <w:rsid w:val="001B0326"/>
    <w:rsid w:val="001B48DC"/>
    <w:rsid w:val="001C145E"/>
    <w:rsid w:val="001C59C0"/>
    <w:rsid w:val="001E0377"/>
    <w:rsid w:val="001E04A4"/>
    <w:rsid w:val="001E1226"/>
    <w:rsid w:val="001E5A07"/>
    <w:rsid w:val="001E6498"/>
    <w:rsid w:val="001E75D3"/>
    <w:rsid w:val="001F329C"/>
    <w:rsid w:val="001F4606"/>
    <w:rsid w:val="001F4D8C"/>
    <w:rsid w:val="001F6875"/>
    <w:rsid w:val="00203C6E"/>
    <w:rsid w:val="00205AE8"/>
    <w:rsid w:val="00205E80"/>
    <w:rsid w:val="00207E2F"/>
    <w:rsid w:val="00214204"/>
    <w:rsid w:val="002224C0"/>
    <w:rsid w:val="002325D9"/>
    <w:rsid w:val="0023669C"/>
    <w:rsid w:val="002403C5"/>
    <w:rsid w:val="00253B73"/>
    <w:rsid w:val="00253BDE"/>
    <w:rsid w:val="00255373"/>
    <w:rsid w:val="00262C7A"/>
    <w:rsid w:val="00264A46"/>
    <w:rsid w:val="0026648B"/>
    <w:rsid w:val="002702D8"/>
    <w:rsid w:val="00273AE5"/>
    <w:rsid w:val="0027452B"/>
    <w:rsid w:val="0028207C"/>
    <w:rsid w:val="00286445"/>
    <w:rsid w:val="00287EFF"/>
    <w:rsid w:val="002A0A33"/>
    <w:rsid w:val="002A326A"/>
    <w:rsid w:val="002B06D3"/>
    <w:rsid w:val="002B2B7D"/>
    <w:rsid w:val="002B3A02"/>
    <w:rsid w:val="002B4F6B"/>
    <w:rsid w:val="002B695B"/>
    <w:rsid w:val="002C12DC"/>
    <w:rsid w:val="002C2BE1"/>
    <w:rsid w:val="002C7472"/>
    <w:rsid w:val="002D1653"/>
    <w:rsid w:val="002D2CB5"/>
    <w:rsid w:val="002D4471"/>
    <w:rsid w:val="002D45C6"/>
    <w:rsid w:val="002D5434"/>
    <w:rsid w:val="002E2215"/>
    <w:rsid w:val="002E4A1D"/>
    <w:rsid w:val="002F17E7"/>
    <w:rsid w:val="002F40A7"/>
    <w:rsid w:val="002F5CA3"/>
    <w:rsid w:val="002F7543"/>
    <w:rsid w:val="00303811"/>
    <w:rsid w:val="0030556C"/>
    <w:rsid w:val="003107F4"/>
    <w:rsid w:val="003121FE"/>
    <w:rsid w:val="00320AC6"/>
    <w:rsid w:val="00324451"/>
    <w:rsid w:val="00327204"/>
    <w:rsid w:val="003314B6"/>
    <w:rsid w:val="00332709"/>
    <w:rsid w:val="00334850"/>
    <w:rsid w:val="003351FC"/>
    <w:rsid w:val="00335715"/>
    <w:rsid w:val="00335FED"/>
    <w:rsid w:val="00343806"/>
    <w:rsid w:val="0034563B"/>
    <w:rsid w:val="0034716E"/>
    <w:rsid w:val="00351836"/>
    <w:rsid w:val="003605D9"/>
    <w:rsid w:val="00360814"/>
    <w:rsid w:val="00364871"/>
    <w:rsid w:val="003667E2"/>
    <w:rsid w:val="00380D8E"/>
    <w:rsid w:val="00380E9B"/>
    <w:rsid w:val="003826DB"/>
    <w:rsid w:val="0038472E"/>
    <w:rsid w:val="00386B4F"/>
    <w:rsid w:val="0039034D"/>
    <w:rsid w:val="003933A1"/>
    <w:rsid w:val="003947EF"/>
    <w:rsid w:val="003A13C1"/>
    <w:rsid w:val="003A4CC2"/>
    <w:rsid w:val="003B514E"/>
    <w:rsid w:val="003C40BC"/>
    <w:rsid w:val="003D040B"/>
    <w:rsid w:val="003D06EC"/>
    <w:rsid w:val="003D3FE6"/>
    <w:rsid w:val="003D649A"/>
    <w:rsid w:val="003E2AFF"/>
    <w:rsid w:val="003E3788"/>
    <w:rsid w:val="003E4C91"/>
    <w:rsid w:val="003E6736"/>
    <w:rsid w:val="00401E0D"/>
    <w:rsid w:val="004029E2"/>
    <w:rsid w:val="0040423C"/>
    <w:rsid w:val="00411EFB"/>
    <w:rsid w:val="00412740"/>
    <w:rsid w:val="004148C7"/>
    <w:rsid w:val="00421C28"/>
    <w:rsid w:val="00430478"/>
    <w:rsid w:val="00441005"/>
    <w:rsid w:val="00443043"/>
    <w:rsid w:val="004432DF"/>
    <w:rsid w:val="0045226A"/>
    <w:rsid w:val="004524F7"/>
    <w:rsid w:val="00466C31"/>
    <w:rsid w:val="00467B71"/>
    <w:rsid w:val="00472B8D"/>
    <w:rsid w:val="00473BDB"/>
    <w:rsid w:val="00473D2D"/>
    <w:rsid w:val="00482B48"/>
    <w:rsid w:val="00485493"/>
    <w:rsid w:val="00485E1B"/>
    <w:rsid w:val="004908D3"/>
    <w:rsid w:val="004A2C6A"/>
    <w:rsid w:val="004A3E32"/>
    <w:rsid w:val="004B048C"/>
    <w:rsid w:val="004C1DD9"/>
    <w:rsid w:val="004D5111"/>
    <w:rsid w:val="004E25E4"/>
    <w:rsid w:val="004E3A4D"/>
    <w:rsid w:val="004E58F4"/>
    <w:rsid w:val="004E5F69"/>
    <w:rsid w:val="004E6134"/>
    <w:rsid w:val="004E6C10"/>
    <w:rsid w:val="004E7997"/>
    <w:rsid w:val="004F1EFD"/>
    <w:rsid w:val="004F7BAC"/>
    <w:rsid w:val="00501E3A"/>
    <w:rsid w:val="0050359F"/>
    <w:rsid w:val="00504FCA"/>
    <w:rsid w:val="00512CEB"/>
    <w:rsid w:val="00514B94"/>
    <w:rsid w:val="0052004B"/>
    <w:rsid w:val="00525831"/>
    <w:rsid w:val="00531239"/>
    <w:rsid w:val="00533FE0"/>
    <w:rsid w:val="00546DEF"/>
    <w:rsid w:val="00552C83"/>
    <w:rsid w:val="00553AE7"/>
    <w:rsid w:val="00560F72"/>
    <w:rsid w:val="00571DAF"/>
    <w:rsid w:val="0057464C"/>
    <w:rsid w:val="00575A1D"/>
    <w:rsid w:val="00575C9C"/>
    <w:rsid w:val="005932DA"/>
    <w:rsid w:val="005940FF"/>
    <w:rsid w:val="005A5D69"/>
    <w:rsid w:val="005B1735"/>
    <w:rsid w:val="005B7F3A"/>
    <w:rsid w:val="005C00F8"/>
    <w:rsid w:val="005C3AE6"/>
    <w:rsid w:val="005D5471"/>
    <w:rsid w:val="005D5BB5"/>
    <w:rsid w:val="005D7A39"/>
    <w:rsid w:val="005E045A"/>
    <w:rsid w:val="005E07A3"/>
    <w:rsid w:val="005E2915"/>
    <w:rsid w:val="005E63C0"/>
    <w:rsid w:val="005F092D"/>
    <w:rsid w:val="005F4E64"/>
    <w:rsid w:val="005F5B71"/>
    <w:rsid w:val="00600213"/>
    <w:rsid w:val="006040B7"/>
    <w:rsid w:val="00605313"/>
    <w:rsid w:val="00606E1A"/>
    <w:rsid w:val="00607689"/>
    <w:rsid w:val="006160D3"/>
    <w:rsid w:val="006205DB"/>
    <w:rsid w:val="00626B28"/>
    <w:rsid w:val="006272B2"/>
    <w:rsid w:val="00632542"/>
    <w:rsid w:val="00647733"/>
    <w:rsid w:val="00655B6E"/>
    <w:rsid w:val="0066306B"/>
    <w:rsid w:val="00663FF2"/>
    <w:rsid w:val="00671DED"/>
    <w:rsid w:val="00674D0B"/>
    <w:rsid w:val="0067613C"/>
    <w:rsid w:val="006771B6"/>
    <w:rsid w:val="00680CEF"/>
    <w:rsid w:val="00683005"/>
    <w:rsid w:val="00683754"/>
    <w:rsid w:val="0069208D"/>
    <w:rsid w:val="006944D6"/>
    <w:rsid w:val="006A02BD"/>
    <w:rsid w:val="006A1A6A"/>
    <w:rsid w:val="006A5809"/>
    <w:rsid w:val="006A65CD"/>
    <w:rsid w:val="006B1AC9"/>
    <w:rsid w:val="006B45A5"/>
    <w:rsid w:val="006C0B9F"/>
    <w:rsid w:val="006C1B43"/>
    <w:rsid w:val="006C215E"/>
    <w:rsid w:val="006C502E"/>
    <w:rsid w:val="006D1AA9"/>
    <w:rsid w:val="006D333E"/>
    <w:rsid w:val="006E18D3"/>
    <w:rsid w:val="006E3776"/>
    <w:rsid w:val="006F2CFA"/>
    <w:rsid w:val="006F3A80"/>
    <w:rsid w:val="006F4709"/>
    <w:rsid w:val="006F57EC"/>
    <w:rsid w:val="006F7BA6"/>
    <w:rsid w:val="007039D2"/>
    <w:rsid w:val="00707C71"/>
    <w:rsid w:val="00711D08"/>
    <w:rsid w:val="007123FD"/>
    <w:rsid w:val="007125AC"/>
    <w:rsid w:val="00712DC6"/>
    <w:rsid w:val="00717B00"/>
    <w:rsid w:val="00724652"/>
    <w:rsid w:val="007301B3"/>
    <w:rsid w:val="00731F45"/>
    <w:rsid w:val="00747995"/>
    <w:rsid w:val="007507D7"/>
    <w:rsid w:val="00752F4C"/>
    <w:rsid w:val="00756E3A"/>
    <w:rsid w:val="00760D91"/>
    <w:rsid w:val="0076183B"/>
    <w:rsid w:val="0076591C"/>
    <w:rsid w:val="00773324"/>
    <w:rsid w:val="007754E6"/>
    <w:rsid w:val="00777C99"/>
    <w:rsid w:val="00780E62"/>
    <w:rsid w:val="007855C4"/>
    <w:rsid w:val="00786990"/>
    <w:rsid w:val="00787172"/>
    <w:rsid w:val="007903C7"/>
    <w:rsid w:val="007A1D4F"/>
    <w:rsid w:val="007B269E"/>
    <w:rsid w:val="007B358C"/>
    <w:rsid w:val="007B7511"/>
    <w:rsid w:val="007C7387"/>
    <w:rsid w:val="007D6E40"/>
    <w:rsid w:val="007D7555"/>
    <w:rsid w:val="007D791E"/>
    <w:rsid w:val="007D7C6D"/>
    <w:rsid w:val="007E0C08"/>
    <w:rsid w:val="007E799F"/>
    <w:rsid w:val="007F4AE4"/>
    <w:rsid w:val="0080307E"/>
    <w:rsid w:val="00811823"/>
    <w:rsid w:val="00812E1E"/>
    <w:rsid w:val="008134C0"/>
    <w:rsid w:val="00822F5E"/>
    <w:rsid w:val="008242A0"/>
    <w:rsid w:val="00827F70"/>
    <w:rsid w:val="00833FBB"/>
    <w:rsid w:val="00836DE8"/>
    <w:rsid w:val="00840309"/>
    <w:rsid w:val="00843230"/>
    <w:rsid w:val="00846742"/>
    <w:rsid w:val="00847C50"/>
    <w:rsid w:val="0085193E"/>
    <w:rsid w:val="00853A53"/>
    <w:rsid w:val="008567B2"/>
    <w:rsid w:val="008567B7"/>
    <w:rsid w:val="00857173"/>
    <w:rsid w:val="008656EF"/>
    <w:rsid w:val="00874A32"/>
    <w:rsid w:val="00881C03"/>
    <w:rsid w:val="00895BF3"/>
    <w:rsid w:val="008A5FA7"/>
    <w:rsid w:val="008B069A"/>
    <w:rsid w:val="008B58AF"/>
    <w:rsid w:val="008C7B01"/>
    <w:rsid w:val="008D28D1"/>
    <w:rsid w:val="008D2C55"/>
    <w:rsid w:val="008D309F"/>
    <w:rsid w:val="008D38A6"/>
    <w:rsid w:val="008D3D54"/>
    <w:rsid w:val="008D510F"/>
    <w:rsid w:val="008D65A0"/>
    <w:rsid w:val="008D7757"/>
    <w:rsid w:val="008E11A1"/>
    <w:rsid w:val="008E6B7E"/>
    <w:rsid w:val="008F0F4E"/>
    <w:rsid w:val="008F556E"/>
    <w:rsid w:val="008F5F95"/>
    <w:rsid w:val="00900E03"/>
    <w:rsid w:val="009039CC"/>
    <w:rsid w:val="00903CC1"/>
    <w:rsid w:val="009078B4"/>
    <w:rsid w:val="00911A17"/>
    <w:rsid w:val="00912059"/>
    <w:rsid w:val="009123C5"/>
    <w:rsid w:val="00913577"/>
    <w:rsid w:val="009179F8"/>
    <w:rsid w:val="00921EA1"/>
    <w:rsid w:val="00922AD1"/>
    <w:rsid w:val="0092497E"/>
    <w:rsid w:val="00925828"/>
    <w:rsid w:val="009355F3"/>
    <w:rsid w:val="0094012C"/>
    <w:rsid w:val="00942467"/>
    <w:rsid w:val="0095669B"/>
    <w:rsid w:val="009669B6"/>
    <w:rsid w:val="0098444A"/>
    <w:rsid w:val="009849AD"/>
    <w:rsid w:val="00986E03"/>
    <w:rsid w:val="009947C7"/>
    <w:rsid w:val="009967AF"/>
    <w:rsid w:val="009A180E"/>
    <w:rsid w:val="009B3DDC"/>
    <w:rsid w:val="009B427E"/>
    <w:rsid w:val="009B6DEB"/>
    <w:rsid w:val="009C6055"/>
    <w:rsid w:val="009D087C"/>
    <w:rsid w:val="009D0BC7"/>
    <w:rsid w:val="009D1FDA"/>
    <w:rsid w:val="009D56A1"/>
    <w:rsid w:val="009D5C3D"/>
    <w:rsid w:val="009D79C0"/>
    <w:rsid w:val="009E0793"/>
    <w:rsid w:val="009E614B"/>
    <w:rsid w:val="009F2B88"/>
    <w:rsid w:val="00A03AC3"/>
    <w:rsid w:val="00A05EF2"/>
    <w:rsid w:val="00A072D0"/>
    <w:rsid w:val="00A0789F"/>
    <w:rsid w:val="00A12050"/>
    <w:rsid w:val="00A2080A"/>
    <w:rsid w:val="00A228BB"/>
    <w:rsid w:val="00A26073"/>
    <w:rsid w:val="00A31A47"/>
    <w:rsid w:val="00A33D6B"/>
    <w:rsid w:val="00A35D87"/>
    <w:rsid w:val="00A3638F"/>
    <w:rsid w:val="00A40538"/>
    <w:rsid w:val="00A447FC"/>
    <w:rsid w:val="00A47660"/>
    <w:rsid w:val="00A5073B"/>
    <w:rsid w:val="00A5413C"/>
    <w:rsid w:val="00A557BB"/>
    <w:rsid w:val="00A57837"/>
    <w:rsid w:val="00A57994"/>
    <w:rsid w:val="00A62309"/>
    <w:rsid w:val="00A743A4"/>
    <w:rsid w:val="00A757E1"/>
    <w:rsid w:val="00A76ACD"/>
    <w:rsid w:val="00A830BC"/>
    <w:rsid w:val="00A855D3"/>
    <w:rsid w:val="00A92D6A"/>
    <w:rsid w:val="00A941CF"/>
    <w:rsid w:val="00AA4DA4"/>
    <w:rsid w:val="00AA7CDD"/>
    <w:rsid w:val="00AB1FA6"/>
    <w:rsid w:val="00AB2751"/>
    <w:rsid w:val="00AB3BBF"/>
    <w:rsid w:val="00AC1F1E"/>
    <w:rsid w:val="00AC367A"/>
    <w:rsid w:val="00AC554F"/>
    <w:rsid w:val="00AF0CA8"/>
    <w:rsid w:val="00AF1251"/>
    <w:rsid w:val="00AF518C"/>
    <w:rsid w:val="00B04CEF"/>
    <w:rsid w:val="00B06E6F"/>
    <w:rsid w:val="00B07247"/>
    <w:rsid w:val="00B13835"/>
    <w:rsid w:val="00B166E7"/>
    <w:rsid w:val="00B218BB"/>
    <w:rsid w:val="00B22F95"/>
    <w:rsid w:val="00B3419E"/>
    <w:rsid w:val="00B35DBA"/>
    <w:rsid w:val="00B361AF"/>
    <w:rsid w:val="00B521B2"/>
    <w:rsid w:val="00B537D5"/>
    <w:rsid w:val="00B64C2F"/>
    <w:rsid w:val="00B65515"/>
    <w:rsid w:val="00B721FB"/>
    <w:rsid w:val="00B729C9"/>
    <w:rsid w:val="00B72B3E"/>
    <w:rsid w:val="00B765E7"/>
    <w:rsid w:val="00B8227D"/>
    <w:rsid w:val="00B95EB7"/>
    <w:rsid w:val="00B97206"/>
    <w:rsid w:val="00BA0FE5"/>
    <w:rsid w:val="00BA1181"/>
    <w:rsid w:val="00BA4C79"/>
    <w:rsid w:val="00BB1DB7"/>
    <w:rsid w:val="00BB4C1F"/>
    <w:rsid w:val="00BC1E94"/>
    <w:rsid w:val="00BC31B8"/>
    <w:rsid w:val="00BC4221"/>
    <w:rsid w:val="00BC614D"/>
    <w:rsid w:val="00BD1EE6"/>
    <w:rsid w:val="00BD2E5D"/>
    <w:rsid w:val="00BD40C5"/>
    <w:rsid w:val="00BE0F14"/>
    <w:rsid w:val="00BE7F94"/>
    <w:rsid w:val="00BF1966"/>
    <w:rsid w:val="00C0249B"/>
    <w:rsid w:val="00C04070"/>
    <w:rsid w:val="00C0616D"/>
    <w:rsid w:val="00C071C7"/>
    <w:rsid w:val="00C13514"/>
    <w:rsid w:val="00C14D21"/>
    <w:rsid w:val="00C22682"/>
    <w:rsid w:val="00C245D2"/>
    <w:rsid w:val="00C27B44"/>
    <w:rsid w:val="00C3018F"/>
    <w:rsid w:val="00C334B6"/>
    <w:rsid w:val="00C36AFD"/>
    <w:rsid w:val="00C40785"/>
    <w:rsid w:val="00C41AF8"/>
    <w:rsid w:val="00C422B4"/>
    <w:rsid w:val="00C43307"/>
    <w:rsid w:val="00C443AC"/>
    <w:rsid w:val="00C45C24"/>
    <w:rsid w:val="00C45D3F"/>
    <w:rsid w:val="00C50E6A"/>
    <w:rsid w:val="00C51845"/>
    <w:rsid w:val="00C53270"/>
    <w:rsid w:val="00C537A3"/>
    <w:rsid w:val="00C54196"/>
    <w:rsid w:val="00C542D4"/>
    <w:rsid w:val="00C660E4"/>
    <w:rsid w:val="00C66E4D"/>
    <w:rsid w:val="00C746FE"/>
    <w:rsid w:val="00C7605F"/>
    <w:rsid w:val="00C84C90"/>
    <w:rsid w:val="00C85CF6"/>
    <w:rsid w:val="00C90821"/>
    <w:rsid w:val="00C95566"/>
    <w:rsid w:val="00CB6081"/>
    <w:rsid w:val="00CC56A0"/>
    <w:rsid w:val="00CC5FF7"/>
    <w:rsid w:val="00CD20C7"/>
    <w:rsid w:val="00CD46F9"/>
    <w:rsid w:val="00CE7A2E"/>
    <w:rsid w:val="00CF135C"/>
    <w:rsid w:val="00CF3D32"/>
    <w:rsid w:val="00CF5A2B"/>
    <w:rsid w:val="00CF731D"/>
    <w:rsid w:val="00D06674"/>
    <w:rsid w:val="00D12F01"/>
    <w:rsid w:val="00D13CD9"/>
    <w:rsid w:val="00D17DBC"/>
    <w:rsid w:val="00D20FD9"/>
    <w:rsid w:val="00D3092E"/>
    <w:rsid w:val="00D30EDF"/>
    <w:rsid w:val="00D33B46"/>
    <w:rsid w:val="00D35A99"/>
    <w:rsid w:val="00D36E98"/>
    <w:rsid w:val="00D4373C"/>
    <w:rsid w:val="00D46067"/>
    <w:rsid w:val="00D61E63"/>
    <w:rsid w:val="00D62CF5"/>
    <w:rsid w:val="00D6351A"/>
    <w:rsid w:val="00D73D4B"/>
    <w:rsid w:val="00D829D2"/>
    <w:rsid w:val="00D84DF2"/>
    <w:rsid w:val="00D86176"/>
    <w:rsid w:val="00D87739"/>
    <w:rsid w:val="00D90E30"/>
    <w:rsid w:val="00D973FD"/>
    <w:rsid w:val="00DA6030"/>
    <w:rsid w:val="00DA6231"/>
    <w:rsid w:val="00DA6E5E"/>
    <w:rsid w:val="00DB6538"/>
    <w:rsid w:val="00DB6C7E"/>
    <w:rsid w:val="00DB782F"/>
    <w:rsid w:val="00DC2E17"/>
    <w:rsid w:val="00DC44AE"/>
    <w:rsid w:val="00DC51CB"/>
    <w:rsid w:val="00DD11C8"/>
    <w:rsid w:val="00DD241B"/>
    <w:rsid w:val="00DD31C2"/>
    <w:rsid w:val="00DD7DB7"/>
    <w:rsid w:val="00DF19C3"/>
    <w:rsid w:val="00E0144E"/>
    <w:rsid w:val="00E02521"/>
    <w:rsid w:val="00E02CBD"/>
    <w:rsid w:val="00E0401D"/>
    <w:rsid w:val="00E0435B"/>
    <w:rsid w:val="00E049FB"/>
    <w:rsid w:val="00E04EB5"/>
    <w:rsid w:val="00E07713"/>
    <w:rsid w:val="00E10F7B"/>
    <w:rsid w:val="00E124EC"/>
    <w:rsid w:val="00E14925"/>
    <w:rsid w:val="00E15648"/>
    <w:rsid w:val="00E16C50"/>
    <w:rsid w:val="00E22F21"/>
    <w:rsid w:val="00E2478E"/>
    <w:rsid w:val="00E25472"/>
    <w:rsid w:val="00E27BA1"/>
    <w:rsid w:val="00E30D3B"/>
    <w:rsid w:val="00E32DB2"/>
    <w:rsid w:val="00E37DD8"/>
    <w:rsid w:val="00E6009E"/>
    <w:rsid w:val="00E60405"/>
    <w:rsid w:val="00E61018"/>
    <w:rsid w:val="00E610BA"/>
    <w:rsid w:val="00E614E3"/>
    <w:rsid w:val="00E629AF"/>
    <w:rsid w:val="00E62E9C"/>
    <w:rsid w:val="00E65D57"/>
    <w:rsid w:val="00E65EAA"/>
    <w:rsid w:val="00E66A68"/>
    <w:rsid w:val="00E7054A"/>
    <w:rsid w:val="00E812C6"/>
    <w:rsid w:val="00E85A35"/>
    <w:rsid w:val="00E9189D"/>
    <w:rsid w:val="00E97388"/>
    <w:rsid w:val="00EA25CC"/>
    <w:rsid w:val="00EA4B73"/>
    <w:rsid w:val="00EB39AE"/>
    <w:rsid w:val="00EB4471"/>
    <w:rsid w:val="00EB71BE"/>
    <w:rsid w:val="00EB7CCC"/>
    <w:rsid w:val="00EC0568"/>
    <w:rsid w:val="00EC5828"/>
    <w:rsid w:val="00EC7F96"/>
    <w:rsid w:val="00ED13FF"/>
    <w:rsid w:val="00ED6CE0"/>
    <w:rsid w:val="00ED7E36"/>
    <w:rsid w:val="00EE00A3"/>
    <w:rsid w:val="00EE176F"/>
    <w:rsid w:val="00EE1F8C"/>
    <w:rsid w:val="00EE282D"/>
    <w:rsid w:val="00EE5AB8"/>
    <w:rsid w:val="00EE5D8C"/>
    <w:rsid w:val="00EE663E"/>
    <w:rsid w:val="00EE79E7"/>
    <w:rsid w:val="00EF070C"/>
    <w:rsid w:val="00EF6C9C"/>
    <w:rsid w:val="00F009C2"/>
    <w:rsid w:val="00F00DD1"/>
    <w:rsid w:val="00F05868"/>
    <w:rsid w:val="00F0691C"/>
    <w:rsid w:val="00F26EA2"/>
    <w:rsid w:val="00F3600C"/>
    <w:rsid w:val="00F40053"/>
    <w:rsid w:val="00F427B1"/>
    <w:rsid w:val="00F43750"/>
    <w:rsid w:val="00F44A40"/>
    <w:rsid w:val="00F50E93"/>
    <w:rsid w:val="00F54904"/>
    <w:rsid w:val="00F655B7"/>
    <w:rsid w:val="00F67ABE"/>
    <w:rsid w:val="00F75D92"/>
    <w:rsid w:val="00F8088B"/>
    <w:rsid w:val="00F91FD5"/>
    <w:rsid w:val="00F94E2B"/>
    <w:rsid w:val="00FA1981"/>
    <w:rsid w:val="00FA6F33"/>
    <w:rsid w:val="00FA7FE9"/>
    <w:rsid w:val="00FB19D2"/>
    <w:rsid w:val="00FB3752"/>
    <w:rsid w:val="00FB5931"/>
    <w:rsid w:val="00FB5CEE"/>
    <w:rsid w:val="00FB65CA"/>
    <w:rsid w:val="00FB6C3A"/>
    <w:rsid w:val="00FD2899"/>
    <w:rsid w:val="00FD4288"/>
    <w:rsid w:val="00FE059C"/>
    <w:rsid w:val="00FE16A8"/>
    <w:rsid w:val="00FE178A"/>
    <w:rsid w:val="00FE1A10"/>
    <w:rsid w:val="00FE5925"/>
    <w:rsid w:val="00FE5C32"/>
    <w:rsid w:val="00FF1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04A71"/>
  <w15:chartTrackingRefBased/>
  <w15:docId w15:val="{D2067D8B-6582-4974-BD65-80E059947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E1E"/>
    <w:rPr>
      <w:lang w:val="en-GB"/>
    </w:rPr>
  </w:style>
  <w:style w:type="paragraph" w:styleId="Heading1">
    <w:name w:val="heading 1"/>
    <w:basedOn w:val="Normal"/>
    <w:next w:val="Normal"/>
    <w:link w:val="Heading1Char"/>
    <w:uiPriority w:val="9"/>
    <w:qFormat/>
    <w:rsid w:val="003B514E"/>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unhideWhenUsed/>
    <w:qFormat/>
    <w:rsid w:val="003B514E"/>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3B514E"/>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3B514E"/>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3B514E"/>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3B5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14E"/>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rsid w:val="003B514E"/>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3B514E"/>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3B514E"/>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3B514E"/>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3B51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1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1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14E"/>
    <w:rPr>
      <w:rFonts w:eastAsiaTheme="majorEastAsia" w:cstheme="majorBidi"/>
      <w:color w:val="272727" w:themeColor="text1" w:themeTint="D8"/>
    </w:rPr>
  </w:style>
  <w:style w:type="paragraph" w:styleId="Title">
    <w:name w:val="Title"/>
    <w:basedOn w:val="Normal"/>
    <w:next w:val="Normal"/>
    <w:link w:val="TitleChar"/>
    <w:uiPriority w:val="10"/>
    <w:qFormat/>
    <w:rsid w:val="003B5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14E"/>
    <w:pPr>
      <w:spacing w:before="160"/>
      <w:jc w:val="center"/>
    </w:pPr>
    <w:rPr>
      <w:i/>
      <w:iCs/>
      <w:color w:val="404040" w:themeColor="text1" w:themeTint="BF"/>
    </w:rPr>
  </w:style>
  <w:style w:type="character" w:customStyle="1" w:styleId="QuoteChar">
    <w:name w:val="Quote Char"/>
    <w:basedOn w:val="DefaultParagraphFont"/>
    <w:link w:val="Quote"/>
    <w:uiPriority w:val="29"/>
    <w:rsid w:val="003B514E"/>
    <w:rPr>
      <w:i/>
      <w:iCs/>
      <w:color w:val="404040" w:themeColor="text1" w:themeTint="BF"/>
    </w:rPr>
  </w:style>
  <w:style w:type="paragraph" w:styleId="ListParagraph">
    <w:name w:val="List Paragraph"/>
    <w:basedOn w:val="Normal"/>
    <w:uiPriority w:val="34"/>
    <w:qFormat/>
    <w:rsid w:val="003B514E"/>
    <w:pPr>
      <w:ind w:left="720"/>
      <w:contextualSpacing/>
    </w:pPr>
  </w:style>
  <w:style w:type="character" w:styleId="IntenseEmphasis">
    <w:name w:val="Intense Emphasis"/>
    <w:basedOn w:val="DefaultParagraphFont"/>
    <w:uiPriority w:val="21"/>
    <w:qFormat/>
    <w:rsid w:val="003B514E"/>
    <w:rPr>
      <w:i/>
      <w:iCs/>
      <w:color w:val="7C9163" w:themeColor="accent1" w:themeShade="BF"/>
    </w:rPr>
  </w:style>
  <w:style w:type="paragraph" w:styleId="IntenseQuote">
    <w:name w:val="Intense Quote"/>
    <w:basedOn w:val="Normal"/>
    <w:next w:val="Normal"/>
    <w:link w:val="IntenseQuoteChar"/>
    <w:uiPriority w:val="30"/>
    <w:qFormat/>
    <w:rsid w:val="003B514E"/>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3B514E"/>
    <w:rPr>
      <w:i/>
      <w:iCs/>
      <w:color w:val="7C9163" w:themeColor="accent1" w:themeShade="BF"/>
    </w:rPr>
  </w:style>
  <w:style w:type="character" w:styleId="IntenseReference">
    <w:name w:val="Intense Reference"/>
    <w:basedOn w:val="DefaultParagraphFont"/>
    <w:uiPriority w:val="32"/>
    <w:qFormat/>
    <w:rsid w:val="003B514E"/>
    <w:rPr>
      <w:b/>
      <w:bCs/>
      <w:smallCaps/>
      <w:color w:val="7C9163" w:themeColor="accent1" w:themeShade="BF"/>
      <w:spacing w:val="5"/>
    </w:rPr>
  </w:style>
  <w:style w:type="character" w:customStyle="1" w:styleId="wacimagecontainer">
    <w:name w:val="wacimagecontainer"/>
    <w:basedOn w:val="DefaultParagraphFont"/>
    <w:rsid w:val="003B514E"/>
  </w:style>
  <w:style w:type="paragraph" w:styleId="Header">
    <w:name w:val="header"/>
    <w:basedOn w:val="Normal"/>
    <w:link w:val="HeaderChar"/>
    <w:uiPriority w:val="99"/>
    <w:unhideWhenUsed/>
    <w:rsid w:val="008D28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28D1"/>
  </w:style>
  <w:style w:type="paragraph" w:styleId="Footer">
    <w:name w:val="footer"/>
    <w:basedOn w:val="Normal"/>
    <w:link w:val="FooterChar"/>
    <w:uiPriority w:val="99"/>
    <w:unhideWhenUsed/>
    <w:rsid w:val="008D28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28D1"/>
  </w:style>
  <w:style w:type="paragraph" w:styleId="NormalWeb">
    <w:name w:val="Normal (Web)"/>
    <w:basedOn w:val="Normal"/>
    <w:uiPriority w:val="99"/>
    <w:semiHidden/>
    <w:unhideWhenUsed/>
    <w:rsid w:val="00EB39AE"/>
    <w:rPr>
      <w:rFonts w:ascii="Times New Roman" w:hAnsi="Times New Roman" w:cs="Times New Roman"/>
    </w:rPr>
  </w:style>
  <w:style w:type="character" w:styleId="Hyperlink">
    <w:name w:val="Hyperlink"/>
    <w:basedOn w:val="DefaultParagraphFont"/>
    <w:uiPriority w:val="99"/>
    <w:unhideWhenUsed/>
    <w:rsid w:val="009B3DDC"/>
    <w:rPr>
      <w:color w:val="8E58B6" w:themeColor="hyperlink"/>
      <w:u w:val="single"/>
    </w:rPr>
  </w:style>
  <w:style w:type="character" w:styleId="UnresolvedMention">
    <w:name w:val="Unresolved Mention"/>
    <w:basedOn w:val="DefaultParagraphFont"/>
    <w:uiPriority w:val="99"/>
    <w:semiHidden/>
    <w:unhideWhenUsed/>
    <w:rsid w:val="009B3DDC"/>
    <w:rPr>
      <w:color w:val="605E5C"/>
      <w:shd w:val="clear" w:color="auto" w:fill="E1DFDD"/>
    </w:rPr>
  </w:style>
  <w:style w:type="paragraph" w:customStyle="1" w:styleId="Reference">
    <w:name w:val="Reference"/>
    <w:rsid w:val="003C40BC"/>
    <w:pPr>
      <w:spacing w:after="100" w:line="276" w:lineRule="auto"/>
      <w:ind w:left="432" w:hanging="432"/>
    </w:pPr>
    <w:rPr>
      <w:rFonts w:ascii="Times New Roman" w:hAnsi="Times New Roman"/>
      <w:sz w:val="20"/>
    </w:rPr>
  </w:style>
  <w:style w:type="paragraph" w:styleId="TOCHeading">
    <w:name w:val="TOC Heading"/>
    <w:basedOn w:val="Heading1"/>
    <w:next w:val="Normal"/>
    <w:uiPriority w:val="39"/>
    <w:unhideWhenUsed/>
    <w:qFormat/>
    <w:rsid w:val="007E799F"/>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7E799F"/>
    <w:pPr>
      <w:spacing w:after="100"/>
    </w:pPr>
  </w:style>
  <w:style w:type="paragraph" w:styleId="TOC2">
    <w:name w:val="toc 2"/>
    <w:basedOn w:val="Normal"/>
    <w:next w:val="Normal"/>
    <w:autoRedefine/>
    <w:uiPriority w:val="39"/>
    <w:unhideWhenUsed/>
    <w:rsid w:val="007E799F"/>
    <w:pPr>
      <w:spacing w:after="100"/>
      <w:ind w:left="240"/>
    </w:pPr>
  </w:style>
  <w:style w:type="character" w:styleId="CommentReference">
    <w:name w:val="annotation reference"/>
    <w:basedOn w:val="DefaultParagraphFont"/>
    <w:uiPriority w:val="99"/>
    <w:semiHidden/>
    <w:unhideWhenUsed/>
    <w:rsid w:val="00B361AF"/>
    <w:rPr>
      <w:sz w:val="16"/>
      <w:szCs w:val="16"/>
    </w:rPr>
  </w:style>
  <w:style w:type="paragraph" w:styleId="CommentText">
    <w:name w:val="annotation text"/>
    <w:basedOn w:val="Normal"/>
    <w:link w:val="CommentTextChar"/>
    <w:uiPriority w:val="99"/>
    <w:unhideWhenUsed/>
    <w:rsid w:val="00B361AF"/>
    <w:pPr>
      <w:spacing w:line="240" w:lineRule="auto"/>
    </w:pPr>
    <w:rPr>
      <w:sz w:val="20"/>
      <w:szCs w:val="20"/>
    </w:rPr>
  </w:style>
  <w:style w:type="character" w:customStyle="1" w:styleId="CommentTextChar">
    <w:name w:val="Comment Text Char"/>
    <w:basedOn w:val="DefaultParagraphFont"/>
    <w:link w:val="CommentText"/>
    <w:uiPriority w:val="99"/>
    <w:rsid w:val="00B361AF"/>
    <w:rPr>
      <w:sz w:val="20"/>
      <w:szCs w:val="20"/>
      <w:lang w:val="en-GB"/>
    </w:rPr>
  </w:style>
  <w:style w:type="paragraph" w:styleId="CommentSubject">
    <w:name w:val="annotation subject"/>
    <w:basedOn w:val="CommentText"/>
    <w:next w:val="CommentText"/>
    <w:link w:val="CommentSubjectChar"/>
    <w:uiPriority w:val="99"/>
    <w:semiHidden/>
    <w:unhideWhenUsed/>
    <w:rsid w:val="00B361AF"/>
    <w:rPr>
      <w:b/>
      <w:bCs/>
    </w:rPr>
  </w:style>
  <w:style w:type="character" w:customStyle="1" w:styleId="CommentSubjectChar">
    <w:name w:val="Comment Subject Char"/>
    <w:basedOn w:val="CommentTextChar"/>
    <w:link w:val="CommentSubject"/>
    <w:uiPriority w:val="99"/>
    <w:semiHidden/>
    <w:rsid w:val="00B361A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4.png"/><Relationship Id="rId39" Type="http://schemas.openxmlformats.org/officeDocument/2006/relationships/fontTable" Target="fontTable.xml"/><Relationship Id="rId21" Type="http://schemas.openxmlformats.org/officeDocument/2006/relationships/diagramQuickStyle" Target="diagrams/quickStyle3.xml"/><Relationship Id="rId34" Type="http://schemas.openxmlformats.org/officeDocument/2006/relationships/hyperlink" Target="https://doi.org/10.5465/amr.1995.9512280033"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3.png"/><Relationship Id="rId33" Type="http://schemas.openxmlformats.org/officeDocument/2006/relationships/hyperlink" Target="https://doi.org/10.1177/1086026615575176"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s://www.bhp.com/ctap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hyperlink" Target="https://doi.org/10.1525/cmr.2011.54.1.64" TargetMode="External"/><Relationship Id="rId37" Type="http://schemas.openxmlformats.org/officeDocument/2006/relationships/hyperlink" Target="https://doi.org/10.3390/su1008288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doi.org/10.1177/014920639101700108" TargetMode="External"/><Relationship Id="rId36" Type="http://schemas.openxmlformats.org/officeDocument/2006/relationships/hyperlink" Target="https://doi.org/10.5465/amr.1995.9508080331"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doi.org/10.1016/j.resourpol.2023.103851"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image" Target="media/image5.png"/><Relationship Id="rId30" Type="http://schemas.openxmlformats.org/officeDocument/2006/relationships/hyperlink" Target="https://www.bhp.com/-/media/documents/investors/annual-reports/2025/250819_bhpannualreport2025.pdf" TargetMode="External"/><Relationship Id="rId35" Type="http://schemas.openxmlformats.org/officeDocument/2006/relationships/hyperlink" Target="https://doi.org/10.3390/en15134871"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5">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1NoLn">
    <dgm:fillClrLst meth="repeat">
      <a:schemeClr val="accent1"/>
    </dgm:fillClrLst>
    <dgm:linClrLst meth="repeat">
      <a:schemeClr val="lt1">
        <a:alpha val="0"/>
      </a:schemeClr>
    </dgm:linClrLst>
    <dgm:effectClrLst/>
    <dgm:txLinClrLst/>
    <dgm:txFillClrLst/>
    <dgm:txEffectClrLst/>
  </dgm:styleLbl>
  <dgm:styleLbl name="ltNode1NoLn">
    <dgm:fillClrLst meth="repeat">
      <a:schemeClr val="accent1">
        <a:tint val="75000"/>
      </a:schemeClr>
    </dgm:fillClrLst>
    <dgm:linClrLst meth="repeat">
      <a:schemeClr val="lt1">
        <a:alpha val="0"/>
      </a:schemeClr>
    </dgm:linClrLst>
    <dgm:effectClrLst/>
    <dgm:txLinClrLst/>
    <dgm:txFillClrLst meth="repeat">
      <a:schemeClr val="dk1"/>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2NoLn">
    <dgm:fillClrLst meth="repeat">
      <a:schemeClr val="accent1"/>
    </dgm:fillClrLst>
    <dgm:linClrLst meth="repeat">
      <a:schemeClr val="lt1">
        <a:alpha val="0"/>
      </a:schemeClr>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3NoLn">
    <dgm:fillClrLst meth="repeat">
      <a:schemeClr val="accent1"/>
    </dgm:fillClrLst>
    <dgm:linClrLst meth="repeat">
      <a:schemeClr val="lt1">
        <a:alpha val="0"/>
      </a:schemeClr>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node4NoLn">
    <dgm:fillClrLst meth="repeat">
      <a:schemeClr val="accent1"/>
    </dgm:fillClrLst>
    <dgm:linClrLst meth="repeat">
      <a:schemeClr val="lt1">
        <a:alpha val="0"/>
      </a:schemeClr>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6">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1NoLn">
    <dgm:fillClrLst meth="repeat">
      <a:schemeClr val="accent1"/>
    </dgm:fillClrLst>
    <dgm:linClrLst meth="repeat">
      <a:schemeClr val="lt1">
        <a:alpha val="0"/>
      </a:schemeClr>
    </dgm:linClrLst>
    <dgm:effectClrLst/>
    <dgm:txLinClrLst/>
    <dgm:txFillClrLst/>
    <dgm:txEffectClrLst/>
  </dgm:styleLbl>
  <dgm:styleLbl name="ltNode1NoLn">
    <dgm:fillClrLst meth="repeat">
      <a:schemeClr val="accent1">
        <a:tint val="75000"/>
      </a:schemeClr>
    </dgm:fillClrLst>
    <dgm:linClrLst meth="repeat">
      <a:schemeClr val="lt1">
        <a:alpha val="0"/>
      </a:schemeClr>
    </dgm:linClrLst>
    <dgm:effectClrLst/>
    <dgm:txLinClrLst/>
    <dgm:txFillClrLst meth="repeat">
      <a:schemeClr val="dk1"/>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2NoLn">
    <dgm:fillClrLst meth="repeat">
      <a:schemeClr val="accent1"/>
    </dgm:fillClrLst>
    <dgm:linClrLst meth="repeat">
      <a:schemeClr val="lt1">
        <a:alpha val="0"/>
      </a:schemeClr>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3NoLn">
    <dgm:fillClrLst meth="repeat">
      <a:schemeClr val="accent1"/>
    </dgm:fillClrLst>
    <dgm:linClrLst meth="repeat">
      <a:schemeClr val="lt1">
        <a:alpha val="0"/>
      </a:schemeClr>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node4NoLn">
    <dgm:fillClrLst meth="repeat">
      <a:schemeClr val="accent1"/>
    </dgm:fillClrLst>
    <dgm:linClrLst meth="repeat">
      <a:schemeClr val="lt1">
        <a:alpha val="0"/>
      </a:schemeClr>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7">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1NoLn">
    <dgm:fillClrLst meth="repeat">
      <a:schemeClr val="accent1"/>
    </dgm:fillClrLst>
    <dgm:linClrLst meth="repeat">
      <a:schemeClr val="lt1">
        <a:alpha val="0"/>
      </a:schemeClr>
    </dgm:linClrLst>
    <dgm:effectClrLst/>
    <dgm:txLinClrLst/>
    <dgm:txFillClrLst/>
    <dgm:txEffectClrLst/>
  </dgm:styleLbl>
  <dgm:styleLbl name="ltNode1NoLn">
    <dgm:fillClrLst meth="repeat">
      <a:schemeClr val="accent1">
        <a:tint val="75000"/>
      </a:schemeClr>
    </dgm:fillClrLst>
    <dgm:linClrLst meth="repeat">
      <a:schemeClr val="lt1">
        <a:alpha val="0"/>
      </a:schemeClr>
    </dgm:linClrLst>
    <dgm:effectClrLst/>
    <dgm:txLinClrLst/>
    <dgm:txFillClrLst meth="repeat">
      <a:schemeClr val="dk1"/>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2NoLn">
    <dgm:fillClrLst meth="repeat">
      <a:schemeClr val="accent1"/>
    </dgm:fillClrLst>
    <dgm:linClrLst meth="repeat">
      <a:schemeClr val="lt1">
        <a:alpha val="0"/>
      </a:schemeClr>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3NoLn">
    <dgm:fillClrLst meth="repeat">
      <a:schemeClr val="accent1"/>
    </dgm:fillClrLst>
    <dgm:linClrLst meth="repeat">
      <a:schemeClr val="lt1">
        <a:alpha val="0"/>
      </a:schemeClr>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node4NoLn">
    <dgm:fillClrLst meth="repeat">
      <a:schemeClr val="accent1"/>
    </dgm:fillClrLst>
    <dgm:linClrLst meth="repeat">
      <a:schemeClr val="lt1">
        <a:alpha val="0"/>
      </a:schemeClr>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17F1083C-9AE9-4AFF-8B04-150683B45A37}" type="doc">
      <dgm:prSet loTypeId="urn:microsoft.com/office/officeart/2011/layout/TabList" loCatId="list" qsTypeId="urn:microsoft.com/office/officeart/2005/8/quickstyle/simple1#5" qsCatId="simple" csTypeId="urn:microsoft.com/office/officeart/2005/8/colors/accent1_2#5" csCatId="accent1" phldr="1"/>
      <dgm:spPr/>
      <dgm:t>
        <a:bodyPr/>
        <a:lstStyle/>
        <a:p>
          <a:endParaRPr lang="en-US"/>
        </a:p>
      </dgm:t>
    </dgm:pt>
    <dgm:pt modelId="{CD2325D7-636B-40E9-8459-1979DE168193}">
      <dgm:prSet phldrT="[Text]" custT="1"/>
      <dgm:spPr/>
      <dgm:t>
        <a:bodyPr/>
        <a:lstStyle/>
        <a:p>
          <a:pPr>
            <a:buNone/>
          </a:pPr>
          <a:r>
            <a:rPr lang="en-US" sz="1600" b="1">
              <a:latin typeface="Georgia" panose="02040502050405020303" pitchFamily="18" charset="0"/>
            </a:rPr>
            <a:t>Programme Name</a:t>
          </a:r>
          <a:endParaRPr lang="en-US" sz="1600">
            <a:latin typeface="Georgia" panose="02040502050405020303" pitchFamily="18" charset="0"/>
          </a:endParaRPr>
        </a:p>
      </dgm:t>
    </dgm:pt>
    <dgm:pt modelId="{D6D5B8CC-E553-4678-9D2C-01C260F6D69E}" type="parTrans" cxnId="{F382A679-57D0-4297-B61A-98D6FF7CC713}">
      <dgm:prSet/>
      <dgm:spPr/>
      <dgm:t>
        <a:bodyPr/>
        <a:lstStyle/>
        <a:p>
          <a:endParaRPr lang="en-US"/>
        </a:p>
      </dgm:t>
    </dgm:pt>
    <dgm:pt modelId="{7CDE2B49-1400-4B2D-AA35-9BA2CA75B660}" type="sibTrans" cxnId="{F382A679-57D0-4297-B61A-98D6FF7CC713}">
      <dgm:prSet/>
      <dgm:spPr/>
      <dgm:t>
        <a:bodyPr/>
        <a:lstStyle/>
        <a:p>
          <a:endParaRPr lang="en-US"/>
        </a:p>
      </dgm:t>
    </dgm:pt>
    <dgm:pt modelId="{AAA45D51-4719-4E7F-AD90-4927B3937194}">
      <dgm:prSet phldrT="[Text]" custT="1"/>
      <dgm:spPr/>
      <dgm:t>
        <a:bodyPr/>
        <a:lstStyle/>
        <a:p>
          <a:pPr>
            <a:buNone/>
          </a:pPr>
          <a:r>
            <a:rPr lang="en-US" sz="1600" b="1">
              <a:latin typeface="Georgia" panose="02040502050405020303" pitchFamily="18" charset="0"/>
            </a:rPr>
            <a:t>   Master Of Business Administration</a:t>
          </a:r>
          <a:endParaRPr lang="en-US" sz="1600">
            <a:latin typeface="Georgia" panose="02040502050405020303" pitchFamily="18" charset="0"/>
          </a:endParaRPr>
        </a:p>
      </dgm:t>
    </dgm:pt>
    <dgm:pt modelId="{EDF24975-A7E7-4FE2-BC09-C35EB5F4E710}" type="parTrans" cxnId="{B62CA523-1770-41D4-B2D1-C55177ECD1D2}">
      <dgm:prSet/>
      <dgm:spPr/>
      <dgm:t>
        <a:bodyPr/>
        <a:lstStyle/>
        <a:p>
          <a:endParaRPr lang="en-US"/>
        </a:p>
      </dgm:t>
    </dgm:pt>
    <dgm:pt modelId="{702C01B9-BB1F-4DC9-A49C-5374083FB4F8}" type="sibTrans" cxnId="{B62CA523-1770-41D4-B2D1-C55177ECD1D2}">
      <dgm:prSet/>
      <dgm:spPr/>
      <dgm:t>
        <a:bodyPr/>
        <a:lstStyle/>
        <a:p>
          <a:endParaRPr lang="en-US"/>
        </a:p>
      </dgm:t>
    </dgm:pt>
    <dgm:pt modelId="{E7E0FF23-7AEA-4617-A0D5-03146BBD15F9}">
      <dgm:prSet phldrT="[Text]" custT="1"/>
      <dgm:spPr/>
      <dgm:t>
        <a:bodyPr/>
        <a:lstStyle/>
        <a:p>
          <a:pPr>
            <a:buNone/>
          </a:pPr>
          <a:r>
            <a:rPr lang="en-US" sz="1600" b="1">
              <a:latin typeface="Georgia" panose="02040502050405020303" pitchFamily="18" charset="0"/>
            </a:rPr>
            <a:t>Module Name</a:t>
          </a:r>
          <a:endParaRPr lang="en-US" sz="1600">
            <a:latin typeface="Georgia" panose="02040502050405020303" pitchFamily="18" charset="0"/>
          </a:endParaRPr>
        </a:p>
      </dgm:t>
    </dgm:pt>
    <dgm:pt modelId="{4789162C-1CC6-4C05-9B30-63BED9FF8F78}" type="parTrans" cxnId="{DA1F31B1-04BD-441A-8426-9F0C07EC0C76}">
      <dgm:prSet/>
      <dgm:spPr/>
      <dgm:t>
        <a:bodyPr/>
        <a:lstStyle/>
        <a:p>
          <a:endParaRPr lang="en-US"/>
        </a:p>
      </dgm:t>
    </dgm:pt>
    <dgm:pt modelId="{C810E4B5-00C6-4356-89B4-FCC39728BC16}" type="sibTrans" cxnId="{DA1F31B1-04BD-441A-8426-9F0C07EC0C76}">
      <dgm:prSet/>
      <dgm:spPr/>
      <dgm:t>
        <a:bodyPr/>
        <a:lstStyle/>
        <a:p>
          <a:endParaRPr lang="en-US"/>
        </a:p>
      </dgm:t>
    </dgm:pt>
    <dgm:pt modelId="{4AF9DE67-D44E-4F28-B4ED-05BF0268C963}">
      <dgm:prSet phldrT="[Text]" custT="1"/>
      <dgm:spPr/>
      <dgm:t>
        <a:bodyPr/>
        <a:lstStyle/>
        <a:p>
          <a:pPr>
            <a:buNone/>
          </a:pPr>
          <a:r>
            <a:rPr lang="en-US" sz="1600" b="1">
              <a:latin typeface="Georgia" panose="02040502050405020303" pitchFamily="18" charset="0"/>
            </a:rPr>
            <a:t>   Marketing Management</a:t>
          </a:r>
          <a:endParaRPr lang="en-US" sz="1600">
            <a:latin typeface="Georgia" panose="02040502050405020303" pitchFamily="18" charset="0"/>
          </a:endParaRPr>
        </a:p>
      </dgm:t>
    </dgm:pt>
    <dgm:pt modelId="{ED2769F9-4077-4B06-B48B-D02B1556AA09}" type="parTrans" cxnId="{C6B858B0-2E71-4D93-9806-27D7D6BEFD30}">
      <dgm:prSet/>
      <dgm:spPr/>
      <dgm:t>
        <a:bodyPr/>
        <a:lstStyle/>
        <a:p>
          <a:endParaRPr lang="en-US"/>
        </a:p>
      </dgm:t>
    </dgm:pt>
    <dgm:pt modelId="{7E8631D4-32F0-4D12-B226-EDDAF0CA1808}" type="sibTrans" cxnId="{C6B858B0-2E71-4D93-9806-27D7D6BEFD30}">
      <dgm:prSet/>
      <dgm:spPr/>
      <dgm:t>
        <a:bodyPr/>
        <a:lstStyle/>
        <a:p>
          <a:endParaRPr lang="en-US"/>
        </a:p>
      </dgm:t>
    </dgm:pt>
    <dgm:pt modelId="{E963BF4C-B274-4BCC-831F-BFEBF8296C90}">
      <dgm:prSet phldrT="[Text]" custT="1"/>
      <dgm:spPr/>
      <dgm:t>
        <a:bodyPr/>
        <a:lstStyle/>
        <a:p>
          <a:pPr>
            <a:buNone/>
          </a:pPr>
          <a:r>
            <a:rPr lang="en-US" sz="1600" b="1">
              <a:latin typeface="Georgia" panose="02040502050405020303" pitchFamily="18" charset="0"/>
            </a:rPr>
            <a:t>Module Code</a:t>
          </a:r>
          <a:endParaRPr lang="en-US" sz="1600">
            <a:latin typeface="Georgia" panose="02040502050405020303" pitchFamily="18" charset="0"/>
          </a:endParaRPr>
        </a:p>
      </dgm:t>
    </dgm:pt>
    <dgm:pt modelId="{4C355846-405F-478C-84FD-F8A9DF8A8B63}" type="parTrans" cxnId="{A8E522DA-6C17-495C-921A-654589B96259}">
      <dgm:prSet/>
      <dgm:spPr/>
      <dgm:t>
        <a:bodyPr/>
        <a:lstStyle/>
        <a:p>
          <a:endParaRPr lang="en-US"/>
        </a:p>
      </dgm:t>
    </dgm:pt>
    <dgm:pt modelId="{36945E60-7606-4616-8D9F-8C8B16276406}" type="sibTrans" cxnId="{A8E522DA-6C17-495C-921A-654589B96259}">
      <dgm:prSet/>
      <dgm:spPr/>
      <dgm:t>
        <a:bodyPr/>
        <a:lstStyle/>
        <a:p>
          <a:endParaRPr lang="en-US"/>
        </a:p>
      </dgm:t>
    </dgm:pt>
    <dgm:pt modelId="{B8C4A35B-9222-4485-B54E-17B33510CB66}">
      <dgm:prSet phldrT="[Text]" custT="1"/>
      <dgm:spPr/>
      <dgm:t>
        <a:bodyPr/>
        <a:lstStyle/>
        <a:p>
          <a:pPr>
            <a:buNone/>
          </a:pPr>
          <a:r>
            <a:rPr lang="en-US" sz="1600" b="1">
              <a:latin typeface="Georgia" panose="02040502050405020303" pitchFamily="18" charset="0"/>
            </a:rPr>
            <a:t>   LCMB7024</a:t>
          </a:r>
          <a:endParaRPr lang="en-US" sz="1600">
            <a:latin typeface="Georgia" panose="02040502050405020303" pitchFamily="18" charset="0"/>
          </a:endParaRPr>
        </a:p>
      </dgm:t>
    </dgm:pt>
    <dgm:pt modelId="{D79D6FB1-BF91-41D0-913C-E72DF597DC79}" type="parTrans" cxnId="{8E992D91-F101-422E-BBD2-ADBEE2969DF1}">
      <dgm:prSet/>
      <dgm:spPr/>
      <dgm:t>
        <a:bodyPr/>
        <a:lstStyle/>
        <a:p>
          <a:endParaRPr lang="en-US"/>
        </a:p>
      </dgm:t>
    </dgm:pt>
    <dgm:pt modelId="{3B04E07A-13D9-4ECA-AAFE-9D69818312FE}" type="sibTrans" cxnId="{8E992D91-F101-422E-BBD2-ADBEE2969DF1}">
      <dgm:prSet/>
      <dgm:spPr/>
      <dgm:t>
        <a:bodyPr/>
        <a:lstStyle/>
        <a:p>
          <a:endParaRPr lang="en-US"/>
        </a:p>
      </dgm:t>
    </dgm:pt>
    <dgm:pt modelId="{508A0D0B-6875-4CA4-BEB8-4E044487DD7D}" type="pres">
      <dgm:prSet presAssocID="{17F1083C-9AE9-4AFF-8B04-150683B45A37}" presName="Name0" presStyleCnt="0">
        <dgm:presLayoutVars>
          <dgm:chMax/>
          <dgm:chPref val="3"/>
          <dgm:dir/>
          <dgm:animOne val="branch"/>
          <dgm:animLvl val="lvl"/>
        </dgm:presLayoutVars>
      </dgm:prSet>
      <dgm:spPr/>
    </dgm:pt>
    <dgm:pt modelId="{802BB645-1260-4FC3-83FE-4349124ADAA2}" type="pres">
      <dgm:prSet presAssocID="{CD2325D7-636B-40E9-8459-1979DE168193}" presName="composite" presStyleCnt="0"/>
      <dgm:spPr/>
    </dgm:pt>
    <dgm:pt modelId="{00144FCF-8F40-431A-8220-A3316AB13A04}" type="pres">
      <dgm:prSet presAssocID="{CD2325D7-636B-40E9-8459-1979DE168193}" presName="FirstChild" presStyleLbl="revTx" presStyleIdx="0" presStyleCnt="3">
        <dgm:presLayoutVars>
          <dgm:chMax val="0"/>
          <dgm:chPref val="0"/>
          <dgm:bulletEnabled val="1"/>
        </dgm:presLayoutVars>
      </dgm:prSet>
      <dgm:spPr/>
    </dgm:pt>
    <dgm:pt modelId="{6204C98E-2DAD-498B-8CC0-793BD25CC149}" type="pres">
      <dgm:prSet presAssocID="{CD2325D7-636B-40E9-8459-1979DE168193}" presName="Parent" presStyleLbl="alignNode1" presStyleIdx="0" presStyleCnt="3">
        <dgm:presLayoutVars>
          <dgm:chMax val="3"/>
          <dgm:chPref val="3"/>
          <dgm:bulletEnabled val="1"/>
        </dgm:presLayoutVars>
      </dgm:prSet>
      <dgm:spPr/>
    </dgm:pt>
    <dgm:pt modelId="{667832F5-E821-4E18-8D5A-032C55337419}" type="pres">
      <dgm:prSet presAssocID="{CD2325D7-636B-40E9-8459-1979DE168193}" presName="Accent" presStyleLbl="parChTrans1D1" presStyleIdx="0" presStyleCnt="3"/>
      <dgm:spPr/>
    </dgm:pt>
    <dgm:pt modelId="{87E82D50-6C20-4E51-93E4-D38F4C0C9BBF}" type="pres">
      <dgm:prSet presAssocID="{7CDE2B49-1400-4B2D-AA35-9BA2CA75B660}" presName="sibTrans" presStyleCnt="0"/>
      <dgm:spPr/>
    </dgm:pt>
    <dgm:pt modelId="{C9421A1F-C29C-4D00-98A6-CC2FAD23E7BB}" type="pres">
      <dgm:prSet presAssocID="{E7E0FF23-7AEA-4617-A0D5-03146BBD15F9}" presName="composite" presStyleCnt="0"/>
      <dgm:spPr/>
    </dgm:pt>
    <dgm:pt modelId="{1C05CDA6-D19E-4B81-A5E3-D873E761BD6C}" type="pres">
      <dgm:prSet presAssocID="{E7E0FF23-7AEA-4617-A0D5-03146BBD15F9}" presName="FirstChild" presStyleLbl="revTx" presStyleIdx="1" presStyleCnt="3">
        <dgm:presLayoutVars>
          <dgm:chMax val="0"/>
          <dgm:chPref val="0"/>
          <dgm:bulletEnabled val="1"/>
        </dgm:presLayoutVars>
      </dgm:prSet>
      <dgm:spPr/>
    </dgm:pt>
    <dgm:pt modelId="{5F9DC0A6-092C-463D-9380-0272F9264EAB}" type="pres">
      <dgm:prSet presAssocID="{E7E0FF23-7AEA-4617-A0D5-03146BBD15F9}" presName="Parent" presStyleLbl="alignNode1" presStyleIdx="1" presStyleCnt="3">
        <dgm:presLayoutVars>
          <dgm:chMax val="3"/>
          <dgm:chPref val="3"/>
          <dgm:bulletEnabled val="1"/>
        </dgm:presLayoutVars>
      </dgm:prSet>
      <dgm:spPr/>
    </dgm:pt>
    <dgm:pt modelId="{F754D19D-53B8-487A-B8DC-21835FA7637A}" type="pres">
      <dgm:prSet presAssocID="{E7E0FF23-7AEA-4617-A0D5-03146BBD15F9}" presName="Accent" presStyleLbl="parChTrans1D1" presStyleIdx="1" presStyleCnt="3"/>
      <dgm:spPr/>
    </dgm:pt>
    <dgm:pt modelId="{0A2A20EB-FB71-4222-9F2F-C690346517ED}" type="pres">
      <dgm:prSet presAssocID="{C810E4B5-00C6-4356-89B4-FCC39728BC16}" presName="sibTrans" presStyleCnt="0"/>
      <dgm:spPr/>
    </dgm:pt>
    <dgm:pt modelId="{0F8EC44C-AA59-4A0E-86BC-A9611B70EE53}" type="pres">
      <dgm:prSet presAssocID="{E963BF4C-B274-4BCC-831F-BFEBF8296C90}" presName="composite" presStyleCnt="0"/>
      <dgm:spPr/>
    </dgm:pt>
    <dgm:pt modelId="{9D12641A-6FC9-4A83-B648-98B4D43F93C2}" type="pres">
      <dgm:prSet presAssocID="{E963BF4C-B274-4BCC-831F-BFEBF8296C90}" presName="FirstChild" presStyleLbl="revTx" presStyleIdx="2" presStyleCnt="3">
        <dgm:presLayoutVars>
          <dgm:chMax val="0"/>
          <dgm:chPref val="0"/>
          <dgm:bulletEnabled val="1"/>
        </dgm:presLayoutVars>
      </dgm:prSet>
      <dgm:spPr/>
    </dgm:pt>
    <dgm:pt modelId="{AE1F4A03-10D9-43F6-AAC5-B8E1CBAF0ED8}" type="pres">
      <dgm:prSet presAssocID="{E963BF4C-B274-4BCC-831F-BFEBF8296C90}" presName="Parent" presStyleLbl="alignNode1" presStyleIdx="2" presStyleCnt="3">
        <dgm:presLayoutVars>
          <dgm:chMax val="3"/>
          <dgm:chPref val="3"/>
          <dgm:bulletEnabled val="1"/>
        </dgm:presLayoutVars>
      </dgm:prSet>
      <dgm:spPr/>
    </dgm:pt>
    <dgm:pt modelId="{9F4C4106-3585-419E-9208-D5D9F1FDDAB4}" type="pres">
      <dgm:prSet presAssocID="{E963BF4C-B274-4BCC-831F-BFEBF8296C90}" presName="Accent" presStyleLbl="parChTrans1D1" presStyleIdx="2" presStyleCnt="3"/>
      <dgm:spPr/>
    </dgm:pt>
  </dgm:ptLst>
  <dgm:cxnLst>
    <dgm:cxn modelId="{B62CA523-1770-41D4-B2D1-C55177ECD1D2}" srcId="{CD2325D7-636B-40E9-8459-1979DE168193}" destId="{AAA45D51-4719-4E7F-AD90-4927B3937194}" srcOrd="0" destOrd="0" parTransId="{EDF24975-A7E7-4FE2-BC09-C35EB5F4E710}" sibTransId="{702C01B9-BB1F-4DC9-A49C-5374083FB4F8}"/>
    <dgm:cxn modelId="{C1E14235-95B6-49B3-A02B-57D3166C1B05}" type="presOf" srcId="{4AF9DE67-D44E-4F28-B4ED-05BF0268C963}" destId="{1C05CDA6-D19E-4B81-A5E3-D873E761BD6C}" srcOrd="0" destOrd="0" presId="urn:microsoft.com/office/officeart/2011/layout/TabList"/>
    <dgm:cxn modelId="{C01DEA39-9988-4220-A48E-73A79207454F}" type="presOf" srcId="{E7E0FF23-7AEA-4617-A0D5-03146BBD15F9}" destId="{5F9DC0A6-092C-463D-9380-0272F9264EAB}" srcOrd="0" destOrd="0" presId="urn:microsoft.com/office/officeart/2011/layout/TabList"/>
    <dgm:cxn modelId="{3A48E774-0C91-4CD0-9625-4A0946623D3A}" type="presOf" srcId="{CD2325D7-636B-40E9-8459-1979DE168193}" destId="{6204C98E-2DAD-498B-8CC0-793BD25CC149}" srcOrd="0" destOrd="0" presId="urn:microsoft.com/office/officeart/2011/layout/TabList"/>
    <dgm:cxn modelId="{F382A679-57D0-4297-B61A-98D6FF7CC713}" srcId="{17F1083C-9AE9-4AFF-8B04-150683B45A37}" destId="{CD2325D7-636B-40E9-8459-1979DE168193}" srcOrd="0" destOrd="0" parTransId="{D6D5B8CC-E553-4678-9D2C-01C260F6D69E}" sibTransId="{7CDE2B49-1400-4B2D-AA35-9BA2CA75B660}"/>
    <dgm:cxn modelId="{8E992D91-F101-422E-BBD2-ADBEE2969DF1}" srcId="{E963BF4C-B274-4BCC-831F-BFEBF8296C90}" destId="{B8C4A35B-9222-4485-B54E-17B33510CB66}" srcOrd="0" destOrd="0" parTransId="{D79D6FB1-BF91-41D0-913C-E72DF597DC79}" sibTransId="{3B04E07A-13D9-4ECA-AAFE-9D69818312FE}"/>
    <dgm:cxn modelId="{0288A19A-2F72-4327-8316-C83B560516CE}" type="presOf" srcId="{B8C4A35B-9222-4485-B54E-17B33510CB66}" destId="{9D12641A-6FC9-4A83-B648-98B4D43F93C2}" srcOrd="0" destOrd="0" presId="urn:microsoft.com/office/officeart/2011/layout/TabList"/>
    <dgm:cxn modelId="{A0E932A2-AB9C-4B76-88D1-F33ABFF459C7}" type="presOf" srcId="{17F1083C-9AE9-4AFF-8B04-150683B45A37}" destId="{508A0D0B-6875-4CA4-BEB8-4E044487DD7D}" srcOrd="0" destOrd="0" presId="urn:microsoft.com/office/officeart/2011/layout/TabList"/>
    <dgm:cxn modelId="{C6B858B0-2E71-4D93-9806-27D7D6BEFD30}" srcId="{E7E0FF23-7AEA-4617-A0D5-03146BBD15F9}" destId="{4AF9DE67-D44E-4F28-B4ED-05BF0268C963}" srcOrd="0" destOrd="0" parTransId="{ED2769F9-4077-4B06-B48B-D02B1556AA09}" sibTransId="{7E8631D4-32F0-4D12-B226-EDDAF0CA1808}"/>
    <dgm:cxn modelId="{DA1F31B1-04BD-441A-8426-9F0C07EC0C76}" srcId="{17F1083C-9AE9-4AFF-8B04-150683B45A37}" destId="{E7E0FF23-7AEA-4617-A0D5-03146BBD15F9}" srcOrd="1" destOrd="0" parTransId="{4789162C-1CC6-4C05-9B30-63BED9FF8F78}" sibTransId="{C810E4B5-00C6-4356-89B4-FCC39728BC16}"/>
    <dgm:cxn modelId="{A8E522DA-6C17-495C-921A-654589B96259}" srcId="{17F1083C-9AE9-4AFF-8B04-150683B45A37}" destId="{E963BF4C-B274-4BCC-831F-BFEBF8296C90}" srcOrd="2" destOrd="0" parTransId="{4C355846-405F-478C-84FD-F8A9DF8A8B63}" sibTransId="{36945E60-7606-4616-8D9F-8C8B16276406}"/>
    <dgm:cxn modelId="{694AF7DA-524D-4E38-AA3B-034D4B6F3C37}" type="presOf" srcId="{E963BF4C-B274-4BCC-831F-BFEBF8296C90}" destId="{AE1F4A03-10D9-43F6-AAC5-B8E1CBAF0ED8}" srcOrd="0" destOrd="0" presId="urn:microsoft.com/office/officeart/2011/layout/TabList"/>
    <dgm:cxn modelId="{0CA140E8-B0E2-450D-A339-E2D436B656BB}" type="presOf" srcId="{AAA45D51-4719-4E7F-AD90-4927B3937194}" destId="{00144FCF-8F40-431A-8220-A3316AB13A04}" srcOrd="0" destOrd="0" presId="urn:microsoft.com/office/officeart/2011/layout/TabList"/>
    <dgm:cxn modelId="{C7B1847C-BFE2-4A2F-B7E4-E2BB63D1635B}" type="presParOf" srcId="{508A0D0B-6875-4CA4-BEB8-4E044487DD7D}" destId="{802BB645-1260-4FC3-83FE-4349124ADAA2}" srcOrd="0" destOrd="0" presId="urn:microsoft.com/office/officeart/2011/layout/TabList"/>
    <dgm:cxn modelId="{7FF86AB7-39AE-47E6-B591-B7D390EF4841}" type="presParOf" srcId="{802BB645-1260-4FC3-83FE-4349124ADAA2}" destId="{00144FCF-8F40-431A-8220-A3316AB13A04}" srcOrd="0" destOrd="0" presId="urn:microsoft.com/office/officeart/2011/layout/TabList"/>
    <dgm:cxn modelId="{E041BA63-955A-4DFA-AC25-5773FE99FA4E}" type="presParOf" srcId="{802BB645-1260-4FC3-83FE-4349124ADAA2}" destId="{6204C98E-2DAD-498B-8CC0-793BD25CC149}" srcOrd="1" destOrd="0" presId="urn:microsoft.com/office/officeart/2011/layout/TabList"/>
    <dgm:cxn modelId="{034F2214-F2E4-4999-B18B-1A26A9F0ADC2}" type="presParOf" srcId="{802BB645-1260-4FC3-83FE-4349124ADAA2}" destId="{667832F5-E821-4E18-8D5A-032C55337419}" srcOrd="2" destOrd="0" presId="urn:microsoft.com/office/officeart/2011/layout/TabList"/>
    <dgm:cxn modelId="{F02986AE-C3F3-4F56-B1DB-05C0E905B4D0}" type="presParOf" srcId="{508A0D0B-6875-4CA4-BEB8-4E044487DD7D}" destId="{87E82D50-6C20-4E51-93E4-D38F4C0C9BBF}" srcOrd="1" destOrd="0" presId="urn:microsoft.com/office/officeart/2011/layout/TabList"/>
    <dgm:cxn modelId="{8448554C-3DEC-4EAA-95DA-19DADCF8CD7B}" type="presParOf" srcId="{508A0D0B-6875-4CA4-BEB8-4E044487DD7D}" destId="{C9421A1F-C29C-4D00-98A6-CC2FAD23E7BB}" srcOrd="2" destOrd="0" presId="urn:microsoft.com/office/officeart/2011/layout/TabList"/>
    <dgm:cxn modelId="{B70AB342-0FBB-40A4-A47C-CB6D140092E7}" type="presParOf" srcId="{C9421A1F-C29C-4D00-98A6-CC2FAD23E7BB}" destId="{1C05CDA6-D19E-4B81-A5E3-D873E761BD6C}" srcOrd="0" destOrd="0" presId="urn:microsoft.com/office/officeart/2011/layout/TabList"/>
    <dgm:cxn modelId="{3AD772CE-E4D3-4186-BA04-A21DB762A696}" type="presParOf" srcId="{C9421A1F-C29C-4D00-98A6-CC2FAD23E7BB}" destId="{5F9DC0A6-092C-463D-9380-0272F9264EAB}" srcOrd="1" destOrd="0" presId="urn:microsoft.com/office/officeart/2011/layout/TabList"/>
    <dgm:cxn modelId="{7F96DF7A-A3D8-43D3-AA26-9EE0444B34BB}" type="presParOf" srcId="{C9421A1F-C29C-4D00-98A6-CC2FAD23E7BB}" destId="{F754D19D-53B8-487A-B8DC-21835FA7637A}" srcOrd="2" destOrd="0" presId="urn:microsoft.com/office/officeart/2011/layout/TabList"/>
    <dgm:cxn modelId="{67B1E9BB-A7FC-48CE-99D0-F9B6F2DAF1F5}" type="presParOf" srcId="{508A0D0B-6875-4CA4-BEB8-4E044487DD7D}" destId="{0A2A20EB-FB71-4222-9F2F-C690346517ED}" srcOrd="3" destOrd="0" presId="urn:microsoft.com/office/officeart/2011/layout/TabList"/>
    <dgm:cxn modelId="{2E077D03-BD78-41B9-953F-D76C1A0E2E39}" type="presParOf" srcId="{508A0D0B-6875-4CA4-BEB8-4E044487DD7D}" destId="{0F8EC44C-AA59-4A0E-86BC-A9611B70EE53}" srcOrd="4" destOrd="0" presId="urn:microsoft.com/office/officeart/2011/layout/TabList"/>
    <dgm:cxn modelId="{DE6C2202-8CF0-4515-B642-388657F959CA}" type="presParOf" srcId="{0F8EC44C-AA59-4A0E-86BC-A9611B70EE53}" destId="{9D12641A-6FC9-4A83-B648-98B4D43F93C2}" srcOrd="0" destOrd="0" presId="urn:microsoft.com/office/officeart/2011/layout/TabList"/>
    <dgm:cxn modelId="{C1F13689-51C1-427E-AEE6-E45A478A93C9}" type="presParOf" srcId="{0F8EC44C-AA59-4A0E-86BC-A9611B70EE53}" destId="{AE1F4A03-10D9-43F6-AAC5-B8E1CBAF0ED8}" srcOrd="1" destOrd="0" presId="urn:microsoft.com/office/officeart/2011/layout/TabList"/>
    <dgm:cxn modelId="{0ABD1962-1640-4771-9D22-A860447C07B0}" type="presParOf" srcId="{0F8EC44C-AA59-4A0E-86BC-A9611B70EE53}" destId="{9F4C4106-3585-419E-9208-D5D9F1FDDAB4}" srcOrd="2" destOrd="0" presId="urn:microsoft.com/office/officeart/2011/layout/Tab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7F1083C-9AE9-4AFF-8B04-150683B45A37}" type="doc">
      <dgm:prSet loTypeId="urn:microsoft.com/office/officeart/2011/layout/TabList" loCatId="list" qsTypeId="urn:microsoft.com/office/officeart/2005/8/quickstyle/simple1#6" qsCatId="simple" csTypeId="urn:microsoft.com/office/officeart/2005/8/colors/accent1_2#6" csCatId="accent1" phldr="1"/>
      <dgm:spPr/>
      <dgm:t>
        <a:bodyPr/>
        <a:lstStyle/>
        <a:p>
          <a:endParaRPr lang="en-US"/>
        </a:p>
      </dgm:t>
    </dgm:pt>
    <dgm:pt modelId="{CD2325D7-636B-40E9-8459-1979DE168193}">
      <dgm:prSet phldrT="[Text]" custT="1"/>
      <dgm:spPr/>
      <dgm:t>
        <a:bodyPr/>
        <a:lstStyle/>
        <a:p>
          <a:pPr>
            <a:buNone/>
          </a:pPr>
          <a:r>
            <a:rPr lang="en-US" sz="1600" b="1">
              <a:latin typeface="Georgia" panose="02040502050405020303" pitchFamily="18" charset="0"/>
            </a:rPr>
            <a:t>Assignment Title</a:t>
          </a:r>
          <a:endParaRPr lang="en-US" sz="1600">
            <a:latin typeface="Georgia" panose="02040502050405020303" pitchFamily="18" charset="0"/>
          </a:endParaRPr>
        </a:p>
      </dgm:t>
    </dgm:pt>
    <dgm:pt modelId="{D6D5B8CC-E553-4678-9D2C-01C260F6D69E}" type="parTrans" cxnId="{F382A679-57D0-4297-B61A-98D6FF7CC713}">
      <dgm:prSet/>
      <dgm:spPr/>
      <dgm:t>
        <a:bodyPr/>
        <a:lstStyle/>
        <a:p>
          <a:endParaRPr lang="en-US"/>
        </a:p>
      </dgm:t>
    </dgm:pt>
    <dgm:pt modelId="{7CDE2B49-1400-4B2D-AA35-9BA2CA75B660}" type="sibTrans" cxnId="{F382A679-57D0-4297-B61A-98D6FF7CC713}">
      <dgm:prSet/>
      <dgm:spPr/>
      <dgm:t>
        <a:bodyPr/>
        <a:lstStyle/>
        <a:p>
          <a:endParaRPr lang="en-US"/>
        </a:p>
      </dgm:t>
    </dgm:pt>
    <dgm:pt modelId="{AAA45D51-4719-4E7F-AD90-4927B3937194}">
      <dgm:prSet phldrT="[Text]" custT="1"/>
      <dgm:spPr/>
      <dgm:t>
        <a:bodyPr/>
        <a:lstStyle/>
        <a:p>
          <a:pPr>
            <a:buNone/>
          </a:pPr>
          <a:r>
            <a:rPr lang="en-US" sz="1600" b="1">
              <a:latin typeface="Georgia" panose="02040502050405020303" pitchFamily="18" charset="0"/>
            </a:rPr>
            <a:t>   Component 1 </a:t>
          </a:r>
        </a:p>
        <a:p>
          <a:pPr>
            <a:buNone/>
          </a:pPr>
          <a:r>
            <a:rPr lang="en-US" sz="1600" b="1">
              <a:latin typeface="Georgia" panose="02040502050405020303" pitchFamily="18" charset="0"/>
            </a:rPr>
            <a:t>   (Marketing Environment Analysis)</a:t>
          </a:r>
          <a:endParaRPr lang="en-US" sz="1600">
            <a:latin typeface="Georgia" panose="02040502050405020303" pitchFamily="18" charset="0"/>
          </a:endParaRPr>
        </a:p>
      </dgm:t>
    </dgm:pt>
    <dgm:pt modelId="{EDF24975-A7E7-4FE2-BC09-C35EB5F4E710}" type="parTrans" cxnId="{B62CA523-1770-41D4-B2D1-C55177ECD1D2}">
      <dgm:prSet/>
      <dgm:spPr/>
      <dgm:t>
        <a:bodyPr/>
        <a:lstStyle/>
        <a:p>
          <a:endParaRPr lang="en-US"/>
        </a:p>
      </dgm:t>
    </dgm:pt>
    <dgm:pt modelId="{702C01B9-BB1F-4DC9-A49C-5374083FB4F8}" type="sibTrans" cxnId="{B62CA523-1770-41D4-B2D1-C55177ECD1D2}">
      <dgm:prSet/>
      <dgm:spPr/>
      <dgm:t>
        <a:bodyPr/>
        <a:lstStyle/>
        <a:p>
          <a:endParaRPr lang="en-US"/>
        </a:p>
      </dgm:t>
    </dgm:pt>
    <dgm:pt modelId="{E7E0FF23-7AEA-4617-A0D5-03146BBD15F9}">
      <dgm:prSet phldrT="[Text]" custT="1"/>
      <dgm:spPr/>
      <dgm:t>
        <a:bodyPr/>
        <a:lstStyle/>
        <a:p>
          <a:pPr>
            <a:buNone/>
          </a:pPr>
          <a:r>
            <a:rPr lang="en-US" sz="1600" b="1">
              <a:latin typeface="Georgia" panose="02040502050405020303" pitchFamily="18" charset="0"/>
            </a:rPr>
            <a:t>Lecturer Name</a:t>
          </a:r>
          <a:endParaRPr lang="en-US" sz="1600">
            <a:latin typeface="Georgia" panose="02040502050405020303" pitchFamily="18" charset="0"/>
          </a:endParaRPr>
        </a:p>
      </dgm:t>
    </dgm:pt>
    <dgm:pt modelId="{4789162C-1CC6-4C05-9B30-63BED9FF8F78}" type="parTrans" cxnId="{DA1F31B1-04BD-441A-8426-9F0C07EC0C76}">
      <dgm:prSet/>
      <dgm:spPr/>
      <dgm:t>
        <a:bodyPr/>
        <a:lstStyle/>
        <a:p>
          <a:endParaRPr lang="en-US"/>
        </a:p>
      </dgm:t>
    </dgm:pt>
    <dgm:pt modelId="{C810E4B5-00C6-4356-89B4-FCC39728BC16}" type="sibTrans" cxnId="{DA1F31B1-04BD-441A-8426-9F0C07EC0C76}">
      <dgm:prSet/>
      <dgm:spPr/>
      <dgm:t>
        <a:bodyPr/>
        <a:lstStyle/>
        <a:p>
          <a:endParaRPr lang="en-US"/>
        </a:p>
      </dgm:t>
    </dgm:pt>
    <dgm:pt modelId="{4AF9DE67-D44E-4F28-B4ED-05BF0268C963}">
      <dgm:prSet phldrT="[Text]" custT="1"/>
      <dgm:spPr/>
      <dgm:t>
        <a:bodyPr/>
        <a:lstStyle/>
        <a:p>
          <a:pPr>
            <a:buNone/>
          </a:pPr>
          <a:r>
            <a:rPr lang="en-US" sz="1600" b="1">
              <a:latin typeface="Georgia" panose="02040502050405020303" pitchFamily="18" charset="0"/>
            </a:rPr>
            <a:t>   Taonga Kaonga Sobere-Snithers</a:t>
          </a:r>
          <a:endParaRPr lang="en-US" sz="1600">
            <a:latin typeface="Georgia" panose="02040502050405020303" pitchFamily="18" charset="0"/>
          </a:endParaRPr>
        </a:p>
      </dgm:t>
    </dgm:pt>
    <dgm:pt modelId="{ED2769F9-4077-4B06-B48B-D02B1556AA09}" type="parTrans" cxnId="{C6B858B0-2E71-4D93-9806-27D7D6BEFD30}">
      <dgm:prSet/>
      <dgm:spPr/>
      <dgm:t>
        <a:bodyPr/>
        <a:lstStyle/>
        <a:p>
          <a:endParaRPr lang="en-US"/>
        </a:p>
      </dgm:t>
    </dgm:pt>
    <dgm:pt modelId="{7E8631D4-32F0-4D12-B226-EDDAF0CA1808}" type="sibTrans" cxnId="{C6B858B0-2E71-4D93-9806-27D7D6BEFD30}">
      <dgm:prSet/>
      <dgm:spPr/>
      <dgm:t>
        <a:bodyPr/>
        <a:lstStyle/>
        <a:p>
          <a:endParaRPr lang="en-US"/>
        </a:p>
      </dgm:t>
    </dgm:pt>
    <dgm:pt modelId="{E963BF4C-B274-4BCC-831F-BFEBF8296C90}">
      <dgm:prSet phldrT="[Text]" custT="1"/>
      <dgm:spPr/>
      <dgm:t>
        <a:bodyPr/>
        <a:lstStyle/>
        <a:p>
          <a:pPr>
            <a:buNone/>
          </a:pPr>
          <a:r>
            <a:rPr lang="en-US" sz="1600" b="1">
              <a:latin typeface="Georgia" panose="02040502050405020303" pitchFamily="18" charset="0"/>
            </a:rPr>
            <a:t>Student Name</a:t>
          </a:r>
          <a:endParaRPr lang="en-US" sz="1600">
            <a:latin typeface="Georgia" panose="02040502050405020303" pitchFamily="18" charset="0"/>
          </a:endParaRPr>
        </a:p>
      </dgm:t>
    </dgm:pt>
    <dgm:pt modelId="{4C355846-405F-478C-84FD-F8A9DF8A8B63}" type="parTrans" cxnId="{A8E522DA-6C17-495C-921A-654589B96259}">
      <dgm:prSet/>
      <dgm:spPr/>
      <dgm:t>
        <a:bodyPr/>
        <a:lstStyle/>
        <a:p>
          <a:endParaRPr lang="en-US"/>
        </a:p>
      </dgm:t>
    </dgm:pt>
    <dgm:pt modelId="{36945E60-7606-4616-8D9F-8C8B16276406}" type="sibTrans" cxnId="{A8E522DA-6C17-495C-921A-654589B96259}">
      <dgm:prSet/>
      <dgm:spPr/>
      <dgm:t>
        <a:bodyPr/>
        <a:lstStyle/>
        <a:p>
          <a:endParaRPr lang="en-US"/>
        </a:p>
      </dgm:t>
    </dgm:pt>
    <dgm:pt modelId="{B8C4A35B-9222-4485-B54E-17B33510CB66}">
      <dgm:prSet phldrT="[Text]" custT="1"/>
      <dgm:spPr/>
      <dgm:t>
        <a:bodyPr/>
        <a:lstStyle/>
        <a:p>
          <a:pPr>
            <a:buNone/>
          </a:pPr>
          <a:r>
            <a:rPr lang="en-US" sz="1600" b="1">
              <a:latin typeface="Georgia" panose="02040502050405020303" pitchFamily="18" charset="0"/>
            </a:rPr>
            <a:t>   Rotimi Ogbe</a:t>
          </a:r>
          <a:endParaRPr lang="en-US" sz="1600">
            <a:latin typeface="Georgia" panose="02040502050405020303" pitchFamily="18" charset="0"/>
          </a:endParaRPr>
        </a:p>
      </dgm:t>
    </dgm:pt>
    <dgm:pt modelId="{D79D6FB1-BF91-41D0-913C-E72DF597DC79}" type="parTrans" cxnId="{8E992D91-F101-422E-BBD2-ADBEE2969DF1}">
      <dgm:prSet/>
      <dgm:spPr/>
      <dgm:t>
        <a:bodyPr/>
        <a:lstStyle/>
        <a:p>
          <a:endParaRPr lang="en-US"/>
        </a:p>
      </dgm:t>
    </dgm:pt>
    <dgm:pt modelId="{3B04E07A-13D9-4ECA-AAFE-9D69818312FE}" type="sibTrans" cxnId="{8E992D91-F101-422E-BBD2-ADBEE2969DF1}">
      <dgm:prSet/>
      <dgm:spPr/>
      <dgm:t>
        <a:bodyPr/>
        <a:lstStyle/>
        <a:p>
          <a:endParaRPr lang="en-US"/>
        </a:p>
      </dgm:t>
    </dgm:pt>
    <dgm:pt modelId="{508A0D0B-6875-4CA4-BEB8-4E044487DD7D}" type="pres">
      <dgm:prSet presAssocID="{17F1083C-9AE9-4AFF-8B04-150683B45A37}" presName="Name0" presStyleCnt="0">
        <dgm:presLayoutVars>
          <dgm:chMax/>
          <dgm:chPref val="3"/>
          <dgm:dir/>
          <dgm:animOne val="branch"/>
          <dgm:animLvl val="lvl"/>
        </dgm:presLayoutVars>
      </dgm:prSet>
      <dgm:spPr/>
    </dgm:pt>
    <dgm:pt modelId="{802BB645-1260-4FC3-83FE-4349124ADAA2}" type="pres">
      <dgm:prSet presAssocID="{CD2325D7-636B-40E9-8459-1979DE168193}" presName="composite" presStyleCnt="0"/>
      <dgm:spPr/>
    </dgm:pt>
    <dgm:pt modelId="{00144FCF-8F40-431A-8220-A3316AB13A04}" type="pres">
      <dgm:prSet presAssocID="{CD2325D7-636B-40E9-8459-1979DE168193}" presName="FirstChild" presStyleLbl="revTx" presStyleIdx="0" presStyleCnt="3">
        <dgm:presLayoutVars>
          <dgm:chMax val="0"/>
          <dgm:chPref val="0"/>
          <dgm:bulletEnabled val="1"/>
        </dgm:presLayoutVars>
      </dgm:prSet>
      <dgm:spPr/>
    </dgm:pt>
    <dgm:pt modelId="{6204C98E-2DAD-498B-8CC0-793BD25CC149}" type="pres">
      <dgm:prSet presAssocID="{CD2325D7-636B-40E9-8459-1979DE168193}" presName="Parent" presStyleLbl="alignNode1" presStyleIdx="0" presStyleCnt="3">
        <dgm:presLayoutVars>
          <dgm:chMax val="3"/>
          <dgm:chPref val="3"/>
          <dgm:bulletEnabled val="1"/>
        </dgm:presLayoutVars>
      </dgm:prSet>
      <dgm:spPr/>
    </dgm:pt>
    <dgm:pt modelId="{667832F5-E821-4E18-8D5A-032C55337419}" type="pres">
      <dgm:prSet presAssocID="{CD2325D7-636B-40E9-8459-1979DE168193}" presName="Accent" presStyleLbl="parChTrans1D1" presStyleIdx="0" presStyleCnt="3"/>
      <dgm:spPr/>
    </dgm:pt>
    <dgm:pt modelId="{87E82D50-6C20-4E51-93E4-D38F4C0C9BBF}" type="pres">
      <dgm:prSet presAssocID="{7CDE2B49-1400-4B2D-AA35-9BA2CA75B660}" presName="sibTrans" presStyleCnt="0"/>
      <dgm:spPr/>
    </dgm:pt>
    <dgm:pt modelId="{C9421A1F-C29C-4D00-98A6-CC2FAD23E7BB}" type="pres">
      <dgm:prSet presAssocID="{E7E0FF23-7AEA-4617-A0D5-03146BBD15F9}" presName="composite" presStyleCnt="0"/>
      <dgm:spPr/>
    </dgm:pt>
    <dgm:pt modelId="{1C05CDA6-D19E-4B81-A5E3-D873E761BD6C}" type="pres">
      <dgm:prSet presAssocID="{E7E0FF23-7AEA-4617-A0D5-03146BBD15F9}" presName="FirstChild" presStyleLbl="revTx" presStyleIdx="1" presStyleCnt="3">
        <dgm:presLayoutVars>
          <dgm:chMax val="0"/>
          <dgm:chPref val="0"/>
          <dgm:bulletEnabled val="1"/>
        </dgm:presLayoutVars>
      </dgm:prSet>
      <dgm:spPr/>
    </dgm:pt>
    <dgm:pt modelId="{5F9DC0A6-092C-463D-9380-0272F9264EAB}" type="pres">
      <dgm:prSet presAssocID="{E7E0FF23-7AEA-4617-A0D5-03146BBD15F9}" presName="Parent" presStyleLbl="alignNode1" presStyleIdx="1" presStyleCnt="3">
        <dgm:presLayoutVars>
          <dgm:chMax val="3"/>
          <dgm:chPref val="3"/>
          <dgm:bulletEnabled val="1"/>
        </dgm:presLayoutVars>
      </dgm:prSet>
      <dgm:spPr/>
    </dgm:pt>
    <dgm:pt modelId="{F754D19D-53B8-487A-B8DC-21835FA7637A}" type="pres">
      <dgm:prSet presAssocID="{E7E0FF23-7AEA-4617-A0D5-03146BBD15F9}" presName="Accent" presStyleLbl="parChTrans1D1" presStyleIdx="1" presStyleCnt="3"/>
      <dgm:spPr/>
    </dgm:pt>
    <dgm:pt modelId="{0A2A20EB-FB71-4222-9F2F-C690346517ED}" type="pres">
      <dgm:prSet presAssocID="{C810E4B5-00C6-4356-89B4-FCC39728BC16}" presName="sibTrans" presStyleCnt="0"/>
      <dgm:spPr/>
    </dgm:pt>
    <dgm:pt modelId="{0F8EC44C-AA59-4A0E-86BC-A9611B70EE53}" type="pres">
      <dgm:prSet presAssocID="{E963BF4C-B274-4BCC-831F-BFEBF8296C90}" presName="composite" presStyleCnt="0"/>
      <dgm:spPr/>
    </dgm:pt>
    <dgm:pt modelId="{9D12641A-6FC9-4A83-B648-98B4D43F93C2}" type="pres">
      <dgm:prSet presAssocID="{E963BF4C-B274-4BCC-831F-BFEBF8296C90}" presName="FirstChild" presStyleLbl="revTx" presStyleIdx="2" presStyleCnt="3">
        <dgm:presLayoutVars>
          <dgm:chMax val="0"/>
          <dgm:chPref val="0"/>
          <dgm:bulletEnabled val="1"/>
        </dgm:presLayoutVars>
      </dgm:prSet>
      <dgm:spPr/>
    </dgm:pt>
    <dgm:pt modelId="{AE1F4A03-10D9-43F6-AAC5-B8E1CBAF0ED8}" type="pres">
      <dgm:prSet presAssocID="{E963BF4C-B274-4BCC-831F-BFEBF8296C90}" presName="Parent" presStyleLbl="alignNode1" presStyleIdx="2" presStyleCnt="3">
        <dgm:presLayoutVars>
          <dgm:chMax val="3"/>
          <dgm:chPref val="3"/>
          <dgm:bulletEnabled val="1"/>
        </dgm:presLayoutVars>
      </dgm:prSet>
      <dgm:spPr/>
    </dgm:pt>
    <dgm:pt modelId="{9F4C4106-3585-419E-9208-D5D9F1FDDAB4}" type="pres">
      <dgm:prSet presAssocID="{E963BF4C-B274-4BCC-831F-BFEBF8296C90}" presName="Accent" presStyleLbl="parChTrans1D1" presStyleIdx="2" presStyleCnt="3"/>
      <dgm:spPr/>
    </dgm:pt>
  </dgm:ptLst>
  <dgm:cxnLst>
    <dgm:cxn modelId="{B62CA523-1770-41D4-B2D1-C55177ECD1D2}" srcId="{CD2325D7-636B-40E9-8459-1979DE168193}" destId="{AAA45D51-4719-4E7F-AD90-4927B3937194}" srcOrd="0" destOrd="0" parTransId="{EDF24975-A7E7-4FE2-BC09-C35EB5F4E710}" sibTransId="{702C01B9-BB1F-4DC9-A49C-5374083FB4F8}"/>
    <dgm:cxn modelId="{C1E14235-95B6-49B3-A02B-57D3166C1B05}" type="presOf" srcId="{4AF9DE67-D44E-4F28-B4ED-05BF0268C963}" destId="{1C05CDA6-D19E-4B81-A5E3-D873E761BD6C}" srcOrd="0" destOrd="0" presId="urn:microsoft.com/office/officeart/2011/layout/TabList"/>
    <dgm:cxn modelId="{C01DEA39-9988-4220-A48E-73A79207454F}" type="presOf" srcId="{E7E0FF23-7AEA-4617-A0D5-03146BBD15F9}" destId="{5F9DC0A6-092C-463D-9380-0272F9264EAB}" srcOrd="0" destOrd="0" presId="urn:microsoft.com/office/officeart/2011/layout/TabList"/>
    <dgm:cxn modelId="{3A48E774-0C91-4CD0-9625-4A0946623D3A}" type="presOf" srcId="{CD2325D7-636B-40E9-8459-1979DE168193}" destId="{6204C98E-2DAD-498B-8CC0-793BD25CC149}" srcOrd="0" destOrd="0" presId="urn:microsoft.com/office/officeart/2011/layout/TabList"/>
    <dgm:cxn modelId="{F382A679-57D0-4297-B61A-98D6FF7CC713}" srcId="{17F1083C-9AE9-4AFF-8B04-150683B45A37}" destId="{CD2325D7-636B-40E9-8459-1979DE168193}" srcOrd="0" destOrd="0" parTransId="{D6D5B8CC-E553-4678-9D2C-01C260F6D69E}" sibTransId="{7CDE2B49-1400-4B2D-AA35-9BA2CA75B660}"/>
    <dgm:cxn modelId="{8E992D91-F101-422E-BBD2-ADBEE2969DF1}" srcId="{E963BF4C-B274-4BCC-831F-BFEBF8296C90}" destId="{B8C4A35B-9222-4485-B54E-17B33510CB66}" srcOrd="0" destOrd="0" parTransId="{D79D6FB1-BF91-41D0-913C-E72DF597DC79}" sibTransId="{3B04E07A-13D9-4ECA-AAFE-9D69818312FE}"/>
    <dgm:cxn modelId="{0288A19A-2F72-4327-8316-C83B560516CE}" type="presOf" srcId="{B8C4A35B-9222-4485-B54E-17B33510CB66}" destId="{9D12641A-6FC9-4A83-B648-98B4D43F93C2}" srcOrd="0" destOrd="0" presId="urn:microsoft.com/office/officeart/2011/layout/TabList"/>
    <dgm:cxn modelId="{A0E932A2-AB9C-4B76-88D1-F33ABFF459C7}" type="presOf" srcId="{17F1083C-9AE9-4AFF-8B04-150683B45A37}" destId="{508A0D0B-6875-4CA4-BEB8-4E044487DD7D}" srcOrd="0" destOrd="0" presId="urn:microsoft.com/office/officeart/2011/layout/TabList"/>
    <dgm:cxn modelId="{C6B858B0-2E71-4D93-9806-27D7D6BEFD30}" srcId="{E7E0FF23-7AEA-4617-A0D5-03146BBD15F9}" destId="{4AF9DE67-D44E-4F28-B4ED-05BF0268C963}" srcOrd="0" destOrd="0" parTransId="{ED2769F9-4077-4B06-B48B-D02B1556AA09}" sibTransId="{7E8631D4-32F0-4D12-B226-EDDAF0CA1808}"/>
    <dgm:cxn modelId="{DA1F31B1-04BD-441A-8426-9F0C07EC0C76}" srcId="{17F1083C-9AE9-4AFF-8B04-150683B45A37}" destId="{E7E0FF23-7AEA-4617-A0D5-03146BBD15F9}" srcOrd="1" destOrd="0" parTransId="{4789162C-1CC6-4C05-9B30-63BED9FF8F78}" sibTransId="{C810E4B5-00C6-4356-89B4-FCC39728BC16}"/>
    <dgm:cxn modelId="{A8E522DA-6C17-495C-921A-654589B96259}" srcId="{17F1083C-9AE9-4AFF-8B04-150683B45A37}" destId="{E963BF4C-B274-4BCC-831F-BFEBF8296C90}" srcOrd="2" destOrd="0" parTransId="{4C355846-405F-478C-84FD-F8A9DF8A8B63}" sibTransId="{36945E60-7606-4616-8D9F-8C8B16276406}"/>
    <dgm:cxn modelId="{694AF7DA-524D-4E38-AA3B-034D4B6F3C37}" type="presOf" srcId="{E963BF4C-B274-4BCC-831F-BFEBF8296C90}" destId="{AE1F4A03-10D9-43F6-AAC5-B8E1CBAF0ED8}" srcOrd="0" destOrd="0" presId="urn:microsoft.com/office/officeart/2011/layout/TabList"/>
    <dgm:cxn modelId="{0CA140E8-B0E2-450D-A339-E2D436B656BB}" type="presOf" srcId="{AAA45D51-4719-4E7F-AD90-4927B3937194}" destId="{00144FCF-8F40-431A-8220-A3316AB13A04}" srcOrd="0" destOrd="0" presId="urn:microsoft.com/office/officeart/2011/layout/TabList"/>
    <dgm:cxn modelId="{C7B1847C-BFE2-4A2F-B7E4-E2BB63D1635B}" type="presParOf" srcId="{508A0D0B-6875-4CA4-BEB8-4E044487DD7D}" destId="{802BB645-1260-4FC3-83FE-4349124ADAA2}" srcOrd="0" destOrd="0" presId="urn:microsoft.com/office/officeart/2011/layout/TabList"/>
    <dgm:cxn modelId="{7FF86AB7-39AE-47E6-B591-B7D390EF4841}" type="presParOf" srcId="{802BB645-1260-4FC3-83FE-4349124ADAA2}" destId="{00144FCF-8F40-431A-8220-A3316AB13A04}" srcOrd="0" destOrd="0" presId="urn:microsoft.com/office/officeart/2011/layout/TabList"/>
    <dgm:cxn modelId="{E041BA63-955A-4DFA-AC25-5773FE99FA4E}" type="presParOf" srcId="{802BB645-1260-4FC3-83FE-4349124ADAA2}" destId="{6204C98E-2DAD-498B-8CC0-793BD25CC149}" srcOrd="1" destOrd="0" presId="urn:microsoft.com/office/officeart/2011/layout/TabList"/>
    <dgm:cxn modelId="{034F2214-F2E4-4999-B18B-1A26A9F0ADC2}" type="presParOf" srcId="{802BB645-1260-4FC3-83FE-4349124ADAA2}" destId="{667832F5-E821-4E18-8D5A-032C55337419}" srcOrd="2" destOrd="0" presId="urn:microsoft.com/office/officeart/2011/layout/TabList"/>
    <dgm:cxn modelId="{F02986AE-C3F3-4F56-B1DB-05C0E905B4D0}" type="presParOf" srcId="{508A0D0B-6875-4CA4-BEB8-4E044487DD7D}" destId="{87E82D50-6C20-4E51-93E4-D38F4C0C9BBF}" srcOrd="1" destOrd="0" presId="urn:microsoft.com/office/officeart/2011/layout/TabList"/>
    <dgm:cxn modelId="{8448554C-3DEC-4EAA-95DA-19DADCF8CD7B}" type="presParOf" srcId="{508A0D0B-6875-4CA4-BEB8-4E044487DD7D}" destId="{C9421A1F-C29C-4D00-98A6-CC2FAD23E7BB}" srcOrd="2" destOrd="0" presId="urn:microsoft.com/office/officeart/2011/layout/TabList"/>
    <dgm:cxn modelId="{B70AB342-0FBB-40A4-A47C-CB6D140092E7}" type="presParOf" srcId="{C9421A1F-C29C-4D00-98A6-CC2FAD23E7BB}" destId="{1C05CDA6-D19E-4B81-A5E3-D873E761BD6C}" srcOrd="0" destOrd="0" presId="urn:microsoft.com/office/officeart/2011/layout/TabList"/>
    <dgm:cxn modelId="{3AD772CE-E4D3-4186-BA04-A21DB762A696}" type="presParOf" srcId="{C9421A1F-C29C-4D00-98A6-CC2FAD23E7BB}" destId="{5F9DC0A6-092C-463D-9380-0272F9264EAB}" srcOrd="1" destOrd="0" presId="urn:microsoft.com/office/officeart/2011/layout/TabList"/>
    <dgm:cxn modelId="{7F96DF7A-A3D8-43D3-AA26-9EE0444B34BB}" type="presParOf" srcId="{C9421A1F-C29C-4D00-98A6-CC2FAD23E7BB}" destId="{F754D19D-53B8-487A-B8DC-21835FA7637A}" srcOrd="2" destOrd="0" presId="urn:microsoft.com/office/officeart/2011/layout/TabList"/>
    <dgm:cxn modelId="{67B1E9BB-A7FC-48CE-99D0-F9B6F2DAF1F5}" type="presParOf" srcId="{508A0D0B-6875-4CA4-BEB8-4E044487DD7D}" destId="{0A2A20EB-FB71-4222-9F2F-C690346517ED}" srcOrd="3" destOrd="0" presId="urn:microsoft.com/office/officeart/2011/layout/TabList"/>
    <dgm:cxn modelId="{2E077D03-BD78-41B9-953F-D76C1A0E2E39}" type="presParOf" srcId="{508A0D0B-6875-4CA4-BEB8-4E044487DD7D}" destId="{0F8EC44C-AA59-4A0E-86BC-A9611B70EE53}" srcOrd="4" destOrd="0" presId="urn:microsoft.com/office/officeart/2011/layout/TabList"/>
    <dgm:cxn modelId="{DE6C2202-8CF0-4515-B642-388657F959CA}" type="presParOf" srcId="{0F8EC44C-AA59-4A0E-86BC-A9611B70EE53}" destId="{9D12641A-6FC9-4A83-B648-98B4D43F93C2}" srcOrd="0" destOrd="0" presId="urn:microsoft.com/office/officeart/2011/layout/TabList"/>
    <dgm:cxn modelId="{C1F13689-51C1-427E-AEE6-E45A478A93C9}" type="presParOf" srcId="{0F8EC44C-AA59-4A0E-86BC-A9611B70EE53}" destId="{AE1F4A03-10D9-43F6-AAC5-B8E1CBAF0ED8}" srcOrd="1" destOrd="0" presId="urn:microsoft.com/office/officeart/2011/layout/TabList"/>
    <dgm:cxn modelId="{0ABD1962-1640-4771-9D22-A860447C07B0}" type="presParOf" srcId="{0F8EC44C-AA59-4A0E-86BC-A9611B70EE53}" destId="{9F4C4106-3585-419E-9208-D5D9F1FDDAB4}" srcOrd="2" destOrd="0" presId="urn:microsoft.com/office/officeart/2011/layout/Tab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7F1083C-9AE9-4AFF-8B04-150683B45A37}" type="doc">
      <dgm:prSet loTypeId="urn:microsoft.com/office/officeart/2011/layout/TabList" loCatId="list" qsTypeId="urn:microsoft.com/office/officeart/2005/8/quickstyle/simple1#7" qsCatId="simple" csTypeId="urn:microsoft.com/office/officeart/2005/8/colors/accent1_2#7" csCatId="accent1" phldr="1"/>
      <dgm:spPr/>
      <dgm:t>
        <a:bodyPr/>
        <a:lstStyle/>
        <a:p>
          <a:endParaRPr lang="en-US"/>
        </a:p>
      </dgm:t>
    </dgm:pt>
    <dgm:pt modelId="{CD2325D7-636B-40E9-8459-1979DE168193}">
      <dgm:prSet phldrT="[Text]" custT="1"/>
      <dgm:spPr/>
      <dgm:t>
        <a:bodyPr/>
        <a:lstStyle/>
        <a:p>
          <a:pPr>
            <a:buNone/>
          </a:pPr>
          <a:r>
            <a:rPr lang="en-US" sz="1600" b="1">
              <a:latin typeface="Georgia" panose="02040502050405020303" pitchFamily="18" charset="0"/>
            </a:rPr>
            <a:t>Student Number</a:t>
          </a:r>
          <a:endParaRPr lang="en-US" sz="1600">
            <a:latin typeface="Georgia" panose="02040502050405020303" pitchFamily="18" charset="0"/>
          </a:endParaRPr>
        </a:p>
      </dgm:t>
    </dgm:pt>
    <dgm:pt modelId="{D6D5B8CC-E553-4678-9D2C-01C260F6D69E}" type="parTrans" cxnId="{F382A679-57D0-4297-B61A-98D6FF7CC713}">
      <dgm:prSet/>
      <dgm:spPr/>
      <dgm:t>
        <a:bodyPr/>
        <a:lstStyle/>
        <a:p>
          <a:endParaRPr lang="en-US"/>
        </a:p>
      </dgm:t>
    </dgm:pt>
    <dgm:pt modelId="{7CDE2B49-1400-4B2D-AA35-9BA2CA75B660}" type="sibTrans" cxnId="{F382A679-57D0-4297-B61A-98D6FF7CC713}">
      <dgm:prSet/>
      <dgm:spPr/>
      <dgm:t>
        <a:bodyPr/>
        <a:lstStyle/>
        <a:p>
          <a:endParaRPr lang="en-US"/>
        </a:p>
      </dgm:t>
    </dgm:pt>
    <dgm:pt modelId="{AAA45D51-4719-4E7F-AD90-4927B3937194}">
      <dgm:prSet phldrT="[Text]" custT="1"/>
      <dgm:spPr/>
      <dgm:t>
        <a:bodyPr/>
        <a:lstStyle/>
        <a:p>
          <a:pPr>
            <a:buNone/>
          </a:pPr>
          <a:r>
            <a:rPr lang="en-US" sz="1600" b="1">
              <a:latin typeface="Georgia" panose="02040502050405020303" pitchFamily="18" charset="0"/>
            </a:rPr>
            <a:t>   2313492</a:t>
          </a:r>
          <a:endParaRPr lang="en-US" sz="1600">
            <a:latin typeface="Georgia" panose="02040502050405020303" pitchFamily="18" charset="0"/>
          </a:endParaRPr>
        </a:p>
      </dgm:t>
    </dgm:pt>
    <dgm:pt modelId="{EDF24975-A7E7-4FE2-BC09-C35EB5F4E710}" type="parTrans" cxnId="{B62CA523-1770-41D4-B2D1-C55177ECD1D2}">
      <dgm:prSet/>
      <dgm:spPr/>
      <dgm:t>
        <a:bodyPr/>
        <a:lstStyle/>
        <a:p>
          <a:endParaRPr lang="en-US"/>
        </a:p>
      </dgm:t>
    </dgm:pt>
    <dgm:pt modelId="{702C01B9-BB1F-4DC9-A49C-5374083FB4F8}" type="sibTrans" cxnId="{B62CA523-1770-41D4-B2D1-C55177ECD1D2}">
      <dgm:prSet/>
      <dgm:spPr/>
      <dgm:t>
        <a:bodyPr/>
        <a:lstStyle/>
        <a:p>
          <a:endParaRPr lang="en-US"/>
        </a:p>
      </dgm:t>
    </dgm:pt>
    <dgm:pt modelId="{E7E0FF23-7AEA-4617-A0D5-03146BBD15F9}">
      <dgm:prSet phldrT="[Text]" custT="1"/>
      <dgm:spPr/>
      <dgm:t>
        <a:bodyPr/>
        <a:lstStyle/>
        <a:p>
          <a:pPr>
            <a:buNone/>
          </a:pPr>
          <a:r>
            <a:rPr lang="en-US" sz="1600" b="1">
              <a:latin typeface="Georgia" panose="02040502050405020303" pitchFamily="18" charset="0"/>
            </a:rPr>
            <a:t>Word Count</a:t>
          </a:r>
          <a:endParaRPr lang="en-US" sz="1600">
            <a:latin typeface="Georgia" panose="02040502050405020303" pitchFamily="18" charset="0"/>
          </a:endParaRPr>
        </a:p>
      </dgm:t>
    </dgm:pt>
    <dgm:pt modelId="{4789162C-1CC6-4C05-9B30-63BED9FF8F78}" type="parTrans" cxnId="{DA1F31B1-04BD-441A-8426-9F0C07EC0C76}">
      <dgm:prSet/>
      <dgm:spPr/>
      <dgm:t>
        <a:bodyPr/>
        <a:lstStyle/>
        <a:p>
          <a:endParaRPr lang="en-US"/>
        </a:p>
      </dgm:t>
    </dgm:pt>
    <dgm:pt modelId="{C810E4B5-00C6-4356-89B4-FCC39728BC16}" type="sibTrans" cxnId="{DA1F31B1-04BD-441A-8426-9F0C07EC0C76}">
      <dgm:prSet/>
      <dgm:spPr/>
      <dgm:t>
        <a:bodyPr/>
        <a:lstStyle/>
        <a:p>
          <a:endParaRPr lang="en-US"/>
        </a:p>
      </dgm:t>
    </dgm:pt>
    <dgm:pt modelId="{4AF9DE67-D44E-4F28-B4ED-05BF0268C963}">
      <dgm:prSet phldrT="[Text]" custT="1"/>
      <dgm:spPr/>
      <dgm:t>
        <a:bodyPr/>
        <a:lstStyle/>
        <a:p>
          <a:pPr>
            <a:buNone/>
          </a:pPr>
          <a:r>
            <a:rPr lang="en-US" sz="1600" b="1">
              <a:latin typeface="Georgia" panose="02040502050405020303" pitchFamily="18" charset="0"/>
            </a:rPr>
            <a:t>   2,747</a:t>
          </a:r>
        </a:p>
      </dgm:t>
    </dgm:pt>
    <dgm:pt modelId="{ED2769F9-4077-4B06-B48B-D02B1556AA09}" type="parTrans" cxnId="{C6B858B0-2E71-4D93-9806-27D7D6BEFD30}">
      <dgm:prSet/>
      <dgm:spPr/>
      <dgm:t>
        <a:bodyPr/>
        <a:lstStyle/>
        <a:p>
          <a:endParaRPr lang="en-US"/>
        </a:p>
      </dgm:t>
    </dgm:pt>
    <dgm:pt modelId="{7E8631D4-32F0-4D12-B226-EDDAF0CA1808}" type="sibTrans" cxnId="{C6B858B0-2E71-4D93-9806-27D7D6BEFD30}">
      <dgm:prSet/>
      <dgm:spPr/>
      <dgm:t>
        <a:bodyPr/>
        <a:lstStyle/>
        <a:p>
          <a:endParaRPr lang="en-US"/>
        </a:p>
      </dgm:t>
    </dgm:pt>
    <dgm:pt modelId="{E963BF4C-B274-4BCC-831F-BFEBF8296C90}">
      <dgm:prSet phldrT="[Text]" custT="1"/>
      <dgm:spPr/>
      <dgm:t>
        <a:bodyPr/>
        <a:lstStyle/>
        <a:p>
          <a:pPr>
            <a:buNone/>
          </a:pPr>
          <a:r>
            <a:rPr lang="en-US" sz="1600" b="1">
              <a:latin typeface="Georgia" panose="02040502050405020303" pitchFamily="18" charset="0"/>
            </a:rPr>
            <a:t>Submission Date</a:t>
          </a:r>
          <a:endParaRPr lang="en-US" sz="1600">
            <a:latin typeface="Georgia" panose="02040502050405020303" pitchFamily="18" charset="0"/>
          </a:endParaRPr>
        </a:p>
      </dgm:t>
    </dgm:pt>
    <dgm:pt modelId="{4C355846-405F-478C-84FD-F8A9DF8A8B63}" type="parTrans" cxnId="{A8E522DA-6C17-495C-921A-654589B96259}">
      <dgm:prSet/>
      <dgm:spPr/>
      <dgm:t>
        <a:bodyPr/>
        <a:lstStyle/>
        <a:p>
          <a:endParaRPr lang="en-US"/>
        </a:p>
      </dgm:t>
    </dgm:pt>
    <dgm:pt modelId="{36945E60-7606-4616-8D9F-8C8B16276406}" type="sibTrans" cxnId="{A8E522DA-6C17-495C-921A-654589B96259}">
      <dgm:prSet/>
      <dgm:spPr/>
      <dgm:t>
        <a:bodyPr/>
        <a:lstStyle/>
        <a:p>
          <a:endParaRPr lang="en-US"/>
        </a:p>
      </dgm:t>
    </dgm:pt>
    <dgm:pt modelId="{B8C4A35B-9222-4485-B54E-17B33510CB66}">
      <dgm:prSet phldrT="[Text]" custT="1"/>
      <dgm:spPr/>
      <dgm:t>
        <a:bodyPr/>
        <a:lstStyle/>
        <a:p>
          <a:pPr>
            <a:buNone/>
          </a:pPr>
          <a:r>
            <a:rPr lang="en-US" sz="1600" b="1">
              <a:latin typeface="Georgia" panose="02040502050405020303" pitchFamily="18" charset="0"/>
            </a:rPr>
            <a:t>   22 October 2026</a:t>
          </a:r>
          <a:endParaRPr lang="en-US" sz="1600">
            <a:latin typeface="Georgia" panose="02040502050405020303" pitchFamily="18" charset="0"/>
          </a:endParaRPr>
        </a:p>
      </dgm:t>
    </dgm:pt>
    <dgm:pt modelId="{D79D6FB1-BF91-41D0-913C-E72DF597DC79}" type="parTrans" cxnId="{8E992D91-F101-422E-BBD2-ADBEE2969DF1}">
      <dgm:prSet/>
      <dgm:spPr/>
      <dgm:t>
        <a:bodyPr/>
        <a:lstStyle/>
        <a:p>
          <a:endParaRPr lang="en-US"/>
        </a:p>
      </dgm:t>
    </dgm:pt>
    <dgm:pt modelId="{3B04E07A-13D9-4ECA-AAFE-9D69818312FE}" type="sibTrans" cxnId="{8E992D91-F101-422E-BBD2-ADBEE2969DF1}">
      <dgm:prSet/>
      <dgm:spPr/>
      <dgm:t>
        <a:bodyPr/>
        <a:lstStyle/>
        <a:p>
          <a:endParaRPr lang="en-US"/>
        </a:p>
      </dgm:t>
    </dgm:pt>
    <dgm:pt modelId="{508A0D0B-6875-4CA4-BEB8-4E044487DD7D}" type="pres">
      <dgm:prSet presAssocID="{17F1083C-9AE9-4AFF-8B04-150683B45A37}" presName="Name0" presStyleCnt="0">
        <dgm:presLayoutVars>
          <dgm:chMax/>
          <dgm:chPref val="3"/>
          <dgm:dir/>
          <dgm:animOne val="branch"/>
          <dgm:animLvl val="lvl"/>
        </dgm:presLayoutVars>
      </dgm:prSet>
      <dgm:spPr/>
    </dgm:pt>
    <dgm:pt modelId="{802BB645-1260-4FC3-83FE-4349124ADAA2}" type="pres">
      <dgm:prSet presAssocID="{CD2325D7-636B-40E9-8459-1979DE168193}" presName="composite" presStyleCnt="0"/>
      <dgm:spPr/>
    </dgm:pt>
    <dgm:pt modelId="{00144FCF-8F40-431A-8220-A3316AB13A04}" type="pres">
      <dgm:prSet presAssocID="{CD2325D7-636B-40E9-8459-1979DE168193}" presName="FirstChild" presStyleLbl="revTx" presStyleIdx="0" presStyleCnt="3">
        <dgm:presLayoutVars>
          <dgm:chMax val="0"/>
          <dgm:chPref val="0"/>
          <dgm:bulletEnabled val="1"/>
        </dgm:presLayoutVars>
      </dgm:prSet>
      <dgm:spPr/>
    </dgm:pt>
    <dgm:pt modelId="{6204C98E-2DAD-498B-8CC0-793BD25CC149}" type="pres">
      <dgm:prSet presAssocID="{CD2325D7-636B-40E9-8459-1979DE168193}" presName="Parent" presStyleLbl="alignNode1" presStyleIdx="0" presStyleCnt="3">
        <dgm:presLayoutVars>
          <dgm:chMax val="3"/>
          <dgm:chPref val="3"/>
          <dgm:bulletEnabled val="1"/>
        </dgm:presLayoutVars>
      </dgm:prSet>
      <dgm:spPr/>
    </dgm:pt>
    <dgm:pt modelId="{667832F5-E821-4E18-8D5A-032C55337419}" type="pres">
      <dgm:prSet presAssocID="{CD2325D7-636B-40E9-8459-1979DE168193}" presName="Accent" presStyleLbl="parChTrans1D1" presStyleIdx="0" presStyleCnt="3"/>
      <dgm:spPr/>
    </dgm:pt>
    <dgm:pt modelId="{87E82D50-6C20-4E51-93E4-D38F4C0C9BBF}" type="pres">
      <dgm:prSet presAssocID="{7CDE2B49-1400-4B2D-AA35-9BA2CA75B660}" presName="sibTrans" presStyleCnt="0"/>
      <dgm:spPr/>
    </dgm:pt>
    <dgm:pt modelId="{C9421A1F-C29C-4D00-98A6-CC2FAD23E7BB}" type="pres">
      <dgm:prSet presAssocID="{E7E0FF23-7AEA-4617-A0D5-03146BBD15F9}" presName="composite" presStyleCnt="0"/>
      <dgm:spPr/>
    </dgm:pt>
    <dgm:pt modelId="{1C05CDA6-D19E-4B81-A5E3-D873E761BD6C}" type="pres">
      <dgm:prSet presAssocID="{E7E0FF23-7AEA-4617-A0D5-03146BBD15F9}" presName="FirstChild" presStyleLbl="revTx" presStyleIdx="1" presStyleCnt="3">
        <dgm:presLayoutVars>
          <dgm:chMax val="0"/>
          <dgm:chPref val="0"/>
          <dgm:bulletEnabled val="1"/>
        </dgm:presLayoutVars>
      </dgm:prSet>
      <dgm:spPr/>
    </dgm:pt>
    <dgm:pt modelId="{5F9DC0A6-092C-463D-9380-0272F9264EAB}" type="pres">
      <dgm:prSet presAssocID="{E7E0FF23-7AEA-4617-A0D5-03146BBD15F9}" presName="Parent" presStyleLbl="alignNode1" presStyleIdx="1" presStyleCnt="3">
        <dgm:presLayoutVars>
          <dgm:chMax val="3"/>
          <dgm:chPref val="3"/>
          <dgm:bulletEnabled val="1"/>
        </dgm:presLayoutVars>
      </dgm:prSet>
      <dgm:spPr/>
    </dgm:pt>
    <dgm:pt modelId="{F754D19D-53B8-487A-B8DC-21835FA7637A}" type="pres">
      <dgm:prSet presAssocID="{E7E0FF23-7AEA-4617-A0D5-03146BBD15F9}" presName="Accent" presStyleLbl="parChTrans1D1" presStyleIdx="1" presStyleCnt="3"/>
      <dgm:spPr/>
    </dgm:pt>
    <dgm:pt modelId="{0A2A20EB-FB71-4222-9F2F-C690346517ED}" type="pres">
      <dgm:prSet presAssocID="{C810E4B5-00C6-4356-89B4-FCC39728BC16}" presName="sibTrans" presStyleCnt="0"/>
      <dgm:spPr/>
    </dgm:pt>
    <dgm:pt modelId="{0F8EC44C-AA59-4A0E-86BC-A9611B70EE53}" type="pres">
      <dgm:prSet presAssocID="{E963BF4C-B274-4BCC-831F-BFEBF8296C90}" presName="composite" presStyleCnt="0"/>
      <dgm:spPr/>
    </dgm:pt>
    <dgm:pt modelId="{9D12641A-6FC9-4A83-B648-98B4D43F93C2}" type="pres">
      <dgm:prSet presAssocID="{E963BF4C-B274-4BCC-831F-BFEBF8296C90}" presName="FirstChild" presStyleLbl="revTx" presStyleIdx="2" presStyleCnt="3">
        <dgm:presLayoutVars>
          <dgm:chMax val="0"/>
          <dgm:chPref val="0"/>
          <dgm:bulletEnabled val="1"/>
        </dgm:presLayoutVars>
      </dgm:prSet>
      <dgm:spPr/>
    </dgm:pt>
    <dgm:pt modelId="{AE1F4A03-10D9-43F6-AAC5-B8E1CBAF0ED8}" type="pres">
      <dgm:prSet presAssocID="{E963BF4C-B274-4BCC-831F-BFEBF8296C90}" presName="Parent" presStyleLbl="alignNode1" presStyleIdx="2" presStyleCnt="3">
        <dgm:presLayoutVars>
          <dgm:chMax val="3"/>
          <dgm:chPref val="3"/>
          <dgm:bulletEnabled val="1"/>
        </dgm:presLayoutVars>
      </dgm:prSet>
      <dgm:spPr/>
    </dgm:pt>
    <dgm:pt modelId="{9F4C4106-3585-419E-9208-D5D9F1FDDAB4}" type="pres">
      <dgm:prSet presAssocID="{E963BF4C-B274-4BCC-831F-BFEBF8296C90}" presName="Accent" presStyleLbl="parChTrans1D1" presStyleIdx="2" presStyleCnt="3"/>
      <dgm:spPr/>
    </dgm:pt>
  </dgm:ptLst>
  <dgm:cxnLst>
    <dgm:cxn modelId="{B62CA523-1770-41D4-B2D1-C55177ECD1D2}" srcId="{CD2325D7-636B-40E9-8459-1979DE168193}" destId="{AAA45D51-4719-4E7F-AD90-4927B3937194}" srcOrd="0" destOrd="0" parTransId="{EDF24975-A7E7-4FE2-BC09-C35EB5F4E710}" sibTransId="{702C01B9-BB1F-4DC9-A49C-5374083FB4F8}"/>
    <dgm:cxn modelId="{C1E14235-95B6-49B3-A02B-57D3166C1B05}" type="presOf" srcId="{4AF9DE67-D44E-4F28-B4ED-05BF0268C963}" destId="{1C05CDA6-D19E-4B81-A5E3-D873E761BD6C}" srcOrd="0" destOrd="0" presId="urn:microsoft.com/office/officeart/2011/layout/TabList"/>
    <dgm:cxn modelId="{C01DEA39-9988-4220-A48E-73A79207454F}" type="presOf" srcId="{E7E0FF23-7AEA-4617-A0D5-03146BBD15F9}" destId="{5F9DC0A6-092C-463D-9380-0272F9264EAB}" srcOrd="0" destOrd="0" presId="urn:microsoft.com/office/officeart/2011/layout/TabList"/>
    <dgm:cxn modelId="{3A48E774-0C91-4CD0-9625-4A0946623D3A}" type="presOf" srcId="{CD2325D7-636B-40E9-8459-1979DE168193}" destId="{6204C98E-2DAD-498B-8CC0-793BD25CC149}" srcOrd="0" destOrd="0" presId="urn:microsoft.com/office/officeart/2011/layout/TabList"/>
    <dgm:cxn modelId="{F382A679-57D0-4297-B61A-98D6FF7CC713}" srcId="{17F1083C-9AE9-4AFF-8B04-150683B45A37}" destId="{CD2325D7-636B-40E9-8459-1979DE168193}" srcOrd="0" destOrd="0" parTransId="{D6D5B8CC-E553-4678-9D2C-01C260F6D69E}" sibTransId="{7CDE2B49-1400-4B2D-AA35-9BA2CA75B660}"/>
    <dgm:cxn modelId="{8E992D91-F101-422E-BBD2-ADBEE2969DF1}" srcId="{E963BF4C-B274-4BCC-831F-BFEBF8296C90}" destId="{B8C4A35B-9222-4485-B54E-17B33510CB66}" srcOrd="0" destOrd="0" parTransId="{D79D6FB1-BF91-41D0-913C-E72DF597DC79}" sibTransId="{3B04E07A-13D9-4ECA-AAFE-9D69818312FE}"/>
    <dgm:cxn modelId="{0288A19A-2F72-4327-8316-C83B560516CE}" type="presOf" srcId="{B8C4A35B-9222-4485-B54E-17B33510CB66}" destId="{9D12641A-6FC9-4A83-B648-98B4D43F93C2}" srcOrd="0" destOrd="0" presId="urn:microsoft.com/office/officeart/2011/layout/TabList"/>
    <dgm:cxn modelId="{A0E932A2-AB9C-4B76-88D1-F33ABFF459C7}" type="presOf" srcId="{17F1083C-9AE9-4AFF-8B04-150683B45A37}" destId="{508A0D0B-6875-4CA4-BEB8-4E044487DD7D}" srcOrd="0" destOrd="0" presId="urn:microsoft.com/office/officeart/2011/layout/TabList"/>
    <dgm:cxn modelId="{C6B858B0-2E71-4D93-9806-27D7D6BEFD30}" srcId="{E7E0FF23-7AEA-4617-A0D5-03146BBD15F9}" destId="{4AF9DE67-D44E-4F28-B4ED-05BF0268C963}" srcOrd="0" destOrd="0" parTransId="{ED2769F9-4077-4B06-B48B-D02B1556AA09}" sibTransId="{7E8631D4-32F0-4D12-B226-EDDAF0CA1808}"/>
    <dgm:cxn modelId="{DA1F31B1-04BD-441A-8426-9F0C07EC0C76}" srcId="{17F1083C-9AE9-4AFF-8B04-150683B45A37}" destId="{E7E0FF23-7AEA-4617-A0D5-03146BBD15F9}" srcOrd="1" destOrd="0" parTransId="{4789162C-1CC6-4C05-9B30-63BED9FF8F78}" sibTransId="{C810E4B5-00C6-4356-89B4-FCC39728BC16}"/>
    <dgm:cxn modelId="{A8E522DA-6C17-495C-921A-654589B96259}" srcId="{17F1083C-9AE9-4AFF-8B04-150683B45A37}" destId="{E963BF4C-B274-4BCC-831F-BFEBF8296C90}" srcOrd="2" destOrd="0" parTransId="{4C355846-405F-478C-84FD-F8A9DF8A8B63}" sibTransId="{36945E60-7606-4616-8D9F-8C8B16276406}"/>
    <dgm:cxn modelId="{694AF7DA-524D-4E38-AA3B-034D4B6F3C37}" type="presOf" srcId="{E963BF4C-B274-4BCC-831F-BFEBF8296C90}" destId="{AE1F4A03-10D9-43F6-AAC5-B8E1CBAF0ED8}" srcOrd="0" destOrd="0" presId="urn:microsoft.com/office/officeart/2011/layout/TabList"/>
    <dgm:cxn modelId="{0CA140E8-B0E2-450D-A339-E2D436B656BB}" type="presOf" srcId="{AAA45D51-4719-4E7F-AD90-4927B3937194}" destId="{00144FCF-8F40-431A-8220-A3316AB13A04}" srcOrd="0" destOrd="0" presId="urn:microsoft.com/office/officeart/2011/layout/TabList"/>
    <dgm:cxn modelId="{C7B1847C-BFE2-4A2F-B7E4-E2BB63D1635B}" type="presParOf" srcId="{508A0D0B-6875-4CA4-BEB8-4E044487DD7D}" destId="{802BB645-1260-4FC3-83FE-4349124ADAA2}" srcOrd="0" destOrd="0" presId="urn:microsoft.com/office/officeart/2011/layout/TabList"/>
    <dgm:cxn modelId="{7FF86AB7-39AE-47E6-B591-B7D390EF4841}" type="presParOf" srcId="{802BB645-1260-4FC3-83FE-4349124ADAA2}" destId="{00144FCF-8F40-431A-8220-A3316AB13A04}" srcOrd="0" destOrd="0" presId="urn:microsoft.com/office/officeart/2011/layout/TabList"/>
    <dgm:cxn modelId="{E041BA63-955A-4DFA-AC25-5773FE99FA4E}" type="presParOf" srcId="{802BB645-1260-4FC3-83FE-4349124ADAA2}" destId="{6204C98E-2DAD-498B-8CC0-793BD25CC149}" srcOrd="1" destOrd="0" presId="urn:microsoft.com/office/officeart/2011/layout/TabList"/>
    <dgm:cxn modelId="{034F2214-F2E4-4999-B18B-1A26A9F0ADC2}" type="presParOf" srcId="{802BB645-1260-4FC3-83FE-4349124ADAA2}" destId="{667832F5-E821-4E18-8D5A-032C55337419}" srcOrd="2" destOrd="0" presId="urn:microsoft.com/office/officeart/2011/layout/TabList"/>
    <dgm:cxn modelId="{F02986AE-C3F3-4F56-B1DB-05C0E905B4D0}" type="presParOf" srcId="{508A0D0B-6875-4CA4-BEB8-4E044487DD7D}" destId="{87E82D50-6C20-4E51-93E4-D38F4C0C9BBF}" srcOrd="1" destOrd="0" presId="urn:microsoft.com/office/officeart/2011/layout/TabList"/>
    <dgm:cxn modelId="{8448554C-3DEC-4EAA-95DA-19DADCF8CD7B}" type="presParOf" srcId="{508A0D0B-6875-4CA4-BEB8-4E044487DD7D}" destId="{C9421A1F-C29C-4D00-98A6-CC2FAD23E7BB}" srcOrd="2" destOrd="0" presId="urn:microsoft.com/office/officeart/2011/layout/TabList"/>
    <dgm:cxn modelId="{B70AB342-0FBB-40A4-A47C-CB6D140092E7}" type="presParOf" srcId="{C9421A1F-C29C-4D00-98A6-CC2FAD23E7BB}" destId="{1C05CDA6-D19E-4B81-A5E3-D873E761BD6C}" srcOrd="0" destOrd="0" presId="urn:microsoft.com/office/officeart/2011/layout/TabList"/>
    <dgm:cxn modelId="{3AD772CE-E4D3-4186-BA04-A21DB762A696}" type="presParOf" srcId="{C9421A1F-C29C-4D00-98A6-CC2FAD23E7BB}" destId="{5F9DC0A6-092C-463D-9380-0272F9264EAB}" srcOrd="1" destOrd="0" presId="urn:microsoft.com/office/officeart/2011/layout/TabList"/>
    <dgm:cxn modelId="{7F96DF7A-A3D8-43D3-AA26-9EE0444B34BB}" type="presParOf" srcId="{C9421A1F-C29C-4D00-98A6-CC2FAD23E7BB}" destId="{F754D19D-53B8-487A-B8DC-21835FA7637A}" srcOrd="2" destOrd="0" presId="urn:microsoft.com/office/officeart/2011/layout/TabList"/>
    <dgm:cxn modelId="{67B1E9BB-A7FC-48CE-99D0-F9B6F2DAF1F5}" type="presParOf" srcId="{508A0D0B-6875-4CA4-BEB8-4E044487DD7D}" destId="{0A2A20EB-FB71-4222-9F2F-C690346517ED}" srcOrd="3" destOrd="0" presId="urn:microsoft.com/office/officeart/2011/layout/TabList"/>
    <dgm:cxn modelId="{2E077D03-BD78-41B9-953F-D76C1A0E2E39}" type="presParOf" srcId="{508A0D0B-6875-4CA4-BEB8-4E044487DD7D}" destId="{0F8EC44C-AA59-4A0E-86BC-A9611B70EE53}" srcOrd="4" destOrd="0" presId="urn:microsoft.com/office/officeart/2011/layout/TabList"/>
    <dgm:cxn modelId="{DE6C2202-8CF0-4515-B642-388657F959CA}" type="presParOf" srcId="{0F8EC44C-AA59-4A0E-86BC-A9611B70EE53}" destId="{9D12641A-6FC9-4A83-B648-98B4D43F93C2}" srcOrd="0" destOrd="0" presId="urn:microsoft.com/office/officeart/2011/layout/TabList"/>
    <dgm:cxn modelId="{C1F13689-51C1-427E-AEE6-E45A478A93C9}" type="presParOf" srcId="{0F8EC44C-AA59-4A0E-86BC-A9611B70EE53}" destId="{AE1F4A03-10D9-43F6-AAC5-B8E1CBAF0ED8}" srcOrd="1" destOrd="0" presId="urn:microsoft.com/office/officeart/2011/layout/TabList"/>
    <dgm:cxn modelId="{0ABD1962-1640-4771-9D22-A860447C07B0}" type="presParOf" srcId="{0F8EC44C-AA59-4A0E-86BC-A9611B70EE53}" destId="{9F4C4106-3585-419E-9208-D5D9F1FDDAB4}" srcOrd="2" destOrd="0" presId="urn:microsoft.com/office/officeart/2011/layout/Tab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4C4106-3585-419E-9208-D5D9F1FDDAB4}">
      <dsp:nvSpPr>
        <dsp:cNvPr id="0" name=""/>
        <dsp:cNvSpPr/>
      </dsp:nvSpPr>
      <dsp:spPr>
        <a:xfrm>
          <a:off x="0" y="2052014"/>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4D19D-53B8-487A-B8DC-21835FA7637A}">
      <dsp:nvSpPr>
        <dsp:cNvPr id="0" name=""/>
        <dsp:cNvSpPr/>
      </dsp:nvSpPr>
      <dsp:spPr>
        <a:xfrm>
          <a:off x="0" y="1357000"/>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7832F5-E821-4E18-8D5A-032C55337419}">
      <dsp:nvSpPr>
        <dsp:cNvPr id="0" name=""/>
        <dsp:cNvSpPr/>
      </dsp:nvSpPr>
      <dsp:spPr>
        <a:xfrm>
          <a:off x="0" y="661987"/>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144FCF-8F40-431A-8220-A3316AB13A04}">
      <dsp:nvSpPr>
        <dsp:cNvPr id="0" name=""/>
        <dsp:cNvSpPr/>
      </dsp:nvSpPr>
      <dsp:spPr>
        <a:xfrm>
          <a:off x="1488376" y="69"/>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Master Of Business Administration</a:t>
          </a:r>
          <a:endParaRPr lang="en-US" sz="1600" kern="1200">
            <a:latin typeface="Georgia" panose="02040502050405020303" pitchFamily="18" charset="0"/>
          </a:endParaRPr>
        </a:p>
      </dsp:txBody>
      <dsp:txXfrm>
        <a:off x="1488376" y="69"/>
        <a:ext cx="4236148" cy="661917"/>
      </dsp:txXfrm>
    </dsp:sp>
    <dsp:sp modelId="{6204C98E-2DAD-498B-8CC0-793BD25CC149}">
      <dsp:nvSpPr>
        <dsp:cNvPr id="0" name=""/>
        <dsp:cNvSpPr/>
      </dsp:nvSpPr>
      <dsp:spPr>
        <a:xfrm>
          <a:off x="0" y="69"/>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Programme Name</a:t>
          </a:r>
          <a:endParaRPr lang="en-US" sz="1600" kern="1200">
            <a:latin typeface="Georgia" panose="02040502050405020303" pitchFamily="18" charset="0"/>
          </a:endParaRPr>
        </a:p>
      </dsp:txBody>
      <dsp:txXfrm>
        <a:off x="32318" y="32387"/>
        <a:ext cx="1423740" cy="629599"/>
      </dsp:txXfrm>
    </dsp:sp>
    <dsp:sp modelId="{1C05CDA6-D19E-4B81-A5E3-D873E761BD6C}">
      <dsp:nvSpPr>
        <dsp:cNvPr id="0" name=""/>
        <dsp:cNvSpPr/>
      </dsp:nvSpPr>
      <dsp:spPr>
        <a:xfrm>
          <a:off x="1488376" y="695083"/>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Marketing Management</a:t>
          </a:r>
          <a:endParaRPr lang="en-US" sz="1600" kern="1200">
            <a:latin typeface="Georgia" panose="02040502050405020303" pitchFamily="18" charset="0"/>
          </a:endParaRPr>
        </a:p>
      </dsp:txBody>
      <dsp:txXfrm>
        <a:off x="1488376" y="695083"/>
        <a:ext cx="4236148" cy="661917"/>
      </dsp:txXfrm>
    </dsp:sp>
    <dsp:sp modelId="{5F9DC0A6-092C-463D-9380-0272F9264EAB}">
      <dsp:nvSpPr>
        <dsp:cNvPr id="0" name=""/>
        <dsp:cNvSpPr/>
      </dsp:nvSpPr>
      <dsp:spPr>
        <a:xfrm>
          <a:off x="0" y="695083"/>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Module Name</a:t>
          </a:r>
          <a:endParaRPr lang="en-US" sz="1600" kern="1200">
            <a:latin typeface="Georgia" panose="02040502050405020303" pitchFamily="18" charset="0"/>
          </a:endParaRPr>
        </a:p>
      </dsp:txBody>
      <dsp:txXfrm>
        <a:off x="32318" y="727401"/>
        <a:ext cx="1423740" cy="629599"/>
      </dsp:txXfrm>
    </dsp:sp>
    <dsp:sp modelId="{9D12641A-6FC9-4A83-B648-98B4D43F93C2}">
      <dsp:nvSpPr>
        <dsp:cNvPr id="0" name=""/>
        <dsp:cNvSpPr/>
      </dsp:nvSpPr>
      <dsp:spPr>
        <a:xfrm>
          <a:off x="1488376" y="1390096"/>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LCMB7024</a:t>
          </a:r>
          <a:endParaRPr lang="en-US" sz="1600" kern="1200">
            <a:latin typeface="Georgia" panose="02040502050405020303" pitchFamily="18" charset="0"/>
          </a:endParaRPr>
        </a:p>
      </dsp:txBody>
      <dsp:txXfrm>
        <a:off x="1488376" y="1390096"/>
        <a:ext cx="4236148" cy="661917"/>
      </dsp:txXfrm>
    </dsp:sp>
    <dsp:sp modelId="{AE1F4A03-10D9-43F6-AAC5-B8E1CBAF0ED8}">
      <dsp:nvSpPr>
        <dsp:cNvPr id="0" name=""/>
        <dsp:cNvSpPr/>
      </dsp:nvSpPr>
      <dsp:spPr>
        <a:xfrm>
          <a:off x="0" y="1390096"/>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Module Code</a:t>
          </a:r>
          <a:endParaRPr lang="en-US" sz="1600" kern="1200">
            <a:latin typeface="Georgia" panose="02040502050405020303" pitchFamily="18" charset="0"/>
          </a:endParaRPr>
        </a:p>
      </dsp:txBody>
      <dsp:txXfrm>
        <a:off x="32318" y="1422414"/>
        <a:ext cx="1423740" cy="6295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4C4106-3585-419E-9208-D5D9F1FDDAB4}">
      <dsp:nvSpPr>
        <dsp:cNvPr id="0" name=""/>
        <dsp:cNvSpPr/>
      </dsp:nvSpPr>
      <dsp:spPr>
        <a:xfrm>
          <a:off x="0" y="2052014"/>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4D19D-53B8-487A-B8DC-21835FA7637A}">
      <dsp:nvSpPr>
        <dsp:cNvPr id="0" name=""/>
        <dsp:cNvSpPr/>
      </dsp:nvSpPr>
      <dsp:spPr>
        <a:xfrm>
          <a:off x="0" y="1357000"/>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7832F5-E821-4E18-8D5A-032C55337419}">
      <dsp:nvSpPr>
        <dsp:cNvPr id="0" name=""/>
        <dsp:cNvSpPr/>
      </dsp:nvSpPr>
      <dsp:spPr>
        <a:xfrm>
          <a:off x="0" y="661987"/>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144FCF-8F40-431A-8220-A3316AB13A04}">
      <dsp:nvSpPr>
        <dsp:cNvPr id="0" name=""/>
        <dsp:cNvSpPr/>
      </dsp:nvSpPr>
      <dsp:spPr>
        <a:xfrm>
          <a:off x="1488376" y="69"/>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Component 1 </a:t>
          </a:r>
        </a:p>
        <a:p>
          <a:pPr marL="0" lvl="0" indent="0" algn="l" defTabSz="711200">
            <a:lnSpc>
              <a:spcPct val="90000"/>
            </a:lnSpc>
            <a:spcBef>
              <a:spcPct val="0"/>
            </a:spcBef>
            <a:spcAft>
              <a:spcPct val="35000"/>
            </a:spcAft>
            <a:buNone/>
          </a:pPr>
          <a:r>
            <a:rPr lang="en-US" sz="1600" b="1" kern="1200">
              <a:latin typeface="Georgia" panose="02040502050405020303" pitchFamily="18" charset="0"/>
            </a:rPr>
            <a:t>   (Marketing Environment Analysis)</a:t>
          </a:r>
          <a:endParaRPr lang="en-US" sz="1600" kern="1200">
            <a:latin typeface="Georgia" panose="02040502050405020303" pitchFamily="18" charset="0"/>
          </a:endParaRPr>
        </a:p>
      </dsp:txBody>
      <dsp:txXfrm>
        <a:off x="1488376" y="69"/>
        <a:ext cx="4236148" cy="661917"/>
      </dsp:txXfrm>
    </dsp:sp>
    <dsp:sp modelId="{6204C98E-2DAD-498B-8CC0-793BD25CC149}">
      <dsp:nvSpPr>
        <dsp:cNvPr id="0" name=""/>
        <dsp:cNvSpPr/>
      </dsp:nvSpPr>
      <dsp:spPr>
        <a:xfrm>
          <a:off x="0" y="69"/>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Assignment Title</a:t>
          </a:r>
          <a:endParaRPr lang="en-US" sz="1600" kern="1200">
            <a:latin typeface="Georgia" panose="02040502050405020303" pitchFamily="18" charset="0"/>
          </a:endParaRPr>
        </a:p>
      </dsp:txBody>
      <dsp:txXfrm>
        <a:off x="32318" y="32387"/>
        <a:ext cx="1423740" cy="629599"/>
      </dsp:txXfrm>
    </dsp:sp>
    <dsp:sp modelId="{1C05CDA6-D19E-4B81-A5E3-D873E761BD6C}">
      <dsp:nvSpPr>
        <dsp:cNvPr id="0" name=""/>
        <dsp:cNvSpPr/>
      </dsp:nvSpPr>
      <dsp:spPr>
        <a:xfrm>
          <a:off x="1488376" y="695083"/>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Taonga Kaonga Sobere-Snithers</a:t>
          </a:r>
          <a:endParaRPr lang="en-US" sz="1600" kern="1200">
            <a:latin typeface="Georgia" panose="02040502050405020303" pitchFamily="18" charset="0"/>
          </a:endParaRPr>
        </a:p>
      </dsp:txBody>
      <dsp:txXfrm>
        <a:off x="1488376" y="695083"/>
        <a:ext cx="4236148" cy="661917"/>
      </dsp:txXfrm>
    </dsp:sp>
    <dsp:sp modelId="{5F9DC0A6-092C-463D-9380-0272F9264EAB}">
      <dsp:nvSpPr>
        <dsp:cNvPr id="0" name=""/>
        <dsp:cNvSpPr/>
      </dsp:nvSpPr>
      <dsp:spPr>
        <a:xfrm>
          <a:off x="0" y="695083"/>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Lecturer Name</a:t>
          </a:r>
          <a:endParaRPr lang="en-US" sz="1600" kern="1200">
            <a:latin typeface="Georgia" panose="02040502050405020303" pitchFamily="18" charset="0"/>
          </a:endParaRPr>
        </a:p>
      </dsp:txBody>
      <dsp:txXfrm>
        <a:off x="32318" y="727401"/>
        <a:ext cx="1423740" cy="629599"/>
      </dsp:txXfrm>
    </dsp:sp>
    <dsp:sp modelId="{9D12641A-6FC9-4A83-B648-98B4D43F93C2}">
      <dsp:nvSpPr>
        <dsp:cNvPr id="0" name=""/>
        <dsp:cNvSpPr/>
      </dsp:nvSpPr>
      <dsp:spPr>
        <a:xfrm>
          <a:off x="1488376" y="1390096"/>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Rotimi Ogbe</a:t>
          </a:r>
          <a:endParaRPr lang="en-US" sz="1600" kern="1200">
            <a:latin typeface="Georgia" panose="02040502050405020303" pitchFamily="18" charset="0"/>
          </a:endParaRPr>
        </a:p>
      </dsp:txBody>
      <dsp:txXfrm>
        <a:off x="1488376" y="1390096"/>
        <a:ext cx="4236148" cy="661917"/>
      </dsp:txXfrm>
    </dsp:sp>
    <dsp:sp modelId="{AE1F4A03-10D9-43F6-AAC5-B8E1CBAF0ED8}">
      <dsp:nvSpPr>
        <dsp:cNvPr id="0" name=""/>
        <dsp:cNvSpPr/>
      </dsp:nvSpPr>
      <dsp:spPr>
        <a:xfrm>
          <a:off x="0" y="1390096"/>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Student Name</a:t>
          </a:r>
          <a:endParaRPr lang="en-US" sz="1600" kern="1200">
            <a:latin typeface="Georgia" panose="02040502050405020303" pitchFamily="18" charset="0"/>
          </a:endParaRPr>
        </a:p>
      </dsp:txBody>
      <dsp:txXfrm>
        <a:off x="32318" y="1422414"/>
        <a:ext cx="1423740" cy="62959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4C4106-3585-419E-9208-D5D9F1FDDAB4}">
      <dsp:nvSpPr>
        <dsp:cNvPr id="0" name=""/>
        <dsp:cNvSpPr/>
      </dsp:nvSpPr>
      <dsp:spPr>
        <a:xfrm>
          <a:off x="0" y="2052014"/>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4D19D-53B8-487A-B8DC-21835FA7637A}">
      <dsp:nvSpPr>
        <dsp:cNvPr id="0" name=""/>
        <dsp:cNvSpPr/>
      </dsp:nvSpPr>
      <dsp:spPr>
        <a:xfrm>
          <a:off x="0" y="1357000"/>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7832F5-E821-4E18-8D5A-032C55337419}">
      <dsp:nvSpPr>
        <dsp:cNvPr id="0" name=""/>
        <dsp:cNvSpPr/>
      </dsp:nvSpPr>
      <dsp:spPr>
        <a:xfrm>
          <a:off x="0" y="661987"/>
          <a:ext cx="5724524"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144FCF-8F40-431A-8220-A3316AB13A04}">
      <dsp:nvSpPr>
        <dsp:cNvPr id="0" name=""/>
        <dsp:cNvSpPr/>
      </dsp:nvSpPr>
      <dsp:spPr>
        <a:xfrm>
          <a:off x="1488376" y="69"/>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2313492</a:t>
          </a:r>
          <a:endParaRPr lang="en-US" sz="1600" kern="1200">
            <a:latin typeface="Georgia" panose="02040502050405020303" pitchFamily="18" charset="0"/>
          </a:endParaRPr>
        </a:p>
      </dsp:txBody>
      <dsp:txXfrm>
        <a:off x="1488376" y="69"/>
        <a:ext cx="4236148" cy="661917"/>
      </dsp:txXfrm>
    </dsp:sp>
    <dsp:sp modelId="{6204C98E-2DAD-498B-8CC0-793BD25CC149}">
      <dsp:nvSpPr>
        <dsp:cNvPr id="0" name=""/>
        <dsp:cNvSpPr/>
      </dsp:nvSpPr>
      <dsp:spPr>
        <a:xfrm>
          <a:off x="0" y="69"/>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Student Number</a:t>
          </a:r>
          <a:endParaRPr lang="en-US" sz="1600" kern="1200">
            <a:latin typeface="Georgia" panose="02040502050405020303" pitchFamily="18" charset="0"/>
          </a:endParaRPr>
        </a:p>
      </dsp:txBody>
      <dsp:txXfrm>
        <a:off x="32318" y="32387"/>
        <a:ext cx="1423740" cy="629599"/>
      </dsp:txXfrm>
    </dsp:sp>
    <dsp:sp modelId="{1C05CDA6-D19E-4B81-A5E3-D873E761BD6C}">
      <dsp:nvSpPr>
        <dsp:cNvPr id="0" name=""/>
        <dsp:cNvSpPr/>
      </dsp:nvSpPr>
      <dsp:spPr>
        <a:xfrm>
          <a:off x="1488376" y="695083"/>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2,747</a:t>
          </a:r>
        </a:p>
      </dsp:txBody>
      <dsp:txXfrm>
        <a:off x="1488376" y="695083"/>
        <a:ext cx="4236148" cy="661917"/>
      </dsp:txXfrm>
    </dsp:sp>
    <dsp:sp modelId="{5F9DC0A6-092C-463D-9380-0272F9264EAB}">
      <dsp:nvSpPr>
        <dsp:cNvPr id="0" name=""/>
        <dsp:cNvSpPr/>
      </dsp:nvSpPr>
      <dsp:spPr>
        <a:xfrm>
          <a:off x="0" y="695083"/>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Word Count</a:t>
          </a:r>
          <a:endParaRPr lang="en-US" sz="1600" kern="1200">
            <a:latin typeface="Georgia" panose="02040502050405020303" pitchFamily="18" charset="0"/>
          </a:endParaRPr>
        </a:p>
      </dsp:txBody>
      <dsp:txXfrm>
        <a:off x="32318" y="727401"/>
        <a:ext cx="1423740" cy="629599"/>
      </dsp:txXfrm>
    </dsp:sp>
    <dsp:sp modelId="{9D12641A-6FC9-4A83-B648-98B4D43F93C2}">
      <dsp:nvSpPr>
        <dsp:cNvPr id="0" name=""/>
        <dsp:cNvSpPr/>
      </dsp:nvSpPr>
      <dsp:spPr>
        <a:xfrm>
          <a:off x="1488376" y="1390096"/>
          <a:ext cx="4236148" cy="6619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711200">
            <a:lnSpc>
              <a:spcPct val="90000"/>
            </a:lnSpc>
            <a:spcBef>
              <a:spcPct val="0"/>
            </a:spcBef>
            <a:spcAft>
              <a:spcPct val="35000"/>
            </a:spcAft>
            <a:buNone/>
          </a:pPr>
          <a:r>
            <a:rPr lang="en-US" sz="1600" b="1" kern="1200">
              <a:latin typeface="Georgia" panose="02040502050405020303" pitchFamily="18" charset="0"/>
            </a:rPr>
            <a:t>   22 October 2026</a:t>
          </a:r>
          <a:endParaRPr lang="en-US" sz="1600" kern="1200">
            <a:latin typeface="Georgia" panose="02040502050405020303" pitchFamily="18" charset="0"/>
          </a:endParaRPr>
        </a:p>
      </dsp:txBody>
      <dsp:txXfrm>
        <a:off x="1488376" y="1390096"/>
        <a:ext cx="4236148" cy="661917"/>
      </dsp:txXfrm>
    </dsp:sp>
    <dsp:sp modelId="{AE1F4A03-10D9-43F6-AAC5-B8E1CBAF0ED8}">
      <dsp:nvSpPr>
        <dsp:cNvPr id="0" name=""/>
        <dsp:cNvSpPr/>
      </dsp:nvSpPr>
      <dsp:spPr>
        <a:xfrm>
          <a:off x="0" y="1390096"/>
          <a:ext cx="1488376" cy="66191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latin typeface="Georgia" panose="02040502050405020303" pitchFamily="18" charset="0"/>
            </a:rPr>
            <a:t>Submission Date</a:t>
          </a:r>
          <a:endParaRPr lang="en-US" sz="1600" kern="1200">
            <a:latin typeface="Georgia" panose="02040502050405020303" pitchFamily="18" charset="0"/>
          </a:endParaRPr>
        </a:p>
      </dsp:txBody>
      <dsp:txXfrm>
        <a:off x="32318" y="1422414"/>
        <a:ext cx="1423740" cy="629599"/>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5">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6">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7">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theme/theme1.xml><?xml version="1.0" encoding="utf-8"?>
<a:theme xmlns:a="http://schemas.openxmlformats.org/drawingml/2006/main" name="Office Theme">
  <a:themeElements>
    <a:clrScheme name="Carta">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B7662D-D037-4237-9665-B257C2B85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19</Pages>
  <Words>4186</Words>
  <Characters>23865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Rotimi Ogbe (2313492)</dc:creator>
  <cp:keywords/>
  <dc:description/>
  <cp:lastModifiedBy>Rotimi Ogbe (2313492)</cp:lastModifiedBy>
  <cp:revision>32</cp:revision>
  <dcterms:created xsi:type="dcterms:W3CDTF">2026-10-16T09:15:00Z</dcterms:created>
  <dcterms:modified xsi:type="dcterms:W3CDTF">2026-10-17T14:39:00Z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072f62cc-c466-4717-9e43-7702d73c0edb</vt:lpwstr>
  </property>
</Properties>
</file>