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103BCF38"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25621F">
        <w:rPr>
          <w:rFonts w:ascii="Aptos" w:hAnsi="Aptos" w:cs="Arial"/>
          <w:sz w:val="28"/>
          <w:szCs w:val="28"/>
          <w:lang w:val="nl-NL"/>
        </w:rPr>
        <w:t xml:space="preserve"> Shagufta Khanum</w:t>
      </w:r>
      <w:r w:rsidR="0025621F">
        <w:rPr>
          <w:rFonts w:ascii="Aptos" w:hAnsi="Aptos" w:cs="Arial"/>
          <w:sz w:val="28"/>
          <w:szCs w:val="28"/>
          <w:lang w:val="nl-NL"/>
        </w:rPr>
        <w:tab/>
      </w:r>
    </w:p>
    <w:p w14:paraId="7C577260" w14:textId="00E5AE35" w:rsidR="00C31D85" w:rsidRPr="00C31D85" w:rsidRDefault="00C31D85" w:rsidP="006D18BF">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25621F">
        <w:rPr>
          <w:rFonts w:ascii="Aptos" w:hAnsi="Aptos" w:cs="Arial"/>
          <w:sz w:val="28"/>
          <w:szCs w:val="28"/>
          <w:lang w:val="nl-NL"/>
        </w:rPr>
        <w:t xml:space="preserve"> 2246177</w:t>
      </w:r>
    </w:p>
    <w:p w14:paraId="41CBCDE7" w14:textId="280D1160"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C029BB">
        <w:rPr>
          <w:rFonts w:ascii="Aptos" w:hAnsi="Aptos" w:cs="Arial"/>
          <w:sz w:val="28"/>
          <w:szCs w:val="28"/>
          <w:lang w:val="nl-NL"/>
        </w:rPr>
        <w:t>Independent Project</w:t>
      </w:r>
    </w:p>
    <w:p w14:paraId="42A6E8AA" w14:textId="2A6B53FE"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1D5FEB">
        <w:rPr>
          <w:rFonts w:ascii="Aptos" w:hAnsi="Aptos" w:cs="Arial"/>
          <w:sz w:val="28"/>
          <w:szCs w:val="28"/>
        </w:rPr>
        <w:t xml:space="preserve"> BMH6020</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C46541">
        <w:trPr>
          <w:trHeight w:val="589"/>
        </w:trPr>
        <w:tc>
          <w:tcPr>
            <w:tcW w:w="14616" w:type="dxa"/>
            <w:gridSpan w:val="2"/>
            <w:shd w:val="clear" w:color="auto" w:fill="002060"/>
            <w:vAlign w:val="center"/>
          </w:tcPr>
          <w:p w14:paraId="401C160F" w14:textId="368E3211" w:rsidR="00C51DDC" w:rsidRPr="00C51DDC" w:rsidRDefault="00C51DDC" w:rsidP="00C51DDC">
            <w:pPr>
              <w:keepNext/>
              <w:keepLines/>
              <w:spacing w:before="240" w:after="0" w:line="360" w:lineRule="auto"/>
              <w:jc w:val="center"/>
              <w:outlineLvl w:val="0"/>
              <w:rPr>
                <w:rFonts w:ascii="Aptos" w:eastAsia="DengXian Light" w:hAnsi="Aptos" w:cs="Arial"/>
                <w:b/>
                <w:lang w:val="en-GB"/>
              </w:rPr>
            </w:pPr>
            <w:r w:rsidRPr="00C51DDC">
              <w:rPr>
                <w:rFonts w:ascii="Arial" w:eastAsia="DengXian Light" w:hAnsi="Arial" w:cs="Arial"/>
                <w:b/>
                <w:lang w:val="en-GB"/>
              </w:rPr>
              <w:lastRenderedPageBreak/>
              <w:t xml:space="preserve">Impact of ADHD on </w:t>
            </w:r>
            <w:r>
              <w:rPr>
                <w:rFonts w:ascii="Arial" w:eastAsia="DengXian Light" w:hAnsi="Arial" w:cs="Arial"/>
                <w:b/>
                <w:lang w:val="en-GB"/>
              </w:rPr>
              <w:t>M</w:t>
            </w:r>
            <w:r w:rsidRPr="00C51DDC">
              <w:rPr>
                <w:rFonts w:ascii="Arial" w:eastAsia="DengXian Light" w:hAnsi="Arial" w:cs="Arial"/>
                <w:b/>
                <w:lang w:val="en-GB"/>
              </w:rPr>
              <w:t xml:space="preserve">edicated Children, and </w:t>
            </w:r>
            <w:r>
              <w:rPr>
                <w:rFonts w:ascii="Arial" w:eastAsia="DengXian Light" w:hAnsi="Arial" w:cs="Arial"/>
                <w:b/>
                <w:lang w:val="en-GB"/>
              </w:rPr>
              <w:t>T</w:t>
            </w:r>
            <w:r w:rsidRPr="00C51DDC">
              <w:rPr>
                <w:rFonts w:ascii="Arial" w:eastAsia="DengXian Light" w:hAnsi="Arial" w:cs="Arial"/>
                <w:b/>
                <w:lang w:val="en-GB"/>
              </w:rPr>
              <w:t xml:space="preserve">heir </w:t>
            </w:r>
            <w:r>
              <w:rPr>
                <w:rFonts w:ascii="Arial" w:eastAsia="DengXian Light" w:hAnsi="Arial" w:cs="Arial"/>
                <w:b/>
                <w:lang w:val="en-GB"/>
              </w:rPr>
              <w:t>F</w:t>
            </w:r>
            <w:r w:rsidRPr="00C51DDC">
              <w:rPr>
                <w:rFonts w:ascii="Arial" w:eastAsia="DengXian Light" w:hAnsi="Arial" w:cs="Arial"/>
                <w:b/>
                <w:lang w:val="en-GB"/>
              </w:rPr>
              <w:t>amilies in the Uk</w:t>
            </w:r>
          </w:p>
          <w:p w14:paraId="080E7EB0" w14:textId="1F253508" w:rsidR="00802FF1" w:rsidRPr="00802FF1" w:rsidRDefault="00802FF1" w:rsidP="00C51DDC">
            <w:pPr>
              <w:jc w:val="center"/>
              <w:rPr>
                <w:rFonts w:ascii="Aptos" w:hAnsi="Aptos"/>
                <w:b/>
                <w:bCs/>
              </w:rPr>
            </w:pPr>
          </w:p>
        </w:tc>
      </w:tr>
      <w:tr w:rsidR="00C31D85" w:rsidRPr="00C31D85" w14:paraId="51100EC3" w14:textId="77777777" w:rsidTr="00C46541">
        <w:trPr>
          <w:trHeight w:val="1833"/>
        </w:trPr>
        <w:tc>
          <w:tcPr>
            <w:tcW w:w="7225" w:type="dxa"/>
            <w:shd w:val="clear" w:color="auto" w:fill="92D050"/>
          </w:tcPr>
          <w:p w14:paraId="7D5ABB49" w14:textId="7208EA2E" w:rsidR="00C31D85" w:rsidRPr="00F376B3" w:rsidRDefault="00890534" w:rsidP="00C46111">
            <w:pPr>
              <w:rPr>
                <w:rFonts w:ascii="Arial" w:hAnsi="Arial" w:cs="Arial"/>
                <w:b/>
                <w:bCs/>
              </w:rPr>
            </w:pPr>
            <w:r>
              <w:rPr>
                <w:rFonts w:ascii="Aptos" w:hAnsi="Aptos"/>
              </w:rPr>
              <w:t xml:space="preserve"> </w:t>
            </w:r>
            <w:r w:rsidR="00AB5409">
              <w:rPr>
                <w:rFonts w:ascii="Aptos" w:hAnsi="Aptos"/>
              </w:rPr>
              <w:t xml:space="preserve"> </w:t>
            </w:r>
            <w:r w:rsidR="001A2DAB" w:rsidRPr="00F376B3">
              <w:rPr>
                <w:rFonts w:ascii="Arial" w:hAnsi="Arial" w:cs="Arial"/>
                <w:b/>
                <w:bCs/>
              </w:rPr>
              <w:t xml:space="preserve">Introduction and </w:t>
            </w:r>
            <w:r w:rsidR="00AB5409" w:rsidRPr="00F376B3">
              <w:rPr>
                <w:rFonts w:ascii="Arial" w:hAnsi="Arial" w:cs="Arial"/>
                <w:b/>
                <w:bCs/>
              </w:rPr>
              <w:t xml:space="preserve">Research </w:t>
            </w:r>
            <w:r w:rsidR="001A2DAB" w:rsidRPr="00F376B3">
              <w:rPr>
                <w:rFonts w:ascii="Arial" w:hAnsi="Arial" w:cs="Arial"/>
                <w:b/>
                <w:bCs/>
              </w:rPr>
              <w:t xml:space="preserve">Aim </w:t>
            </w:r>
          </w:p>
          <w:p w14:paraId="4F873229" w14:textId="38469E1B" w:rsidR="000E56ED" w:rsidRPr="00017FE2" w:rsidRDefault="00017FE2" w:rsidP="00017FE2">
            <w:pPr>
              <w:spacing w:line="360" w:lineRule="auto"/>
              <w:jc w:val="both"/>
              <w:rPr>
                <w:rFonts w:ascii="Arial" w:hAnsi="Arial" w:cs="Arial"/>
              </w:rPr>
            </w:pPr>
            <w:r w:rsidRPr="00017FE2">
              <w:rPr>
                <w:rFonts w:ascii="Arial" w:hAnsi="Arial" w:cs="Arial"/>
              </w:rPr>
              <w:t>This poster outlines the research methods used in this study and explains how academic literature was identified, selected and analysed. The research is based on secondary sources and summarises the search strategy, inclusion and exclusion criteria, critical appraisal and data analysis. The aim is to assess the effectiveness and safety of ADHD medication in UK children and its impact on families.</w:t>
            </w:r>
          </w:p>
        </w:tc>
        <w:tc>
          <w:tcPr>
            <w:tcW w:w="7391" w:type="dxa"/>
            <w:shd w:val="clear" w:color="auto" w:fill="404040" w:themeFill="accent4" w:themeFillShade="80"/>
          </w:tcPr>
          <w:p w14:paraId="512F9F0B" w14:textId="4D64C023" w:rsidR="00C31D85" w:rsidRDefault="00AB5409" w:rsidP="00C46111">
            <w:pPr>
              <w:rPr>
                <w:rFonts w:ascii="Aptos" w:hAnsi="Aptos"/>
              </w:rPr>
            </w:pPr>
            <w:r w:rsidRPr="005F7D75">
              <w:rPr>
                <w:rFonts w:ascii="Aptos" w:hAnsi="Aptos"/>
                <w:b/>
                <w:bCs/>
              </w:rPr>
              <w:t>Search Strategy</w:t>
            </w:r>
            <w:r>
              <w:rPr>
                <w:rFonts w:ascii="Aptos" w:hAnsi="Aptos"/>
              </w:rPr>
              <w:t xml:space="preserve"> </w:t>
            </w:r>
          </w:p>
          <w:p w14:paraId="4F848B7E" w14:textId="6994AE43" w:rsidR="00D24309" w:rsidRPr="00D24309" w:rsidRDefault="00D24309" w:rsidP="00C46111">
            <w:pPr>
              <w:rPr>
                <w:rFonts w:ascii="Arial" w:hAnsi="Arial" w:cs="Arial"/>
              </w:rPr>
            </w:pPr>
            <w:r w:rsidRPr="00D24309">
              <w:rPr>
                <w:rFonts w:ascii="Arial" w:hAnsi="Arial" w:cs="Arial"/>
              </w:rPr>
              <w:t>A search strategy in secondary research is a systematic method used to identify relevant academic literature (Aveyard, 2019a). This study used key terms such as ADHD, children, medication, effectiveness and family impact, alongside alternative terms. Boolean operators refined results. Searches were conducted using PubMed, PsycINFO, Google Scholar, and UK policy sources including NICE and NHS England.</w:t>
            </w:r>
          </w:p>
          <w:p w14:paraId="109C23A4" w14:textId="2FAF623E" w:rsidR="0029329C" w:rsidRPr="00514704" w:rsidRDefault="0029329C" w:rsidP="00514704">
            <w:pPr>
              <w:spacing w:line="360" w:lineRule="auto"/>
              <w:jc w:val="both"/>
              <w:rPr>
                <w:rFonts w:ascii="Arial" w:hAnsi="Arial" w:cs="Arial"/>
                <w:lang w:val="en-GB"/>
              </w:rPr>
            </w:pPr>
          </w:p>
        </w:tc>
      </w:tr>
      <w:tr w:rsidR="00C31D85" w:rsidRPr="00C31D85" w14:paraId="56FBFF17" w14:textId="77777777" w:rsidTr="00C46541">
        <w:trPr>
          <w:trHeight w:val="1833"/>
        </w:trPr>
        <w:tc>
          <w:tcPr>
            <w:tcW w:w="7225" w:type="dxa"/>
            <w:shd w:val="clear" w:color="auto" w:fill="B2B2B2" w:themeFill="accent4" w:themeFillTint="99"/>
          </w:tcPr>
          <w:p w14:paraId="30AEBD55" w14:textId="6D105A7E" w:rsidR="00C31D85" w:rsidRPr="007949B7" w:rsidRDefault="00AB5409" w:rsidP="00C46111">
            <w:pPr>
              <w:rPr>
                <w:rFonts w:ascii="Arial" w:hAnsi="Arial" w:cs="Arial"/>
              </w:rPr>
            </w:pPr>
            <w:r w:rsidRPr="007949B7">
              <w:rPr>
                <w:rFonts w:ascii="Arial" w:hAnsi="Arial" w:cs="Arial"/>
              </w:rPr>
              <w:t xml:space="preserve"> </w:t>
            </w:r>
            <w:r w:rsidRPr="007949B7">
              <w:rPr>
                <w:rFonts w:ascii="Arial" w:hAnsi="Arial" w:cs="Arial"/>
                <w:b/>
                <w:bCs/>
              </w:rPr>
              <w:t>Searching for Information</w:t>
            </w:r>
            <w:r w:rsidRPr="007949B7">
              <w:rPr>
                <w:rFonts w:ascii="Arial" w:hAnsi="Arial" w:cs="Arial"/>
              </w:rPr>
              <w:t xml:space="preserve"> </w:t>
            </w:r>
          </w:p>
          <w:p w14:paraId="10879137" w14:textId="77777777" w:rsidR="0029329C" w:rsidRDefault="00B11FB9" w:rsidP="00F52F83">
            <w:pPr>
              <w:spacing w:line="360" w:lineRule="auto"/>
              <w:jc w:val="both"/>
              <w:rPr>
                <w:rFonts w:ascii="Arial" w:hAnsi="Arial" w:cs="Arial"/>
              </w:rPr>
            </w:pPr>
            <w:r w:rsidRPr="007949B7">
              <w:rPr>
                <w:rFonts w:ascii="Arial" w:hAnsi="Arial" w:cs="Arial"/>
              </w:rPr>
              <w:t>A structured secondary research process was used to identify relevant evidence (Aveyard, 2019b). Databases including PubMed, PsycINFO, Google Scholar and the UWTSD library were searched using key terms and synonyms. Boolean operators refined results. Filters limited studies to recent UK-focused evidence, followed by title, abstract and full-text screening</w:t>
            </w:r>
            <w:r w:rsidR="00BA7370">
              <w:t xml:space="preserve"> </w:t>
            </w:r>
            <w:r w:rsidR="00BA7370" w:rsidRPr="00893CC6">
              <w:rPr>
                <w:rFonts w:ascii="Arial" w:hAnsi="Arial" w:cs="Arial"/>
              </w:rPr>
              <w:t>(Aveyard, 2019</w:t>
            </w:r>
            <w:r w:rsidR="00085108">
              <w:rPr>
                <w:rFonts w:ascii="Arial" w:hAnsi="Arial" w:cs="Arial"/>
              </w:rPr>
              <w:t>c</w:t>
            </w:r>
            <w:r w:rsidR="00BA7370" w:rsidRPr="00893CC6">
              <w:rPr>
                <w:rFonts w:ascii="Arial" w:hAnsi="Arial" w:cs="Arial"/>
              </w:rPr>
              <w:t>)</w:t>
            </w:r>
            <w:r w:rsidR="00893CC6">
              <w:rPr>
                <w:rFonts w:ascii="Arial" w:hAnsi="Arial" w:cs="Arial"/>
              </w:rPr>
              <w:t>.</w:t>
            </w:r>
          </w:p>
          <w:p w14:paraId="4348C680" w14:textId="79F3C8B0" w:rsidR="00834020" w:rsidRDefault="00834020" w:rsidP="00834020">
            <w:pPr>
              <w:spacing w:before="100" w:beforeAutospacing="1" w:after="100" w:afterAutospacing="1" w:line="360" w:lineRule="auto"/>
              <w:rPr>
                <w:rFonts w:ascii="Arial" w:eastAsia="Times New Roman" w:hAnsi="Arial" w:cs="Arial"/>
                <w:sz w:val="28"/>
                <w:szCs w:val="28"/>
                <w:lang w:eastAsia="en-GB"/>
              </w:rPr>
            </w:pPr>
            <w:r w:rsidRPr="009C01D8">
              <w:rPr>
                <w:rFonts w:ascii="Arial" w:hAnsi="Arial" w:cs="Arial"/>
              </w:rPr>
              <w:t>Table: Summary of</w:t>
            </w:r>
            <w:r w:rsidR="006A3913">
              <w:rPr>
                <w:rFonts w:ascii="Arial" w:hAnsi="Arial" w:cs="Arial"/>
              </w:rPr>
              <w:t xml:space="preserve"> Tracking Table</w:t>
            </w:r>
          </w:p>
          <w:tbl>
            <w:tblPr>
              <w:tblW w:w="6040" w:type="dxa"/>
              <w:tblCellSpacing w:w="15" w:type="dxa"/>
              <w:tblCellMar>
                <w:top w:w="15" w:type="dxa"/>
                <w:left w:w="15" w:type="dxa"/>
                <w:bottom w:w="15" w:type="dxa"/>
                <w:right w:w="15" w:type="dxa"/>
              </w:tblCellMar>
              <w:tblLook w:val="04A0" w:firstRow="1" w:lastRow="0" w:firstColumn="1" w:lastColumn="0" w:noHBand="0" w:noVBand="1"/>
            </w:tblPr>
            <w:tblGrid>
              <w:gridCol w:w="2250"/>
              <w:gridCol w:w="3790"/>
            </w:tblGrid>
            <w:tr w:rsidR="00834020" w:rsidRPr="009F4CD9" w14:paraId="207E6FCD" w14:textId="77777777" w:rsidTr="00E763AB">
              <w:trPr>
                <w:trHeight w:val="272"/>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59F4070C" w14:textId="77777777" w:rsidR="00834020" w:rsidRPr="009F4CD9" w:rsidRDefault="00834020" w:rsidP="00834020">
                  <w:pPr>
                    <w:spacing w:after="0"/>
                    <w:rPr>
                      <w:rFonts w:ascii="Times New Roman" w:eastAsia="Times New Roman" w:hAnsi="Times New Roman" w:cs="Times New Roman"/>
                      <w:b/>
                      <w:bCs/>
                      <w:sz w:val="24"/>
                      <w:szCs w:val="24"/>
                      <w:lang w:eastAsia="en-GB"/>
                    </w:rPr>
                  </w:pPr>
                  <w:r w:rsidRPr="009F4CD9">
                    <w:rPr>
                      <w:rFonts w:ascii="Times New Roman" w:eastAsia="Times New Roman" w:hAnsi="Times New Roman" w:cs="Times New Roman"/>
                      <w:b/>
                      <w:bCs/>
                      <w:sz w:val="24"/>
                      <w:szCs w:val="24"/>
                      <w:lang w:eastAsia="en-GB"/>
                    </w:rPr>
                    <w:t>Source Type</w:t>
                  </w:r>
                </w:p>
              </w:tc>
              <w:tc>
                <w:tcPr>
                  <w:tcW w:w="0" w:type="auto"/>
                  <w:tcBorders>
                    <w:top w:val="single" w:sz="4" w:space="0" w:color="auto"/>
                    <w:left w:val="single" w:sz="4" w:space="0" w:color="auto"/>
                    <w:bottom w:val="single" w:sz="4" w:space="0" w:color="auto"/>
                    <w:right w:val="single" w:sz="4" w:space="0" w:color="auto"/>
                  </w:tcBorders>
                  <w:vAlign w:val="center"/>
                  <w:hideMark/>
                </w:tcPr>
                <w:p w14:paraId="01BF3C71" w14:textId="77777777" w:rsidR="00834020" w:rsidRPr="009F4CD9" w:rsidRDefault="00834020" w:rsidP="00834020">
                  <w:pPr>
                    <w:spacing w:after="0"/>
                    <w:jc w:val="center"/>
                    <w:rPr>
                      <w:rFonts w:ascii="Times New Roman" w:eastAsia="Times New Roman" w:hAnsi="Times New Roman" w:cs="Times New Roman"/>
                      <w:b/>
                      <w:bCs/>
                      <w:sz w:val="24"/>
                      <w:szCs w:val="24"/>
                      <w:lang w:eastAsia="en-GB"/>
                    </w:rPr>
                  </w:pPr>
                  <w:r w:rsidRPr="009F4CD9">
                    <w:rPr>
                      <w:rFonts w:ascii="Times New Roman" w:eastAsia="Times New Roman" w:hAnsi="Times New Roman" w:cs="Times New Roman"/>
                      <w:b/>
                      <w:bCs/>
                      <w:sz w:val="24"/>
                      <w:szCs w:val="24"/>
                      <w:lang w:eastAsia="en-GB"/>
                    </w:rPr>
                    <w:t>Examples</w:t>
                  </w:r>
                </w:p>
              </w:tc>
            </w:tr>
            <w:tr w:rsidR="00834020" w:rsidRPr="009F4CD9" w14:paraId="67C7A7FB" w14:textId="77777777" w:rsidTr="00E763AB">
              <w:trPr>
                <w:trHeight w:val="272"/>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2D93E085"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Clinical Guidelines</w:t>
                  </w:r>
                </w:p>
              </w:tc>
              <w:tc>
                <w:tcPr>
                  <w:tcW w:w="0" w:type="auto"/>
                  <w:tcBorders>
                    <w:top w:val="single" w:sz="4" w:space="0" w:color="auto"/>
                    <w:left w:val="single" w:sz="4" w:space="0" w:color="auto"/>
                    <w:bottom w:val="single" w:sz="4" w:space="0" w:color="auto"/>
                    <w:right w:val="single" w:sz="4" w:space="0" w:color="auto"/>
                  </w:tcBorders>
                  <w:vAlign w:val="center"/>
                  <w:hideMark/>
                </w:tcPr>
                <w:p w14:paraId="1D191F04"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NICE (2018); NHS England (2023)</w:t>
                  </w:r>
                </w:p>
              </w:tc>
            </w:tr>
            <w:tr w:rsidR="00834020" w:rsidRPr="009F4CD9" w14:paraId="315F8C7D" w14:textId="77777777" w:rsidTr="00E763AB">
              <w:trPr>
                <w:trHeight w:val="272"/>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7184259E"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Peer-reviewed Studies</w:t>
                  </w:r>
                </w:p>
              </w:tc>
              <w:tc>
                <w:tcPr>
                  <w:tcW w:w="0" w:type="auto"/>
                  <w:tcBorders>
                    <w:top w:val="single" w:sz="4" w:space="0" w:color="auto"/>
                    <w:left w:val="single" w:sz="4" w:space="0" w:color="auto"/>
                    <w:bottom w:val="single" w:sz="4" w:space="0" w:color="auto"/>
                    <w:right w:val="single" w:sz="4" w:space="0" w:color="auto"/>
                  </w:tcBorders>
                  <w:vAlign w:val="center"/>
                  <w:hideMark/>
                </w:tcPr>
                <w:p w14:paraId="75A40BA4"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Cortese et al. (2018); Daley et al. (2020)</w:t>
                  </w:r>
                </w:p>
              </w:tc>
            </w:tr>
            <w:tr w:rsidR="00834020" w:rsidRPr="009F4CD9" w14:paraId="2BCB725E" w14:textId="77777777" w:rsidTr="00E763AB">
              <w:trPr>
                <w:trHeight w:val="272"/>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99D5F44"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Policy &amp; Public Health</w:t>
                  </w:r>
                </w:p>
              </w:tc>
              <w:tc>
                <w:tcPr>
                  <w:tcW w:w="0" w:type="auto"/>
                  <w:tcBorders>
                    <w:top w:val="single" w:sz="4" w:space="0" w:color="auto"/>
                    <w:left w:val="single" w:sz="4" w:space="0" w:color="auto"/>
                    <w:bottom w:val="single" w:sz="4" w:space="0" w:color="auto"/>
                    <w:right w:val="single" w:sz="4" w:space="0" w:color="auto"/>
                  </w:tcBorders>
                  <w:vAlign w:val="center"/>
                  <w:hideMark/>
                </w:tcPr>
                <w:p w14:paraId="655C94F5"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NHS Digital (2024); WHO (2022)</w:t>
                  </w:r>
                </w:p>
              </w:tc>
            </w:tr>
            <w:tr w:rsidR="00834020" w:rsidRPr="009F4CD9" w14:paraId="2CEA13B6" w14:textId="77777777" w:rsidTr="00E763AB">
              <w:trPr>
                <w:trHeight w:val="272"/>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6EF4130"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Theory</w:t>
                  </w:r>
                </w:p>
              </w:tc>
              <w:tc>
                <w:tcPr>
                  <w:tcW w:w="0" w:type="auto"/>
                  <w:tcBorders>
                    <w:top w:val="single" w:sz="4" w:space="0" w:color="auto"/>
                    <w:left w:val="single" w:sz="4" w:space="0" w:color="auto"/>
                    <w:bottom w:val="single" w:sz="4" w:space="0" w:color="auto"/>
                    <w:right w:val="single" w:sz="4" w:space="0" w:color="auto"/>
                  </w:tcBorders>
                  <w:vAlign w:val="center"/>
                  <w:hideMark/>
                </w:tcPr>
                <w:p w14:paraId="13A49B64" w14:textId="77777777" w:rsidR="00834020" w:rsidRPr="009F4CD9" w:rsidRDefault="00834020" w:rsidP="00834020">
                  <w:pPr>
                    <w:spacing w:after="0"/>
                    <w:rPr>
                      <w:rFonts w:ascii="Times New Roman" w:eastAsia="Times New Roman" w:hAnsi="Times New Roman" w:cs="Times New Roman"/>
                      <w:sz w:val="24"/>
                      <w:szCs w:val="24"/>
                      <w:lang w:eastAsia="en-GB"/>
                    </w:rPr>
                  </w:pPr>
                  <w:r w:rsidRPr="009F4CD9">
                    <w:rPr>
                      <w:rFonts w:ascii="Times New Roman" w:eastAsia="Times New Roman" w:hAnsi="Times New Roman" w:cs="Times New Roman"/>
                      <w:sz w:val="24"/>
                      <w:szCs w:val="24"/>
                      <w:lang w:eastAsia="en-GB"/>
                    </w:rPr>
                    <w:t>Barkley (1997); Bandura (1977)</w:t>
                  </w:r>
                </w:p>
              </w:tc>
            </w:tr>
          </w:tbl>
          <w:p w14:paraId="701333EA" w14:textId="657CA9FA" w:rsidR="00834020" w:rsidRPr="007949B7" w:rsidRDefault="00834020" w:rsidP="00F52F83">
            <w:pPr>
              <w:spacing w:line="360" w:lineRule="auto"/>
              <w:jc w:val="both"/>
              <w:rPr>
                <w:rFonts w:ascii="Arial" w:hAnsi="Arial" w:cs="Arial"/>
                <w:lang w:val="en-GB"/>
              </w:rPr>
            </w:pPr>
          </w:p>
        </w:tc>
        <w:tc>
          <w:tcPr>
            <w:tcW w:w="7391" w:type="dxa"/>
            <w:shd w:val="clear" w:color="auto" w:fill="9F9F9F" w:themeFill="accent5" w:themeFillTint="99"/>
          </w:tcPr>
          <w:p w14:paraId="54995ADA" w14:textId="57EF1C81" w:rsidR="00C31D85" w:rsidRDefault="00AB5409" w:rsidP="00C46111">
            <w:pPr>
              <w:rPr>
                <w:rFonts w:ascii="Aptos" w:hAnsi="Aptos"/>
              </w:rPr>
            </w:pPr>
            <w:r w:rsidRPr="005F7D75">
              <w:rPr>
                <w:rFonts w:ascii="Aptos" w:hAnsi="Aptos"/>
                <w:b/>
                <w:bCs/>
              </w:rPr>
              <w:t>Picture / Graph / Visual Aid</w:t>
            </w:r>
            <w:r w:rsidR="007949B7" w:rsidRPr="000F05A9">
              <w:rPr>
                <w:rFonts w:ascii="Arial" w:eastAsia="Aptos" w:hAnsi="Arial" w:cs="Arial"/>
                <w:noProof/>
                <w:kern w:val="2"/>
                <w:lang w:val="en-GB"/>
                <w14:ligatures w14:val="standardContextual"/>
              </w:rPr>
              <w:drawing>
                <wp:inline distT="0" distB="0" distL="0" distR="0" wp14:anchorId="63B5B79A" wp14:editId="33F801AA">
                  <wp:extent cx="4290475" cy="2736000"/>
                  <wp:effectExtent l="0" t="0" r="0" b="7620"/>
                  <wp:docPr id="1561855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77463" cy="2791472"/>
                          </a:xfrm>
                          <a:prstGeom prst="rect">
                            <a:avLst/>
                          </a:prstGeom>
                          <a:noFill/>
                        </pic:spPr>
                      </pic:pic>
                    </a:graphicData>
                  </a:graphic>
                </wp:inline>
              </w:drawing>
            </w:r>
            <w:r w:rsidRPr="005F7D75">
              <w:rPr>
                <w:rFonts w:ascii="Aptos" w:hAnsi="Aptos"/>
                <w:b/>
                <w:bCs/>
              </w:rPr>
              <w:t xml:space="preserve"> </w:t>
            </w:r>
          </w:p>
          <w:p w14:paraId="5A3F12AD" w14:textId="77777777" w:rsidR="00861342" w:rsidRPr="00E050E8" w:rsidRDefault="00861342" w:rsidP="00861342">
            <w:pPr>
              <w:pStyle w:val="NormalWeb"/>
              <w:rPr>
                <w:rFonts w:ascii="Arial" w:hAnsi="Arial" w:cs="Arial"/>
                <w:sz w:val="22"/>
                <w:szCs w:val="22"/>
              </w:rPr>
            </w:pPr>
            <w:r w:rsidRPr="00E050E8">
              <w:rPr>
                <w:rStyle w:val="Strong"/>
                <w:rFonts w:ascii="Arial" w:eastAsiaTheme="majorEastAsia" w:hAnsi="Arial" w:cs="Arial"/>
                <w:sz w:val="22"/>
                <w:szCs w:val="22"/>
              </w:rPr>
              <w:t>Figure 1: ADHD Prescription Rates in England (2019–2024)</w:t>
            </w:r>
            <w:r w:rsidRPr="00E050E8">
              <w:rPr>
                <w:rFonts w:ascii="Arial" w:hAnsi="Arial" w:cs="Arial"/>
                <w:sz w:val="22"/>
                <w:szCs w:val="22"/>
              </w:rPr>
              <w:br/>
            </w:r>
            <w:r w:rsidRPr="00E050E8">
              <w:rPr>
                <w:rStyle w:val="Emphasis"/>
                <w:rFonts w:ascii="Arial" w:eastAsiaTheme="majorEastAsia" w:hAnsi="Arial" w:cs="Arial"/>
                <w:sz w:val="22"/>
                <w:szCs w:val="22"/>
              </w:rPr>
              <w:t xml:space="preserve">Source: Adapted from NHS Digital </w:t>
            </w:r>
            <w:r w:rsidRPr="00E050E8">
              <w:rPr>
                <w:rFonts w:ascii="Arial" w:hAnsi="Arial" w:cs="Arial"/>
              </w:rPr>
              <w:t>(NHS Digital, 2024).</w:t>
            </w:r>
          </w:p>
          <w:p w14:paraId="2BBB997C" w14:textId="385697AE" w:rsidR="00861342" w:rsidRPr="00C31D85" w:rsidRDefault="00861342" w:rsidP="000F05A9">
            <w:pPr>
              <w:spacing w:line="360" w:lineRule="auto"/>
              <w:jc w:val="both"/>
              <w:rPr>
                <w:rFonts w:ascii="Aptos" w:hAnsi="Aptos"/>
              </w:rPr>
            </w:pPr>
          </w:p>
        </w:tc>
      </w:tr>
      <w:tr w:rsidR="00C31D85" w:rsidRPr="00C31D85" w14:paraId="71279A0E" w14:textId="77777777" w:rsidTr="00C46541">
        <w:trPr>
          <w:trHeight w:val="970"/>
        </w:trPr>
        <w:tc>
          <w:tcPr>
            <w:tcW w:w="14616" w:type="dxa"/>
            <w:gridSpan w:val="2"/>
            <w:shd w:val="clear" w:color="auto" w:fill="92D050"/>
          </w:tcPr>
          <w:p w14:paraId="559B5E23" w14:textId="4CAFF394" w:rsidR="00C31D85" w:rsidRPr="0000561F" w:rsidRDefault="00AB5409" w:rsidP="00270D68">
            <w:pPr>
              <w:rPr>
                <w:rFonts w:ascii="Arial" w:hAnsi="Arial" w:cs="Arial"/>
                <w:b/>
                <w:bCs/>
              </w:rPr>
            </w:pPr>
            <w:r w:rsidRPr="0000561F">
              <w:rPr>
                <w:rFonts w:ascii="Arial" w:hAnsi="Arial" w:cs="Arial"/>
              </w:rPr>
              <w:lastRenderedPageBreak/>
              <w:t xml:space="preserve"> </w:t>
            </w:r>
            <w:r w:rsidRPr="0000561F">
              <w:rPr>
                <w:rFonts w:ascii="Arial" w:hAnsi="Arial" w:cs="Arial"/>
                <w:b/>
                <w:bCs/>
              </w:rPr>
              <w:t>Research Validation and Analysis</w:t>
            </w:r>
          </w:p>
          <w:p w14:paraId="1BD29D32" w14:textId="08CF62FF" w:rsidR="00270D68" w:rsidRPr="0000561F" w:rsidRDefault="00270D68" w:rsidP="00270D68">
            <w:pPr>
              <w:pStyle w:val="NormalWeb"/>
              <w:rPr>
                <w:rFonts w:ascii="Arial" w:hAnsi="Arial" w:cs="Arial"/>
                <w:sz w:val="22"/>
                <w:szCs w:val="22"/>
              </w:rPr>
            </w:pPr>
            <w:r w:rsidRPr="0000561F">
              <w:rPr>
                <w:rFonts w:ascii="Arial" w:hAnsi="Arial" w:cs="Arial"/>
                <w:sz w:val="22"/>
                <w:szCs w:val="22"/>
              </w:rPr>
              <w:t>Research validation in secondary research involves checking that sources are credible, reliable and relevant to the research aim (Aveyard, 2019</w:t>
            </w:r>
            <w:r w:rsidR="008F4E1A" w:rsidRPr="0000561F">
              <w:rPr>
                <w:rFonts w:ascii="Arial" w:hAnsi="Arial" w:cs="Arial"/>
                <w:sz w:val="22"/>
                <w:szCs w:val="22"/>
              </w:rPr>
              <w:t>d</w:t>
            </w:r>
            <w:r w:rsidRPr="0000561F">
              <w:rPr>
                <w:rFonts w:ascii="Arial" w:hAnsi="Arial" w:cs="Arial"/>
                <w:sz w:val="22"/>
                <w:szCs w:val="22"/>
              </w:rPr>
              <w:t>). In this study, sources were reviewed using the CRAAP framework to ensure academic quality. This strengthens reliability, although some older but valuable perspectives may be excluded.</w:t>
            </w:r>
          </w:p>
          <w:p w14:paraId="7454B819" w14:textId="2C26ABA2" w:rsidR="00516CC0" w:rsidRPr="00270D68" w:rsidRDefault="00270D68" w:rsidP="00270D68">
            <w:pPr>
              <w:pStyle w:val="NormalWeb"/>
              <w:rPr>
                <w:rFonts w:ascii="Arial" w:hAnsi="Arial" w:cs="Arial"/>
                <w:sz w:val="22"/>
                <w:szCs w:val="22"/>
              </w:rPr>
            </w:pPr>
            <w:r w:rsidRPr="0000561F">
              <w:rPr>
                <w:rFonts w:ascii="Arial" w:hAnsi="Arial" w:cs="Arial"/>
                <w:sz w:val="22"/>
                <w:szCs w:val="22"/>
              </w:rPr>
              <w:t>Secondary research analysis involves systematically examining existing literature to identify patterns and themes (Braun and Clarke, 2006). A thematic approach was used to code recurring ideas, leading to key themes on medication effectiveness, safety and family impact, which are discussed in Chapter 4</w:t>
            </w:r>
            <w:r w:rsidR="00F47DC9">
              <w:rPr>
                <w:rFonts w:ascii="Arial" w:hAnsi="Arial" w:cs="Arial"/>
                <w:sz w:val="22"/>
                <w:szCs w:val="22"/>
              </w:rPr>
              <w:t>.</w:t>
            </w:r>
          </w:p>
        </w:tc>
      </w:tr>
      <w:tr w:rsidR="00AB5409" w:rsidRPr="00C31D85" w14:paraId="1159AF67" w14:textId="77777777" w:rsidTr="00C46541">
        <w:trPr>
          <w:trHeight w:val="1833"/>
        </w:trPr>
        <w:tc>
          <w:tcPr>
            <w:tcW w:w="7225" w:type="dxa"/>
            <w:shd w:val="clear" w:color="auto" w:fill="00B0F0"/>
          </w:tcPr>
          <w:p w14:paraId="398EE9B0" w14:textId="760BC3E2" w:rsidR="00AB5409" w:rsidRDefault="00AB5409" w:rsidP="00C46111">
            <w:pPr>
              <w:rPr>
                <w:rFonts w:ascii="Aptos" w:hAnsi="Aptos"/>
              </w:rPr>
            </w:pPr>
            <w:r>
              <w:rPr>
                <w:rFonts w:ascii="Aptos" w:hAnsi="Aptos"/>
              </w:rPr>
              <w:t xml:space="preserve"> </w:t>
            </w:r>
            <w:r w:rsidRPr="005F7D75">
              <w:rPr>
                <w:rFonts w:ascii="Aptos" w:hAnsi="Aptos"/>
                <w:b/>
                <w:bCs/>
              </w:rPr>
              <w:t>Inclusion Criteria</w:t>
            </w:r>
            <w:r>
              <w:rPr>
                <w:rFonts w:ascii="Aptos" w:hAnsi="Aptos"/>
              </w:rPr>
              <w:t xml:space="preserve"> </w:t>
            </w:r>
          </w:p>
          <w:p w14:paraId="3F8F7A83" w14:textId="1D72BDFA" w:rsidR="004D6C0A" w:rsidRPr="00BC26E5" w:rsidRDefault="004D6C0A" w:rsidP="00C46111">
            <w:pPr>
              <w:rPr>
                <w:rFonts w:ascii="Arial" w:hAnsi="Arial" w:cs="Arial"/>
              </w:rPr>
            </w:pPr>
            <w:r w:rsidRPr="004D6C0A">
              <w:rPr>
                <w:rFonts w:ascii="Arial" w:hAnsi="Arial" w:cs="Arial"/>
              </w:rPr>
              <w:t xml:space="preserve">This research included peer-reviewed journal articles, UK government and NHS publications, and policy guidance published between </w:t>
            </w:r>
            <w:r w:rsidRPr="004D6C0A">
              <w:rPr>
                <w:rStyle w:val="Strong"/>
                <w:rFonts w:ascii="Arial" w:hAnsi="Arial" w:cs="Arial"/>
              </w:rPr>
              <w:t>2015 and 2025</w:t>
            </w:r>
            <w:r w:rsidRPr="004D6C0A">
              <w:rPr>
                <w:rFonts w:ascii="Arial" w:hAnsi="Arial" w:cs="Arial"/>
              </w:rPr>
              <w:t xml:space="preserve">. Preference was given to UK-based studies focusing on children diagnosed with ADHD and the impact of medication on family wellbeing. Using these criteria ensured the evidence was current, relevant and aligned with professional standards and the aims of the </w:t>
            </w:r>
            <w:r w:rsidRPr="00BC26E5">
              <w:rPr>
                <w:rFonts w:ascii="Arial" w:hAnsi="Arial" w:cs="Arial"/>
              </w:rPr>
              <w:t>study</w:t>
            </w:r>
            <w:r w:rsidR="00BC26E5" w:rsidRPr="00BC26E5">
              <w:rPr>
                <w:rFonts w:ascii="Arial" w:hAnsi="Arial" w:cs="Arial"/>
              </w:rPr>
              <w:t xml:space="preserve"> (National Institute for Health and Care Excellence, 2018)</w:t>
            </w:r>
            <w:r w:rsidR="00BC26E5">
              <w:rPr>
                <w:rFonts w:ascii="Arial" w:hAnsi="Arial" w:cs="Arial"/>
              </w:rPr>
              <w:t>.</w:t>
            </w:r>
          </w:p>
          <w:p w14:paraId="00628477" w14:textId="7F00EE5A" w:rsidR="00516CC0" w:rsidRPr="00C31D85" w:rsidRDefault="00516CC0" w:rsidP="004D6C0A">
            <w:pPr>
              <w:spacing w:line="360" w:lineRule="auto"/>
              <w:contextualSpacing/>
              <w:jc w:val="both"/>
              <w:rPr>
                <w:rFonts w:ascii="Aptos" w:hAnsi="Aptos"/>
              </w:rPr>
            </w:pPr>
          </w:p>
        </w:tc>
        <w:tc>
          <w:tcPr>
            <w:tcW w:w="7391" w:type="dxa"/>
            <w:shd w:val="clear" w:color="auto" w:fill="EAEAEA" w:themeFill="accent1" w:themeFillTint="99"/>
          </w:tcPr>
          <w:p w14:paraId="253F8839" w14:textId="784A38DC" w:rsidR="00D97B45" w:rsidRPr="003C5D7A" w:rsidRDefault="00AB5409" w:rsidP="00E763AB">
            <w:pPr>
              <w:rPr>
                <w:rFonts w:ascii="Arial" w:hAnsi="Arial" w:cs="Arial"/>
              </w:rPr>
            </w:pPr>
            <w:r w:rsidRPr="003C5D7A">
              <w:rPr>
                <w:rFonts w:ascii="Arial" w:hAnsi="Arial" w:cs="Arial"/>
              </w:rPr>
              <w:t xml:space="preserve"> </w:t>
            </w:r>
            <w:r w:rsidRPr="003C5D7A">
              <w:rPr>
                <w:rFonts w:ascii="Arial" w:hAnsi="Arial" w:cs="Arial"/>
                <w:b/>
                <w:bCs/>
              </w:rPr>
              <w:t>Exclusion Criteria</w:t>
            </w:r>
            <w:r w:rsidRPr="003C5D7A">
              <w:rPr>
                <w:rFonts w:ascii="Arial" w:hAnsi="Arial" w:cs="Arial"/>
              </w:rPr>
              <w:t xml:space="preserve"> </w:t>
            </w:r>
            <w:r w:rsidR="003C5D7A" w:rsidRPr="003C5D7A">
              <w:rPr>
                <w:rFonts w:ascii="Arial" w:hAnsi="Arial" w:cs="Arial"/>
              </w:rPr>
              <w:t>Sources were excluded if they were opinion pieces, non-academic blogs, non-English publications, or outdated materials published before 2010. Studies not focused on the UK, children with ADHD, or the impact of medication on family wellbeing were also excluded. Older sources were only included where necessary to provide historical or theoretical context, such as early clinical descriptions or established behavioural theories (Still, 1902; Bandura, 1977).</w:t>
            </w:r>
          </w:p>
        </w:tc>
      </w:tr>
      <w:tr w:rsidR="008F7F53" w:rsidRPr="00C31D85" w14:paraId="470E0C33" w14:textId="77777777" w:rsidTr="00E449FD">
        <w:trPr>
          <w:trHeight w:val="51"/>
        </w:trPr>
        <w:tc>
          <w:tcPr>
            <w:tcW w:w="7225" w:type="dxa"/>
          </w:tcPr>
          <w:p w14:paraId="5CF8A016" w14:textId="77777777" w:rsidR="008F7F53" w:rsidRDefault="008F7F53" w:rsidP="00C46111">
            <w:pPr>
              <w:rPr>
                <w:rFonts w:ascii="Aptos" w:hAnsi="Aptos"/>
              </w:rPr>
            </w:pPr>
          </w:p>
        </w:tc>
        <w:tc>
          <w:tcPr>
            <w:tcW w:w="7391" w:type="dxa"/>
          </w:tcPr>
          <w:p w14:paraId="492261C8" w14:textId="77777777" w:rsidR="008F7F53" w:rsidRPr="003C5D7A" w:rsidRDefault="008F7F53" w:rsidP="00D97B45">
            <w:pPr>
              <w:rPr>
                <w:rFonts w:ascii="Arial" w:hAnsi="Arial" w:cs="Arial"/>
              </w:rPr>
            </w:pPr>
          </w:p>
        </w:tc>
      </w:tr>
      <w:tr w:rsidR="00C31D85" w:rsidRPr="00C31D85" w14:paraId="583C9C87" w14:textId="77777777" w:rsidTr="00C46541">
        <w:trPr>
          <w:trHeight w:val="1775"/>
        </w:trPr>
        <w:tc>
          <w:tcPr>
            <w:tcW w:w="14616" w:type="dxa"/>
            <w:gridSpan w:val="2"/>
            <w:shd w:val="clear" w:color="auto" w:fill="CCCCCC" w:themeFill="text2" w:themeFillTint="33"/>
          </w:tcPr>
          <w:p w14:paraId="5995F61D" w14:textId="75D58950" w:rsidR="00F52F83" w:rsidRPr="00527EF0" w:rsidRDefault="00AB5409" w:rsidP="0074179A">
            <w:pPr>
              <w:jc w:val="center"/>
              <w:rPr>
                <w:rFonts w:ascii="Arial" w:hAnsi="Arial" w:cs="Arial"/>
                <w:b/>
                <w:bCs/>
                <w:lang w:val="en-GB"/>
              </w:rPr>
            </w:pPr>
            <w:r w:rsidRPr="00527EF0">
              <w:rPr>
                <w:rFonts w:ascii="Aptos" w:hAnsi="Aptos"/>
                <w:b/>
                <w:bCs/>
              </w:rPr>
              <w:t xml:space="preserve"> </w:t>
            </w:r>
            <w:r w:rsidRPr="00527EF0">
              <w:rPr>
                <w:rFonts w:ascii="Arial" w:hAnsi="Arial" w:cs="Arial"/>
                <w:b/>
                <w:bCs/>
              </w:rPr>
              <w:t>Ethical Considerations</w:t>
            </w:r>
          </w:p>
          <w:p w14:paraId="28D04039" w14:textId="55D9E7C7" w:rsidR="0074179A" w:rsidRPr="0074179A" w:rsidRDefault="0074179A" w:rsidP="0074179A">
            <w:pPr>
              <w:jc w:val="center"/>
              <w:rPr>
                <w:rFonts w:ascii="Arial" w:hAnsi="Arial" w:cs="Arial"/>
                <w:lang w:val="en-GB"/>
              </w:rPr>
            </w:pPr>
            <w:r w:rsidRPr="0074179A">
              <w:rPr>
                <w:rFonts w:ascii="Arial" w:hAnsi="Arial" w:cs="Arial"/>
              </w:rPr>
              <w:t>Ethics in secondary research involves using existing data responsibly, legally and with respect for original authors and participants (Aveyard, 2019). Ethical practice was maintained by accurately citing all sources to avoid plagiarism and respect intellectual property. Only reliable, peer-reviewed and official policy sources were used to ensure data integrity. No identifiable personal data was accessed, protecting privacy and confidentiality. The study followed GDPR requirements and the University of Wales Trinity Saint David Research Ethics and Integrity Code of Practice (University of Wales Trinity Saint David, 2022).</w:t>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ascii="Arial" w:hAnsi="Arial" w:cs="Arial"/>
          <w:b/>
          <w:bCs/>
          <w:sz w:val="28"/>
          <w:szCs w:val="28"/>
        </w:rPr>
        <w:lastRenderedPageBreak/>
        <w:t>References</w:t>
      </w:r>
    </w:p>
    <w:p w14:paraId="364E780A" w14:textId="39940913" w:rsidR="00EB6F36" w:rsidRPr="00AF1074" w:rsidRDefault="00EB6F36" w:rsidP="00C46111">
      <w:pPr>
        <w:rPr>
          <w:rFonts w:ascii="Arial" w:hAnsi="Arial" w:cs="Arial"/>
          <w:sz w:val="24"/>
          <w:szCs w:val="24"/>
        </w:rPr>
      </w:pPr>
      <w:r w:rsidRPr="00AF1074">
        <w:rPr>
          <w:rFonts w:ascii="Arial" w:hAnsi="Arial" w:cs="Arial"/>
          <w:sz w:val="24"/>
          <w:szCs w:val="24"/>
        </w:rPr>
        <w:t xml:space="preserve">    </w:t>
      </w:r>
    </w:p>
    <w:p w14:paraId="787444DC" w14:textId="2070990B" w:rsidR="00EB6F36" w:rsidRDefault="00AF1074" w:rsidP="00C46111">
      <w:pPr>
        <w:rPr>
          <w:rFonts w:ascii="Arial" w:hAnsi="Arial" w:cs="Arial"/>
        </w:rPr>
      </w:pPr>
      <w:r w:rsidRPr="00AF1074">
        <w:rPr>
          <w:rFonts w:ascii="Arial" w:hAnsi="Arial" w:cs="Arial"/>
        </w:rPr>
        <w:t>Aveyard, H. (2019</w:t>
      </w:r>
      <w:r w:rsidR="00563161">
        <w:rPr>
          <w:rFonts w:ascii="Arial" w:hAnsi="Arial" w:cs="Arial"/>
        </w:rPr>
        <w:t>a</w:t>
      </w:r>
      <w:r w:rsidRPr="00AF1074">
        <w:rPr>
          <w:rFonts w:ascii="Arial" w:hAnsi="Arial" w:cs="Arial"/>
        </w:rPr>
        <w:t xml:space="preserve">) </w:t>
      </w:r>
      <w:r w:rsidRPr="00AF1074">
        <w:rPr>
          <w:rStyle w:val="Emphasis"/>
          <w:rFonts w:ascii="Arial" w:hAnsi="Arial" w:cs="Arial"/>
        </w:rPr>
        <w:t>Doing a literature review in health and social care: a practical guide</w:t>
      </w:r>
      <w:r w:rsidRPr="00AF1074">
        <w:rPr>
          <w:rFonts w:ascii="Arial" w:hAnsi="Arial" w:cs="Arial"/>
        </w:rPr>
        <w:t xml:space="preserve">. 4th </w:t>
      </w:r>
      <w:proofErr w:type="spellStart"/>
      <w:r w:rsidRPr="00AF1074">
        <w:rPr>
          <w:rFonts w:ascii="Arial" w:hAnsi="Arial" w:cs="Arial"/>
        </w:rPr>
        <w:t>edn</w:t>
      </w:r>
      <w:proofErr w:type="spellEnd"/>
      <w:r w:rsidRPr="00AF1074">
        <w:rPr>
          <w:rFonts w:ascii="Arial" w:hAnsi="Arial" w:cs="Arial"/>
        </w:rPr>
        <w:t>. Maidenhead: Open University Press.</w:t>
      </w:r>
    </w:p>
    <w:p w14:paraId="56210D7E" w14:textId="22A8D919" w:rsidR="00563161" w:rsidRPr="0059025A" w:rsidRDefault="00563161" w:rsidP="00C46111">
      <w:pPr>
        <w:rPr>
          <w:rFonts w:ascii="Arial" w:hAnsi="Arial" w:cs="Arial"/>
        </w:rPr>
      </w:pPr>
      <w:r w:rsidRPr="00533C1F">
        <w:rPr>
          <w:rFonts w:ascii="Arial" w:hAnsi="Arial" w:cs="Arial"/>
        </w:rPr>
        <w:t>Aveyard, H. (2019</w:t>
      </w:r>
      <w:r w:rsidR="00533C1F">
        <w:rPr>
          <w:rFonts w:ascii="Arial" w:hAnsi="Arial" w:cs="Arial"/>
        </w:rPr>
        <w:t>b</w:t>
      </w:r>
      <w:r w:rsidRPr="00533C1F">
        <w:rPr>
          <w:rFonts w:ascii="Arial" w:hAnsi="Arial" w:cs="Arial"/>
        </w:rPr>
        <w:t xml:space="preserve">) </w:t>
      </w:r>
      <w:r w:rsidRPr="00533C1F">
        <w:rPr>
          <w:rStyle w:val="Emphasis"/>
          <w:rFonts w:ascii="Arial" w:hAnsi="Arial" w:cs="Arial"/>
        </w:rPr>
        <w:t>Doing a literature review in health and social care: a practical guide</w:t>
      </w:r>
      <w:r w:rsidRPr="00533C1F">
        <w:rPr>
          <w:rFonts w:ascii="Arial" w:hAnsi="Arial" w:cs="Arial"/>
        </w:rPr>
        <w:t xml:space="preserve">. 4th </w:t>
      </w:r>
      <w:proofErr w:type="spellStart"/>
      <w:r w:rsidRPr="00533C1F">
        <w:rPr>
          <w:rFonts w:ascii="Arial" w:hAnsi="Arial" w:cs="Arial"/>
        </w:rPr>
        <w:t>edn</w:t>
      </w:r>
      <w:proofErr w:type="spellEnd"/>
      <w:r w:rsidRPr="00533C1F">
        <w:rPr>
          <w:rFonts w:ascii="Arial" w:hAnsi="Arial" w:cs="Arial"/>
        </w:rPr>
        <w:t xml:space="preserve">. Maidenhead: </w:t>
      </w:r>
      <w:r w:rsidRPr="0059025A">
        <w:rPr>
          <w:rFonts w:ascii="Arial" w:hAnsi="Arial" w:cs="Arial"/>
        </w:rPr>
        <w:t>Open University Press.</w:t>
      </w:r>
    </w:p>
    <w:p w14:paraId="7D196571" w14:textId="55F38F4C" w:rsidR="0059025A" w:rsidRDefault="0059025A" w:rsidP="00C46111">
      <w:pPr>
        <w:rPr>
          <w:rFonts w:ascii="Arial" w:hAnsi="Arial" w:cs="Arial"/>
        </w:rPr>
      </w:pPr>
      <w:r w:rsidRPr="0059025A">
        <w:rPr>
          <w:rFonts w:ascii="Arial" w:hAnsi="Arial" w:cs="Arial"/>
        </w:rPr>
        <w:t xml:space="preserve">NHS Digital (2024) </w:t>
      </w:r>
      <w:r w:rsidRPr="0059025A">
        <w:rPr>
          <w:rStyle w:val="Emphasis"/>
          <w:rFonts w:ascii="Arial" w:hAnsi="Arial" w:cs="Arial"/>
        </w:rPr>
        <w:t>Medicines used in mental health: England</w:t>
      </w:r>
      <w:r w:rsidRPr="0059025A">
        <w:rPr>
          <w:rFonts w:ascii="Arial" w:hAnsi="Arial" w:cs="Arial"/>
        </w:rPr>
        <w:t>. Leeds: NHS Digital. Available at: https://digital.nhs.uk/data-and-information/publications/statistical/medicines-used-in-mental-health (Accessed: 25 January 2026).</w:t>
      </w:r>
    </w:p>
    <w:p w14:paraId="3FD4E3EA" w14:textId="31EF4DB4" w:rsidR="001D7479" w:rsidRDefault="001D7479" w:rsidP="00C46111">
      <w:pPr>
        <w:rPr>
          <w:rFonts w:ascii="Arial" w:hAnsi="Arial" w:cs="Arial"/>
        </w:rPr>
      </w:pPr>
      <w:r w:rsidRPr="001D7479">
        <w:rPr>
          <w:rFonts w:ascii="Arial" w:hAnsi="Arial" w:cs="Arial"/>
        </w:rPr>
        <w:t>Aveyard, H. (2019</w:t>
      </w:r>
      <w:r w:rsidR="009B7A4A">
        <w:rPr>
          <w:rFonts w:ascii="Arial" w:hAnsi="Arial" w:cs="Arial"/>
        </w:rPr>
        <w:t>c</w:t>
      </w:r>
      <w:r w:rsidRPr="001D7479">
        <w:rPr>
          <w:rFonts w:ascii="Arial" w:hAnsi="Arial" w:cs="Arial"/>
        </w:rPr>
        <w:t xml:space="preserve">) </w:t>
      </w:r>
      <w:r w:rsidRPr="001D7479">
        <w:rPr>
          <w:rStyle w:val="Emphasis"/>
          <w:rFonts w:ascii="Arial" w:hAnsi="Arial" w:cs="Arial"/>
        </w:rPr>
        <w:t>Doing a literature review in health and social care: a practical guide</w:t>
      </w:r>
      <w:r w:rsidRPr="001D7479">
        <w:rPr>
          <w:rFonts w:ascii="Arial" w:hAnsi="Arial" w:cs="Arial"/>
        </w:rPr>
        <w:t>. 4th edn. Maidenhead: Open University Press.</w:t>
      </w:r>
    </w:p>
    <w:p w14:paraId="2D049A88" w14:textId="77777777" w:rsidR="008F4E1A" w:rsidRDefault="009B7A4A" w:rsidP="00C46111">
      <w:pPr>
        <w:rPr>
          <w:rFonts w:ascii="Arial" w:hAnsi="Arial" w:cs="Arial"/>
        </w:rPr>
      </w:pPr>
      <w:r w:rsidRPr="009B7A4A">
        <w:rPr>
          <w:rFonts w:ascii="Arial" w:hAnsi="Arial" w:cs="Arial"/>
        </w:rPr>
        <w:t>Aveyard, H. (2019</w:t>
      </w:r>
      <w:r w:rsidR="00085108">
        <w:rPr>
          <w:rFonts w:ascii="Arial" w:hAnsi="Arial" w:cs="Arial"/>
        </w:rPr>
        <w:t>d</w:t>
      </w:r>
      <w:r w:rsidRPr="009B7A4A">
        <w:rPr>
          <w:rFonts w:ascii="Arial" w:hAnsi="Arial" w:cs="Arial"/>
        </w:rPr>
        <w:t xml:space="preserve">) </w:t>
      </w:r>
      <w:r w:rsidRPr="009B7A4A">
        <w:rPr>
          <w:rStyle w:val="Emphasis"/>
          <w:rFonts w:ascii="Arial" w:hAnsi="Arial" w:cs="Arial"/>
        </w:rPr>
        <w:t>Doing a literature review in health and social care: a practical guide</w:t>
      </w:r>
      <w:r w:rsidRPr="009B7A4A">
        <w:rPr>
          <w:rFonts w:ascii="Arial" w:hAnsi="Arial" w:cs="Arial"/>
        </w:rPr>
        <w:t>. 4th edn. Maidenhead: Open University Press.</w:t>
      </w:r>
    </w:p>
    <w:p w14:paraId="04814F44" w14:textId="24A91A97" w:rsidR="00312405" w:rsidRDefault="009B7A4A" w:rsidP="00C46111">
      <w:pPr>
        <w:rPr>
          <w:rFonts w:ascii="Arial" w:hAnsi="Arial" w:cs="Arial"/>
        </w:rPr>
      </w:pPr>
      <w:r w:rsidRPr="009B7A4A">
        <w:rPr>
          <w:rFonts w:ascii="Arial" w:hAnsi="Arial" w:cs="Arial"/>
        </w:rPr>
        <w:t xml:space="preserve">Braun, V. and Clarke, V. (2006) ‘Using thematic analysis in psychology’, </w:t>
      </w:r>
      <w:r w:rsidRPr="009B7A4A">
        <w:rPr>
          <w:rStyle w:val="Emphasis"/>
          <w:rFonts w:ascii="Arial" w:hAnsi="Arial" w:cs="Arial"/>
        </w:rPr>
        <w:t>Qualitative Research in Psychology</w:t>
      </w:r>
      <w:r w:rsidRPr="009B7A4A">
        <w:rPr>
          <w:rFonts w:ascii="Arial" w:hAnsi="Arial" w:cs="Arial"/>
        </w:rPr>
        <w:t>, 3(2), pp. 77–101.</w:t>
      </w:r>
    </w:p>
    <w:p w14:paraId="71FF2D21" w14:textId="44A63EAD" w:rsidR="0000561F" w:rsidRPr="0095330C" w:rsidRDefault="00D424B1" w:rsidP="00C46111">
      <w:pPr>
        <w:rPr>
          <w:rFonts w:ascii="Arial" w:hAnsi="Arial" w:cs="Arial"/>
        </w:rPr>
      </w:pPr>
      <w:r w:rsidRPr="00D424B1">
        <w:rPr>
          <w:rFonts w:ascii="Arial" w:hAnsi="Arial" w:cs="Arial"/>
        </w:rPr>
        <w:t xml:space="preserve">National Institute for Health and Care Excellence (2018) </w:t>
      </w:r>
      <w:r w:rsidRPr="00D424B1">
        <w:rPr>
          <w:rStyle w:val="Emphasis"/>
          <w:rFonts w:ascii="Arial" w:hAnsi="Arial" w:cs="Arial"/>
        </w:rPr>
        <w:t>Attention deficit hyperactivity disorder: diagnosis and management (NG87)</w:t>
      </w:r>
      <w:r w:rsidRPr="00D424B1">
        <w:rPr>
          <w:rFonts w:ascii="Arial" w:hAnsi="Arial" w:cs="Arial"/>
        </w:rPr>
        <w:t xml:space="preserve">. London: NICE. Available at: </w:t>
      </w:r>
      <w:hyperlink r:id="rId15" w:tgtFrame="_new" w:history="1">
        <w:r w:rsidRPr="00D424B1">
          <w:rPr>
            <w:rStyle w:val="Hyperlink"/>
            <w:rFonts w:ascii="Arial" w:hAnsi="Arial" w:cs="Arial"/>
          </w:rPr>
          <w:t>https://www.nice.org.uk/guidance/ng87</w:t>
        </w:r>
      </w:hyperlink>
      <w:r w:rsidRPr="00D424B1">
        <w:rPr>
          <w:rFonts w:ascii="Arial" w:hAnsi="Arial" w:cs="Arial"/>
        </w:rPr>
        <w:t xml:space="preserve"> (Accessed: 25 </w:t>
      </w:r>
      <w:r w:rsidRPr="0095330C">
        <w:rPr>
          <w:rFonts w:ascii="Arial" w:hAnsi="Arial" w:cs="Arial"/>
        </w:rPr>
        <w:t>January 2026).</w:t>
      </w:r>
    </w:p>
    <w:p w14:paraId="0E8B4D11" w14:textId="77777777" w:rsidR="0095330C" w:rsidRPr="0095330C" w:rsidRDefault="0095330C" w:rsidP="0095330C">
      <w:pPr>
        <w:pStyle w:val="NormalWeb"/>
        <w:rPr>
          <w:rFonts w:ascii="Arial" w:hAnsi="Arial" w:cs="Arial"/>
          <w:sz w:val="22"/>
          <w:szCs w:val="22"/>
        </w:rPr>
      </w:pPr>
      <w:r w:rsidRPr="0095330C">
        <w:rPr>
          <w:rFonts w:ascii="Arial" w:hAnsi="Arial" w:cs="Arial"/>
          <w:sz w:val="22"/>
          <w:szCs w:val="22"/>
        </w:rPr>
        <w:t xml:space="preserve">Bandura, A. (1977) </w:t>
      </w:r>
      <w:r w:rsidRPr="0095330C">
        <w:rPr>
          <w:rStyle w:val="Emphasis"/>
          <w:rFonts w:ascii="Arial" w:hAnsi="Arial" w:cs="Arial"/>
          <w:sz w:val="22"/>
          <w:szCs w:val="22"/>
        </w:rPr>
        <w:t>Social learning theory</w:t>
      </w:r>
      <w:r w:rsidRPr="0095330C">
        <w:rPr>
          <w:rFonts w:ascii="Arial" w:hAnsi="Arial" w:cs="Arial"/>
          <w:sz w:val="22"/>
          <w:szCs w:val="22"/>
        </w:rPr>
        <w:t>. Englewood Cliffs, NJ: Prentice Hall.</w:t>
      </w:r>
    </w:p>
    <w:p w14:paraId="11183EB9" w14:textId="77777777" w:rsidR="0095330C" w:rsidRPr="00F31262" w:rsidRDefault="0095330C" w:rsidP="0095330C">
      <w:pPr>
        <w:pStyle w:val="NormalWeb"/>
        <w:rPr>
          <w:rFonts w:ascii="Arial" w:hAnsi="Arial" w:cs="Arial"/>
          <w:sz w:val="22"/>
          <w:szCs w:val="22"/>
        </w:rPr>
      </w:pPr>
      <w:r w:rsidRPr="00F31262">
        <w:rPr>
          <w:rFonts w:ascii="Arial" w:hAnsi="Arial" w:cs="Arial"/>
          <w:sz w:val="22"/>
          <w:szCs w:val="22"/>
        </w:rPr>
        <w:t xml:space="preserve">Still, G.F. (1902) ‘Some abnormal psychical conditions in children’, </w:t>
      </w:r>
      <w:r w:rsidRPr="00F31262">
        <w:rPr>
          <w:rStyle w:val="Emphasis"/>
          <w:rFonts w:ascii="Arial" w:hAnsi="Arial" w:cs="Arial"/>
          <w:sz w:val="22"/>
          <w:szCs w:val="22"/>
        </w:rPr>
        <w:t>The Lancet</w:t>
      </w:r>
      <w:r w:rsidRPr="00F31262">
        <w:rPr>
          <w:rFonts w:ascii="Arial" w:hAnsi="Arial" w:cs="Arial"/>
          <w:sz w:val="22"/>
          <w:szCs w:val="22"/>
        </w:rPr>
        <w:t>, 159(4107), pp. 1008–1012.</w:t>
      </w:r>
    </w:p>
    <w:p w14:paraId="736700FE" w14:textId="77777777" w:rsidR="00F31262" w:rsidRPr="00F31262" w:rsidRDefault="00F31262" w:rsidP="00F31262">
      <w:pPr>
        <w:pStyle w:val="NormalWeb"/>
        <w:rPr>
          <w:rFonts w:ascii="Arial" w:hAnsi="Arial" w:cs="Arial"/>
        </w:rPr>
      </w:pPr>
      <w:r w:rsidRPr="00F31262">
        <w:rPr>
          <w:rFonts w:ascii="Arial" w:hAnsi="Arial" w:cs="Arial"/>
        </w:rPr>
        <w:t xml:space="preserve">Aveyard, H. (2019) </w:t>
      </w:r>
      <w:r w:rsidRPr="00F31262">
        <w:rPr>
          <w:rStyle w:val="Emphasis"/>
          <w:rFonts w:ascii="Arial" w:hAnsi="Arial" w:cs="Arial"/>
        </w:rPr>
        <w:t>Doing a literature review in health and social care: a practical guide</w:t>
      </w:r>
      <w:r w:rsidRPr="00F31262">
        <w:rPr>
          <w:rFonts w:ascii="Arial" w:hAnsi="Arial" w:cs="Arial"/>
        </w:rPr>
        <w:t xml:space="preserve">. 4th </w:t>
      </w:r>
      <w:proofErr w:type="spellStart"/>
      <w:r w:rsidRPr="00F31262">
        <w:rPr>
          <w:rFonts w:ascii="Arial" w:hAnsi="Arial" w:cs="Arial"/>
        </w:rPr>
        <w:t>edn</w:t>
      </w:r>
      <w:proofErr w:type="spellEnd"/>
      <w:r w:rsidRPr="00F31262">
        <w:rPr>
          <w:rFonts w:ascii="Arial" w:hAnsi="Arial" w:cs="Arial"/>
        </w:rPr>
        <w:t>. Maidenhead: Open University Press.</w:t>
      </w:r>
    </w:p>
    <w:p w14:paraId="519E08E8" w14:textId="77777777" w:rsidR="00F31262" w:rsidRPr="00F31262" w:rsidRDefault="00F31262" w:rsidP="00F31262">
      <w:pPr>
        <w:pStyle w:val="NormalWeb"/>
        <w:rPr>
          <w:rFonts w:ascii="Arial" w:hAnsi="Arial" w:cs="Arial"/>
        </w:rPr>
      </w:pPr>
      <w:r w:rsidRPr="00F31262">
        <w:rPr>
          <w:rFonts w:ascii="Arial" w:hAnsi="Arial" w:cs="Arial"/>
        </w:rPr>
        <w:t xml:space="preserve">University of Wales Trinity Saint David (2022) </w:t>
      </w:r>
      <w:r w:rsidRPr="00F31262">
        <w:rPr>
          <w:rStyle w:val="Emphasis"/>
          <w:rFonts w:ascii="Arial" w:hAnsi="Arial" w:cs="Arial"/>
        </w:rPr>
        <w:t>Research Ethics and Integrity Code of Practice</w:t>
      </w:r>
      <w:r w:rsidRPr="00F31262">
        <w:rPr>
          <w:rFonts w:ascii="Arial" w:hAnsi="Arial" w:cs="Arial"/>
        </w:rPr>
        <w:t xml:space="preserve">. Swansea: University of Wales Trinity Saint David. Available at: </w:t>
      </w:r>
      <w:hyperlink r:id="rId16" w:tgtFrame="_new" w:history="1">
        <w:r w:rsidRPr="00F31262">
          <w:rPr>
            <w:rStyle w:val="Hyperlink"/>
            <w:rFonts w:ascii="Arial" w:eastAsiaTheme="majorEastAsia" w:hAnsi="Arial" w:cs="Arial"/>
          </w:rPr>
          <w:t>https://www.uwtsd.ac.uk/research/research-ethics/</w:t>
        </w:r>
      </w:hyperlink>
      <w:r w:rsidRPr="00F31262">
        <w:rPr>
          <w:rFonts w:ascii="Arial" w:hAnsi="Arial" w:cs="Arial"/>
        </w:rPr>
        <w:t xml:space="preserve"> (Accessed: 25 January 2026).</w:t>
      </w:r>
    </w:p>
    <w:p w14:paraId="16B18E22" w14:textId="77777777" w:rsidR="00BA7370" w:rsidRPr="0095330C" w:rsidRDefault="00BA7370" w:rsidP="00C46111">
      <w:pPr>
        <w:rPr>
          <w:rFonts w:ascii="Arial" w:hAnsi="Arial" w:cs="Arial"/>
        </w:rPr>
      </w:pPr>
    </w:p>
    <w:p w14:paraId="4BE2698F" w14:textId="77777777" w:rsidR="00AF1074" w:rsidRPr="0059025A" w:rsidRDefault="00AF1074" w:rsidP="00C46111">
      <w:pPr>
        <w:rPr>
          <w:rFonts w:ascii="Arial" w:hAnsi="Arial" w:cs="Arial"/>
          <w:sz w:val="24"/>
          <w:szCs w:val="24"/>
        </w:rPr>
      </w:pPr>
    </w:p>
    <w:p w14:paraId="725FE163" w14:textId="0217A54B" w:rsidR="00EB6F36" w:rsidRPr="0059025A" w:rsidRDefault="00846694" w:rsidP="00C46111">
      <w:pPr>
        <w:rPr>
          <w:rFonts w:ascii="Arial" w:hAnsi="Arial" w:cs="Arial"/>
          <w:noProof/>
        </w:rPr>
      </w:pPr>
      <w:r w:rsidRPr="0059025A">
        <w:rPr>
          <w:rFonts w:ascii="Arial" w:hAnsi="Arial" w:cs="Arial"/>
          <w:noProof/>
        </w:rPr>
        <w:t xml:space="preserve"> </w:t>
      </w:r>
    </w:p>
    <w:p w14:paraId="1117C621" w14:textId="77777777" w:rsidR="005F7D75" w:rsidRPr="0059025A" w:rsidRDefault="005F7D75" w:rsidP="00C46111">
      <w:pPr>
        <w:rPr>
          <w:rFonts w:ascii="Arial" w:hAnsi="Arial" w:cs="Arial"/>
          <w:noProof/>
        </w:rPr>
      </w:pPr>
    </w:p>
    <w:p w14:paraId="403780EA" w14:textId="77777777" w:rsidR="005F7D75" w:rsidRPr="0059025A" w:rsidRDefault="005F7D75" w:rsidP="00C46111">
      <w:pPr>
        <w:rPr>
          <w:rFonts w:ascii="Arial" w:hAnsi="Arial" w:cs="Arial"/>
          <w:noProof/>
        </w:rPr>
      </w:pPr>
    </w:p>
    <w:p w14:paraId="7C20071D" w14:textId="77777777" w:rsidR="005F7D75" w:rsidRPr="0059025A" w:rsidRDefault="005F7D75" w:rsidP="00C46111">
      <w:pPr>
        <w:rPr>
          <w:rFonts w:ascii="Arial" w:hAnsi="Arial" w:cs="Arial"/>
          <w:noProof/>
        </w:rPr>
      </w:pPr>
    </w:p>
    <w:p w14:paraId="579172ED" w14:textId="77777777" w:rsidR="005F7D75" w:rsidRPr="0059025A" w:rsidRDefault="005F7D75" w:rsidP="00C46111">
      <w:pPr>
        <w:rPr>
          <w:rFonts w:ascii="Arial" w:hAnsi="Arial" w:cs="Arial"/>
          <w:noProof/>
        </w:rPr>
      </w:pPr>
    </w:p>
    <w:p w14:paraId="59F89357" w14:textId="77777777" w:rsidR="005F7D75" w:rsidRDefault="005F7D75" w:rsidP="00C46111">
      <w:pPr>
        <w:rPr>
          <w:noProof/>
        </w:rPr>
      </w:pPr>
    </w:p>
    <w:p w14:paraId="03F0D60E" w14:textId="09E1D8B5" w:rsidR="00582081" w:rsidRPr="00C46541" w:rsidRDefault="00582081" w:rsidP="00C46541">
      <w:pPr>
        <w:spacing w:line="360" w:lineRule="auto"/>
        <w:rPr>
          <w:rFonts w:ascii="Aptos" w:hAnsi="Aptos" w:cs="Arial"/>
          <w:sz w:val="28"/>
          <w:szCs w:val="28"/>
        </w:rPr>
      </w:pPr>
    </w:p>
    <w:sectPr w:rsidR="00582081" w:rsidRPr="00C46541"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79E2E0" w14:textId="77777777" w:rsidR="00944117" w:rsidRDefault="00944117" w:rsidP="00D210FA">
      <w:pPr>
        <w:spacing w:after="0"/>
      </w:pPr>
      <w:r>
        <w:separator/>
      </w:r>
    </w:p>
  </w:endnote>
  <w:endnote w:type="continuationSeparator" w:id="0">
    <w:p w14:paraId="5F9EEFD7" w14:textId="77777777" w:rsidR="00944117" w:rsidRDefault="00944117"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37BF64" w14:textId="77777777" w:rsidR="00944117" w:rsidRDefault="00944117" w:rsidP="00D210FA">
      <w:pPr>
        <w:spacing w:after="0"/>
      </w:pPr>
      <w:r>
        <w:separator/>
      </w:r>
    </w:p>
  </w:footnote>
  <w:footnote w:type="continuationSeparator" w:id="0">
    <w:p w14:paraId="29B32D2C" w14:textId="77777777" w:rsidR="00944117" w:rsidRDefault="00944117"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000000"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F351FA7"/>
    <w:multiLevelType w:val="multilevel"/>
    <w:tmpl w:val="09BCB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000000"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2"/>
  </w:num>
  <w:num w:numId="4" w16cid:durableId="67852329">
    <w:abstractNumId w:val="13"/>
  </w:num>
  <w:num w:numId="5" w16cid:durableId="825783799">
    <w:abstractNumId w:val="7"/>
  </w:num>
  <w:num w:numId="6" w16cid:durableId="1203637911">
    <w:abstractNumId w:val="6"/>
  </w:num>
  <w:num w:numId="7" w16cid:durableId="1393117886">
    <w:abstractNumId w:val="10"/>
  </w:num>
  <w:num w:numId="8" w16cid:durableId="546726307">
    <w:abstractNumId w:val="9"/>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1"/>
  </w:num>
  <w:num w:numId="14" w16cid:durableId="4280410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561F"/>
    <w:rsid w:val="00017FE2"/>
    <w:rsid w:val="00023293"/>
    <w:rsid w:val="00041A75"/>
    <w:rsid w:val="00061977"/>
    <w:rsid w:val="00063B85"/>
    <w:rsid w:val="00081AE0"/>
    <w:rsid w:val="00085108"/>
    <w:rsid w:val="0008782A"/>
    <w:rsid w:val="000A065A"/>
    <w:rsid w:val="000E56ED"/>
    <w:rsid w:val="000F05A9"/>
    <w:rsid w:val="00106FC5"/>
    <w:rsid w:val="00120DEC"/>
    <w:rsid w:val="00123C19"/>
    <w:rsid w:val="00136091"/>
    <w:rsid w:val="001A2DAB"/>
    <w:rsid w:val="001C55B6"/>
    <w:rsid w:val="001D5FEB"/>
    <w:rsid w:val="001D6CC4"/>
    <w:rsid w:val="001D7479"/>
    <w:rsid w:val="00206405"/>
    <w:rsid w:val="002341AD"/>
    <w:rsid w:val="00253267"/>
    <w:rsid w:val="0025621F"/>
    <w:rsid w:val="00270D68"/>
    <w:rsid w:val="002823CD"/>
    <w:rsid w:val="002844F0"/>
    <w:rsid w:val="00287787"/>
    <w:rsid w:val="00291685"/>
    <w:rsid w:val="0029329C"/>
    <w:rsid w:val="002B0A3D"/>
    <w:rsid w:val="002C3F48"/>
    <w:rsid w:val="002F26AB"/>
    <w:rsid w:val="003007A7"/>
    <w:rsid w:val="00312405"/>
    <w:rsid w:val="003257E1"/>
    <w:rsid w:val="00325DEC"/>
    <w:rsid w:val="00336779"/>
    <w:rsid w:val="00346FFA"/>
    <w:rsid w:val="00385494"/>
    <w:rsid w:val="003A3069"/>
    <w:rsid w:val="003A3AE3"/>
    <w:rsid w:val="003C20B5"/>
    <w:rsid w:val="003C5D7A"/>
    <w:rsid w:val="003E545F"/>
    <w:rsid w:val="003F03D2"/>
    <w:rsid w:val="003F1E1A"/>
    <w:rsid w:val="003F767E"/>
    <w:rsid w:val="004045E5"/>
    <w:rsid w:val="0041147B"/>
    <w:rsid w:val="00421496"/>
    <w:rsid w:val="00422C27"/>
    <w:rsid w:val="0044367C"/>
    <w:rsid w:val="0044412C"/>
    <w:rsid w:val="004642F0"/>
    <w:rsid w:val="00475C77"/>
    <w:rsid w:val="004D6C0A"/>
    <w:rsid w:val="004E36FE"/>
    <w:rsid w:val="00500564"/>
    <w:rsid w:val="0051102B"/>
    <w:rsid w:val="00514704"/>
    <w:rsid w:val="00516CC0"/>
    <w:rsid w:val="0052767E"/>
    <w:rsid w:val="00527EF0"/>
    <w:rsid w:val="00533C1F"/>
    <w:rsid w:val="005475F0"/>
    <w:rsid w:val="00552F3D"/>
    <w:rsid w:val="005617B4"/>
    <w:rsid w:val="00563161"/>
    <w:rsid w:val="00563F2C"/>
    <w:rsid w:val="00582081"/>
    <w:rsid w:val="005838BC"/>
    <w:rsid w:val="0059025A"/>
    <w:rsid w:val="005B57E1"/>
    <w:rsid w:val="005E61E0"/>
    <w:rsid w:val="005F0F31"/>
    <w:rsid w:val="005F7D75"/>
    <w:rsid w:val="006024ED"/>
    <w:rsid w:val="0061793F"/>
    <w:rsid w:val="0062123A"/>
    <w:rsid w:val="00625DC2"/>
    <w:rsid w:val="006605F8"/>
    <w:rsid w:val="00661F64"/>
    <w:rsid w:val="0066531E"/>
    <w:rsid w:val="006676A1"/>
    <w:rsid w:val="006771D4"/>
    <w:rsid w:val="006833BD"/>
    <w:rsid w:val="006A3913"/>
    <w:rsid w:val="006D18BF"/>
    <w:rsid w:val="006D2642"/>
    <w:rsid w:val="006E2D42"/>
    <w:rsid w:val="00720FEE"/>
    <w:rsid w:val="0074179A"/>
    <w:rsid w:val="00764B6F"/>
    <w:rsid w:val="007949B7"/>
    <w:rsid w:val="007A3AD5"/>
    <w:rsid w:val="007C7319"/>
    <w:rsid w:val="007D43B3"/>
    <w:rsid w:val="007F20B4"/>
    <w:rsid w:val="007F525E"/>
    <w:rsid w:val="00802FF1"/>
    <w:rsid w:val="0082695D"/>
    <w:rsid w:val="0083044C"/>
    <w:rsid w:val="00834020"/>
    <w:rsid w:val="00846694"/>
    <w:rsid w:val="0085182D"/>
    <w:rsid w:val="00861342"/>
    <w:rsid w:val="00867E5F"/>
    <w:rsid w:val="008709F5"/>
    <w:rsid w:val="00877741"/>
    <w:rsid w:val="00877A91"/>
    <w:rsid w:val="00884E86"/>
    <w:rsid w:val="00890534"/>
    <w:rsid w:val="00891124"/>
    <w:rsid w:val="008927FF"/>
    <w:rsid w:val="00893CC6"/>
    <w:rsid w:val="008B0F18"/>
    <w:rsid w:val="008C1616"/>
    <w:rsid w:val="008E3921"/>
    <w:rsid w:val="008F4E1A"/>
    <w:rsid w:val="008F7F53"/>
    <w:rsid w:val="0090027B"/>
    <w:rsid w:val="00905238"/>
    <w:rsid w:val="00944117"/>
    <w:rsid w:val="0094702A"/>
    <w:rsid w:val="0095330C"/>
    <w:rsid w:val="00967DAB"/>
    <w:rsid w:val="00990E76"/>
    <w:rsid w:val="00991A53"/>
    <w:rsid w:val="009959A4"/>
    <w:rsid w:val="00996F4E"/>
    <w:rsid w:val="009B7A4A"/>
    <w:rsid w:val="009E7472"/>
    <w:rsid w:val="009F71FE"/>
    <w:rsid w:val="00A1574F"/>
    <w:rsid w:val="00A27D8D"/>
    <w:rsid w:val="00A31A74"/>
    <w:rsid w:val="00A31F33"/>
    <w:rsid w:val="00A66341"/>
    <w:rsid w:val="00A70A62"/>
    <w:rsid w:val="00A71DA8"/>
    <w:rsid w:val="00A90A7A"/>
    <w:rsid w:val="00AA7741"/>
    <w:rsid w:val="00AB1210"/>
    <w:rsid w:val="00AB5409"/>
    <w:rsid w:val="00AB770D"/>
    <w:rsid w:val="00AD1639"/>
    <w:rsid w:val="00AF1074"/>
    <w:rsid w:val="00AF2088"/>
    <w:rsid w:val="00AF5FB0"/>
    <w:rsid w:val="00B0080A"/>
    <w:rsid w:val="00B0538C"/>
    <w:rsid w:val="00B11FB9"/>
    <w:rsid w:val="00B376E4"/>
    <w:rsid w:val="00B37AB8"/>
    <w:rsid w:val="00B418DE"/>
    <w:rsid w:val="00B47FE7"/>
    <w:rsid w:val="00B67824"/>
    <w:rsid w:val="00BA7370"/>
    <w:rsid w:val="00BC26E5"/>
    <w:rsid w:val="00BE15BA"/>
    <w:rsid w:val="00C00743"/>
    <w:rsid w:val="00C029BB"/>
    <w:rsid w:val="00C20ED0"/>
    <w:rsid w:val="00C31D85"/>
    <w:rsid w:val="00C348A8"/>
    <w:rsid w:val="00C34FA0"/>
    <w:rsid w:val="00C46111"/>
    <w:rsid w:val="00C46541"/>
    <w:rsid w:val="00C47DCC"/>
    <w:rsid w:val="00C51DDC"/>
    <w:rsid w:val="00C73BF9"/>
    <w:rsid w:val="00C83332"/>
    <w:rsid w:val="00C95E04"/>
    <w:rsid w:val="00CC0A8F"/>
    <w:rsid w:val="00CC24B6"/>
    <w:rsid w:val="00CD3A64"/>
    <w:rsid w:val="00CE08CD"/>
    <w:rsid w:val="00D0664A"/>
    <w:rsid w:val="00D210FA"/>
    <w:rsid w:val="00D24309"/>
    <w:rsid w:val="00D30F1D"/>
    <w:rsid w:val="00D424B1"/>
    <w:rsid w:val="00D43E4C"/>
    <w:rsid w:val="00D57231"/>
    <w:rsid w:val="00D87B48"/>
    <w:rsid w:val="00D91203"/>
    <w:rsid w:val="00D94FD1"/>
    <w:rsid w:val="00D97B45"/>
    <w:rsid w:val="00E41692"/>
    <w:rsid w:val="00E449FD"/>
    <w:rsid w:val="00E55D74"/>
    <w:rsid w:val="00E763AB"/>
    <w:rsid w:val="00E81234"/>
    <w:rsid w:val="00E9037E"/>
    <w:rsid w:val="00EA120D"/>
    <w:rsid w:val="00EA49C3"/>
    <w:rsid w:val="00EB5E14"/>
    <w:rsid w:val="00EB6F36"/>
    <w:rsid w:val="00ED1049"/>
    <w:rsid w:val="00EE19D9"/>
    <w:rsid w:val="00EF26FC"/>
    <w:rsid w:val="00EF518A"/>
    <w:rsid w:val="00F0014A"/>
    <w:rsid w:val="00F31262"/>
    <w:rsid w:val="00F37523"/>
    <w:rsid w:val="00F376B3"/>
    <w:rsid w:val="00F47DC9"/>
    <w:rsid w:val="00F50168"/>
    <w:rsid w:val="00F50D34"/>
    <w:rsid w:val="00F52F83"/>
    <w:rsid w:val="00F61360"/>
    <w:rsid w:val="00FC4FC8"/>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000000"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B2B2B2"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B2B2B2"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qFormat/>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000000"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DDDDDD" w:themeColor="accent1"/>
    </w:rPr>
  </w:style>
  <w:style w:type="paragraph" w:styleId="IntenseQuote">
    <w:name w:val="Intense Quote"/>
    <w:basedOn w:val="Normal"/>
    <w:next w:val="Normal"/>
    <w:link w:val="IntenseQuoteChar"/>
    <w:uiPriority w:val="30"/>
    <w:semiHidden/>
    <w:rsid w:val="00967DAB"/>
    <w:pPr>
      <w:pBdr>
        <w:top w:val="single" w:sz="4" w:space="10" w:color="DDDDDD" w:themeColor="accent1"/>
        <w:bottom w:val="single" w:sz="4" w:space="10" w:color="DDDDDD" w:themeColor="accent1"/>
      </w:pBdr>
      <w:spacing w:before="360" w:after="360"/>
      <w:ind w:left="864" w:right="864"/>
      <w:jc w:val="center"/>
    </w:pPr>
    <w:rPr>
      <w:i/>
      <w:iCs/>
      <w:color w:val="DDDDDD"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DDDDDD" w:themeColor="accent1"/>
      <w:sz w:val="21"/>
    </w:rPr>
  </w:style>
  <w:style w:type="character" w:styleId="IntenseReference">
    <w:name w:val="Intense Reference"/>
    <w:basedOn w:val="DefaultParagraphFont"/>
    <w:uiPriority w:val="32"/>
    <w:semiHidden/>
    <w:rsid w:val="00967DAB"/>
    <w:rPr>
      <w:b/>
      <w:bCs/>
      <w:smallCaps/>
      <w:color w:val="DDDDDD"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000000"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000000" w:themeColor="text2"/>
      <w:spacing w:val="-10"/>
      <w:sz w:val="48"/>
      <w:szCs w:val="100"/>
    </w:rPr>
  </w:style>
  <w:style w:type="character" w:styleId="Emphasis">
    <w:name w:val="Emphasis"/>
    <w:basedOn w:val="DefaultParagraphFont"/>
    <w:uiPriority w:val="20"/>
    <w:qFormat/>
    <w:rsid w:val="00514704"/>
    <w:rPr>
      <w:i/>
      <w:iCs/>
    </w:rPr>
  </w:style>
  <w:style w:type="paragraph" w:styleId="NormalWeb">
    <w:name w:val="Normal (Web)"/>
    <w:basedOn w:val="Normal"/>
    <w:uiPriority w:val="99"/>
    <w:unhideWhenUsed/>
    <w:rsid w:val="00861342"/>
    <w:pPr>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semiHidden/>
    <w:unhideWhenUsed/>
    <w:rsid w:val="00D424B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nice.org.uk/guidance/ng87"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14" ma:contentTypeDescription="Create a new document." ma:contentTypeScope="" ma:versionID="c422db25d81ba0fee3a31538ae59eacb">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41bd8e2a96e1f8c9b419afc1af9df7f4" ns3:_="" ns4:_="">
    <xsd:import namespace="e9586b6e-d655-4ea8-9b46-aa323587a11f"/>
    <xsd:import namespace="72e6e00a-7fea-48f1-b1b6-00c90b4ff77b"/>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e9586b6e-d655-4ea8-9b46-aa323587a11f"/>
  </ds:schemaRefs>
</ds:datastoreItem>
</file>

<file path=customXml/itemProps3.xml><?xml version="1.0" encoding="utf-8"?>
<ds:datastoreItem xmlns:ds="http://schemas.openxmlformats.org/officeDocument/2006/customXml" ds:itemID="{9078B86E-0735-45B9-A8A0-79AD55256C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4</Pages>
  <Words>809</Words>
  <Characters>5040</Characters>
  <Application>Microsoft Office Word</Application>
  <DocSecurity>0</DocSecurity>
  <Lines>124</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2026-03-31T22:27:00Z</dcterms:created>
  <dcterms:modified xsi:type="dcterms:W3CDTF">2026-03-31T22:29:00Z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