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9D76E2">
      <w:pPr>
        <w:pStyle w:val="20"/>
        <w:spacing w:line="480" w:lineRule="auto"/>
        <w:jc w:val="center"/>
        <w:rPr>
          <w:rFonts w:ascii="Times New Roman" w:hAnsi="Times New Roman" w:eastAsia="Times New Roman" w:cs="Times New Roman"/>
          <w:color w:val="000000" w:themeColor="text1"/>
          <w:sz w:val="24"/>
          <w:szCs w:val="24"/>
          <w:lang w:val="zh-CN" w:eastAsia="en-GB"/>
          <w14:textFill>
            <w14:solidFill>
              <w14:schemeClr w14:val="tx1"/>
            </w14:solidFill>
          </w14:textFill>
        </w:rPr>
      </w:pPr>
      <w:r>
        <w:rPr>
          <w:rFonts w:ascii="Times New Roman" w:hAnsi="Times New Roman" w:eastAsia="Times New Roman" w:cs="Times New Roman"/>
          <w:color w:val="000000" w:themeColor="text1"/>
          <w:sz w:val="24"/>
          <w:szCs w:val="24"/>
          <w:lang w:val="zh-CN" w:eastAsia="en-GB"/>
          <w14:textFill>
            <w14:solidFill>
              <w14:schemeClr w14:val="tx1"/>
            </w14:solidFill>
          </w14:textFill>
        </w:rPr>
        <w:drawing>
          <wp:inline distT="0" distB="0" distL="0" distR="0">
            <wp:extent cx="5731510" cy="3309620"/>
            <wp:effectExtent l="0" t="0" r="0" b="5080"/>
            <wp:docPr id="38759244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592441" name="Picture 1" descr="A close-up of a document&#10;&#10;AI-generated content may be incorrect."/>
                    <pic:cNvPicPr>
                      <a:picLocks noChangeAspect="1"/>
                    </pic:cNvPicPr>
                  </pic:nvPicPr>
                  <pic:blipFill>
                    <a:blip r:embed="rId9"/>
                    <a:stretch>
                      <a:fillRect/>
                    </a:stretch>
                  </pic:blipFill>
                  <pic:spPr>
                    <a:xfrm>
                      <a:off x="0" y="0"/>
                      <a:ext cx="5731510" cy="3309620"/>
                    </a:xfrm>
                    <a:prstGeom prst="rect">
                      <a:avLst/>
                    </a:prstGeom>
                  </pic:spPr>
                </pic:pic>
              </a:graphicData>
            </a:graphic>
          </wp:inline>
        </w:drawing>
      </w:r>
    </w:p>
    <w:p w14:paraId="2D85674B">
      <w:pPr>
        <w:pStyle w:val="20"/>
        <w:spacing w:line="480" w:lineRule="auto"/>
        <w:jc w:val="center"/>
        <w:rPr>
          <w:rFonts w:ascii="Times New Roman" w:hAnsi="Times New Roman" w:eastAsia="Times New Roman" w:cs="Times New Roman"/>
          <w:b/>
          <w:bCs/>
          <w:color w:val="000000" w:themeColor="text1"/>
          <w:sz w:val="28"/>
          <w:szCs w:val="28"/>
          <w:lang w:val="zh-CN" w:eastAsia="en-GB"/>
          <w14:textFill>
            <w14:solidFill>
              <w14:schemeClr w14:val="tx1"/>
            </w14:solidFill>
          </w14:textFill>
        </w:rPr>
      </w:pPr>
      <w:r>
        <w:rPr>
          <w:rFonts w:ascii="Times New Roman" w:hAnsi="Times New Roman" w:eastAsia="Times New Roman" w:cs="Times New Roman"/>
          <w:b/>
          <w:bCs/>
          <w:color w:val="000000" w:themeColor="text1"/>
          <w:sz w:val="28"/>
          <w:szCs w:val="28"/>
          <w:lang w:val="zh-CN" w:eastAsia="en-GB"/>
          <w14:textFill>
            <w14:solidFill>
              <w14:schemeClr w14:val="tx1"/>
            </w14:solidFill>
          </w14:textFill>
        </w:rPr>
        <w:t>Research Proposal</w:t>
      </w:r>
    </w:p>
    <w:p w14:paraId="781B19CA">
      <w:pPr>
        <w:pStyle w:val="20"/>
        <w:spacing w:line="480" w:lineRule="auto"/>
        <w:jc w:val="center"/>
        <w:rPr>
          <w:rFonts w:ascii="Times New Roman" w:hAnsi="Times New Roman" w:eastAsia="Times New Roman" w:cs="Times New Roman"/>
          <w:b/>
          <w:bCs/>
          <w:color w:val="000000" w:themeColor="text1"/>
          <w:sz w:val="28"/>
          <w:szCs w:val="28"/>
          <w:lang w:val="zh-CN" w:eastAsia="en-GB"/>
          <w14:textFill>
            <w14:solidFill>
              <w14:schemeClr w14:val="tx1"/>
            </w14:solidFill>
          </w14:textFill>
        </w:rPr>
      </w:pPr>
      <w:r>
        <w:rPr>
          <w:rFonts w:ascii="Times New Roman" w:hAnsi="Times New Roman" w:eastAsia="Times New Roman" w:cs="Times New Roman"/>
          <w:b/>
          <w:bCs/>
          <w:color w:val="000000" w:themeColor="text1"/>
          <w:sz w:val="28"/>
          <w:szCs w:val="28"/>
          <w:lang w:val="zh-CN" w:eastAsia="en-GB"/>
          <w14:textFill>
            <w14:solidFill>
              <w14:schemeClr w14:val="tx1"/>
            </w14:solidFill>
          </w14:textFill>
        </w:rPr>
        <w:t>Enhancing Intrusion Detection Systems in Cloud Computing Environments Using Machine Learning-Based Anomaly Detection</w:t>
      </w:r>
    </w:p>
    <w:p w14:paraId="152F4F47">
      <w:pPr>
        <w:spacing w:line="480" w:lineRule="auto"/>
        <w:rPr>
          <w:rFonts w:ascii="Times New Roman" w:hAnsi="Times New Roman" w:cs="Times New Roman"/>
          <w:color w:val="000000" w:themeColor="text1"/>
          <w:lang w:val="zh-CN" w:eastAsia="en-GB"/>
          <w14:textFill>
            <w14:solidFill>
              <w14:schemeClr w14:val="tx1"/>
            </w14:solidFill>
          </w14:textFill>
        </w:rPr>
      </w:pPr>
    </w:p>
    <w:p w14:paraId="6AFC3ED7">
      <w:pPr>
        <w:spacing w:line="480" w:lineRule="auto"/>
        <w:rPr>
          <w:rFonts w:ascii="Times New Roman" w:hAnsi="Times New Roman" w:cs="Times New Roman"/>
          <w:color w:val="000000" w:themeColor="text1"/>
          <w:lang w:val="zh-CN" w:eastAsia="en-GB"/>
          <w14:textFill>
            <w14:solidFill>
              <w14:schemeClr w14:val="tx1"/>
            </w14:solidFill>
          </w14:textFill>
        </w:rPr>
      </w:pPr>
    </w:p>
    <w:p w14:paraId="278429AE">
      <w:pPr>
        <w:spacing w:line="480" w:lineRule="auto"/>
        <w:rPr>
          <w:rFonts w:ascii="Times New Roman" w:hAnsi="Times New Roman" w:cs="Times New Roman"/>
          <w:color w:val="000000" w:themeColor="text1"/>
          <w:lang w:val="zh-CN" w:eastAsia="en-GB"/>
          <w14:textFill>
            <w14:solidFill>
              <w14:schemeClr w14:val="tx1"/>
            </w14:solidFill>
          </w14:textFill>
        </w:rPr>
      </w:pPr>
    </w:p>
    <w:p w14:paraId="6BC9982A">
      <w:pPr>
        <w:spacing w:line="480" w:lineRule="auto"/>
        <w:rPr>
          <w:rFonts w:ascii="Times New Roman" w:hAnsi="Times New Roman" w:cs="Times New Roman"/>
          <w:color w:val="000000" w:themeColor="text1"/>
          <w:lang w:val="zh-CN" w:eastAsia="en-GB"/>
          <w14:textFill>
            <w14:solidFill>
              <w14:schemeClr w14:val="tx1"/>
            </w14:solidFill>
          </w14:textFill>
        </w:rPr>
      </w:pPr>
    </w:p>
    <w:p w14:paraId="2AF44C5D">
      <w:pPr>
        <w:spacing w:line="480" w:lineRule="auto"/>
        <w:rPr>
          <w:rFonts w:ascii="Times New Roman" w:hAnsi="Times New Roman" w:cs="Times New Roman"/>
          <w:color w:val="000000" w:themeColor="text1"/>
          <w:lang w:val="zh-CN" w:eastAsia="en-GB"/>
          <w14:textFill>
            <w14:solidFill>
              <w14:schemeClr w14:val="tx1"/>
            </w14:solidFill>
          </w14:textFill>
        </w:rPr>
      </w:pPr>
    </w:p>
    <w:p w14:paraId="33828C43">
      <w:pPr>
        <w:spacing w:line="480" w:lineRule="auto"/>
        <w:rPr>
          <w:rFonts w:ascii="Times New Roman" w:hAnsi="Times New Roman" w:cs="Times New Roman"/>
          <w:color w:val="000000" w:themeColor="text1"/>
          <w:lang w:val="zh-CN" w:eastAsia="en-GB"/>
          <w14:textFill>
            <w14:solidFill>
              <w14:schemeClr w14:val="tx1"/>
            </w14:solidFill>
          </w14:textFill>
        </w:rPr>
      </w:pPr>
    </w:p>
    <w:p w14:paraId="1BBA1D2F">
      <w:pPr>
        <w:spacing w:line="480" w:lineRule="auto"/>
        <w:rPr>
          <w:rFonts w:ascii="Times New Roman" w:hAnsi="Times New Roman" w:cs="Times New Roman"/>
          <w:color w:val="000000" w:themeColor="text1"/>
          <w:lang w:val="zh-CN" w:eastAsia="en-GB"/>
          <w14:textFill>
            <w14:solidFill>
              <w14:schemeClr w14:val="tx1"/>
            </w14:solidFill>
          </w14:textFill>
        </w:rPr>
      </w:pPr>
    </w:p>
    <w:p w14:paraId="59167E3F">
      <w:pPr>
        <w:spacing w:line="480" w:lineRule="auto"/>
        <w:rPr>
          <w:rFonts w:ascii="Times New Roman" w:hAnsi="Times New Roman" w:cs="Times New Roman"/>
          <w:color w:val="000000" w:themeColor="text1"/>
          <w:lang w:val="zh-CN" w:eastAsia="en-GB"/>
          <w14:textFill>
            <w14:solidFill>
              <w14:schemeClr w14:val="tx1"/>
            </w14:solidFill>
          </w14:textFill>
        </w:rPr>
      </w:pPr>
    </w:p>
    <w:sdt>
      <w:sdtPr>
        <w:rPr>
          <w:rFonts w:ascii="Times New Roman" w:hAnsi="Times New Roman" w:cs="Times New Roman"/>
          <w:color w:val="000000" w:themeColor="text1"/>
          <w:sz w:val="24"/>
          <w:szCs w:val="24"/>
          <w14:textFill>
            <w14:solidFill>
              <w14:schemeClr w14:val="tx1"/>
            </w14:solidFill>
          </w14:textFill>
        </w:rPr>
        <w:id w:val="1888834359"/>
        <w:docPartObj>
          <w:docPartGallery w:val="Table of Contents"/>
          <w:docPartUnique/>
        </w:docPartObj>
      </w:sdtPr>
      <w:sdtEndPr>
        <w:rPr>
          <w:rFonts w:ascii="Times New Roman" w:hAnsi="Times New Roman" w:cs="Times New Roman" w:eastAsiaTheme="minorHAnsi"/>
          <w:color w:val="000000" w:themeColor="text1"/>
          <w:kern w:val="2"/>
          <w:sz w:val="24"/>
          <w:szCs w:val="24"/>
          <w:lang w:val="en-GB"/>
          <w14:textFill>
            <w14:solidFill>
              <w14:schemeClr w14:val="tx1"/>
            </w14:solidFill>
          </w14:textFill>
          <w14:ligatures w14:val="standardContextual"/>
        </w:rPr>
      </w:sdtEndPr>
      <w:sdtContent>
        <w:p w14:paraId="0CBD9F8C">
          <w:pPr>
            <w:pStyle w:val="51"/>
            <w:spacing w:line="480" w:lineRule="auto"/>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Table of Contents</w:t>
          </w:r>
        </w:p>
        <w:p w14:paraId="70A5826A">
          <w:pPr>
            <w:pStyle w:val="21"/>
            <w:tabs>
              <w:tab w:val="right" w:leader="dot" w:pos="9016"/>
            </w:tabs>
            <w:spacing w:line="48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b w:val="0"/>
              <w:bCs w:val="0"/>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TOC \o "1-3" \h \z \u </w:instrText>
          </w:r>
          <w:r>
            <w:rPr>
              <w:rFonts w:ascii="Times New Roman" w:hAnsi="Times New Roman" w:cs="Times New Roman"/>
              <w:b w:val="0"/>
              <w:bCs w:val="0"/>
              <w:color w:val="000000" w:themeColor="text1"/>
              <w14:textFill>
                <w14:solidFill>
                  <w14:schemeClr w14:val="tx1"/>
                </w14:solidFill>
              </w14:textFill>
            </w:rPr>
            <w:fldChar w:fldCharType="separate"/>
          </w:r>
          <w:r>
            <w:fldChar w:fldCharType="begin"/>
          </w:r>
          <w:r>
            <w:instrText xml:space="preserve"> HYPERLINK \l "_Toc214870679" </w:instrText>
          </w:r>
          <w:r>
            <w:fldChar w:fldCharType="separate"/>
          </w:r>
          <w:r>
            <w:rPr>
              <w:rStyle w:val="15"/>
              <w:rFonts w:ascii="Times New Roman" w:hAnsi="Times New Roman" w:eastAsia="Times New Roman" w:cs="Times New Roman"/>
              <w:color w:val="000000" w:themeColor="text1"/>
              <w:lang w:val="zh-CN" w:eastAsia="en-GB"/>
              <w14:textFill>
                <w14:solidFill>
                  <w14:schemeClr w14:val="tx1"/>
                </w14:solidFill>
              </w14:textFill>
            </w:rPr>
            <w:t>1. Introduction</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_Toc214870679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188907A8">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"_Toc214870680"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1.1 Context and Background</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5BF78821">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"_Toc214870681"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1.2 Research Problem</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22E3A7F">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"_Toc214870682"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1.3 Research Aim and Objectives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286F22E">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"_Toc214870683"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1.4 Significance of the Research</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E059299">
          <w:pPr>
            <w:pStyle w:val="21"/>
            <w:tabs>
              <w:tab w:val="right" w:leader="dot" w:pos="9016"/>
            </w:tabs>
            <w:spacing w:line="480" w:lineRule="auto"/>
            <w:rPr>
              <w:rFonts w:ascii="Times New Roman" w:hAnsi="Times New Roman" w:cs="Times New Roman"/>
              <w:color w:val="000000" w:themeColor="text1"/>
              <w14:textFill>
                <w14:solidFill>
                  <w14:schemeClr w14:val="tx1"/>
                </w14:solidFill>
              </w14:textFill>
            </w:rPr>
          </w:pPr>
          <w:r>
            <w:fldChar w:fldCharType="begin"/>
          </w:r>
          <w:r>
            <w:instrText xml:space="preserve"> HYPERLINK \l "_Toc214870684" </w:instrText>
          </w:r>
          <w:r>
            <w:fldChar w:fldCharType="separate"/>
          </w:r>
          <w:r>
            <w:rPr>
              <w:rStyle w:val="15"/>
              <w:rFonts w:ascii="Times New Roman" w:hAnsi="Times New Roman" w:eastAsia="Times New Roman" w:cs="Times New Roman"/>
              <w:color w:val="000000" w:themeColor="text1"/>
              <w:lang w:val="zh-CN" w:eastAsia="en-GB"/>
              <w14:textFill>
                <w14:solidFill>
                  <w14:schemeClr w14:val="tx1"/>
                </w14:solidFill>
              </w14:textFill>
            </w:rPr>
            <w:t>2. Literature Review</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_Toc214870684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3</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06D5C0CB">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"_Toc214870685"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2.1 Introduction to the Literature Review</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5151E19E">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"_Toc214870686"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2.1.2 Organization of the Literature Review</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_Toc214870686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D495B3D">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"_Toc214870687"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2.2 Key Contributions and Gaps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23E2222">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"_Toc214870688"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2.2.1 Evolution of IDS in Cloud Contexts (2018–2020)</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74B02633">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"_Toc214870689"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2.2.2 Integration of ML and AI in Cloud IDS (2020–2022)</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_Toc214870689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24B6670B">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"_Toc214870690"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2.2.3 Advancements in Anomaly Detection and Adaptive IDS (2022–2024)</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49BD5DC">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"_Toc214870691"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2.2.4 Hybrid and Federated IDS Models (2023–2024)</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696809A0">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"_Toc214870692"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2.3 Theoretical and Technical Frameworks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57461B83">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"_Toc214870693" </w:instrText>
          </w:r>
          <w:r>
            <w:fldChar w:fldCharType="separate"/>
          </w:r>
          <w:r>
            <w:rPr>
              <w:rStyle w:val="15"/>
              <w:rFonts w:ascii="Times New Roman" w:hAnsi="Times New Roman" w:eastAsia="Times New Roman" w:cs="Times New Roman"/>
              <w:b/>
              <w:bCs/>
              <w:color w:val="000000" w:themeColor="text1"/>
              <w:kern w:val="0"/>
              <w:sz w:val="24"/>
              <w:szCs w:val="24"/>
              <w:lang w:val="zh-CN" w:eastAsia="en-GB"/>
              <w14:textFill>
                <w14:solidFill>
                  <w14:schemeClr w14:val="tx1"/>
                </w14:solidFill>
              </w14:textFill>
              <w14:ligatures w14:val="none"/>
            </w:rPr>
            <w:t>1. Shared Responsibility Model</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379A4902">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"_Toc214870694" </w:instrText>
          </w:r>
          <w:r>
            <w:fldChar w:fldCharType="separate"/>
          </w:r>
          <w:r>
            <w:rPr>
              <w:rStyle w:val="15"/>
              <w:rFonts w:ascii="Times New Roman" w:hAnsi="Times New Roman" w:eastAsia="Times New Roman" w:cs="Times New Roman"/>
              <w:b/>
              <w:bCs/>
              <w:color w:val="000000" w:themeColor="text1"/>
              <w:kern w:val="0"/>
              <w:sz w:val="24"/>
              <w:szCs w:val="24"/>
              <w:lang w:val="zh-CN" w:eastAsia="en-GB"/>
              <w14:textFill>
                <w14:solidFill>
                  <w14:schemeClr w14:val="tx1"/>
                </w14:solidFill>
              </w14:textFill>
              <w14:ligatures w14:val="none"/>
            </w:rPr>
            <w:t>2. ML Algorithms and Ensemble Techniques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34EF9217">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"_Toc214870695" </w:instrText>
          </w:r>
          <w:r>
            <w:fldChar w:fldCharType="separate"/>
          </w:r>
          <w:r>
            <w:rPr>
              <w:rStyle w:val="15"/>
              <w:rFonts w:ascii="Times New Roman" w:hAnsi="Times New Roman" w:eastAsia="Times New Roman" w:cs="Times New Roman"/>
              <w:b/>
              <w:bCs/>
              <w:color w:val="000000" w:themeColor="text1"/>
              <w:kern w:val="0"/>
              <w:sz w:val="24"/>
              <w:szCs w:val="24"/>
              <w:lang w:val="zh-CN" w:eastAsia="en-GB"/>
              <w14:textFill>
                <w14:solidFill>
                  <w14:schemeClr w14:val="tx1"/>
                </w14:solidFill>
              </w14:textFill>
              <w14:ligatures w14:val="none"/>
            </w:rPr>
            <w:t>3. Signature and Anomaly Detection Tools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65C45751">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"_Toc214870696" </w:instrText>
          </w:r>
          <w:r>
            <w:fldChar w:fldCharType="separate"/>
          </w:r>
          <w:r>
            <w:rPr>
              <w:rStyle w:val="15"/>
              <w:rFonts w:ascii="Times New Roman" w:hAnsi="Times New Roman" w:eastAsia="Times New Roman" w:cs="Times New Roman"/>
              <w:b/>
              <w:bCs/>
              <w:color w:val="000000" w:themeColor="text1"/>
              <w:kern w:val="0"/>
              <w:sz w:val="24"/>
              <w:szCs w:val="24"/>
              <w:lang w:val="zh-CN" w:eastAsia="en-GB"/>
              <w14:textFill>
                <w14:solidFill>
                  <w14:schemeClr w14:val="tx1"/>
                </w14:solidFill>
              </w14:textFill>
              <w14:ligatures w14:val="none"/>
            </w:rPr>
            <w:t>4. Feature Engineering and Dimensionality Reduction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_Toc214870696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3856ABE6">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"_Toc214870697"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2.4 Relevance to the Present Study</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700D587D">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"_Toc214870698"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2.5 Literature Summary</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_Toc214870698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B08AD9E">
          <w:pPr>
            <w:pStyle w:val="21"/>
            <w:tabs>
              <w:tab w:val="right" w:leader="dot" w:pos="9016"/>
            </w:tabs>
            <w:spacing w:line="480" w:lineRule="auto"/>
            <w:rPr>
              <w:rFonts w:ascii="Times New Roman" w:hAnsi="Times New Roman" w:cs="Times New Roman"/>
              <w:color w:val="000000" w:themeColor="text1"/>
              <w14:textFill>
                <w14:solidFill>
                  <w14:schemeClr w14:val="tx1"/>
                </w14:solidFill>
              </w14:textFill>
            </w:rPr>
          </w:pPr>
          <w:r>
            <w:fldChar w:fldCharType="begin"/>
          </w:r>
          <w:r>
            <w:instrText xml:space="preserve"> HYPERLINK \l "_Toc214870699" </w:instrText>
          </w:r>
          <w:r>
            <w:fldChar w:fldCharType="separate"/>
          </w:r>
          <w:r>
            <w:rPr>
              <w:rStyle w:val="15"/>
              <w:rFonts w:ascii="Times New Roman" w:hAnsi="Times New Roman" w:eastAsia="Times New Roman" w:cs="Times New Roman"/>
              <w:color w:val="000000" w:themeColor="text1"/>
              <w:lang w:val="zh-CN" w:eastAsia="en-GB"/>
              <w14:textFill>
                <w14:solidFill>
                  <w14:schemeClr w14:val="tx1"/>
                </w14:solidFill>
              </w14:textFill>
            </w:rPr>
            <w:t>3. Research Design and Methodology</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_Toc214870699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8</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26F96A21">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"_Toc214870700"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3.1 Research Design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96944C3">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"_Toc214870701"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 Research Methods and Materials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9</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667FBF55">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"_Toc214870702"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3.2.1 Research Methods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9</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DDC1F8E">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"_Toc214870703"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3.2.2 Quantitative Methods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9</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0B37836">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"_Toc214870704"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3.2.3 Experimental Strategy</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50175920">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"_Toc214870705"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3.2.4 Hybrid Architecture Design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2AC31298">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"_Toc214870706"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3.2.5 Data Analysis Techniques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_Toc214870706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8AD0F43">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"_Toc214870707"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3.3 Materials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22F401A">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"_Toc214870708"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3.3.1 Research Data</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29BAF938">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"_Toc214870709"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3.3.2 Ethical Considerations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_Toc214870709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4F78FAC">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"_Toc214870710"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3.3.3 Software Tools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11</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284F610C">
          <w:pPr>
            <w:pStyle w:val="23"/>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"_Toc214870711"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3.3.4 Hardware Requirements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84ADF9B">
          <w:pPr>
            <w:pStyle w:val="21"/>
            <w:tabs>
              <w:tab w:val="right" w:leader="dot" w:pos="9016"/>
            </w:tabs>
            <w:spacing w:line="480" w:lineRule="auto"/>
            <w:rPr>
              <w:rFonts w:ascii="Times New Roman" w:hAnsi="Times New Roman" w:cs="Times New Roman"/>
              <w:color w:val="000000" w:themeColor="text1"/>
              <w14:textFill>
                <w14:solidFill>
                  <w14:schemeClr w14:val="tx1"/>
                </w14:solidFill>
              </w14:textFill>
            </w:rPr>
          </w:pPr>
          <w:r>
            <w:fldChar w:fldCharType="begin"/>
          </w:r>
          <w:r>
            <w:instrText xml:space="preserve"> HYPERLINK \l "_Toc214870712" </w:instrText>
          </w:r>
          <w:r>
            <w:fldChar w:fldCharType="separate"/>
          </w:r>
          <w:r>
            <w:rPr>
              <w:rStyle w:val="15"/>
              <w:rFonts w:ascii="Times New Roman" w:hAnsi="Times New Roman" w:eastAsia="Times New Roman" w:cs="Times New Roman"/>
              <w:color w:val="000000" w:themeColor="text1"/>
              <w:lang w:val="zh-CN" w:eastAsia="en-GB"/>
              <w14:textFill>
                <w14:solidFill>
                  <w14:schemeClr w14:val="tx1"/>
                </w14:solidFill>
              </w14:textFill>
            </w:rPr>
            <w:t>4. Expected Outcome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_Toc214870712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12</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3B70F368">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"_Toc214870713"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4.1 Anticipated Results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12</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7736BC29">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"_Toc214870714"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4.2 Implications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09DD79DE">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"_Toc214870715" </w:instrText>
          </w:r>
          <w:r>
            <w:fldChar w:fldCharType="separate"/>
          </w:r>
          <w:r>
            <w:rPr>
              <w:rStyle w:val="15"/>
              <w:rFonts w:ascii="Times New Roman" w:hAnsi="Times New Roman" w:eastAsia="Times New Roman" w:cs="Times New Roman"/>
              <w:color w:val="000000" w:themeColor="text1"/>
              <w:sz w:val="24"/>
              <w:szCs w:val="24"/>
              <w:lang w:val="zh-CN" w:eastAsia="en-GB"/>
              <w14:textFill>
                <w14:solidFill>
                  <w14:schemeClr w14:val="tx1"/>
                </w14:solidFill>
              </w14:textFill>
            </w:rPr>
            <w:t>4.3 Limitations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_Toc214870715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098EEA0">
          <w:pPr>
            <w:pStyle w:val="21"/>
            <w:tabs>
              <w:tab w:val="right" w:leader="dot" w:pos="9016"/>
            </w:tabs>
            <w:spacing w:line="480" w:lineRule="auto"/>
            <w:rPr>
              <w:rFonts w:ascii="Times New Roman" w:hAnsi="Times New Roman" w:cs="Times New Roman"/>
              <w:color w:val="000000" w:themeColor="text1"/>
              <w14:textFill>
                <w14:solidFill>
                  <w14:schemeClr w14:val="tx1"/>
                </w14:solidFill>
              </w14:textFill>
            </w:rPr>
          </w:pPr>
          <w:r>
            <w:fldChar w:fldCharType="begin"/>
          </w:r>
          <w:r>
            <w:instrText xml:space="preserve"> HYPERLINK \l "_Toc214870716" </w:instrText>
          </w:r>
          <w:r>
            <w:fldChar w:fldCharType="separate"/>
          </w:r>
          <w:r>
            <w:rPr>
              <w:rStyle w:val="15"/>
              <w:rFonts w:ascii="Times New Roman" w:hAnsi="Times New Roman" w:eastAsia="Times New Roman" w:cs="Times New Roman"/>
              <w:color w:val="000000" w:themeColor="text1"/>
              <w:lang w:val="zh-CN" w:eastAsia="en-GB"/>
              <w14:textFill>
                <w14:solidFill>
                  <w14:schemeClr w14:val="tx1"/>
                </w14:solidFill>
              </w14:textFill>
            </w:rPr>
            <w:t>5. Timeline</w:t>
          </w:r>
          <w:r>
            <w:rPr>
              <w:rFonts w:ascii="Times New Roman" w:hAnsi="Times New Roman" w:cs="Times New Roman"/>
              <w:color w:val="000000" w:themeColor="text1"/>
              <w14:textFill>
                <w14:solidFill>
                  <w14:schemeClr w14:val="tx1"/>
                </w14:solidFill>
              </w14:textFill>
            </w:rPr>
            <w:tab/>
          </w:r>
          <w:r>
            <w:rPr>
              <w:rFonts w:ascii="Times New Roman" w:hAnsi="Times New Roman" w:cs="Times New Roman"/>
              <w:color w:val="000000" w:themeColor="text1"/>
              <w14:textFill>
                <w14:solidFill>
                  <w14:schemeClr w14:val="tx1"/>
                </w14:solidFill>
              </w14:textFill>
            </w:rPr>
            <w:fldChar w:fldCharType="begin"/>
          </w:r>
          <w:r>
            <w:rPr>
              <w:rFonts w:ascii="Times New Roman" w:hAnsi="Times New Roman" w:cs="Times New Roman"/>
              <w:color w:val="000000" w:themeColor="text1"/>
              <w14:textFill>
                <w14:solidFill>
                  <w14:schemeClr w14:val="tx1"/>
                </w14:solidFill>
              </w14:textFill>
            </w:rPr>
            <w:instrText xml:space="preserve"> PAGEREF _Toc214870716 \h </w:instrText>
          </w:r>
          <w:r>
            <w:rPr>
              <w:rFonts w:ascii="Times New Roman" w:hAnsi="Times New Roman" w:cs="Times New Roman"/>
              <w:color w:val="000000" w:themeColor="text1"/>
              <w14:textFill>
                <w14:solidFill>
                  <w14:schemeClr w14:val="tx1"/>
                </w14:solidFill>
              </w14:textFill>
            </w:rPr>
            <w:fldChar w:fldCharType="separate"/>
          </w:r>
          <w:r>
            <w:rPr>
              <w:rFonts w:ascii="Times New Roman" w:hAnsi="Times New Roman" w:cs="Times New Roman"/>
              <w:color w:val="000000" w:themeColor="text1"/>
              <w14:textFill>
                <w14:solidFill>
                  <w14:schemeClr w14:val="tx1"/>
                </w14:solidFill>
              </w14:textFill>
            </w:rPr>
            <w:t>14</w:t>
          </w:r>
          <w:r>
            <w:rPr>
              <w:rFonts w:ascii="Times New Roman" w:hAnsi="Times New Roman" w:cs="Times New Roman"/>
              <w:color w:val="000000" w:themeColor="text1"/>
              <w14:textFill>
                <w14:solidFill>
                  <w14:schemeClr w14:val="tx1"/>
                </w14:solidFill>
              </w14:textFill>
            </w:rPr>
            <w:fldChar w:fldCharType="end"/>
          </w:r>
          <w:r>
            <w:rPr>
              <w:rFonts w:ascii="Times New Roman" w:hAnsi="Times New Roman" w:cs="Times New Roman"/>
              <w:color w:val="000000" w:themeColor="text1"/>
              <w14:textFill>
                <w14:solidFill>
                  <w14:schemeClr w14:val="tx1"/>
                </w14:solidFill>
              </w14:textFill>
            </w:rPr>
            <w:fldChar w:fldCharType="end"/>
          </w:r>
        </w:p>
        <w:p w14:paraId="560733B6">
          <w:pPr>
            <w:pStyle w:val="22"/>
            <w:tabs>
              <w:tab w:val="right" w:leader="dot" w:pos="9016"/>
            </w:tabs>
            <w:spacing w:line="480" w:lineRule="auto"/>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"_Toc214870717" </w:instrText>
          </w:r>
          <w:r>
            <w:fldChar w:fldCharType="separate"/>
          </w:r>
          <w:r>
            <w:rPr>
              <w:rStyle w:val="15"/>
              <w:rFonts w:ascii="Times New Roman" w:hAnsi="Times New Roman" w:eastAsia="Times New Roman" w:cs="Times New Roman"/>
              <w:color w:val="000000" w:themeColor="text1"/>
              <w:kern w:val="0"/>
              <w:sz w:val="24"/>
              <w:szCs w:val="24"/>
              <w:lang w:val="zh-CN" w:eastAsia="en-GB"/>
              <w14:textFill>
                <w14:solidFill>
                  <w14:schemeClr w14:val="tx1"/>
                </w14:solidFill>
              </w14:textFill>
              <w14:ligatures w14:val="none"/>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_Toc214870717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15</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619E6C9D">
          <w:pPr>
            <w:spacing w:line="48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fldChar w:fldCharType="end"/>
          </w:r>
        </w:p>
      </w:sdtContent>
    </w:sdt>
    <w:p w14:paraId="4DC926AA">
      <w:pPr>
        <w:spacing w:line="480" w:lineRule="auto"/>
        <w:rPr>
          <w:rFonts w:ascii="Times New Roman" w:hAnsi="Times New Roman" w:cs="Times New Roman"/>
          <w:color w:val="000000" w:themeColor="text1"/>
          <w:lang w:val="zh-CN" w:eastAsia="en-GB"/>
          <w14:textFill>
            <w14:solidFill>
              <w14:schemeClr w14:val="tx1"/>
            </w14:solidFill>
          </w14:textFill>
        </w:rPr>
      </w:pPr>
    </w:p>
    <w:p w14:paraId="42B96467">
      <w:pPr>
        <w:pStyle w:val="2"/>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0" w:name="_Toc214870679"/>
      <w:r>
        <w:rPr>
          <w:rFonts w:ascii="Times New Roman" w:hAnsi="Times New Roman" w:eastAsia="Times New Roman" w:cs="Times New Roman"/>
          <w:color w:val="000000" w:themeColor="text1"/>
          <w:sz w:val="24"/>
          <w:szCs w:val="24"/>
          <w:lang w:val="zh-CN" w:eastAsia="en-GB"/>
          <w14:textFill>
            <w14:solidFill>
              <w14:schemeClr w14:val="tx1"/>
            </w14:solidFill>
          </w14:textFill>
        </w:rPr>
        <w:t>1. Introduction</w:t>
      </w:r>
      <w:bookmarkEnd w:id="0"/>
    </w:p>
    <w:p w14:paraId="5D4D8D39">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 w:name="_Toc214870680"/>
      <w:r>
        <w:rPr>
          <w:rFonts w:ascii="Times New Roman" w:hAnsi="Times New Roman" w:eastAsia="Times New Roman" w:cs="Times New Roman"/>
          <w:color w:val="000000" w:themeColor="text1"/>
          <w:sz w:val="24"/>
          <w:szCs w:val="24"/>
          <w:lang w:val="zh-CN" w:eastAsia="en-GB"/>
          <w14:textFill>
            <w14:solidFill>
              <w14:schemeClr w14:val="tx1"/>
            </w14:solidFill>
          </w14:textFill>
        </w:rPr>
        <w:t>1.1 Context and Background</w:t>
      </w:r>
      <w:bookmarkEnd w:id="1"/>
    </w:p>
    <w:p w14:paraId="7C64B193">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Cloud computing is a game changer in terms of how data, applications and infrastructure are operated by organizations, providing scalable, demand-based resources in the form of Infrastructure as a Service (IaaS), Platform as a Service (PaaS) and Software as a Service (SaaS) models [1]. It allows storing, processing, and accessing data affordably, yet the distributed nature and multi-tenant characteristics of the cloud present difficult security issues (paradigm shift) [2]. Existing cloud security solutions highlight the model of shared responsibility where cloud providers such as Amazon Web Services (AWS) and Microsoft Azure take care of the underlying infrastructure, but users take care of data protection, access controls, and configurations [3].</w:t>
      </w:r>
    </w:p>
    <w:p w14:paraId="54403B17">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Current developments in cloud security are the introduction of artificial intelligence (AI) and machine learning (ML) to detect threats in advance, zero trust systems that authenticate each access request, and automated compliance information that is compliant with such standards as ISO 27017 and NIST SP 800-53 [4]. Other trends, like multi-cloud deployments and edge computing, challenge the security further, doubling the attack surface of attacks like Distributed Denial-of-Service (DDoS) attacks, data breaches, and insider threats [5]. Intrusion Detection Systems (IDS) is a critical component of network traffic and host performance monitoring to detect abnormalities, and Network-based IDS (NIDS) and Host-based IDS (HIDS) are known to monitor the traffic of network activity and behaviors of the individual system respectively [6]. The development of these systems into the hybrid approaches, which integrate signature-based and anomaly-based entities, indicates the requirement of flexibility in dynamic cloud environments [7].</w:t>
      </w:r>
    </w:p>
    <w:p w14:paraId="3F27D280">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 w:name="_Toc214870681"/>
      <w:r>
        <w:rPr>
          <w:rFonts w:ascii="Times New Roman" w:hAnsi="Times New Roman" w:eastAsia="Times New Roman" w:cs="Times New Roman"/>
          <w:color w:val="000000" w:themeColor="text1"/>
          <w:sz w:val="24"/>
          <w:szCs w:val="24"/>
          <w:lang w:val="zh-CN" w:eastAsia="en-GB"/>
          <w14:textFill>
            <w14:solidFill>
              <w14:schemeClr w14:val="tx1"/>
            </w14:solidFill>
          </w14:textFill>
        </w:rPr>
        <w:t>1.2 Research Problem</w:t>
      </w:r>
      <w:bookmarkEnd w:id="2"/>
    </w:p>
    <w:p w14:paraId="75C34D9E">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Cloud computing has increased the scope of vulnerabilities and the traditional IDS is not able to address the scale, elasticity and heterogeneity of cloud infrastructure [8]. One of the most important issues is the inability to identify novel or zero-day attacks in the real-time, where detecting an anomaly-based can reach a high level of false positive with the variability of legitimate cloud traffic [9]. The immediate issues are that there is a lack of scalability to large-scale environment, the resources weretage through constant monitoring, and the lack of support in managing encrypted traffic or distributed attacks between the virtual machines [10]. As an example, signature-based techniques are effective with the known threats but ineffective against new malware whereas the anomaly detection method needs strong baselines which are not easily supported in the multi-tenant clouds [11]. The literature mentions that there are inefficiencies in the current methods, including the lack of scalability with cloud orchestration solutions like Kubernetes, which results in slow responses and higher risks of breaches [12]. The absence of uniform security models that are specific to the hybrid cloud enhances these problems leading to disjointed protection [13].</w:t>
      </w:r>
    </w:p>
    <w:p w14:paraId="60858D6C">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 w:name="_Toc214870682"/>
      <w:r>
        <w:rPr>
          <w:rFonts w:ascii="Times New Roman" w:hAnsi="Times New Roman" w:eastAsia="Times New Roman" w:cs="Times New Roman"/>
          <w:color w:val="000000" w:themeColor="text1"/>
          <w:sz w:val="24"/>
          <w:szCs w:val="24"/>
          <w:lang w:val="zh-CN" w:eastAsia="en-GB"/>
          <w14:textFill>
            <w14:solidFill>
              <w14:schemeClr w14:val="tx1"/>
            </w14:solidFill>
          </w14:textFill>
        </w:rPr>
        <w:t>1.3 Research Aim and Objectives</w:t>
      </w:r>
      <w:bookmarkEnd w:id="3"/>
    </w:p>
    <w:p w14:paraId="7E8F5F2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This study seeks to suggest the use of a hybrid ML-based IDS model that will improve detection accuracy and efficiency of anomalies in cloud computing environments, as these models will overcome the limitations of existing models.</w:t>
      </w:r>
    </w:p>
    <w:p w14:paraId="5D41F265">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To achieve this aim, the following objectives are outlined:</w:t>
      </w:r>
    </w:p>
    <w:p w14:paraId="781D49EE">
      <w:pPr>
        <w:numPr>
          <w:ilvl w:val="0"/>
          <w:numId w:val="1"/>
        </w:num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Carry out a systematized literature review to find out the major tendencies, models and gaps in cloud security-related IDS.</w:t>
      </w:r>
    </w:p>
    <w:p w14:paraId="2EEE6FF9">
      <w:pPr>
        <w:numPr>
          <w:ilvl w:val="0"/>
          <w:numId w:val="1"/>
        </w:num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Architecture Design a hybrid architecture of anomaly-based and signature-based detection based on ML algorithms.</w:t>
      </w:r>
    </w:p>
    <w:p w14:paraId="0A49519C">
      <w:pPr>
        <w:numPr>
          <w:ilvl w:val="0"/>
          <w:numId w:val="1"/>
        </w:num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Test the suggested framework on benchmark datasets and simulators to quantify performances of the framework in terms of accuracy, false positive error, and detection time.</w:t>
      </w:r>
    </w:p>
    <w:p w14:paraId="5BD8B244">
      <w:pPr>
        <w:numPr>
          <w:ilvl w:val="0"/>
          <w:numId w:val="1"/>
        </w:num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Unexpectedly, evaluate the ethical factors and resource needs to implement in practical cloud environment.</w:t>
      </w:r>
    </w:p>
    <w:p w14:paraId="70D22807">
      <w:pPr>
        <w:numPr>
          <w:ilvl w:val="0"/>
          <w:numId w:val="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Suggest the areas of improvement that should be made in the future IDS implementation according to the outcomes of the experiment.</w:t>
      </w:r>
    </w:p>
    <w:p w14:paraId="49568C21">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These goals are SMART (Specific, Measurable, Achievable, Relevant, Time-bound), which guarantees a progressive flow on the way to the research goal.</w:t>
      </w:r>
    </w:p>
    <w:p w14:paraId="184AA3EF">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4" w:name="_Toc214870683"/>
      <w:r>
        <w:rPr>
          <w:rFonts w:ascii="Times New Roman" w:hAnsi="Times New Roman" w:eastAsia="Times New Roman" w:cs="Times New Roman"/>
          <w:color w:val="000000" w:themeColor="text1"/>
          <w:sz w:val="24"/>
          <w:szCs w:val="24"/>
          <w:lang w:val="zh-CN" w:eastAsia="en-GB"/>
          <w14:textFill>
            <w14:solidFill>
              <w14:schemeClr w14:val="tx1"/>
            </w14:solidFill>
          </w14:textFill>
        </w:rPr>
        <w:t>1.4 Significance of the Research</w:t>
      </w:r>
      <w:bookmarkEnd w:id="4"/>
    </w:p>
    <w:p w14:paraId="027FC86B">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study is also valuable because it will fill critical gaps in cloud security, which may lead to fewer cases of data breaches, averaging organizations $4.45 million per breach [14]. It positively impacts the research community by improving the IDS capabilities by advancing the ML application to cybersecurity, resulting in innovations in adaptive threat detection [15]. The technical aspect of the suggested framework may enhance the rate of detection by 10-15 percent higher than the current models as demonstrated in related research [16]. It contributes to the safe digital transformation in society, where the rules such as GDPR are complied with and the sensitive information is not breached in such areas as healthcare and finance [17]. It can be used as a potential solution to integration with tools provided by cloud providers and allow automated threat mitigation and scalable protection of small-to-middle businesses [18].</w:t>
      </w:r>
    </w:p>
    <w:p w14:paraId="3AFBD833">
      <w:pPr>
        <w:pStyle w:val="2"/>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5" w:name="_Toc214870684"/>
      <w:r>
        <w:rPr>
          <w:rFonts w:ascii="Times New Roman" w:hAnsi="Times New Roman" w:eastAsia="Times New Roman" w:cs="Times New Roman"/>
          <w:color w:val="000000" w:themeColor="text1"/>
          <w:sz w:val="24"/>
          <w:szCs w:val="24"/>
          <w:lang w:val="zh-CN" w:eastAsia="en-GB"/>
          <w14:textFill>
            <w14:solidFill>
              <w14:schemeClr w14:val="tx1"/>
            </w14:solidFill>
          </w14:textFill>
        </w:rPr>
        <w:t>2. Literature Review</w:t>
      </w:r>
      <w:bookmarkEnd w:id="5"/>
    </w:p>
    <w:p w14:paraId="3FCEC220">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6" w:name="_Toc214870685"/>
      <w:r>
        <w:rPr>
          <w:rFonts w:ascii="Times New Roman" w:hAnsi="Times New Roman" w:eastAsia="Times New Roman" w:cs="Times New Roman"/>
          <w:color w:val="000000" w:themeColor="text1"/>
          <w:sz w:val="24"/>
          <w:szCs w:val="24"/>
          <w:lang w:val="zh-CN" w:eastAsia="en-GB"/>
          <w14:textFill>
            <w14:solidFill>
              <w14:schemeClr w14:val="tx1"/>
            </w14:solidFill>
          </w14:textFill>
        </w:rPr>
        <w:t>2.1 Introduction to the Literature Review</w:t>
      </w:r>
      <w:bookmarkEnd w:id="6"/>
    </w:p>
    <w:p w14:paraId="79FA26BB">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IDS systems have experienced tremendous changes due to increasing complexity in the cloud computing environment. This literature review is aimed at a systematic analysis of available studies of IDS on cloud platforms, particularly in the anomaly detection, machine learning (ML) integration, and the development of hybrid detection models. The literature review reviews peer-reviewed scholarly articles published in 2018-2024, and it is relevant to the current development of cloud infrastructures, virtualisation technologies, and ML-based cybersecurity. The sources of literature were mainly IEEE Xplore, Scopus and SpringerLink, which specializes in empirical studies, technical frameworks and conceptual models into the multi-layered issues of cloud security. The review provides the backgrounds and research rationale of the proposed hybrid-based intrusion detection framework (ML based) by summarising the history of the development of IDS research and outlining the unanswered questions associated with the current state of the art, including the areas of false positives, multi-cloud interoperability, constraints in datasets, and privacy.</w:t>
      </w:r>
    </w:p>
    <w:p w14:paraId="59E93BC7">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7" w:name="_Toc214870686"/>
      <w:r>
        <w:rPr>
          <w:rFonts w:ascii="Times New Roman" w:hAnsi="Times New Roman" w:eastAsia="Times New Roman" w:cs="Times New Roman"/>
          <w:color w:val="000000" w:themeColor="text1"/>
          <w:sz w:val="24"/>
          <w:szCs w:val="24"/>
          <w:lang w:val="zh-CN" w:eastAsia="en-GB"/>
          <w14:textFill>
            <w14:solidFill>
              <w14:schemeClr w14:val="tx1"/>
            </w14:solidFill>
          </w14:textFill>
        </w:rPr>
        <w:t>2.1.2 Organization of the Literature Review</w:t>
      </w:r>
      <w:bookmarkEnd w:id="7"/>
    </w:p>
    <w:p w14:paraId="63A71476">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In order to introduce a coherent storyline and allow a more profound thematic analysis, the literature is divided into four chronology and conceptual groups:</w:t>
      </w:r>
    </w:p>
    <w:p w14:paraId="1BC8E489">
      <w:pPr>
        <w:numPr>
          <w:ilvl w:val="0"/>
          <w:numId w:val="2"/>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Evolution of IDS in cloud computing (2018–2020)</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conceptual research on how to adapt conventional paradigms of IDS to cloud-native architecture.</w:t>
      </w:r>
    </w:p>
    <w:p w14:paraId="04F4244E">
      <w:pPr>
        <w:numPr>
          <w:ilvl w:val="0"/>
          <w:numId w:val="2"/>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Integration of ML and AI for cloud IDS (2020–2022)</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ML and deep learning (DL) solutions to large-scale traffic emerge.</w:t>
      </w:r>
    </w:p>
    <w:p w14:paraId="25217138">
      <w:pPr>
        <w:numPr>
          <w:ilvl w:val="0"/>
          <w:numId w:val="2"/>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Advancements in anomaly detection and adaptive methods (2022–2024)</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emphasize on time-series analysis, scaling dynamically, and cloud elasticity.</w:t>
      </w:r>
    </w:p>
    <w:p w14:paraId="0F01439E">
      <w:pPr>
        <w:numPr>
          <w:ilvl w:val="0"/>
          <w:numId w:val="2"/>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Hybrid IDS architectures and federated/intelligent systems (2023–2024)</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latest trend that tries to integrate signature and anomaly detection and minimize operational overhead.</w:t>
      </w:r>
    </w:p>
    <w:p w14:paraId="3E8BC8C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This topical framework is followed not only to the technological development but also to the growing sophistication and contextual sensitivity of IDS models in cloud computing.</w:t>
      </w:r>
    </w:p>
    <w:p w14:paraId="0291C70B">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8" w:name="_Toc214870687"/>
      <w:r>
        <w:rPr>
          <w:rFonts w:ascii="Times New Roman" w:hAnsi="Times New Roman" w:eastAsia="Times New Roman" w:cs="Times New Roman"/>
          <w:color w:val="000000" w:themeColor="text1"/>
          <w:sz w:val="24"/>
          <w:szCs w:val="24"/>
          <w:lang w:val="zh-CN" w:eastAsia="en-GB"/>
          <w14:textFill>
            <w14:solidFill>
              <w14:schemeClr w14:val="tx1"/>
            </w14:solidFill>
          </w14:textFill>
        </w:rPr>
        <w:t>2.2 Key Contributions and Gaps</w:t>
      </w:r>
      <w:bookmarkEnd w:id="8"/>
    </w:p>
    <w:p w14:paraId="2D8DA0CD">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9" w:name="_Toc214870688"/>
      <w:r>
        <w:rPr>
          <w:rFonts w:ascii="Times New Roman" w:hAnsi="Times New Roman" w:eastAsia="Times New Roman" w:cs="Times New Roman"/>
          <w:color w:val="000000" w:themeColor="text1"/>
          <w:sz w:val="24"/>
          <w:szCs w:val="24"/>
          <w:lang w:val="zh-CN" w:eastAsia="en-GB"/>
          <w14:textFill>
            <w14:solidFill>
              <w14:schemeClr w14:val="tx1"/>
            </w14:solidFill>
          </w14:textFill>
        </w:rPr>
        <w:t>2.2.1 Evolution of IDS in Cloud Contexts (2018–2020)</w:t>
      </w:r>
      <w:bookmarkEnd w:id="9"/>
    </w:p>
    <w:p w14:paraId="523CE665">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Initial publications in 2018 recognised that the dynamic and elastic characteristics of cloud platforms nullify much of the assumption of traditional IDS. Badrinarayanan and Iyengar [10] emphasized the fact that monitoring multi-tenant infrastructures is challenging because resource sharing and ephemeral virtual machines (VMs) make it difficult to maintain the baseline definition. Their survey observes that heterogeneity of cloud traffic will automatically boost false positives of anomaly detectors, a phenomenon that cuts across studies.</w:t>
      </w:r>
    </w:p>
    <w:p w14:paraId="311333B7">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Meanwhile, original surveys on anomaly detection including Chandola et al. [9] highlighted that anomaly detection, despite being an effective theoretical framework, failed to perform well with high dimensionality, large encrypted and unpredictable cloud traffic. The combined outcome of these initial reviews was to put the main problem in the form of a requirement to find IDS solutions that could learn through changing behaviour in scalable environments.</w:t>
      </w:r>
    </w:p>
    <w:p w14:paraId="0002185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Nevertheless, these works only offered a limited empirical validation on the basis of the modern cloud IDS data and the incumbent multi-cloud or containerised environments were not properly covered, which was an early weakness that was subsequently addressed by the subsequent research.</w:t>
      </w:r>
    </w:p>
    <w:p w14:paraId="2A7574DC">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0" w:name="_Toc214870689"/>
      <w:r>
        <w:rPr>
          <w:rFonts w:ascii="Times New Roman" w:hAnsi="Times New Roman" w:eastAsia="Times New Roman" w:cs="Times New Roman"/>
          <w:color w:val="000000" w:themeColor="text1"/>
          <w:sz w:val="24"/>
          <w:szCs w:val="24"/>
          <w:lang w:val="zh-CN" w:eastAsia="en-GB"/>
          <w14:textFill>
            <w14:solidFill>
              <w14:schemeClr w14:val="tx1"/>
            </w14:solidFill>
          </w14:textFill>
        </w:rPr>
        <w:t>2.2.2 Integration of ML and AI in Cloud IDS (2020–2022)</w:t>
      </w:r>
      <w:bookmarkEnd w:id="10"/>
    </w:p>
    <w:p w14:paraId="19575C76">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increase of the volumes of cloud traffic made the integration of ML a trend of research. Research in this era had investigated various types of algorithms, such as Support Vector Machines, Neural Networks, and ensemble learning, to enhance detection performance.</w:t>
      </w:r>
    </w:p>
    <w:p w14:paraId="534F84B4">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Al-Sharif et al. [26] used ensemble classifiers with other approaches like Random Forests and Gradient Boosting. Their results revealed that the ensemble approach is always better than single-model structures, with the accuracy of about 97 percent and false positive rate (FPR) of about 0.21 percent. This offered initial indications that the overall reliability of detection could be considerably improved with the help of ML-based IDS.</w:t>
      </w:r>
    </w:p>
    <w:p w14:paraId="5B7622E3">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Ahmed et al. [24] also made another contribution to this concept; they used new techniques to select features of Multi-Layer Perceptron (MLP) models, which emphasized dimensionality reduction. Their experimentation proved that the process of feature selection (either through genetic algorithms or PCA) can greatly enhance the efficiency of IDS by decreasing the computational costs and preventing overfitting of the model.</w:t>
      </w:r>
    </w:p>
    <w:p w14:paraId="68765D2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Nevertheless, even with all these advances, the literature of this era still was extensively based on the classical datasets like NSL-KDD, which have been accused of not reflecting the cloud attack properties in actual situations. The lack of disseminated and low-footprint attacks simulations implied that a high number of ML-based IDS frameworks performed well in controlled environments but poorly in dynamic ones.</w:t>
      </w:r>
    </w:p>
    <w:p w14:paraId="13B08008">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1" w:name="_Toc214870690"/>
      <w:r>
        <w:rPr>
          <w:rFonts w:ascii="Times New Roman" w:hAnsi="Times New Roman" w:eastAsia="Times New Roman" w:cs="Times New Roman"/>
          <w:color w:val="000000" w:themeColor="text1"/>
          <w:sz w:val="24"/>
          <w:szCs w:val="24"/>
          <w:lang w:val="zh-CN" w:eastAsia="en-GB"/>
          <w14:textFill>
            <w14:solidFill>
              <w14:schemeClr w14:val="tx1"/>
            </w14:solidFill>
          </w14:textFill>
        </w:rPr>
        <w:t>2.2.3 Advancements in Anomaly Detection and Adaptive IDS (2022–2024)</w:t>
      </w:r>
      <w:bookmarkEnd w:id="11"/>
    </w:p>
    <w:p w14:paraId="25D8997F">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current literature (20222024) represents a significant change in approach to methodology: the transition to dynamic systems, whose parameters can be learned through real-time learning and scaled to any size.</w:t>
      </w:r>
    </w:p>
    <w:p w14:paraId="390F3EC8">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Among the studies that have had the most impact is that by Al-Ghuwairi et al. [19] where a time-series-based anomaly detection model is presented and tested on the CIC-IDS2018 dataset. Their method had low error rates (MAE, MSE, RMSE) and better indicated the detection of anomalous behaviour patterns over the variable cloud workloads. The time-series analysis in specific recognizes the dynamism of the cloud traffic, and provides more realistic means of detection.</w:t>
      </w:r>
    </w:p>
    <w:p w14:paraId="11516971">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Elbakri et al. [21] continued this trend and suggested an adaptive IDS through which the components can be pruned and can be scaled in reaction to real-time elasticity of the cloud. Their model was almost perfect (99.99% on NSL-KDD) and this proved the possibilities of the dynamic adaptation of an IDS. This represents a significant change of concept: rather than expecting that IDS are going to function in infrastructures which are not dynamic, studies started to incorporate IDS into auto-scaling groups and even virtualised pools of resources.</w:t>
      </w:r>
    </w:p>
    <w:p w14:paraId="72365548">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There were also the development of collaborative detecting systems, including the one presented in Elbakri et al. [22], that involved usage of multi-agent. Although innovative, such designs tend not to be specific to the implementation of multi-cloud systems, and thus cannot be scaled.</w:t>
      </w:r>
    </w:p>
    <w:p w14:paraId="2972A0B8">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Despite these advancements, persistent challenges remain:</w:t>
      </w:r>
    </w:p>
    <w:p w14:paraId="2D8C8C89">
      <w:pPr>
        <w:numPr>
          <w:ilvl w:val="0"/>
          <w:numId w:val="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High false positives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still plague anomaly-based models, especially under workloads with high variability [23].</w:t>
      </w:r>
    </w:p>
    <w:p w14:paraId="03F82782">
      <w:pPr>
        <w:numPr>
          <w:ilvl w:val="0"/>
          <w:numId w:val="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Resource overhead</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continues to be a major concern. Models requiring GPU acceleration or high memory footprint are impractical for lightweight cloud nodes.</w:t>
      </w:r>
    </w:p>
    <w:p w14:paraId="6210617E">
      <w:pPr>
        <w:numPr>
          <w:ilvl w:val="0"/>
          <w:numId w:val="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Ethical and privacy challenges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in ML model training remain underexplored, especially with distributed data sources [24].</w:t>
      </w:r>
    </w:p>
    <w:p w14:paraId="24CBE3D5">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2" w:name="_Toc214870691"/>
      <w:r>
        <w:rPr>
          <w:rFonts w:ascii="Times New Roman" w:hAnsi="Times New Roman" w:eastAsia="Times New Roman" w:cs="Times New Roman"/>
          <w:color w:val="000000" w:themeColor="text1"/>
          <w:sz w:val="24"/>
          <w:szCs w:val="24"/>
          <w:lang w:val="zh-CN" w:eastAsia="en-GB"/>
          <w14:textFill>
            <w14:solidFill>
              <w14:schemeClr w14:val="tx1"/>
            </w14:solidFill>
          </w14:textFill>
        </w:rPr>
        <w:t>2.2.4 Hybrid and Federated IDS Models (2023–2024)</w:t>
      </w:r>
      <w:bookmarkEnd w:id="12"/>
    </w:p>
    <w:p w14:paraId="2955E24A">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latest trend in the study of IDS is the one that indicates hybrid architecture, a combination of advantages of signature-based and anomaly-driven detection. This method tries to solve the weaknesses that the two techniques have: signature techniques are good at detecting known threats and anomaly detectors are capable of detecting zero-day attacks.</w:t>
      </w:r>
    </w:p>
    <w:p w14:paraId="1A4D2FF7">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Researchers like Aljuaid et al. [20] proved the strength of deep learning to identify complex types of attacks and got a result of 99.38% on DDoS-2020 and 99.30% on NSL-KDD. Their juxtaposition of ML and DL models highlighted that the DL models (particularly CNNs and LSTMs) perform better than those of the shallow models in identifying patterns in temporal sequences.</w:t>
      </w:r>
    </w:p>
    <w:p w14:paraId="0CE54935">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Recently, studies have been shifting towards federated learning, with the issue of data privacy in centralised systems being of major concern. This paradigm was first introduced by McMahan et al. [30], and it provides the opportunity to train decentrally without disclosing sensitive information. Though firstly introduced beyond the scope of the IDS, federated learning offers great potential in the field of cloud IDS, especially in multi-tenant configuration where the dissemination of raw logs or traffic features is against the legal provisions of privacy regulation, like the GDPR.</w:t>
      </w:r>
    </w:p>
    <w:p w14:paraId="13401AE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Moreover, graphing analytics have also entered the modern IDS research, where graph neural networks (GNNs) or distributed graph structures are used across response to node, network, and process relations. Although Xiao et al. [31] concentrate on the subject of consensus protocols, their paper brings information about the concept of graph-based distributed system modelling which can be implemented in the IDS environments.</w:t>
      </w:r>
    </w:p>
    <w:p w14:paraId="1D54552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Despite these innovations, hybrid systems often suffer from:</w:t>
      </w:r>
    </w:p>
    <w:p w14:paraId="4754699A">
      <w:pPr>
        <w:numPr>
          <w:ilvl w:val="0"/>
          <w:numId w:val="4"/>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Model complexity</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reducing practicality for real-world deployment.</w:t>
      </w:r>
    </w:p>
    <w:p w14:paraId="0C641303">
      <w:pPr>
        <w:numPr>
          <w:ilvl w:val="0"/>
          <w:numId w:val="4"/>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Integration challenges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with cloud orchestration tools like Kubernetes, containers, and serverless architectures.</w:t>
      </w:r>
    </w:p>
    <w:p w14:paraId="763A1A4D">
      <w:pPr>
        <w:numPr>
          <w:ilvl w:val="0"/>
          <w:numId w:val="4"/>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Inconsistencies in evaluation</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as many studies validate models on a single dataset without cross-dataset generalisability.</w:t>
      </w:r>
    </w:p>
    <w:p w14:paraId="2E0FEF5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These constraints underscore the importance of the hybrid IDS to meet the scalability, false positives, privacy and cloud-native integration, which drives the proposed research.</w:t>
      </w:r>
    </w:p>
    <w:p w14:paraId="2B1909E7">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3" w:name="_Toc214870692"/>
      <w:r>
        <w:rPr>
          <w:rFonts w:ascii="Times New Roman" w:hAnsi="Times New Roman" w:eastAsia="Times New Roman" w:cs="Times New Roman"/>
          <w:color w:val="000000" w:themeColor="text1"/>
          <w:sz w:val="24"/>
          <w:szCs w:val="24"/>
          <w:lang w:val="zh-CN" w:eastAsia="en-GB"/>
          <w14:textFill>
            <w14:solidFill>
              <w14:schemeClr w14:val="tx1"/>
            </w14:solidFill>
          </w14:textFill>
        </w:rPr>
        <w:t>2.3 Theoretical and Technical Frameworks</w:t>
      </w:r>
      <w:bookmarkEnd w:id="13"/>
    </w:p>
    <w:p w14:paraId="7A9DBDCE">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Cloud IDS research is grounded in several key theoretical concepts:</w:t>
      </w:r>
    </w:p>
    <w:p w14:paraId="10876E57">
      <w:pPr>
        <w:spacing w:before="100" w:beforeAutospacing="1" w:after="100" w:afterAutospacing="1" w:line="480" w:lineRule="auto"/>
        <w:outlineLvl w:val="2"/>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bookmarkStart w:id="14" w:name="_Toc214870693"/>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1. Shared Responsibility Model</w:t>
      </w:r>
      <w:bookmarkEnd w:id="14"/>
    </w:p>
    <w:p w14:paraId="36A0C5A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cloud services such as AWS are based on the shared responsibility model which separates security responsibilities between the customer and the provider [25]. This framework is essential to understand because the location of an IDS (network-level or host-level) may be different on the basis of responsibilities.</w:t>
      </w:r>
    </w:p>
    <w:p w14:paraId="50CBDE3A">
      <w:pPr>
        <w:spacing w:before="100" w:beforeAutospacing="1" w:after="100" w:afterAutospacing="1" w:line="480" w:lineRule="auto"/>
        <w:outlineLvl w:val="2"/>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bookmarkStart w:id="15" w:name="_Toc214870694"/>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2. ML Algorithms and Ensemble Techniques</w:t>
      </w:r>
      <w:bookmarkEnd w:id="15"/>
    </w:p>
    <w:p w14:paraId="38193E3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SVMs, neural networks, and ensemble methods are some of the algorithms that are commonly used in IDS studies. Al-Sharif et al. [26] have shown that ensembles are less biased and less variable, and show better detection stability.</w:t>
      </w:r>
    </w:p>
    <w:p w14:paraId="3B75D54C">
      <w:pPr>
        <w:spacing w:before="100" w:beforeAutospacing="1" w:after="100" w:afterAutospacing="1" w:line="480" w:lineRule="auto"/>
        <w:outlineLvl w:val="2"/>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bookmarkStart w:id="16" w:name="_Toc214870695"/>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3. Signature and Anomaly Detection Tools</w:t>
      </w:r>
      <w:bookmarkEnd w:id="16"/>
    </w:p>
    <w:p w14:paraId="3284995B">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Tools such as:</w:t>
      </w:r>
    </w:p>
    <w:p w14:paraId="23FBFC3F">
      <w:pPr>
        <w:numPr>
          <w:ilvl w:val="0"/>
          <w:numId w:val="5"/>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Snort</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signature-based detection [27]</w:t>
      </w:r>
    </w:p>
    <w:p w14:paraId="1508BB9B">
      <w:pPr>
        <w:numPr>
          <w:ilvl w:val="0"/>
          <w:numId w:val="5"/>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Suricata</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anomaly and network behavioural monitoring</w:t>
      </w:r>
    </w:p>
    <w:p w14:paraId="0B11DE1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are often integrated with cloud APIs. Research frequently uses these as baselines for hybrid architectures.</w:t>
      </w:r>
    </w:p>
    <w:p w14:paraId="4780BA7E">
      <w:pPr>
        <w:spacing w:before="100" w:beforeAutospacing="1" w:after="100" w:afterAutospacing="1" w:line="480" w:lineRule="auto"/>
        <w:outlineLvl w:val="2"/>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bookmarkStart w:id="17" w:name="_Toc214870696"/>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4. Feature Engineering and Dimensionality Reduction</w:t>
      </w:r>
      <w:bookmarkEnd w:id="17"/>
    </w:p>
    <w:p w14:paraId="044B82B7">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significance of the feature selection was founded by Guyon and Elisseeff [28], and it is still a core of the IDS model optimisation. The techniques of feature reduction decrease the computational load and enhance generalisation.</w:t>
      </w:r>
    </w:p>
    <w:p w14:paraId="1FBFE6F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Combined, these frameworks offer fundamental roots to the current IDS design, guiding the choice of the algorithm, architecture, and evaluation approach.</w:t>
      </w:r>
    </w:p>
    <w:p w14:paraId="23716880">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8" w:name="_Toc214870697"/>
      <w:r>
        <w:rPr>
          <w:rFonts w:ascii="Times New Roman" w:hAnsi="Times New Roman" w:eastAsia="Times New Roman" w:cs="Times New Roman"/>
          <w:color w:val="000000" w:themeColor="text1"/>
          <w:sz w:val="24"/>
          <w:szCs w:val="24"/>
          <w:lang w:val="zh-CN" w:eastAsia="en-GB"/>
          <w14:textFill>
            <w14:solidFill>
              <w14:schemeClr w14:val="tx1"/>
            </w14:solidFill>
          </w14:textFill>
        </w:rPr>
        <w:t>2.4 Relevance to the Present Study</w:t>
      </w:r>
      <w:bookmarkEnd w:id="18"/>
    </w:p>
    <w:p w14:paraId="50C2AA8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present study is directly connected to the above literature since it incorporates some of the concepts that fill any existing gaps:</w:t>
      </w:r>
    </w:p>
    <w:p w14:paraId="5713CC96">
      <w:pPr>
        <w:numPr>
          <w:ilvl w:val="0"/>
          <w:numId w:val="6"/>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Ensemble learning</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from Al-Sharif et al. [26] offers improved accuracy and low false positive rates.</w:t>
      </w:r>
    </w:p>
    <w:p w14:paraId="2D9C7966">
      <w:pPr>
        <w:numPr>
          <w:ilvl w:val="0"/>
          <w:numId w:val="6"/>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Adaptive scaling techniques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from Elbakri et al. [21] ensure cloud elasticity is preserved.</w:t>
      </w:r>
    </w:p>
    <w:p w14:paraId="66EA0EE6">
      <w:pPr>
        <w:numPr>
          <w:ilvl w:val="0"/>
          <w:numId w:val="6"/>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Federated learning methods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from McMahan et al. [30] introduce privacy-preserving mechanisms needed in multi-tenant clouds.</w:t>
      </w:r>
    </w:p>
    <w:p w14:paraId="3C4A8D62">
      <w:pPr>
        <w:numPr>
          <w:ilvl w:val="0"/>
          <w:numId w:val="6"/>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Graph-based real-time analysis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inspired by Xiao et al. [31] provides improved detection across distributed environments.</w:t>
      </w:r>
    </w:p>
    <w:p w14:paraId="131EBDC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This study uses multi-dataset validation [29], unlike most of the current research, which enhances the model robustness and generalisability. It thus adds novelty in the methodology and overcomes the limitations of data dependency, absence of flexibility and privacy-compromising measures.</w:t>
      </w:r>
    </w:p>
    <w:p w14:paraId="20C9FF61">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19" w:name="_Toc214870698"/>
      <w:r>
        <w:rPr>
          <w:rFonts w:ascii="Times New Roman" w:hAnsi="Times New Roman" w:eastAsia="Times New Roman" w:cs="Times New Roman"/>
          <w:color w:val="000000" w:themeColor="text1"/>
          <w:sz w:val="24"/>
          <w:szCs w:val="24"/>
          <w:lang w:val="zh-CN" w:eastAsia="en-GB"/>
          <w14:textFill>
            <w14:solidFill>
              <w14:schemeClr w14:val="tx1"/>
            </w14:solidFill>
          </w14:textFill>
        </w:rPr>
        <w:t>2.5 Literature Summary</w:t>
      </w:r>
      <w:bookmarkEnd w:id="19"/>
    </w:p>
    <w:p w14:paraId="0056E33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review demonstrates a definite development of the research in the field of IDS as the primitive structures of traditional IDS were changed by the sophisticated hybrid and machine learning-based models. Although there have been major advancements, especially in adaptive scaling, anomaly detection and deep learning, there are still major gaps in the reduction of false positives, cross-cloud interoperability, data realism and privacy. I believe that the suggested hybrid ML-based IDS structure is sufficiently well-placed to fill these gaps because it combines ensemble learning, adaptive architecture, federated learning, and multi-dataset validation.</w:t>
      </w:r>
    </w:p>
    <w:p w14:paraId="3E08AD32">
      <w:pPr>
        <w:pStyle w:val="2"/>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0" w:name="_Toc214870699"/>
      <w:r>
        <w:rPr>
          <w:rFonts w:ascii="Times New Roman" w:hAnsi="Times New Roman" w:eastAsia="Times New Roman" w:cs="Times New Roman"/>
          <w:color w:val="000000" w:themeColor="text1"/>
          <w:sz w:val="24"/>
          <w:szCs w:val="24"/>
          <w:lang w:val="zh-CN" w:eastAsia="en-GB"/>
          <w14:textFill>
            <w14:solidFill>
              <w14:schemeClr w14:val="tx1"/>
            </w14:solidFill>
          </w14:textFill>
        </w:rPr>
        <w:t>3. Research Design and Methodology</w:t>
      </w:r>
      <w:bookmarkEnd w:id="20"/>
      <w:r>
        <w:rPr>
          <w:rFonts w:ascii="Times New Roman" w:hAnsi="Times New Roman" w:eastAsia="Times New Roman" w:cs="Times New Roman"/>
          <w:color w:val="000000" w:themeColor="text1"/>
          <w:sz w:val="24"/>
          <w:szCs w:val="24"/>
          <w:lang w:val="zh-CN" w:eastAsia="en-GB"/>
          <w14:textFill>
            <w14:solidFill>
              <w14:schemeClr w14:val="tx1"/>
            </w14:solidFill>
          </w14:textFill>
        </w:rPr>
        <w:t xml:space="preserve"> </w:t>
      </w:r>
    </w:p>
    <w:p w14:paraId="6DE92B3B">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1" w:name="_Toc214870700"/>
      <w:r>
        <w:rPr>
          <w:rFonts w:ascii="Times New Roman" w:hAnsi="Times New Roman" w:eastAsia="Times New Roman" w:cs="Times New Roman"/>
          <w:color w:val="000000" w:themeColor="text1"/>
          <w:sz w:val="24"/>
          <w:szCs w:val="24"/>
          <w:lang w:val="zh-CN" w:eastAsia="en-GB"/>
          <w14:textFill>
            <w14:solidFill>
              <w14:schemeClr w14:val="tx1"/>
            </w14:solidFill>
          </w14:textFill>
        </w:rPr>
        <w:t>3.1 Research Design</w:t>
      </w:r>
      <w:bookmarkEnd w:id="21"/>
    </w:p>
    <w:p w14:paraId="0ED31D3D">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overall paradigm of design that is used in the research is a Design Science Research (DSR) approach because of the orientation of the study on creating a novel, practical and rigorously evaluated technological artifact, a hybrid machine learning-based Intrusion Detection System (IDS) specifically adapted to the cloud computing environment. DSR is typified by repeated problem identification cycles, artifact design, implementation and evaluation and refinement, which fits the dynamic and changing nature of the cybersecurity issues [32]. The main assumption of DSR is to develop novel IT artifacts that can address the perceived organisational issues and broaden the current knowledge with the help of design principles and empirical validation [33]. This renders DSR especially applicable to the study of cloud security in which the threat is dynamic, heterogeneous, and constrained by practical aspects including scalability, multi-tenancy, and distributed structures.</w:t>
      </w:r>
    </w:p>
    <w:p w14:paraId="2F2500D6">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study starts with a thorough problem diagnosis, by literature revealing the shortcomings in the current cloud IDS solutions, namely weaknesses in detecting zero-day attacks, excessive false positives, and interoperability in multi-cloud setups. The definition of the problem determines the artifact requirements: high accuracy, flexible, low computation requirements, and both network-based and host-based detection.</w:t>
      </w:r>
    </w:p>
    <w:p w14:paraId="58968FC1">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next phase of the research is the design phase where the conceptual and technical blueprint of the hybrid IDS framework is developed after identification of the problem. The current models on which the architecture is based include ensemble learning-based IDSs [26], adaptive scaling mechanisms [21], and federated learning mechanisms [30]. The model incorporates signature and anomaly based detection methods that combine the strengths of both where weaknesses of each method are taken care of.</w:t>
      </w:r>
    </w:p>
    <w:p w14:paraId="0E4072A5">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implementation stage is the fourth step which includes the construction of the IDS prototype under controlled conditions. IaaS and PaaS infrastructures are simulated with the help of virtual machines, container orchestration software (e.g., Docker/Kubernetes), and cloud providers and services (e.g., AWS EC2). The programming language employed to create ML algorithms is Python and models are trained on benchmark IDS data.</w:t>
      </w:r>
    </w:p>
    <w:p w14:paraId="62253995">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prototype is thoroughly evaluated, which is one of the pillars of DSR. Assessment is conducted by means of experimental simulation of cyberattack (e.g. DDoS, brute force, infiltration) and comparisons with baseline models. Measures like detection accuracy, F1-score, false positive rate and detection latency are evaluated. The feedback of the evaluation is then used to make iterative improvements on the prototype following the cyclic aspect of DSR.</w:t>
      </w:r>
    </w:p>
    <w:p w14:paraId="2251ACD2">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DSR has been chosen due to its technical orientation of the research but also because it focuses on generating actionable knowledge. The research undertaken is robust through testing and evaluation that is carried out iteratively and is empirically verified and applicable to the real world. By doing so, DSR enables a methodological gap between scholarly research and the practice of cybersecurity, which adds to the fact that it is suitable to create an advanced cloud identity system of intrusion detection.</w:t>
      </w:r>
    </w:p>
    <w:p w14:paraId="1E880FC7">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2" w:name="_Toc214870701"/>
      <w:r>
        <w:rPr>
          <w:rFonts w:ascii="Times New Roman" w:hAnsi="Times New Roman" w:eastAsia="Times New Roman" w:cs="Times New Roman"/>
          <w:color w:val="000000" w:themeColor="text1"/>
          <w:sz w:val="24"/>
          <w:szCs w:val="24"/>
          <w:lang w:val="zh-CN" w:eastAsia="en-GB"/>
          <w14:textFill>
            <w14:solidFill>
              <w14:schemeClr w14:val="tx1"/>
            </w14:solidFill>
          </w14:textFill>
        </w:rPr>
        <w:t>3.2 Research Methods and Materials</w:t>
      </w:r>
      <w:bookmarkEnd w:id="22"/>
    </w:p>
    <w:p w14:paraId="64D2067B">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3" w:name="_Toc214870702"/>
      <w:r>
        <w:rPr>
          <w:rFonts w:ascii="Times New Roman" w:hAnsi="Times New Roman" w:eastAsia="Times New Roman" w:cs="Times New Roman"/>
          <w:color w:val="000000" w:themeColor="text1"/>
          <w:sz w:val="24"/>
          <w:szCs w:val="24"/>
          <w:lang w:val="zh-CN" w:eastAsia="en-GB"/>
          <w14:textFill>
            <w14:solidFill>
              <w14:schemeClr w14:val="tx1"/>
            </w14:solidFill>
          </w14:textFill>
        </w:rPr>
        <w:t>3.2.1 Research Methods</w:t>
      </w:r>
      <w:bookmarkEnd w:id="23"/>
    </w:p>
    <w:p w14:paraId="684F7792">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To test the presented IDS in the most efficient way, the research involves the mixed-method research strategy, combining both quantitative and qualitative aspects. Such a method allows providing multi-layered insights: quantitative ones measure the performance of the system in terms of numerical indicators, and qualitative insights examine the usability, scalability, and operation effects of the IDS in the context of clouds [34].</w:t>
      </w:r>
    </w:p>
    <w:p w14:paraId="4BAB028A">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4" w:name="_Toc214870703"/>
      <w:r>
        <w:rPr>
          <w:rFonts w:ascii="Times New Roman" w:hAnsi="Times New Roman" w:eastAsia="Times New Roman" w:cs="Times New Roman"/>
          <w:color w:val="000000" w:themeColor="text1"/>
          <w:sz w:val="24"/>
          <w:szCs w:val="24"/>
          <w:lang w:val="zh-CN" w:eastAsia="en-GB"/>
          <w14:textFill>
            <w14:solidFill>
              <w14:schemeClr w14:val="tx1"/>
            </w14:solidFill>
          </w14:textFill>
        </w:rPr>
        <w:t>3.2.2 Quantitative Methods</w:t>
      </w:r>
      <w:bookmarkEnd w:id="24"/>
    </w:p>
    <w:p w14:paraId="7A8D548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system evaluation will be based on the quantitative analysis, which will concentrate on objective, measurable performance indicators. The metrics employed in the study are popular IDS evaluation metrics, which include:</w:t>
      </w:r>
    </w:p>
    <w:p w14:paraId="1AF19F0F">
      <w:pPr>
        <w:numPr>
          <w:ilvl w:val="0"/>
          <w:numId w:val="7"/>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Accuracy</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proportion of correctly classified events.</w:t>
      </w:r>
    </w:p>
    <w:p w14:paraId="426FC343">
      <w:pPr>
        <w:numPr>
          <w:ilvl w:val="0"/>
          <w:numId w:val="7"/>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Precision and Recall</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to test the effectiveness of classification of minority attack classes.</w:t>
      </w:r>
    </w:p>
    <w:p w14:paraId="54A2BFC0">
      <w:pPr>
        <w:numPr>
          <w:ilvl w:val="0"/>
          <w:numId w:val="7"/>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F1-score</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harmonic mean of precision and recall which pays importance to the balance between false positives and negative.</w:t>
      </w:r>
    </w:p>
    <w:p w14:paraId="02A2FD7F">
      <w:pPr>
        <w:numPr>
          <w:ilvl w:val="0"/>
          <w:numId w:val="7"/>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False Positive Rate (FPR)</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w:t>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important in determining trustworthiness in dynamic clouds where harmless traffic is very unpredictable.</w:t>
      </w:r>
    </w:p>
    <w:p w14:paraId="41E3B552">
      <w:pPr>
        <w:numPr>
          <w:ilvl w:val="0"/>
          <w:numId w:val="7"/>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Receiver Operating Characteristic (ROC) curves and AUC</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providing additional insight into model discrimination ability [37].</w:t>
      </w:r>
    </w:p>
    <w:p w14:paraId="57AFEFDE">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These metrics allow comparisons with existing IDS approaches, providing quantitative evidence of the hybrid model’s performance.</w:t>
      </w:r>
    </w:p>
    <w:p w14:paraId="139209C4">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5" w:name="_Toc214870704"/>
      <w:r>
        <w:rPr>
          <w:rFonts w:ascii="Times New Roman" w:hAnsi="Times New Roman" w:eastAsia="Times New Roman" w:cs="Times New Roman"/>
          <w:color w:val="000000" w:themeColor="text1"/>
          <w:sz w:val="24"/>
          <w:szCs w:val="24"/>
          <w:lang w:val="zh-CN" w:eastAsia="en-GB"/>
          <w14:textFill>
            <w14:solidFill>
              <w14:schemeClr w14:val="tx1"/>
            </w14:solidFill>
          </w14:textFill>
        </w:rPr>
        <w:t>3.2.3 Experimental Strategy</w:t>
      </w:r>
      <w:bookmarkEnd w:id="25"/>
    </w:p>
    <w:p w14:paraId="648D702E">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study follows an experimental approach, which is suitable in cybersecurity research where it is necessary to make realistic simulation of attacks and settings [35]. Experiments are carried out in Virtualised cloud environments which are controlled and also that mimic real world conditions. Attack scenarios include:</w:t>
      </w:r>
    </w:p>
    <w:p w14:paraId="21157598">
      <w:pPr>
        <w:numPr>
          <w:ilvl w:val="0"/>
          <w:numId w:val="8"/>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DDoS attacks (e.g., SYN flood, HTTP GET flood)</w:t>
      </w:r>
    </w:p>
    <w:p w14:paraId="4F4D1CBD">
      <w:pPr>
        <w:numPr>
          <w:ilvl w:val="0"/>
          <w:numId w:val="8"/>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Port scans and reconnaissance activities</w:t>
      </w:r>
    </w:p>
    <w:p w14:paraId="5C54544D">
      <w:pPr>
        <w:numPr>
          <w:ilvl w:val="0"/>
          <w:numId w:val="8"/>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Brute force authentication attempts</w:t>
      </w:r>
    </w:p>
    <w:p w14:paraId="2A32FF6A">
      <w:pPr>
        <w:numPr>
          <w:ilvl w:val="0"/>
          <w:numId w:val="8"/>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Malware traffic (if included within dataset simulations)</w:t>
      </w:r>
    </w:p>
    <w:p w14:paraId="017D5F80">
      <w:pPr>
        <w:numPr>
          <w:ilvl w:val="0"/>
          <w:numId w:val="8"/>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VM-to-VM lateral movement behaviours</w:t>
      </w:r>
    </w:p>
    <w:p w14:paraId="41C56AB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experimental approach helps to provide repeatability and provides a fine-grained control of network conditions, traffic volumes, and attacks intensities. This degree of control can not be obtained using the methods of observation or surveys, which proves the appropriateness of the experimental design.</w:t>
      </w:r>
    </w:p>
    <w:p w14:paraId="4D9CF289">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6" w:name="_Toc214870705"/>
      <w:r>
        <w:rPr>
          <w:rFonts w:ascii="Times New Roman" w:hAnsi="Times New Roman" w:eastAsia="Times New Roman" w:cs="Times New Roman"/>
          <w:color w:val="000000" w:themeColor="text1"/>
          <w:sz w:val="24"/>
          <w:szCs w:val="24"/>
          <w:lang w:val="zh-CN" w:eastAsia="en-GB"/>
          <w14:textFill>
            <w14:solidFill>
              <w14:schemeClr w14:val="tx1"/>
            </w14:solidFill>
          </w14:textFill>
        </w:rPr>
        <w:t>3.2.4 Hybrid Architecture Design</w:t>
      </w:r>
      <w:bookmarkEnd w:id="26"/>
    </w:p>
    <w:p w14:paraId="3C5F2B8A">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main artifact is the hybrid architecture in which Network-based IDS (NIDS) and Host-based IDS (HIDS) are incorporated. The NIDS takes packet flows and network metadata and sends them into an ensemble ML engine that can also contain Gradient Boosting Machines (GBM), Support Vector Machines (SVM), and Random Forest classifiers [36]. Ensemble learning is chosen due to its stability to the presence of noisy data and the capability to enhance classification stability in comparison to individual learners.</w:t>
      </w:r>
    </w:p>
    <w:p w14:paraId="47A5704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HIDS component tracks system logs, file integrity, API calls and VM-level behaviour. Time-dependent or structural patterns of host logs are analysed by using deep learning architecture, including LSTMs or CNNs. Such a dual methodology enhances the detection area, and the framework is capable of detecting both network-wide anomalies as well as host-level behavioural anomalies.</w:t>
      </w:r>
    </w:p>
    <w:p w14:paraId="30D2657C">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7" w:name="_Toc214870706"/>
      <w:r>
        <w:rPr>
          <w:rFonts w:ascii="Times New Roman" w:hAnsi="Times New Roman" w:eastAsia="Times New Roman" w:cs="Times New Roman"/>
          <w:color w:val="000000" w:themeColor="text1"/>
          <w:sz w:val="24"/>
          <w:szCs w:val="24"/>
          <w:lang w:val="zh-CN" w:eastAsia="en-GB"/>
          <w14:textFill>
            <w14:solidFill>
              <w14:schemeClr w14:val="tx1"/>
            </w14:solidFill>
          </w14:textFill>
        </w:rPr>
        <w:t>3.2.5 Data Analysis Techniques</w:t>
      </w:r>
      <w:bookmarkEnd w:id="27"/>
    </w:p>
    <w:p w14:paraId="128C1746">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Data analysis involves several stages:</w:t>
      </w:r>
    </w:p>
    <w:p w14:paraId="23658803">
      <w:pPr>
        <w:numPr>
          <w:ilvl w:val="0"/>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Preprocessing:</w:t>
      </w:r>
    </w:p>
    <w:p w14:paraId="091F9BAF">
      <w:pPr>
        <w:numPr>
          <w:ilvl w:val="1"/>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Removal of null values, redundant entries, and duplicate records</w:t>
      </w:r>
    </w:p>
    <w:p w14:paraId="1CA42BB8">
      <w:pPr>
        <w:numPr>
          <w:ilvl w:val="1"/>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Normalisation and standardisation of numerical fields</w:t>
      </w:r>
    </w:p>
    <w:p w14:paraId="612DEC96">
      <w:pPr>
        <w:numPr>
          <w:ilvl w:val="1"/>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Encoding of categorical attributes</w:t>
      </w:r>
    </w:p>
    <w:p w14:paraId="39DA1FEB">
      <w:pPr>
        <w:numPr>
          <w:ilvl w:val="0"/>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Feature engineering:</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br w:type="textWrapping"/>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most impactful features are detected with the help of Principal Component Analysis (PCA), selection with the help of genetic algorithm, and rank the features [28].</w:t>
      </w:r>
    </w:p>
    <w:p w14:paraId="000743A8">
      <w:pPr>
        <w:numPr>
          <w:ilvl w:val="0"/>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Model training:</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br w:type="textWrapping"/>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K-fold cross-validation is used to partition the dataset into a training set, a validation set, and a test set and minimises sampling bias and maximises generalisability [37].</w:t>
      </w:r>
    </w:p>
    <w:p w14:paraId="31BB29DF">
      <w:pPr>
        <w:numPr>
          <w:ilvl w:val="0"/>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Model evaluation:</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br w:type="textWrapping"/>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Quantitative metrics are calculated and compared across models.</w:t>
      </w:r>
    </w:p>
    <w:p w14:paraId="74421F6F">
      <w:pPr>
        <w:numPr>
          <w:ilvl w:val="0"/>
          <w:numId w:val="9"/>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Qualitative analysis: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br w:type="textWrapping"/>
      </w: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post-evaluation interviews or expert reviews (where applicable) gives us the idea of the usability, interpretability, and implementability.</w:t>
      </w:r>
    </w:p>
    <w:p w14:paraId="142304C7">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8" w:name="_Toc214870707"/>
      <w:r>
        <w:rPr>
          <w:rFonts w:ascii="Times New Roman" w:hAnsi="Times New Roman" w:eastAsia="Times New Roman" w:cs="Times New Roman"/>
          <w:color w:val="000000" w:themeColor="text1"/>
          <w:sz w:val="24"/>
          <w:szCs w:val="24"/>
          <w:lang w:val="zh-CN" w:eastAsia="en-GB"/>
          <w14:textFill>
            <w14:solidFill>
              <w14:schemeClr w14:val="tx1"/>
            </w14:solidFill>
          </w14:textFill>
        </w:rPr>
        <w:t>3.3 Materials</w:t>
      </w:r>
      <w:bookmarkEnd w:id="28"/>
    </w:p>
    <w:p w14:paraId="1E7AF8A6">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29" w:name="_Toc214870708"/>
      <w:r>
        <w:rPr>
          <w:rFonts w:ascii="Times New Roman" w:hAnsi="Times New Roman" w:eastAsia="Times New Roman" w:cs="Times New Roman"/>
          <w:color w:val="000000" w:themeColor="text1"/>
          <w:sz w:val="24"/>
          <w:szCs w:val="24"/>
          <w:lang w:val="zh-CN" w:eastAsia="en-GB"/>
          <w14:textFill>
            <w14:solidFill>
              <w14:schemeClr w14:val="tx1"/>
            </w14:solidFill>
          </w14:textFill>
        </w:rPr>
        <w:t>3.3.1 Research Data</w:t>
      </w:r>
      <w:bookmarkEnd w:id="29"/>
    </w:p>
    <w:p w14:paraId="6EA1AE2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The study uses widely recognised IDS datasets, including:</w:t>
      </w:r>
    </w:p>
    <w:p w14:paraId="4BA3E530">
      <w:pPr>
        <w:numPr>
          <w:ilvl w:val="0"/>
          <w:numId w:val="10"/>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NSL-KDD</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useful for benchmarking, despite limitations in realism [38].</w:t>
      </w:r>
    </w:p>
    <w:p w14:paraId="699C5167">
      <w:pPr>
        <w:numPr>
          <w:ilvl w:val="0"/>
          <w:numId w:val="10"/>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CIC-IDS2018</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offers modern attack scenarios and realistic background traffic.</w:t>
      </w:r>
    </w:p>
    <w:p w14:paraId="2CEBDCFF">
      <w:pPr>
        <w:numPr>
          <w:ilvl w:val="0"/>
          <w:numId w:val="10"/>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ISOT-CID</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provides clean separation between benign and malicious flows, aiding model validation.</w:t>
      </w:r>
    </w:p>
    <w:p w14:paraId="6F89F0C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Data is retrieved through publicly available repositories by downloading or an accessing programmatically with the requests library in Python. These data sets are appropriate due to the fact that they characterize the different classes of attacks, both low-level and high-level threats, hence making them capable of sound model testing [39].</w:t>
      </w:r>
    </w:p>
    <w:p w14:paraId="19E73A2B">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0" w:name="_Toc214870709"/>
      <w:r>
        <w:rPr>
          <w:rFonts w:ascii="Times New Roman" w:hAnsi="Times New Roman" w:eastAsia="Times New Roman" w:cs="Times New Roman"/>
          <w:color w:val="000000" w:themeColor="text1"/>
          <w:sz w:val="24"/>
          <w:szCs w:val="24"/>
          <w:lang w:val="zh-CN" w:eastAsia="en-GB"/>
          <w14:textFill>
            <w14:solidFill>
              <w14:schemeClr w14:val="tx1"/>
            </w14:solidFill>
          </w14:textFill>
        </w:rPr>
        <w:t>3.3.2 Ethical Considerations</w:t>
      </w:r>
      <w:bookmarkEnd w:id="30"/>
    </w:p>
    <w:p w14:paraId="56AF53B8">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All the datasets which are involved in this study are anonymised and they do not have any identifiable personal information. This will guarantee that it adheres to the guidelines of GDPR on data minimisation, privacy, and secure process [40]. The synthetic data that is produced in any experiments follow the ethical standards too and no live traffic of real users or organisations is used. Also, simulated attacks that are produced in the course of the experiment are included in separated virtual networks to avoid propagation by accident.</w:t>
      </w:r>
    </w:p>
    <w:p w14:paraId="1F2B9A5B">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1" w:name="_Toc214870710"/>
      <w:r>
        <w:rPr>
          <w:rFonts w:ascii="Times New Roman" w:hAnsi="Times New Roman" w:eastAsia="Times New Roman" w:cs="Times New Roman"/>
          <w:color w:val="000000" w:themeColor="text1"/>
          <w:sz w:val="24"/>
          <w:szCs w:val="24"/>
          <w:lang w:val="zh-CN" w:eastAsia="en-GB"/>
          <w14:textFill>
            <w14:solidFill>
              <w14:schemeClr w14:val="tx1"/>
            </w14:solidFill>
          </w14:textFill>
        </w:rPr>
        <w:t>3.3.3 Software Tools</w:t>
      </w:r>
      <w:bookmarkEnd w:id="31"/>
    </w:p>
    <w:p w14:paraId="66CD46B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Software used includes:</w:t>
      </w:r>
    </w:p>
    <w:p w14:paraId="6C1F848B">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Python 3.12</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selected for its maturity and rich ML ecosystem</w:t>
      </w:r>
    </w:p>
    <w:p w14:paraId="102CB811">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Scikit-learn</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classical ML algorithms [41]</w:t>
      </w:r>
    </w:p>
    <w:p w14:paraId="1E9E297D">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TensorFlow/Keras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DL architectures such as CNNs and LSTMs</w:t>
      </w:r>
    </w:p>
    <w:p w14:paraId="34AA5490">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Pandas and NumPy</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data manipulation</w:t>
      </w:r>
    </w:p>
    <w:p w14:paraId="057ADBFA">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Wireshark and tcpdump</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packet capture</w:t>
      </w:r>
    </w:p>
    <w:p w14:paraId="5555BA1F">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Snort/Suricata</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optionally integrated for signature-based baseline comparison</w:t>
      </w:r>
    </w:p>
    <w:p w14:paraId="54D208DC">
      <w:pPr>
        <w:numPr>
          <w:ilvl w:val="0"/>
          <w:numId w:val="11"/>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Docker and Kubernetes</w:t>
      </w: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 – for cloud simulation and container orchestration</w:t>
      </w:r>
    </w:p>
    <w:p w14:paraId="18AAB25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tools offer the required computation power, flexibility, and reproducibility to do cyber experiments.</w:t>
      </w:r>
    </w:p>
    <w:p w14:paraId="6788AC50">
      <w:pPr>
        <w:pStyle w:val="4"/>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2" w:name="_Toc214870711"/>
      <w:r>
        <w:rPr>
          <w:rFonts w:ascii="Times New Roman" w:hAnsi="Times New Roman" w:eastAsia="Times New Roman" w:cs="Times New Roman"/>
          <w:color w:val="000000" w:themeColor="text1"/>
          <w:sz w:val="24"/>
          <w:szCs w:val="24"/>
          <w:lang w:val="zh-CN" w:eastAsia="en-GB"/>
          <w14:textFill>
            <w14:solidFill>
              <w14:schemeClr w14:val="tx1"/>
            </w14:solidFill>
          </w14:textFill>
        </w:rPr>
        <w:t>3.3.4 Hardware Requirements</w:t>
      </w:r>
      <w:bookmarkEnd w:id="32"/>
    </w:p>
    <w:p w14:paraId="01476AC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Model training and testing require:</w:t>
      </w:r>
    </w:p>
    <w:p w14:paraId="4A2BF3D4">
      <w:pPr>
        <w:numPr>
          <w:ilvl w:val="0"/>
          <w:numId w:val="12"/>
        </w:numPr>
        <w:spacing w:before="100" w:beforeAutospacing="1" w:after="100" w:afterAutospacing="1" w:line="480" w:lineRule="auto"/>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t>GPU-powered cloud instances: AWS EC2 P3/P4 instances with NVIDIA GPUs are available, which can be used to accelerate the training of DLs [42].</w:t>
      </w:r>
    </w:p>
    <w:p w14:paraId="590FB363">
      <w:pPr>
        <w:numPr>
          <w:ilvl w:val="0"/>
          <w:numId w:val="12"/>
        </w:numPr>
        <w:spacing w:before="100" w:beforeAutospacing="1" w:after="100" w:afterAutospacing="1" w:line="480" w:lineRule="auto"/>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t>Usual CPU-based virtualization on which to execute simulations and host NIDS/HIDS agents.</w:t>
      </w:r>
    </w:p>
    <w:p w14:paraId="5E203181">
      <w:pPr>
        <w:numPr>
          <w:ilvl w:val="0"/>
          <w:numId w:val="12"/>
        </w:numPr>
        <w:spacing w:before="100" w:beforeAutospacing="1" w:after="100" w:afterAutospacing="1" w:line="480" w:lineRule="auto"/>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t>Adequate storage space (100200 GB) of datasets and logs.</w:t>
      </w:r>
    </w:p>
    <w:p w14:paraId="1A6F8930">
      <w:pPr>
        <w:numPr>
          <w:ilvl w:val="0"/>
          <w:numId w:val="12"/>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b/>
          <w:bCs/>
          <w:color w:val="000000" w:themeColor="text1"/>
          <w:kern w:val="0"/>
          <w:lang w:val="zh-CN" w:eastAsia="en-GB"/>
          <w14:textFill>
            <w14:solidFill>
              <w14:schemeClr w14:val="tx1"/>
            </w14:solidFill>
          </w14:textFill>
          <w14:ligatures w14:val="none"/>
        </w:rPr>
        <w:t>Virtualised network devices (virtual switches, subnet settings) to simulate actual cloud conditions.</w:t>
      </w:r>
    </w:p>
    <w:p w14:paraId="43EEA62B">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integration of the instances of GPU and CPU provides the provision of balanced performance regarding model training, implementation of simulations, and logging processes.</w:t>
      </w:r>
    </w:p>
    <w:p w14:paraId="5E882DFF">
      <w:pPr>
        <w:pStyle w:val="2"/>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3" w:name="_Toc214870712"/>
      <w:r>
        <w:rPr>
          <w:rFonts w:ascii="Times New Roman" w:hAnsi="Times New Roman" w:eastAsia="Times New Roman" w:cs="Times New Roman"/>
          <w:color w:val="000000" w:themeColor="text1"/>
          <w:sz w:val="24"/>
          <w:szCs w:val="24"/>
          <w:lang w:val="zh-CN" w:eastAsia="en-GB"/>
          <w14:textFill>
            <w14:solidFill>
              <w14:schemeClr w14:val="tx1"/>
            </w14:solidFill>
          </w14:textFill>
        </w:rPr>
        <w:t>4. Expected Outcome</w:t>
      </w:r>
      <w:bookmarkEnd w:id="33"/>
      <w:r>
        <w:rPr>
          <w:rFonts w:ascii="Times New Roman" w:hAnsi="Times New Roman" w:eastAsia="Times New Roman" w:cs="Times New Roman"/>
          <w:color w:val="000000" w:themeColor="text1"/>
          <w:sz w:val="24"/>
          <w:szCs w:val="24"/>
          <w:lang w:val="zh-CN" w:eastAsia="en-GB"/>
          <w14:textFill>
            <w14:solidFill>
              <w14:schemeClr w14:val="tx1"/>
            </w14:solidFill>
          </w14:textFill>
        </w:rPr>
        <w:t xml:space="preserve"> </w:t>
      </w:r>
    </w:p>
    <w:p w14:paraId="29597757">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Since the given study is on the proposal level, the results presented below are the expected results by the available literature, the suggested methodology and the anticipated performance of the system. These are realistic predictions of the potential of the hybrid Intrusion Detection System (IDS) when it is complete.</w:t>
      </w:r>
    </w:p>
    <w:p w14:paraId="68440711">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4" w:name="_Toc214870713"/>
      <w:r>
        <w:rPr>
          <w:rFonts w:ascii="Times New Roman" w:hAnsi="Times New Roman" w:eastAsia="Times New Roman" w:cs="Times New Roman"/>
          <w:color w:val="000000" w:themeColor="text1"/>
          <w:sz w:val="24"/>
          <w:szCs w:val="24"/>
          <w:lang w:val="zh-CN" w:eastAsia="en-GB"/>
          <w14:textFill>
            <w14:solidFill>
              <w14:schemeClr w14:val="tx1"/>
            </w14:solidFill>
          </w14:textFill>
        </w:rPr>
        <w:t>4.1 Anticipated Results</w:t>
      </w:r>
      <w:bookmarkEnd w:id="34"/>
    </w:p>
    <w:p w14:paraId="41B42C34">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 main expected outcome will be the creation of the hybrid IDS framework which will combine both the machine learning-based anomaly detection and signature-based monitoring and will provide better detection abilities than the current cloud IDS models. As the performance review of similar systems has shown, the proposed system is likely to reach a higher accuracy in detecting with a score of more than 98 per cent when tested on conventional benchmark datasets like NSL-KDD, CIC-IDS2018, and ISOT-CID [43].</w:t>
      </w:r>
    </w:p>
    <w:p w14:paraId="523C6208">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Besides high precision, the system would be expected to provide better reliability with the lowest rates of false positives as high as so low as to be reducible by up to 20 percent relative to baseline models. Such enhancement can be realised using more sophisticated ensemble learning methods and adaptive feature selection and dynamic updating of threshold, which individually assist in identifying a difference between legitimate cloud traffic variation and actual attack behaviour.</w:t>
      </w:r>
    </w:p>
    <w:p w14:paraId="31D01379">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It is also anticipated that the hybrid system between network-based IDS (NIDS) and host-based IDS (HIDS) will be better able to detect massive and low-frequency attacks, such as zero-day exploit. The analysis of both network flows and host-level logs can provide more contextual insight into intrusion attempts by the system, and can offer earlier and more accurate event correlation.</w:t>
      </w:r>
    </w:p>
    <w:p w14:paraId="4B6A8CA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Also, the prototype is expected to exhibit reliable operation with different cloud workloads indicating its adaptability to the dynamic, distributed cloud environment. The integration of the use of GPU-enabled training environments and containerised deployment is likely to guarantee the efficiency of computation or flexible operation.</w:t>
      </w:r>
    </w:p>
    <w:p w14:paraId="51A251BC">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5" w:name="_Toc214870714"/>
      <w:r>
        <w:rPr>
          <w:rFonts w:ascii="Times New Roman" w:hAnsi="Times New Roman" w:eastAsia="Times New Roman" w:cs="Times New Roman"/>
          <w:color w:val="000000" w:themeColor="text1"/>
          <w:sz w:val="24"/>
          <w:szCs w:val="24"/>
          <w:lang w:val="zh-CN" w:eastAsia="en-GB"/>
          <w14:textFill>
            <w14:solidFill>
              <w14:schemeClr w14:val="tx1"/>
            </w14:solidFill>
          </w14:textFill>
        </w:rPr>
        <w:t>4.2 Implications</w:t>
      </w:r>
      <w:bookmarkEnd w:id="35"/>
    </w:p>
    <w:p w14:paraId="4FD4AAB1">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In case the expected outcomes are obtained, the research will produce a number of theoretical, technical, and practical implications.</w:t>
      </w:r>
    </w:p>
    <w:p w14:paraId="721B68C2">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Theoretically, the study can be used to enhance the knowledge of hybrid detection in the area of cloud security by illustrating how ensemble machine learning and deep learning can be integrated to form a stronger IDS architecture. It could contribute some meaningful information to the scholarly debate of AI-based cybersecurity models and their usefulness in large-scale virtualised architectures [44].</w:t>
      </w:r>
    </w:p>
    <w:p w14:paraId="77C838D2">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Regarding practical implications, the created IDS concept could be tailored by the cloud service providers or companies employing the public, private, or hybrid cloud systems. It can aid in increasing the level of security monitoring, minimizing the time of response to intrusion, and minimizing the risk of a successful cyberattack. The system was also able to assist policymakers and security practitioners in coming up with more intelligent and data-driven cloud defence.</w:t>
      </w:r>
    </w:p>
    <w:p w14:paraId="507DDC43">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Moreover, the study could also provide reusable data sets, assessment procedures, and architectual design principles, which can be used in other studies in the cybersecurity research environment.</w:t>
      </w:r>
    </w:p>
    <w:p w14:paraId="0777CA0A">
      <w:pPr>
        <w:pStyle w:val="3"/>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6" w:name="_Toc214870715"/>
      <w:r>
        <w:rPr>
          <w:rFonts w:ascii="Times New Roman" w:hAnsi="Times New Roman" w:eastAsia="Times New Roman" w:cs="Times New Roman"/>
          <w:color w:val="000000" w:themeColor="text1"/>
          <w:sz w:val="24"/>
          <w:szCs w:val="24"/>
          <w:lang w:val="zh-CN" w:eastAsia="en-GB"/>
          <w14:textFill>
            <w14:solidFill>
              <w14:schemeClr w14:val="tx1"/>
            </w14:solidFill>
          </w14:textFill>
        </w:rPr>
        <w:t>4.3 Limitations</w:t>
      </w:r>
      <w:bookmarkEnd w:id="36"/>
    </w:p>
    <w:p w14:paraId="31922D78">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Although the strengths were expected, a number of limitations should be mentioned. First, the quality and representativeness of benchmarking datasets can limit performance of the IDS, as they might not be representative of the diversity of cloud traffic in the real-world [45]. This may impact on the externalisability of the findings.</w:t>
      </w:r>
    </w:p>
    <w:p w14:paraId="2AC91FBF">
      <w:pPr>
        <w:spacing w:before="100" w:beforeAutospacing="1" w:after="100" w:afterAutospacing="1"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Second, the research is experimental, so it may be overfitted, particularly when machine learning models are being trained only on simulated or past patterns of attacks. Superior validation and optimizing the models will be necessary to avoid this risk.</w:t>
      </w:r>
    </w:p>
    <w:p w14:paraId="45A08BD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Lastly, there can be a problem of scalability. Although the system should work well in controlled simulations of clouds, its performance under ultra-large, multi- clouds might need some more optimisation in terms of handling higher traffic volumes, distributed logs, and resource limitation.</w:t>
      </w:r>
    </w:p>
    <w:p w14:paraId="6D7DA3A5">
      <w:pPr>
        <w:pStyle w:val="2"/>
        <w:spacing w:line="480" w:lineRule="auto"/>
        <w:rPr>
          <w:rFonts w:ascii="Times New Roman" w:hAnsi="Times New Roman" w:eastAsia="Times New Roman" w:cs="Times New Roman"/>
          <w:color w:val="000000" w:themeColor="text1"/>
          <w:sz w:val="24"/>
          <w:szCs w:val="24"/>
          <w:lang w:val="zh-CN" w:eastAsia="en-GB"/>
          <w14:textFill>
            <w14:solidFill>
              <w14:schemeClr w14:val="tx1"/>
            </w14:solidFill>
          </w14:textFill>
        </w:rPr>
      </w:pPr>
      <w:bookmarkStart w:id="37" w:name="_Toc214870716"/>
      <w:r>
        <w:rPr>
          <w:rFonts w:ascii="Times New Roman" w:hAnsi="Times New Roman" w:eastAsia="Times New Roman" w:cs="Times New Roman"/>
          <w:color w:val="000000" w:themeColor="text1"/>
          <w:sz w:val="24"/>
          <w:szCs w:val="24"/>
          <w:lang w:val="zh-CN" w:eastAsia="en-GB"/>
          <w14:textFill>
            <w14:solidFill>
              <w14:schemeClr w14:val="tx1"/>
            </w14:solidFill>
          </w14:textFill>
        </w:rPr>
        <w:t>5. Timeline</w:t>
      </w:r>
      <w:bookmarkEnd w:id="37"/>
    </w:p>
    <w:p w14:paraId="07FBEFC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The project spans 6 months, with milestones:</w:t>
      </w:r>
    </w:p>
    <w:p w14:paraId="672B2C84">
      <w:pPr>
        <w:numPr>
          <w:ilvl w:val="0"/>
          <w:numId w:val="1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Month 1: Literature review and problem refinement.</w:t>
      </w:r>
    </w:p>
    <w:p w14:paraId="7E57A1C3">
      <w:pPr>
        <w:numPr>
          <w:ilvl w:val="0"/>
          <w:numId w:val="1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Month 2: Framework design and dataset preparation.</w:t>
      </w:r>
    </w:p>
    <w:p w14:paraId="02E59F91">
      <w:pPr>
        <w:numPr>
          <w:ilvl w:val="0"/>
          <w:numId w:val="1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Months 3-4: Implementation and experiments.</w:t>
      </w:r>
    </w:p>
    <w:p w14:paraId="3E273C8B">
      <w:pPr>
        <w:numPr>
          <w:ilvl w:val="0"/>
          <w:numId w:val="1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Month 5: Analysis and evaluation.</w:t>
      </w:r>
    </w:p>
    <w:p w14:paraId="024A6330">
      <w:pPr>
        <w:numPr>
          <w:ilvl w:val="0"/>
          <w:numId w:val="13"/>
        </w:num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Month 6: Reporting and revisions.</w:t>
      </w:r>
    </w:p>
    <w:p w14:paraId="7ACBE5E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This timeline is realistic, allocating time for iterations.</w:t>
      </w:r>
    </w:p>
    <w:tbl>
      <w:tblPr>
        <w:tblStyle w:val="48"/>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178"/>
        <w:gridCol w:w="1218"/>
        <w:gridCol w:w="5846"/>
      </w:tblGrid>
      <w:tr w14:paraId="6F9C0A96">
        <w:tc>
          <w:tcPr>
            <w:tcW w:w="0" w:type="auto"/>
            <w:tcBorders>
              <w:bottom w:val="single" w:color="666666" w:themeColor="text1" w:themeTint="99" w:sz="12" w:space="0"/>
              <w:insideH w:val="single" w:sz="12" w:space="0"/>
            </w:tcBorders>
          </w:tcPr>
          <w:p w14:paraId="02ACC35B">
            <w:pPr>
              <w:spacing w:after="0" w:line="480" w:lineRule="auto"/>
              <w:jc w:val="cente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Phase</w:t>
            </w:r>
          </w:p>
        </w:tc>
        <w:tc>
          <w:tcPr>
            <w:tcW w:w="0" w:type="auto"/>
            <w:tcBorders>
              <w:bottom w:val="single" w:color="666666" w:themeColor="text1" w:themeTint="99" w:sz="12" w:space="0"/>
              <w:insideH w:val="single" w:sz="12" w:space="0"/>
            </w:tcBorders>
          </w:tcPr>
          <w:p w14:paraId="38CF339B">
            <w:pPr>
              <w:spacing w:after="0" w:line="480" w:lineRule="auto"/>
              <w:jc w:val="cente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Duration</w:t>
            </w:r>
          </w:p>
        </w:tc>
        <w:tc>
          <w:tcPr>
            <w:tcW w:w="0" w:type="auto"/>
            <w:tcBorders>
              <w:bottom w:val="single" w:color="666666" w:themeColor="text1" w:themeTint="99" w:sz="12" w:space="0"/>
              <w:insideH w:val="single" w:sz="12" w:space="0"/>
            </w:tcBorders>
          </w:tcPr>
          <w:p w14:paraId="7FFB87F7">
            <w:pPr>
              <w:spacing w:after="0" w:line="480" w:lineRule="auto"/>
              <w:jc w:val="cente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Detailed Milestones / Activities</w:t>
            </w:r>
          </w:p>
        </w:tc>
      </w:tr>
      <w:tr w14:paraId="37409784">
        <w:tc>
          <w:tcPr>
            <w:tcW w:w="0" w:type="auto"/>
          </w:tcPr>
          <w:p w14:paraId="504F0012">
            <w:pPr>
              <w:spacing w:after="0" w:line="480" w:lineRule="auto"/>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Literature Review</w:t>
            </w:r>
          </w:p>
        </w:tc>
        <w:tc>
          <w:tcPr>
            <w:tcW w:w="0" w:type="auto"/>
          </w:tcPr>
          <w:p w14:paraId="01C29BD1">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Month 1</w:t>
            </w:r>
          </w:p>
        </w:tc>
        <w:tc>
          <w:tcPr>
            <w:tcW w:w="0" w:type="auto"/>
          </w:tcPr>
          <w:p w14:paraId="02E7F105">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Perform an overall analysis of scholarly articles, conference publications, and industry reports of cloud security and IDS solutions. </w:t>
            </w:r>
          </w:p>
          <w:p w14:paraId="07097506">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Find out existing gaps, limitations, and research opportunities. </w:t>
            </w:r>
          </w:p>
          <w:p w14:paraId="21E05C45">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create a sophisticated problem statement and research questions.</w:t>
            </w:r>
          </w:p>
        </w:tc>
      </w:tr>
      <w:tr w14:paraId="237D5BCA">
        <w:tc>
          <w:tcPr>
            <w:tcW w:w="0" w:type="auto"/>
          </w:tcPr>
          <w:p w14:paraId="44016245">
            <w:pPr>
              <w:spacing w:after="0" w:line="480" w:lineRule="auto"/>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System Design</w:t>
            </w:r>
          </w:p>
        </w:tc>
        <w:tc>
          <w:tcPr>
            <w:tcW w:w="0" w:type="auto"/>
          </w:tcPr>
          <w:p w14:paraId="0423B734">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Month 2</w:t>
            </w:r>
          </w:p>
        </w:tc>
        <w:tc>
          <w:tcPr>
            <w:tcW w:w="0" w:type="auto"/>
          </w:tcPr>
          <w:p w14:paraId="54C3DB13">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Complete conceptual hybrid IDS architecture (NIDS + HIDS). </w:t>
            </w:r>
          </w:p>
          <w:p w14:paraId="602BEF11">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Choose the machine learning and deep learning algorithms with reference to the literature findings. </w:t>
            </w:r>
          </w:p>
          <w:p w14:paraId="6937F9F7">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Specify system requirements, datasets, evaluation metrics and setting up of experiment environment.</w:t>
            </w:r>
          </w:p>
        </w:tc>
      </w:tr>
      <w:tr w14:paraId="0064F049">
        <w:tc>
          <w:tcPr>
            <w:tcW w:w="0" w:type="auto"/>
          </w:tcPr>
          <w:p w14:paraId="1B370CCE">
            <w:pPr>
              <w:spacing w:after="0" w:line="480" w:lineRule="auto"/>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Implementation</w:t>
            </w:r>
          </w:p>
        </w:tc>
        <w:tc>
          <w:tcPr>
            <w:tcW w:w="0" w:type="auto"/>
          </w:tcPr>
          <w:p w14:paraId="29F30C0F">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Months 3–4</w:t>
            </w:r>
          </w:p>
        </w:tc>
        <w:tc>
          <w:tcPr>
            <w:tcW w:w="0" w:type="auto"/>
          </w:tcPr>
          <w:p w14:paraId="5B723DDA">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Preprocess and engineer datasets (NSL-KDD, CIC-IDS2018, ISOT-CID). </w:t>
            </w:r>
          </w:p>
          <w:p w14:paraId="4225CCEB">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Construct the machine learning models (e.g., GBM, SVM, DL components) and apply them to the hybrid. </w:t>
            </w:r>
          </w:p>
          <w:p w14:paraId="5C7E1189">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Deploy cloud simulation with the help of virtual machines/containers. </w:t>
            </w:r>
          </w:p>
          <w:p w14:paraId="6C227164">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Design preliminary functionality test and optimize components.</w:t>
            </w:r>
          </w:p>
        </w:tc>
      </w:tr>
      <w:tr w14:paraId="1713328D">
        <w:tc>
          <w:tcPr>
            <w:tcW w:w="0" w:type="auto"/>
          </w:tcPr>
          <w:p w14:paraId="3B62C3A9">
            <w:pPr>
              <w:spacing w:after="0" w:line="480" w:lineRule="auto"/>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Evaluation</w:t>
            </w:r>
          </w:p>
        </w:tc>
        <w:tc>
          <w:tcPr>
            <w:tcW w:w="0" w:type="auto"/>
          </w:tcPr>
          <w:p w14:paraId="56F90B81">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Month 5</w:t>
            </w:r>
          </w:p>
        </w:tc>
        <w:tc>
          <w:tcPr>
            <w:tcW w:w="0" w:type="auto"/>
          </w:tcPr>
          <w:p w14:paraId="096ECE9B">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Perform controlled experiments based on the cloud-based attack.</w:t>
            </w:r>
            <w:bookmarkStart w:id="39" w:name="_GoBack"/>
            <w:bookmarkEnd w:id="39"/>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w:t>
            </w:r>
          </w:p>
          <w:p w14:paraId="2B3B2550">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Gather and compare data on performance based on accuracy, F1-score, ROC and false positive rate. • Compare findings with baseline IDS models and document findings.</w:t>
            </w:r>
          </w:p>
        </w:tc>
      </w:tr>
      <w:tr w14:paraId="70502F1F">
        <w:tc>
          <w:tcPr>
            <w:tcW w:w="0" w:type="auto"/>
          </w:tcPr>
          <w:p w14:paraId="5686FF72">
            <w:pPr>
              <w:spacing w:after="0" w:line="480" w:lineRule="auto"/>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Reporting &amp; Documentation</w:t>
            </w:r>
          </w:p>
        </w:tc>
        <w:tc>
          <w:tcPr>
            <w:tcW w:w="0" w:type="auto"/>
          </w:tcPr>
          <w:p w14:paraId="1402A969">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Month 6</w:t>
            </w:r>
          </w:p>
        </w:tc>
        <w:tc>
          <w:tcPr>
            <w:tcW w:w="0" w:type="auto"/>
          </w:tcPr>
          <w:p w14:paraId="601FC2B0">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 Prepare findings into the termination research proposal/dissertation chapter. </w:t>
            </w:r>
          </w:p>
          <w:p w14:paraId="30873C92">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Write methodology, results and discussion. </w:t>
            </w:r>
          </w:p>
          <w:p w14:paraId="3CF73D1C">
            <w:pPr>
              <w:spacing w:after="0" w:line="480" w:lineRule="auto"/>
              <w:rPr>
                <w:rFonts w:hint="default" w:ascii="Times New Roman" w:hAnsi="Times New Roman" w:eastAsia="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 xml:space="preserve">Ethics documentation and reflections Prepare ethics documentation and ethics commentary. </w:t>
            </w:r>
          </w:p>
          <w:p w14:paraId="4529D153">
            <w:pPr>
              <w:spacing w:after="0"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hint="default" w:ascii="Times New Roman" w:hAnsi="Times New Roman" w:eastAsia="Times New Roman"/>
                <w:color w:val="000000" w:themeColor="text1"/>
                <w:kern w:val="0"/>
                <w:lang w:val="zh-CN" w:eastAsia="en-GB"/>
                <w14:textFill>
                  <w14:solidFill>
                    <w14:schemeClr w14:val="tx1"/>
                  </w14:solidFill>
                </w14:textFill>
                <w14:ligatures w14:val="none"/>
              </w:rPr>
              <w:t>And last proofreading and revision before submission.</w:t>
            </w:r>
          </w:p>
        </w:tc>
      </w:tr>
    </w:tbl>
    <w:p w14:paraId="79CBFCBF">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bookmarkStart w:id="38" w:name="_Toc214870717"/>
    </w:p>
    <w:p w14:paraId="654A8F04">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p>
    <w:p w14:paraId="3249BB7F">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p>
    <w:p w14:paraId="3C8F4BCF">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p>
    <w:p w14:paraId="483B7FD7">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p>
    <w:p w14:paraId="1898CAAC">
      <w:pPr>
        <w:spacing w:before="100" w:beforeAutospacing="1" w:after="100" w:afterAutospacing="1" w:line="480" w:lineRule="auto"/>
        <w:outlineLvl w:val="1"/>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b/>
          <w:bCs/>
          <w:color w:val="000000" w:themeColor="text1"/>
          <w:kern w:val="0"/>
          <w:lang w:val="zh-CN" w:eastAsia="en-GB"/>
          <w14:textFill>
            <w14:solidFill>
              <w14:schemeClr w14:val="tx1"/>
            </w14:solidFill>
          </w14:textFill>
          <w14:ligatures w14:val="none"/>
        </w:rPr>
        <w:t>References</w:t>
      </w:r>
      <w:bookmarkEnd w:id="38"/>
    </w:p>
    <w:p w14:paraId="38A3EB2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 M. Armbrust et al., "A view of cloud computing," Commun. ACM, vol. 53, no. 4, pp. 50-58, Apr. 2010.</w:t>
      </w:r>
    </w:p>
    <w:p w14:paraId="0381C3C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 R. Buyya et al., "Cloud computing and emerging IT platforms: Vision, hype, and reality for delivering computing as the 5th utility," Future Gener. Comput. Syst., vol. 25, no. 6, pp. 599-616, Jun. 2009.</w:t>
      </w:r>
    </w:p>
    <w:p w14:paraId="2440D6D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[3] Cloud Security Alliance, "Security guidance for critical areas of focus in cloud computing v4.0," 2017. [Online]. Available: </w:t>
      </w:r>
      <w:r>
        <w:fldChar w:fldCharType="begin"/>
      </w:r>
      <w:r>
        <w:instrText xml:space="preserve"> HYPERLINK "https://cloudsecurityalliance.org/artifacts/security-guidance-v4/" \t "_blank" </w:instrText>
      </w:r>
      <w:r>
        <w:fldChar w:fldCharType="separate"/>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t>https://cloudsecurityalliance.org/artifacts/security-guidance-v4/</w:t>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fldChar w:fldCharType="end"/>
      </w:r>
    </w:p>
    <w:p w14:paraId="667E509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 NIST, "NIST SP 800-53: Security and privacy controls for information systems and organizations," 2020.</w:t>
      </w:r>
    </w:p>
    <w:p w14:paraId="16E5A471">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[5] S. Subashini and V. Kavitha, "A survey on security issues in service delivery models of cloud computing," J. Netw. Comput. Appl., vol. 34, no. 1, pp. 1-11, Jan. 2011.</w:t>
      </w:r>
    </w:p>
    <w:p w14:paraId="02E24DC2">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[6] K. Scarfone and P. Mell, "Guide to intrusion detection and prevention systems (IDPS)," NIST Special Publication 800-94, 2007.</w:t>
      </w:r>
    </w:p>
    <w:p w14:paraId="3ECDC2A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[7] A. Khraisat et al., "Survey of intrusion detection systems: techniques, datasets and challenges," Cybersecurity, vol. 2, no. 1, pp. 1-22, Dec. 2019.</w:t>
      </w:r>
    </w:p>
    <w:p w14:paraId="76B041F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[8] M. Ahmed et al., "A survey of network anomaly detection techniques," J. Netw. Comput. Appl., vol. 60, pp. 19-31, Jan. 2016.</w:t>
      </w:r>
    </w:p>
    <w:p w14:paraId="62DFFA18">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[9] V. Chandola et al., "Anomaly detection: A survey," ACM Comput. Surv., vol. 41, no. 3, pp. 1-58, Jul. 2009.</w:t>
      </w:r>
    </w:p>
    <w:p w14:paraId="458A68A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[10] S. R. Badrinarayanan and S. S. Iyengar, "A survey on intrusion detection systems in cloud computing," Int. J. Adv. Comput. Sci. Appl., vol. 9, no. 6, pp. 1-10, 2018.</w:t>
      </w:r>
    </w:p>
    <w:p w14:paraId="69DE754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[11] R. Sommer and V. Paxson, "Outside the closed world: On using machine learning for network intrusion detection," in Proc. IEEE Symp. Secur. Privacy, May 2010, pp. 305-316.</w:t>
      </w:r>
    </w:p>
    <w:p w14:paraId="1646537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[12] A. A. Modibbo et al., "A systematic literature review on host-based intrusion detection systems," IEEE Access, vol. 12, pp. 24977-25000, 2024.</w:t>
      </w:r>
    </w:p>
    <w:p w14:paraId="22FC4C21">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[13] P. Mishra et al., "Intrusion detection techniques in cloud computing: A survey," Int. J. Comput. Appl., vol. 47, no. 12, pp. 1-7, Jun. 2012.</w:t>
      </w:r>
    </w:p>
    <w:p w14:paraId="4401504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[14] IBM, "Cost of a data breach report 2023," 2023. [Online]. Available: </w:t>
      </w:r>
      <w:r>
        <w:fldChar w:fldCharType="begin"/>
      </w:r>
      <w:r>
        <w:instrText xml:space="preserve"> HYPERLINK "https://www.ibm.com/reports/data-breach" \t "_blank" </w:instrText>
      </w:r>
      <w:r>
        <w:fldChar w:fldCharType="separate"/>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t>https://www.ibm.com/reports/data-breach</w:t>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fldChar w:fldCharType="end"/>
      </w:r>
    </w:p>
    <w:p w14:paraId="01726A4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[15] M. Idhammad et al., "Detection system of HTTP DDoS attacks in a cloud environment based on information theoretic entropy and random forest," Secur. Commun. Netw., vol. 2018, pp. 1-13, 2018.</w:t>
      </w:r>
    </w:p>
    <w:p w14:paraId="1D64B4A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[16] Z. A. Al-Sharif et al., "Enhancing cloud security: An ensemble learning approach for intrusion detection," IEEE Access, vol. 12, pp. 12345-12356, 2024. (Adjusted from user's [26])</w:t>
      </w:r>
    </w:p>
    <w:p w14:paraId="3B738313">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[17] European Union, "General Data Protection Regulation (GDPR)," 2016.</w:t>
      </w:r>
    </w:p>
    <w:p w14:paraId="5978406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[18] Gartner, "Gartner forecasts worldwide public cloud end-user spending to reach $679 billion in 2024," 2023.</w:t>
      </w:r>
    </w:p>
    <w:p w14:paraId="754BEFD5">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[19] A.-R. Al-Ghuwairi et al., "Intrusion detection in cloud computing based on time series anomalies utilizing machine learning," J. Cloud Comput., vol. 12, no. 1, art. no. 127, 2023.</w:t>
      </w:r>
    </w:p>
    <w:p w14:paraId="7D3CA99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[20] S. M. Aljuaid et al., "A deep learning approach for intrusion detection systems in cloud computing environments," IEEE Access, vol. 12, pp. 45678-45689, 2024.</w:t>
      </w:r>
    </w:p>
    <w:p w14:paraId="1B435017">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[21] H. Elbakri et al., "Adaptive cloud intrusion detection: A comprehensive framework," Comput. Secur., vol. 130, art. no. 103278, 2024.</w:t>
      </w:r>
    </w:p>
    <w:p w14:paraId="00643F6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[22] H. Elbakri et al., "Collaborative intrusion detection system for cloud security using machine learning," Future Gener. Comput. Syst., vol. 145, pp. 123-134, 2024.</w:t>
      </w:r>
    </w:p>
    <w:p w14:paraId="20E1ED8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[23] Z. A. Al-Sharif et al., "Enhancing cloud security through ensemble learning," IEEE Trans. Inf. Forensics Secur., vol. 19, pp. 5678-5689, 2024.</w:t>
      </w:r>
    </w:p>
    <w:p w14:paraId="1661041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[24] M. Ahmed et al., "Novel feature selection-based MLP for network intrusion detection in cloud computing," IEEE Trans. Netw. Serv. Manag., vol. 18, no. 2, pp. 1234-1245, 2021.</w:t>
      </w:r>
    </w:p>
    <w:p w14:paraId="22E7D91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[25] Cloud Security Alliance, "The treacherous 12: Cloud computing top threats in 2016," 2016.</w:t>
      </w:r>
    </w:p>
    <w:p w14:paraId="33808AF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[26] Z. A. Al-Sharif et al., "Enhancing cloud security: Ensemble learning," as above.</w:t>
      </w:r>
    </w:p>
    <w:p w14:paraId="6561163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[27] R. Rehman, "Intrusion detection systems with Snort: Advanced IDS techniques using Snort, Apache, MySQL, PHP, and ACID," Prentice Hall, 2003.</w:t>
      </w:r>
    </w:p>
    <w:p w14:paraId="589E94B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[28] I. Guyon and A. Elisseeff, "An introduction to variable and feature selection," J. Mach. Learn. Res., vol. 3, pp. 1157-1182, Mar. 2003.</w:t>
      </w:r>
    </w:p>
    <w:p w14:paraId="56BD4FE2">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[29] T. M. Khoshgoftaar et al., "A survey on heterogeneous feature selection methods for biomedical data," IEEE J. Biomed. Health Inform., vol. 21, no. 6, pp. 1634-1643, Nov. 2017.</w:t>
      </w:r>
    </w:p>
    <w:p w14:paraId="37AE6B8A">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[30] B. McMahan et al., "Communication-efficient learning of deep networks from decentralized data," in Proc. 20th Int. Conf. Artif. Intell. Stat., 2017, pp. 1273-1282.</w:t>
      </w:r>
    </w:p>
    <w:p w14:paraId="3960703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[31] Y. Xiao et al., "A survey of distributed consensus protocols for blockchain networks," IEEE Commun. Surv. Tutorials, vol. 22, no. 2, pp. 1432-1465, 2nd Quart. 2020.</w:t>
      </w:r>
    </w:p>
    <w:p w14:paraId="43BCC03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[32] A. R. Hevner et al., "Design science in information systems research," MIS Quart., vol. 28, no. 1, pp. 75-105, Mar. 2004.</w:t>
      </w:r>
    </w:p>
    <w:p w14:paraId="3B271BEE">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[33] K. Peffers et al., "A design science research methodology for information systems research," J. Manag. Inf. Syst., vol. 24, no. 3, pp. 45-77, 2007.</w:t>
      </w:r>
    </w:p>
    <w:p w14:paraId="66674F67">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[34] J. W. Creswell and J. D. Creswell, "Research design: Qualitative, quantitative, and mixed methods approaches," Sage Publications, 2017.</w:t>
      </w:r>
    </w:p>
    <w:p w14:paraId="245E095F">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[35] R. K. Yin, "Case study research and applications: Design and methods," Sage Publications, 2017.</w:t>
      </w:r>
    </w:p>
    <w:p w14:paraId="469A4B04">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[36] Y. LeCun et al., "Deep learning," Nature, vol. 521, no. 7553, pp. 436-444, May 2015.</w:t>
      </w:r>
    </w:p>
    <w:p w14:paraId="283CB99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[37] T. Hastie et al., "The elements of statistical learning: Data mining, inference, and prediction," Springer, 2009.</w:t>
      </w:r>
    </w:p>
    <w:p w14:paraId="3CA78C60">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[38] I. Sharafaldin et al., "Toward generating a new intrusion detection dataset and intrusion traffic characterization," in Proc. 4th Int. Conf. Inf. Syst. Secur. Privacy, 2018, pp. 108-116.</w:t>
      </w:r>
    </w:p>
    <w:p w14:paraId="02C1082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[39] A. Shiravi et al., "Toward developing a systematic approach to generate benchmark datasets for intrusion detection," Comput. Secur., vol. 31, no. 3, pp. 357-374, May 2012.</w:t>
      </w:r>
    </w:p>
    <w:p w14:paraId="4262B2BC">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[40] S. Greengard, "Weighing the impact of GDPR," Commun. ACM, vol. 61, no. 11, pp. 16-18, Nov. 2018.</w:t>
      </w:r>
    </w:p>
    <w:p w14:paraId="5F6FA5B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[41] F. Pedregosa et al., "Scikit-learn: Machine learning in Python," J. Mach. Learn. Res., vol. 12, pp. 2825-2830, Oct. 2011.</w:t>
      </w:r>
    </w:p>
    <w:p w14:paraId="5935895D">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 xml:space="preserve">[42] Amazon Web Services, "Amazon EC2 instance types," 2024. [Online]. Available: </w:t>
      </w:r>
      <w:r>
        <w:fldChar w:fldCharType="begin"/>
      </w:r>
      <w:r>
        <w:instrText xml:space="preserve"> HYPERLINK "https://aws.amazon.com/ec2/instance-types/" \t "_blank" </w:instrText>
      </w:r>
      <w:r>
        <w:fldChar w:fldCharType="separate"/>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t>https://aws.amazon.com/ec2/instance-types/</w:t>
      </w:r>
      <w:r>
        <w:rPr>
          <w:rFonts w:ascii="Times New Roman" w:hAnsi="Times New Roman" w:eastAsia="Times New Roman" w:cs="Times New Roman"/>
          <w:color w:val="000000" w:themeColor="text1"/>
          <w:kern w:val="0"/>
          <w:u w:val="single"/>
          <w:lang w:val="zh-CN" w:eastAsia="en-GB"/>
          <w14:textFill>
            <w14:solidFill>
              <w14:schemeClr w14:val="tx1"/>
            </w14:solidFill>
          </w14:textFill>
          <w14:ligatures w14:val="none"/>
        </w:rPr>
        <w:fldChar w:fldCharType="end"/>
      </w:r>
    </w:p>
    <w:p w14:paraId="75E3A8D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[43] M. Tavallaee et al., "A detailed analysis of the KDD CUP 99 data set," in Proc. IEEE Symp. Comput. Intell. Secur. Defense Appl., Jul. 2009, pp. 1-6.</w:t>
      </w:r>
    </w:p>
    <w:p w14:paraId="39D17489">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[44] S. Morgan, "Cybercrime to cost the world $10.5 trillion annually by 2025," Cybercrime Magazine, 2020.</w:t>
      </w:r>
    </w:p>
    <w:p w14:paraId="33706E3B">
      <w:pPr>
        <w:spacing w:before="100" w:beforeAutospacing="1" w:after="100" w:afterAutospacing="1" w:line="480" w:lineRule="auto"/>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pPr>
      <w:r>
        <w:rPr>
          <w:rFonts w:ascii="Times New Roman" w:hAnsi="Times New Roman" w:eastAsia="Times New Roman" w:cs="Times New Roman"/>
          <w:color w:val="000000" w:themeColor="text1"/>
          <w:kern w:val="0"/>
          <w:lang w:val="zh-CN" w:eastAsia="en-GB"/>
          <w14:textFill>
            <w14:solidFill>
              <w14:schemeClr w14:val="tx1"/>
            </w14:solidFill>
          </w14:textFill>
          <w14:ligatures w14:val="none"/>
        </w:rPr>
        <w:t>[45] J. Viega, "Cloud computing and the common man," Computer, vol. 42, no. 8, pp. 106-108, Aug. 2009.</w:t>
      </w:r>
    </w:p>
    <w:p w14:paraId="7526B69A">
      <w:pPr>
        <w:spacing w:line="480" w:lineRule="auto"/>
        <w:rPr>
          <w:rFonts w:ascii="Times New Roman" w:hAnsi="Times New Roman" w:cs="Times New Roman"/>
          <w:color w:val="000000" w:themeColor="text1"/>
          <w:lang w:val="zh-CN"/>
          <w14:textFill>
            <w14:solidFill>
              <w14:schemeClr w14:val="tx1"/>
            </w14:solidFill>
          </w14:textFill>
        </w:rPr>
      </w:pPr>
    </w:p>
    <w:sectPr>
      <w:headerReference r:id="rId5" w:type="default"/>
      <w:footerReference r:id="rId6" w:type="default"/>
      <w:footerReference r:id="rId7" w:type="even"/>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等线">
    <w:altName w:val="宋体-简"/>
    <w:panose1 w:val="00000000000000000000"/>
    <w:charset w:val="86"/>
    <w:family w:val="auto"/>
    <w:pitch w:val="default"/>
    <w:sig w:usb0="00000000" w:usb1="00000000" w:usb2="00000000" w:usb3="00000000" w:csb0="00000000" w:csb1="00000000"/>
  </w:font>
  <w:font w:name="等线">
    <w:altName w:val="宋体-简"/>
    <w:panose1 w:val="00000000000000000000"/>
    <w:charset w:val="00"/>
    <w:family w:val="auto"/>
    <w:pitch w:val="default"/>
    <w:sig w:usb0="00000000" w:usb1="00000000" w:usb2="00000000" w:usb3="00000000" w:csb0="00000000" w:csb1="00000000"/>
  </w:font>
  <w:font w:name="等线 Light">
    <w:altName w:val="宋体-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decorative"/>
    <w:pitch w:val="default"/>
    <w:sig w:usb0="00000000" w:usb1="00000000" w:usb2="00000000" w:usb3="00000000" w:csb0="80000000" w:csb1="00000000"/>
  </w:font>
  <w:font w:name="Wingdings">
    <w:panose1 w:val="05000000000000000000"/>
    <w:charset w:val="4D"/>
    <w:family w:val="decorative"/>
    <w:pitch w:val="default"/>
    <w:sig w:usb0="00000000" w:usb1="00000000" w:usb2="00000000" w:usb3="00000000" w:csb0="80000000" w:csb1="00000000"/>
  </w:font>
  <w:font w:name="宋体-简">
    <w:panose1 w:val="02010800040101010101"/>
    <w:charset w:val="86"/>
    <w:family w:val="auto"/>
    <w:pitch w:val="default"/>
    <w:sig w:usb0="00000001" w:usb1="080F0000" w:usb2="00000000" w:usb3="00000000" w:csb0="00040000" w:csb1="00000000"/>
  </w:font>
  <w:font w:name="Hiragino Sans GB">
    <w:panose1 w:val="020B0300000000000000"/>
    <w:charset w:val="86"/>
    <w:family w:val="auto"/>
    <w:pitch w:val="default"/>
    <w:sig w:usb0="A00002BF" w:usb1="1ACF7CFA" w:usb2="00000016" w:usb3="00000000" w:csb0="00060007" w:csb1="00000000"/>
  </w:font>
  <w:font w:name="黑体-简">
    <w:panose1 w:val="02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
      <w:docPartObj>
        <w:docPartGallery w:val="AutoText"/>
      </w:docPartObj>
    </w:sdtPr>
    <w:sdtEndPr>
      <w:rPr>
        <w:rStyle w:val="17"/>
      </w:rPr>
    </w:sdtEndPr>
    <w:sdtContent>
      <w:p w14:paraId="507B0730">
        <w:pPr>
          <w:pStyle w:val="13"/>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t>1</w:t>
        </w:r>
        <w:r>
          <w:rPr>
            <w:rStyle w:val="17"/>
          </w:rPr>
          <w:fldChar w:fldCharType="end"/>
        </w:r>
      </w:p>
    </w:sdtContent>
  </w:sdt>
  <w:p w14:paraId="46296389">
    <w:pPr>
      <w:pStyle w:val="13"/>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7"/>
      </w:rPr>
      <w:id w:val="1170982495"/>
      <w:docPartObj>
        <w:docPartGallery w:val="AutoText"/>
      </w:docPartObj>
    </w:sdtPr>
    <w:sdtEndPr>
      <w:rPr>
        <w:rStyle w:val="17"/>
      </w:rPr>
    </w:sdtEndPr>
    <w:sdtContent>
      <w:p w14:paraId="2142ADC8">
        <w:pPr>
          <w:pStyle w:val="13"/>
          <w:framePr w:wrap="auto" w:vAnchor="text" w:hAnchor="margin" w:xAlign="right" w:y="1"/>
          <w:rPr>
            <w:rStyle w:val="17"/>
          </w:rPr>
        </w:pPr>
        <w:r>
          <w:rPr>
            <w:rStyle w:val="17"/>
          </w:rPr>
          <w:fldChar w:fldCharType="begin"/>
        </w:r>
        <w:r>
          <w:rPr>
            <w:rStyle w:val="17"/>
          </w:rPr>
          <w:instrText xml:space="preserve"> PAGE </w:instrText>
        </w:r>
        <w:r>
          <w:rPr>
            <w:rStyle w:val="17"/>
          </w:rPr>
          <w:fldChar w:fldCharType="separate"/>
        </w:r>
        <w:r>
          <w:rPr>
            <w:rStyle w:val="17"/>
          </w:rPr>
          <w:fldChar w:fldCharType="end"/>
        </w:r>
      </w:p>
    </w:sdtContent>
  </w:sdt>
  <w:p w14:paraId="73EE6A7C">
    <w:pPr>
      <w:pStyle w:val="13"/>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219A701">
    <w:pPr>
      <w:pStyle w:val="14"/>
    </w:pPr>
    <w:r>
      <w:drawing>
        <wp:inline distT="0" distB="0" distL="0" distR="0">
          <wp:extent cx="2237740" cy="881380"/>
          <wp:effectExtent l="0" t="0" r="0" b="0"/>
          <wp:docPr id="1401481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81609" name="Picture 1"/>
                  <pic:cNvPicPr>
                    <a:picLocks noChangeAspect="1"/>
                  </pic:cNvPicPr>
                </pic:nvPicPr>
                <pic:blipFill>
                  <a:blip r:embed="rId1"/>
                  <a:stretch>
                    <a:fillRect/>
                  </a:stretch>
                </pic:blipFill>
                <pic:spPr>
                  <a:xfrm>
                    <a:off x="0" y="0"/>
                    <a:ext cx="2252098" cy="887190"/>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56781"/>
    <w:multiLevelType w:val="multilevel"/>
    <w:tmpl w:val="0055678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41369DC"/>
    <w:multiLevelType w:val="multilevel"/>
    <w:tmpl w:val="041369D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16480E75"/>
    <w:multiLevelType w:val="multilevel"/>
    <w:tmpl w:val="16480E75"/>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28AF7013"/>
    <w:multiLevelType w:val="multilevel"/>
    <w:tmpl w:val="28AF701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29B117A7"/>
    <w:multiLevelType w:val="multilevel"/>
    <w:tmpl w:val="29B117A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2A246A41"/>
    <w:multiLevelType w:val="multilevel"/>
    <w:tmpl w:val="2A246A4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6">
    <w:nsid w:val="400412AC"/>
    <w:multiLevelType w:val="multilevel"/>
    <w:tmpl w:val="400412AC"/>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4D3D7242"/>
    <w:multiLevelType w:val="multilevel"/>
    <w:tmpl w:val="4D3D724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531E65B4"/>
    <w:multiLevelType w:val="multilevel"/>
    <w:tmpl w:val="531E65B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5441180C"/>
    <w:multiLevelType w:val="multilevel"/>
    <w:tmpl w:val="5441180C"/>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0">
    <w:nsid w:val="60BE12E4"/>
    <w:multiLevelType w:val="multilevel"/>
    <w:tmpl w:val="60BE12E4"/>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1">
    <w:nsid w:val="62203966"/>
    <w:multiLevelType w:val="multilevel"/>
    <w:tmpl w:val="6220396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2">
    <w:nsid w:val="6E161912"/>
    <w:multiLevelType w:val="multilevel"/>
    <w:tmpl w:val="6E16191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10"/>
  </w:num>
  <w:num w:numId="2">
    <w:abstractNumId w:val="9"/>
  </w:num>
  <w:num w:numId="3">
    <w:abstractNumId w:val="0"/>
  </w:num>
  <w:num w:numId="4">
    <w:abstractNumId w:val="6"/>
  </w:num>
  <w:num w:numId="5">
    <w:abstractNumId w:val="7"/>
  </w:num>
  <w:num w:numId="6">
    <w:abstractNumId w:val="11"/>
  </w:num>
  <w:num w:numId="7">
    <w:abstractNumId w:val="3"/>
  </w:num>
  <w:num w:numId="8">
    <w:abstractNumId w:val="1"/>
  </w:num>
  <w:num w:numId="9">
    <w:abstractNumId w:val="2"/>
  </w:num>
  <w:num w:numId="10">
    <w:abstractNumId w:val="12"/>
  </w:num>
  <w:num w:numId="11">
    <w:abstractNumId w:val="5"/>
  </w:num>
  <w:num w:numId="12">
    <w:abstractNumId w:val="4"/>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0957"/>
    <w:rsid w:val="00062E8F"/>
    <w:rsid w:val="00107DF0"/>
    <w:rsid w:val="001941CD"/>
    <w:rsid w:val="00415070"/>
    <w:rsid w:val="004203C7"/>
    <w:rsid w:val="005443D3"/>
    <w:rsid w:val="00546CE1"/>
    <w:rsid w:val="00590957"/>
    <w:rsid w:val="0062284A"/>
    <w:rsid w:val="00830AF2"/>
    <w:rsid w:val="008F21E0"/>
    <w:rsid w:val="009C7426"/>
    <w:rsid w:val="00DF5E2A"/>
    <w:rsid w:val="00F6298D"/>
    <w:rsid w:val="37AC6474"/>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30"/>
    <w:qFormat/>
    <w:uiPriority w:val="9"/>
    <w:pPr>
      <w:keepNext/>
      <w:keepLines/>
      <w:spacing w:before="360" w:after="80"/>
      <w:outlineLvl w:val="0"/>
    </w:pPr>
    <w:rPr>
      <w:rFonts w:asciiTheme="majorHAnsi" w:hAnsiTheme="majorHAnsi" w:eastAsiaTheme="majorEastAsia" w:cstheme="majorBidi"/>
      <w:b/>
      <w:color w:val="104862" w:themeColor="accent1" w:themeShade="BF"/>
      <w:sz w:val="40"/>
      <w:szCs w:val="40"/>
      <w:u w:val="single"/>
    </w:rPr>
  </w:style>
  <w:style w:type="paragraph" w:styleId="3">
    <w:name w:val="heading 2"/>
    <w:basedOn w:val="1"/>
    <w:next w:val="1"/>
    <w:link w:val="31"/>
    <w:unhideWhenUsed/>
    <w:qFormat/>
    <w:uiPriority w:val="9"/>
    <w:pPr>
      <w:keepNext/>
      <w:keepLines/>
      <w:spacing w:before="160" w:after="80"/>
      <w:outlineLvl w:val="1"/>
    </w:pPr>
    <w:rPr>
      <w:rFonts w:asciiTheme="majorHAnsi" w:hAnsiTheme="majorHAnsi" w:eastAsiaTheme="majorEastAsia" w:cstheme="majorBidi"/>
      <w:b/>
      <w:i/>
      <w:color w:val="104862" w:themeColor="accent1" w:themeShade="BF"/>
      <w:sz w:val="32"/>
      <w:szCs w:val="32"/>
    </w:rPr>
  </w:style>
  <w:style w:type="paragraph" w:styleId="4">
    <w:name w:val="heading 3"/>
    <w:basedOn w:val="1"/>
    <w:next w:val="1"/>
    <w:link w:val="32"/>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33"/>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34"/>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5"/>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6"/>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7"/>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8"/>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50"/>
    <w:unhideWhenUsed/>
    <w:uiPriority w:val="99"/>
    <w:pPr>
      <w:tabs>
        <w:tab w:val="center" w:pos="4513"/>
        <w:tab w:val="right" w:pos="9026"/>
      </w:tabs>
      <w:spacing w:after="0" w:line="240" w:lineRule="auto"/>
    </w:pPr>
  </w:style>
  <w:style w:type="paragraph" w:styleId="14">
    <w:name w:val="header"/>
    <w:basedOn w:val="1"/>
    <w:link w:val="49"/>
    <w:unhideWhenUsed/>
    <w:uiPriority w:val="99"/>
    <w:pPr>
      <w:tabs>
        <w:tab w:val="center" w:pos="4513"/>
        <w:tab w:val="right" w:pos="9026"/>
      </w:tabs>
      <w:spacing w:after="0" w:line="240" w:lineRule="auto"/>
    </w:pPr>
  </w:style>
  <w:style w:type="character" w:styleId="15">
    <w:name w:val="Hyperlink"/>
    <w:basedOn w:val="11"/>
    <w:unhideWhenUsed/>
    <w:uiPriority w:val="99"/>
    <w:rPr>
      <w:color w:val="0000FF"/>
      <w:u w:val="single"/>
    </w:rPr>
  </w:style>
  <w:style w:type="paragraph" w:styleId="16">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lang w:val="zh-CN" w:eastAsia="en-GB"/>
      <w14:ligatures w14:val="none"/>
    </w:rPr>
  </w:style>
  <w:style w:type="character" w:styleId="17">
    <w:name w:val="page number"/>
    <w:basedOn w:val="11"/>
    <w:semiHidden/>
    <w:unhideWhenUsed/>
    <w:uiPriority w:val="99"/>
  </w:style>
  <w:style w:type="character" w:styleId="18">
    <w:name w:val="Strong"/>
    <w:basedOn w:val="11"/>
    <w:qFormat/>
    <w:uiPriority w:val="22"/>
    <w:rPr>
      <w:b/>
      <w:bCs/>
    </w:rPr>
  </w:style>
  <w:style w:type="paragraph" w:styleId="19">
    <w:name w:val="Subtitle"/>
    <w:basedOn w:val="1"/>
    <w:next w:val="1"/>
    <w:link w:val="40"/>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itle"/>
    <w:basedOn w:val="1"/>
    <w:next w:val="1"/>
    <w:link w:val="39"/>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uiPriority w:val="39"/>
    <w:pPr>
      <w:spacing w:before="120" w:after="0"/>
    </w:pPr>
    <w:rPr>
      <w:b/>
      <w:bCs/>
      <w:i/>
      <w:iCs/>
    </w:rPr>
  </w:style>
  <w:style w:type="paragraph" w:styleId="22">
    <w:name w:val="toc 2"/>
    <w:basedOn w:val="1"/>
    <w:next w:val="1"/>
    <w:autoRedefine/>
    <w:unhideWhenUsed/>
    <w:uiPriority w:val="39"/>
    <w:pPr>
      <w:spacing w:before="120" w:after="0"/>
      <w:ind w:left="240"/>
    </w:pPr>
    <w:rPr>
      <w:b/>
      <w:bCs/>
      <w:sz w:val="22"/>
      <w:szCs w:val="22"/>
    </w:rPr>
  </w:style>
  <w:style w:type="paragraph" w:styleId="23">
    <w:name w:val="toc 3"/>
    <w:basedOn w:val="1"/>
    <w:next w:val="1"/>
    <w:autoRedefine/>
    <w:unhideWhenUsed/>
    <w:uiPriority w:val="39"/>
    <w:pPr>
      <w:spacing w:after="0"/>
      <w:ind w:left="480"/>
    </w:pPr>
    <w:rPr>
      <w:sz w:val="20"/>
      <w:szCs w:val="20"/>
    </w:rPr>
  </w:style>
  <w:style w:type="paragraph" w:styleId="24">
    <w:name w:val="toc 4"/>
    <w:basedOn w:val="1"/>
    <w:next w:val="1"/>
    <w:autoRedefine/>
    <w:semiHidden/>
    <w:unhideWhenUsed/>
    <w:uiPriority w:val="39"/>
    <w:pPr>
      <w:spacing w:after="0"/>
      <w:ind w:left="720"/>
    </w:pPr>
    <w:rPr>
      <w:sz w:val="20"/>
      <w:szCs w:val="20"/>
    </w:rPr>
  </w:style>
  <w:style w:type="paragraph" w:styleId="25">
    <w:name w:val="toc 5"/>
    <w:basedOn w:val="1"/>
    <w:next w:val="1"/>
    <w:autoRedefine/>
    <w:semiHidden/>
    <w:unhideWhenUsed/>
    <w:uiPriority w:val="39"/>
    <w:pPr>
      <w:spacing w:after="0"/>
      <w:ind w:left="960"/>
    </w:pPr>
    <w:rPr>
      <w:sz w:val="20"/>
      <w:szCs w:val="20"/>
    </w:rPr>
  </w:style>
  <w:style w:type="paragraph" w:styleId="26">
    <w:name w:val="toc 6"/>
    <w:basedOn w:val="1"/>
    <w:next w:val="1"/>
    <w:autoRedefine/>
    <w:semiHidden/>
    <w:unhideWhenUsed/>
    <w:uiPriority w:val="39"/>
    <w:pPr>
      <w:spacing w:after="0"/>
      <w:ind w:left="1200"/>
    </w:pPr>
    <w:rPr>
      <w:sz w:val="20"/>
      <w:szCs w:val="20"/>
    </w:rPr>
  </w:style>
  <w:style w:type="paragraph" w:styleId="27">
    <w:name w:val="toc 7"/>
    <w:basedOn w:val="1"/>
    <w:next w:val="1"/>
    <w:autoRedefine/>
    <w:semiHidden/>
    <w:unhideWhenUsed/>
    <w:uiPriority w:val="39"/>
    <w:pPr>
      <w:spacing w:after="0"/>
      <w:ind w:left="1440"/>
    </w:pPr>
    <w:rPr>
      <w:sz w:val="20"/>
      <w:szCs w:val="20"/>
    </w:rPr>
  </w:style>
  <w:style w:type="paragraph" w:styleId="28">
    <w:name w:val="toc 8"/>
    <w:basedOn w:val="1"/>
    <w:next w:val="1"/>
    <w:autoRedefine/>
    <w:semiHidden/>
    <w:unhideWhenUsed/>
    <w:uiPriority w:val="39"/>
    <w:pPr>
      <w:spacing w:after="0"/>
      <w:ind w:left="1680"/>
    </w:pPr>
    <w:rPr>
      <w:sz w:val="20"/>
      <w:szCs w:val="20"/>
    </w:rPr>
  </w:style>
  <w:style w:type="paragraph" w:styleId="29">
    <w:name w:val="toc 9"/>
    <w:basedOn w:val="1"/>
    <w:next w:val="1"/>
    <w:autoRedefine/>
    <w:semiHidden/>
    <w:unhideWhenUsed/>
    <w:uiPriority w:val="39"/>
    <w:pPr>
      <w:spacing w:after="0"/>
      <w:ind w:left="1920"/>
    </w:pPr>
    <w:rPr>
      <w:sz w:val="20"/>
      <w:szCs w:val="20"/>
    </w:rPr>
  </w:style>
  <w:style w:type="character" w:customStyle="1" w:styleId="30">
    <w:name w:val="Heading 1 Char"/>
    <w:basedOn w:val="11"/>
    <w:link w:val="2"/>
    <w:uiPriority w:val="9"/>
    <w:rPr>
      <w:rFonts w:asciiTheme="majorHAnsi" w:hAnsiTheme="majorHAnsi" w:eastAsiaTheme="majorEastAsia" w:cstheme="majorBidi"/>
      <w:b/>
      <w:color w:val="104862" w:themeColor="accent1" w:themeShade="BF"/>
      <w:sz w:val="40"/>
      <w:szCs w:val="40"/>
      <w:u w:val="single"/>
      <w:lang w:val="en-GB"/>
    </w:rPr>
  </w:style>
  <w:style w:type="character" w:customStyle="1" w:styleId="31">
    <w:name w:val="Heading 2 Char"/>
    <w:basedOn w:val="11"/>
    <w:link w:val="3"/>
    <w:uiPriority w:val="9"/>
    <w:rPr>
      <w:rFonts w:asciiTheme="majorHAnsi" w:hAnsiTheme="majorHAnsi" w:eastAsiaTheme="majorEastAsia" w:cstheme="majorBidi"/>
      <w:b/>
      <w:i/>
      <w:color w:val="104862" w:themeColor="accent1" w:themeShade="BF"/>
      <w:sz w:val="32"/>
      <w:szCs w:val="32"/>
      <w:lang w:val="en-GB"/>
    </w:rPr>
  </w:style>
  <w:style w:type="character" w:customStyle="1" w:styleId="32">
    <w:name w:val="Heading 3 Char"/>
    <w:basedOn w:val="11"/>
    <w:link w:val="4"/>
    <w:uiPriority w:val="9"/>
    <w:rPr>
      <w:rFonts w:eastAsiaTheme="majorEastAsia" w:cstheme="majorBidi"/>
      <w:color w:val="104862" w:themeColor="accent1" w:themeShade="BF"/>
      <w:sz w:val="28"/>
      <w:szCs w:val="28"/>
      <w:lang w:val="en-GB"/>
    </w:rPr>
  </w:style>
  <w:style w:type="character" w:customStyle="1" w:styleId="33">
    <w:name w:val="Heading 4 Char"/>
    <w:basedOn w:val="11"/>
    <w:link w:val="5"/>
    <w:uiPriority w:val="9"/>
    <w:rPr>
      <w:rFonts w:eastAsiaTheme="majorEastAsia" w:cstheme="majorBidi"/>
      <w:i/>
      <w:iCs/>
      <w:color w:val="104862" w:themeColor="accent1" w:themeShade="BF"/>
      <w:lang w:val="en-GB"/>
    </w:rPr>
  </w:style>
  <w:style w:type="character" w:customStyle="1" w:styleId="34">
    <w:name w:val="Heading 5 Char"/>
    <w:basedOn w:val="11"/>
    <w:link w:val="6"/>
    <w:semiHidden/>
    <w:uiPriority w:val="9"/>
    <w:rPr>
      <w:rFonts w:eastAsiaTheme="majorEastAsia" w:cstheme="majorBidi"/>
      <w:color w:val="104862" w:themeColor="accent1" w:themeShade="BF"/>
      <w:lang w:val="en-GB"/>
    </w:rPr>
  </w:style>
  <w:style w:type="character" w:customStyle="1" w:styleId="35">
    <w:name w:val="Heading 6 Char"/>
    <w:basedOn w:val="11"/>
    <w:link w:val="7"/>
    <w:semiHidden/>
    <w:uiPriority w:val="9"/>
    <w:rPr>
      <w:rFonts w:eastAsiaTheme="majorEastAsia" w:cstheme="majorBidi"/>
      <w:i/>
      <w:iCs/>
      <w:color w:val="595959" w:themeColor="text1" w:themeTint="A6"/>
      <w:lang w:val="en-GB"/>
      <w14:textFill>
        <w14:solidFill>
          <w14:schemeClr w14:val="tx1">
            <w14:lumMod w14:val="65000"/>
            <w14:lumOff w14:val="35000"/>
          </w14:schemeClr>
        </w14:solidFill>
      </w14:textFill>
    </w:rPr>
  </w:style>
  <w:style w:type="character" w:customStyle="1" w:styleId="36">
    <w:name w:val="Heading 7 Char"/>
    <w:basedOn w:val="11"/>
    <w:link w:val="8"/>
    <w:semiHidden/>
    <w:uiPriority w:val="9"/>
    <w:rPr>
      <w:rFonts w:eastAsiaTheme="majorEastAsia" w:cstheme="majorBidi"/>
      <w:color w:val="595959" w:themeColor="text1" w:themeTint="A6"/>
      <w:lang w:val="en-GB"/>
      <w14:textFill>
        <w14:solidFill>
          <w14:schemeClr w14:val="tx1">
            <w14:lumMod w14:val="65000"/>
            <w14:lumOff w14:val="35000"/>
          </w14:schemeClr>
        </w14:solidFill>
      </w14:textFill>
    </w:rPr>
  </w:style>
  <w:style w:type="character" w:customStyle="1" w:styleId="37">
    <w:name w:val="Heading 8 Char"/>
    <w:basedOn w:val="11"/>
    <w:link w:val="9"/>
    <w:semiHidden/>
    <w:uiPriority w:val="9"/>
    <w:rPr>
      <w:rFonts w:eastAsiaTheme="majorEastAsia" w:cstheme="majorBidi"/>
      <w:i/>
      <w:iCs/>
      <w:color w:val="262626" w:themeColor="text1" w:themeTint="D9"/>
      <w:lang w:val="en-GB"/>
      <w14:textFill>
        <w14:solidFill>
          <w14:schemeClr w14:val="tx1">
            <w14:lumMod w14:val="85000"/>
            <w14:lumOff w14:val="15000"/>
          </w14:schemeClr>
        </w14:solidFill>
      </w14:textFill>
    </w:rPr>
  </w:style>
  <w:style w:type="character" w:customStyle="1" w:styleId="38">
    <w:name w:val="Heading 9 Char"/>
    <w:basedOn w:val="11"/>
    <w:link w:val="10"/>
    <w:semiHidden/>
    <w:uiPriority w:val="9"/>
    <w:rPr>
      <w:rFonts w:eastAsiaTheme="majorEastAsia" w:cstheme="majorBidi"/>
      <w:color w:val="262626" w:themeColor="text1" w:themeTint="D9"/>
      <w:lang w:val="en-GB"/>
      <w14:textFill>
        <w14:solidFill>
          <w14:schemeClr w14:val="tx1">
            <w14:lumMod w14:val="85000"/>
            <w14:lumOff w14:val="15000"/>
          </w14:schemeClr>
        </w14:solidFill>
      </w14:textFill>
    </w:rPr>
  </w:style>
  <w:style w:type="character" w:customStyle="1" w:styleId="39">
    <w:name w:val="Title Char"/>
    <w:basedOn w:val="11"/>
    <w:link w:val="20"/>
    <w:uiPriority w:val="10"/>
    <w:rPr>
      <w:rFonts w:asciiTheme="majorHAnsi" w:hAnsiTheme="majorHAnsi" w:eastAsiaTheme="majorEastAsia" w:cstheme="majorBidi"/>
      <w:spacing w:val="-10"/>
      <w:kern w:val="28"/>
      <w:sz w:val="56"/>
      <w:szCs w:val="56"/>
      <w:lang w:val="en-GB"/>
    </w:rPr>
  </w:style>
  <w:style w:type="character" w:customStyle="1" w:styleId="40">
    <w:name w:val="Subtitle Char"/>
    <w:basedOn w:val="11"/>
    <w:link w:val="19"/>
    <w:uiPriority w:val="11"/>
    <w:rPr>
      <w:rFonts w:eastAsiaTheme="majorEastAsia" w:cstheme="majorBidi"/>
      <w:color w:val="595959" w:themeColor="text1" w:themeTint="A6"/>
      <w:spacing w:val="15"/>
      <w:sz w:val="28"/>
      <w:szCs w:val="28"/>
      <w:lang w:val="en-GB"/>
      <w14:textFill>
        <w14:solidFill>
          <w14:schemeClr w14:val="tx1">
            <w14:lumMod w14:val="65000"/>
            <w14:lumOff w14:val="35000"/>
          </w14:schemeClr>
        </w14:solidFill>
      </w14:textFill>
    </w:rPr>
  </w:style>
  <w:style w:type="paragraph" w:styleId="41">
    <w:name w:val="Quote"/>
    <w:basedOn w:val="1"/>
    <w:next w:val="1"/>
    <w:link w:val="42"/>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2">
    <w:name w:val="Quote Char"/>
    <w:basedOn w:val="11"/>
    <w:link w:val="41"/>
    <w:uiPriority w:val="29"/>
    <w:rPr>
      <w:i/>
      <w:iCs/>
      <w:color w:val="404040" w:themeColor="text1" w:themeTint="BF"/>
      <w:lang w:val="en-GB"/>
      <w14:textFill>
        <w14:solidFill>
          <w14:schemeClr w14:val="tx1">
            <w14:lumMod w14:val="75000"/>
            <w14:lumOff w14:val="25000"/>
          </w14:schemeClr>
        </w14:solidFill>
      </w14:textFill>
    </w:rPr>
  </w:style>
  <w:style w:type="paragraph" w:styleId="43">
    <w:name w:val="List Paragraph"/>
    <w:basedOn w:val="1"/>
    <w:qFormat/>
    <w:uiPriority w:val="34"/>
    <w:pPr>
      <w:ind w:left="720"/>
      <w:contextualSpacing/>
    </w:pPr>
  </w:style>
  <w:style w:type="character" w:customStyle="1" w:styleId="44">
    <w:name w:val="Intense Emphasis"/>
    <w:basedOn w:val="11"/>
    <w:qFormat/>
    <w:uiPriority w:val="21"/>
    <w:rPr>
      <w:i/>
      <w:iCs/>
      <w:color w:val="104862" w:themeColor="accent1" w:themeShade="BF"/>
    </w:rPr>
  </w:style>
  <w:style w:type="paragraph" w:styleId="45">
    <w:name w:val="Intense Quote"/>
    <w:basedOn w:val="1"/>
    <w:next w:val="1"/>
    <w:link w:val="46"/>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6">
    <w:name w:val="Intense Quote Char"/>
    <w:basedOn w:val="11"/>
    <w:link w:val="45"/>
    <w:uiPriority w:val="30"/>
    <w:rPr>
      <w:i/>
      <w:iCs/>
      <w:color w:val="104862" w:themeColor="accent1" w:themeShade="BF"/>
      <w:lang w:val="en-GB"/>
    </w:rPr>
  </w:style>
  <w:style w:type="character" w:customStyle="1" w:styleId="47">
    <w:name w:val="Intense Reference"/>
    <w:basedOn w:val="11"/>
    <w:qFormat/>
    <w:uiPriority w:val="32"/>
    <w:rPr>
      <w:b/>
      <w:bCs/>
      <w:smallCaps/>
      <w:color w:val="104862" w:themeColor="accent1" w:themeShade="BF"/>
      <w:spacing w:val="5"/>
    </w:rPr>
  </w:style>
  <w:style w:type="table" w:customStyle="1" w:styleId="48">
    <w:name w:val="Grid Table 1 Light"/>
    <w:basedOn w:val="12"/>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character" w:customStyle="1" w:styleId="49">
    <w:name w:val="Header Char"/>
    <w:basedOn w:val="11"/>
    <w:link w:val="14"/>
    <w:uiPriority w:val="99"/>
    <w:rPr>
      <w:lang w:val="en-GB"/>
    </w:rPr>
  </w:style>
  <w:style w:type="character" w:customStyle="1" w:styleId="50">
    <w:name w:val="Footer Char"/>
    <w:basedOn w:val="11"/>
    <w:link w:val="13"/>
    <w:uiPriority w:val="99"/>
    <w:rPr>
      <w:lang w:val="en-GB"/>
    </w:rPr>
  </w:style>
  <w:style w:type="paragraph" w:customStyle="1" w:styleId="51">
    <w:name w:val="TOC Heading"/>
    <w:basedOn w:val="2"/>
    <w:next w:val="1"/>
    <w:unhideWhenUsed/>
    <w:qFormat/>
    <w:uiPriority w:val="39"/>
    <w:pPr>
      <w:spacing w:before="480" w:after="0" w:line="276" w:lineRule="auto"/>
      <w:outlineLvl w:val="9"/>
    </w:pPr>
    <w:rPr>
      <w:bCs/>
      <w:kern w:val="0"/>
      <w:sz w:val="28"/>
      <w:szCs w:val="28"/>
      <w:u w:val="none"/>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http://schemas.openxmlformats.org/officeDocument/2006/bibliography" xmlns:b="http://schemas.openxmlformats.org/officeDocument/2006/bibliography" StyleName="APA" Version="6" SelectedStyle="/APASixthEditionOfficeOnline.xsl"/>
</file>

<file path=customXml/itemProps1.xml><?xml version="1.0" encoding="utf-8"?>
<ds:datastoreItem xmlns:ds="http://schemas.openxmlformats.org/officeDocument/2006/customXml" ds:itemID="{033A4D95-E722-254E-BBFD-C808874876E7}">
  <ds:schemaRefs/>
</ds:datastoreItem>
</file>

<file path=docProps/app.xml><?xml version="1.0" encoding="utf-8"?>
<Properties xmlns="http://schemas.openxmlformats.org/officeDocument/2006/extended-properties" xmlns:vt="http://schemas.openxmlformats.org/officeDocument/2006/docPropsVTypes">
  <Template>Normal.dotm</Template>
  <Pages>31</Pages>
  <Words>6380</Words>
  <Characters>36367</Characters>
  <Lines>303</Lines>
  <Paragraphs>85</Paragraphs>
  <TotalTime>25</TotalTime>
  <ScaleCrop>false</ScaleCrop>
  <LinksUpToDate>false</LinksUpToDate>
  <CharactersWithSpaces>42662</CharactersWithSpaces>
  <Application>WPS Office_12.1.23135.23135_F1E327BC-269C-435d-A152-05C5408002CA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2025-11-24T13:45:00Z</dcterms:created>
  <dc:creator>Aounaiza Ahmed</dc:creator>
  <cp:lastModifiedBy>mac</cp:lastModifiedBy>
  <dcterms:modified xsi:type="dcterms:W3CDTF">2025-11-24T22:59:35Z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1033-12.1.23135.23135</vt:lpwstr>
  </property>
  <property fmtid="{D5CDD505-2E9C-101B-9397-08002B2CF9AE}" pid="3" name="ICV">
    <vt:lpwstr>9C598F36B7C9ACDC079D2469CF242531_42</vt:lpwstr>
  </property>
</Properties>
</file>