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sz w:val="72"/>
          <w:szCs w:val="72"/>
        </w:rPr>
        <w:drawing>
          <wp:inline distB="114300" distT="114300" distL="114300" distR="114300">
            <wp:extent cx="2419350" cy="8763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19350" cy="8763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40" w:before="240" w:lineRule="auto"/>
        <w:ind w:left="-20" w:firstLine="0"/>
        <w:jc w:val="left"/>
        <w:rPr>
          <w:b w:val="1"/>
          <w:sz w:val="50"/>
          <w:szCs w:val="50"/>
        </w:rPr>
      </w:pPr>
      <w:r w:rsidDel="00000000" w:rsidR="00000000" w:rsidRPr="00000000">
        <w:rPr>
          <w:b w:val="1"/>
          <w:sz w:val="50"/>
          <w:szCs w:val="50"/>
          <w:rtl w:val="0"/>
        </w:rPr>
        <w:t xml:space="preserve">BA Business Management</w:t>
      </w:r>
    </w:p>
    <w:p w:rsidR="00000000" w:rsidDel="00000000" w:rsidP="00000000" w:rsidRDefault="00000000" w:rsidRPr="00000000" w14:paraId="00000004">
      <w:pPr>
        <w:spacing w:after="240" w:before="240" w:lineRule="auto"/>
        <w:ind w:left="-20" w:firstLine="0"/>
        <w:jc w:val="left"/>
        <w:rPr>
          <w:b w:val="1"/>
          <w:sz w:val="50"/>
          <w:szCs w:val="50"/>
        </w:rPr>
      </w:pPr>
      <w:r w:rsidDel="00000000" w:rsidR="00000000" w:rsidRPr="00000000">
        <w:rPr>
          <w:b w:val="1"/>
          <w:sz w:val="50"/>
          <w:szCs w:val="50"/>
          <w:rtl w:val="0"/>
        </w:rPr>
        <w:t xml:space="preserve">Assessment 2</w:t>
      </w:r>
    </w:p>
    <w:p w:rsidR="00000000" w:rsidDel="00000000" w:rsidP="00000000" w:rsidRDefault="00000000" w:rsidRPr="00000000" w14:paraId="00000005">
      <w:pPr>
        <w:spacing w:after="240" w:before="240" w:lineRule="auto"/>
        <w:ind w:left="-20" w:firstLine="0"/>
        <w:jc w:val="left"/>
        <w:rPr>
          <w:b w:val="1"/>
          <w:i w:val="1"/>
          <w:sz w:val="50"/>
          <w:szCs w:val="50"/>
          <w:highlight w:val="white"/>
        </w:rPr>
      </w:pPr>
      <w:r w:rsidDel="00000000" w:rsidR="00000000" w:rsidRPr="00000000">
        <w:rPr>
          <w:b w:val="1"/>
          <w:sz w:val="50"/>
          <w:szCs w:val="50"/>
          <w:rtl w:val="0"/>
        </w:rPr>
        <w:t xml:space="preserve">MODULE: </w:t>
      </w:r>
      <w:r w:rsidDel="00000000" w:rsidR="00000000" w:rsidRPr="00000000">
        <w:rPr>
          <w:b w:val="1"/>
          <w:i w:val="1"/>
          <w:sz w:val="50"/>
          <w:szCs w:val="50"/>
          <w:highlight w:val="white"/>
          <w:rtl w:val="0"/>
        </w:rPr>
        <w:t xml:space="preserve">Community Engagement</w:t>
      </w:r>
    </w:p>
    <w:p w:rsidR="00000000" w:rsidDel="00000000" w:rsidP="00000000" w:rsidRDefault="00000000" w:rsidRPr="00000000" w14:paraId="00000006">
      <w:pPr>
        <w:spacing w:after="240" w:before="240" w:lineRule="auto"/>
        <w:ind w:left="-20" w:firstLine="0"/>
        <w:jc w:val="left"/>
        <w:rPr>
          <w:b w:val="1"/>
          <w:sz w:val="50"/>
          <w:szCs w:val="50"/>
        </w:rPr>
      </w:pPr>
      <w:r w:rsidDel="00000000" w:rsidR="00000000" w:rsidRPr="00000000">
        <w:rPr>
          <w:b w:val="1"/>
          <w:sz w:val="50"/>
          <w:szCs w:val="50"/>
          <w:rtl w:val="0"/>
        </w:rPr>
        <w:t xml:space="preserve">Lecturer: Dr. Gregory Cowan</w:t>
      </w:r>
    </w:p>
    <w:p w:rsidR="00000000" w:rsidDel="00000000" w:rsidP="00000000" w:rsidRDefault="00000000" w:rsidRPr="00000000" w14:paraId="00000007">
      <w:pPr>
        <w:spacing w:after="240" w:before="240" w:lineRule="auto"/>
        <w:ind w:left="-20" w:firstLine="0"/>
        <w:jc w:val="left"/>
        <w:rPr>
          <w:b w:val="1"/>
          <w:sz w:val="50"/>
          <w:szCs w:val="50"/>
        </w:rPr>
      </w:pPr>
      <w:r w:rsidDel="00000000" w:rsidR="00000000" w:rsidRPr="00000000">
        <w:rPr>
          <w:b w:val="1"/>
          <w:sz w:val="50"/>
          <w:szCs w:val="50"/>
          <w:rtl w:val="0"/>
        </w:rPr>
        <w:t xml:space="preserve">LCBB4002</w:t>
      </w:r>
    </w:p>
    <w:p w:rsidR="00000000" w:rsidDel="00000000" w:rsidP="00000000" w:rsidRDefault="00000000" w:rsidRPr="00000000" w14:paraId="00000008">
      <w:pPr>
        <w:spacing w:after="240" w:before="240" w:lineRule="auto"/>
        <w:ind w:left="-20" w:firstLine="0"/>
        <w:jc w:val="left"/>
        <w:rPr>
          <w:b w:val="1"/>
          <w:sz w:val="50"/>
          <w:szCs w:val="50"/>
        </w:rPr>
      </w:pPr>
      <w:r w:rsidDel="00000000" w:rsidR="00000000" w:rsidRPr="00000000">
        <w:rPr>
          <w:b w:val="1"/>
          <w:sz w:val="50"/>
          <w:szCs w:val="50"/>
          <w:rtl w:val="0"/>
        </w:rPr>
        <w:t xml:space="preserve">Student: Yoana Dimitrova</w:t>
      </w:r>
    </w:p>
    <w:p w:rsidR="00000000" w:rsidDel="00000000" w:rsidP="00000000" w:rsidRDefault="00000000" w:rsidRPr="00000000" w14:paraId="00000009">
      <w:pPr>
        <w:spacing w:after="240" w:before="240" w:lineRule="auto"/>
        <w:ind w:left="-20" w:firstLine="0"/>
        <w:jc w:val="left"/>
        <w:rPr>
          <w:b w:val="1"/>
          <w:sz w:val="50"/>
          <w:szCs w:val="50"/>
        </w:rPr>
      </w:pPr>
      <w:r w:rsidDel="00000000" w:rsidR="00000000" w:rsidRPr="00000000">
        <w:rPr>
          <w:b w:val="1"/>
          <w:sz w:val="50"/>
          <w:szCs w:val="50"/>
          <w:rtl w:val="0"/>
        </w:rPr>
        <w:t xml:space="preserve">ID: 2021302</w:t>
      </w:r>
    </w:p>
    <w:p w:rsidR="00000000" w:rsidDel="00000000" w:rsidP="00000000" w:rsidRDefault="00000000" w:rsidRPr="00000000" w14:paraId="0000000A">
      <w:pPr>
        <w:spacing w:line="240" w:lineRule="auto"/>
        <w:jc w:val="center"/>
        <w:rPr>
          <w:sz w:val="72"/>
          <w:szCs w:val="72"/>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72"/>
          <w:szCs w:val="72"/>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96"/>
          <w:szCs w:val="96"/>
          <w:u w:val="none"/>
          <w:shd w:fill="auto" w:val="clear"/>
          <w:vertAlign w:val="baseline"/>
        </w:rPr>
      </w:pPr>
      <w:r w:rsidDel="00000000" w:rsidR="00000000" w:rsidRPr="00000000">
        <w:rPr>
          <w:rtl w:val="0"/>
        </w:rPr>
      </w:r>
    </w:p>
    <w:p w:rsidR="00000000" w:rsidDel="00000000" w:rsidP="00000000" w:rsidRDefault="00000000" w:rsidRPr="00000000" w14:paraId="00000013">
      <w:pPr>
        <w:jc w:val="center"/>
        <w:rPr>
          <w:b w:val="0"/>
          <w:sz w:val="72"/>
          <w:szCs w:val="72"/>
          <w:vertAlign w:val="baseline"/>
        </w:rPr>
      </w:pPr>
      <w:r w:rsidDel="00000000" w:rsidR="00000000" w:rsidRPr="00000000">
        <w:rPr>
          <w:rtl w:val="0"/>
        </w:rPr>
      </w:r>
    </w:p>
    <w:p w:rsidR="00000000" w:rsidDel="00000000" w:rsidP="00000000" w:rsidRDefault="00000000" w:rsidRPr="00000000" w14:paraId="00000014">
      <w:pPr>
        <w:keepNext w:val="1"/>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 </w:t>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72"/>
          <w:szCs w:val="72"/>
          <w:u w:val="none"/>
          <w:shd w:fill="auto" w:val="clear"/>
          <w:vertAlign w:val="baseline"/>
        </w:rPr>
      </w:pPr>
      <w:r w:rsidDel="00000000" w:rsidR="00000000" w:rsidRPr="00000000">
        <w:rPr>
          <w:rtl w:val="0"/>
        </w:rPr>
      </w:r>
    </w:p>
    <w:p w:rsidR="00000000" w:rsidDel="00000000" w:rsidP="00000000" w:rsidRDefault="00000000" w:rsidRPr="00000000" w14:paraId="0000001A">
      <w:pPr>
        <w:pStyle w:val="Heading1"/>
        <w:jc w:val="center"/>
        <w:rPr>
          <w:sz w:val="88"/>
          <w:szCs w:val="88"/>
          <w:vertAlign w:val="baseline"/>
        </w:rPr>
      </w:pPr>
      <w:r w:rsidDel="00000000" w:rsidR="00000000" w:rsidRPr="00000000">
        <w:rPr>
          <w:rtl w:val="0"/>
        </w:rPr>
      </w:r>
    </w:p>
    <w:p w:rsidR="00000000" w:rsidDel="00000000" w:rsidP="00000000" w:rsidRDefault="00000000" w:rsidRPr="00000000" w14:paraId="0000001B">
      <w:pPr>
        <w:pStyle w:val="Heading1"/>
        <w:jc w:val="center"/>
        <w:rPr>
          <w:sz w:val="88"/>
          <w:szCs w:val="88"/>
          <w:vertAlign w:val="baseline"/>
        </w:rPr>
      </w:pPr>
      <w:r w:rsidDel="00000000" w:rsidR="00000000" w:rsidRPr="00000000">
        <w:rPr>
          <w:rtl w:val="0"/>
        </w:rPr>
      </w:r>
    </w:p>
    <w:p w:rsidR="00000000" w:rsidDel="00000000" w:rsidP="00000000" w:rsidRDefault="00000000" w:rsidRPr="00000000" w14:paraId="0000001C">
      <w:pPr>
        <w:pStyle w:val="Heading1"/>
        <w:jc w:val="center"/>
        <w:rPr>
          <w:sz w:val="24"/>
          <w:szCs w:val="24"/>
          <w:vertAlign w:val="baseline"/>
        </w:rPr>
      </w:pPr>
      <w:r w:rsidDel="00000000" w:rsidR="00000000" w:rsidRPr="00000000">
        <w:rPr>
          <w:rtl w:val="0"/>
        </w:rPr>
      </w:r>
    </w:p>
    <w:p w:rsidR="00000000" w:rsidDel="00000000" w:rsidP="00000000" w:rsidRDefault="00000000" w:rsidRPr="00000000" w14:paraId="0000001D">
      <w:pPr>
        <w:spacing w:before="113" w:lineRule="auto"/>
        <w:jc w:val="center"/>
        <w:rPr>
          <w:vertAlign w:val="baseline"/>
        </w:rPr>
      </w:pPr>
      <w:r w:rsidDel="00000000" w:rsidR="00000000" w:rsidRPr="00000000">
        <w:rPr>
          <w:rtl w:val="0"/>
        </w:rPr>
      </w:r>
    </w:p>
    <w:p w:rsidR="00000000" w:rsidDel="00000000" w:rsidP="00000000" w:rsidRDefault="00000000" w:rsidRPr="00000000" w14:paraId="0000001E">
      <w:pPr>
        <w:rPr>
          <w:vertAlign w:val="baseline"/>
        </w:rPr>
      </w:pPr>
      <w:r w:rsidDel="00000000" w:rsidR="00000000" w:rsidRPr="00000000">
        <w:rPr>
          <w:rtl w:val="0"/>
        </w:rPr>
      </w:r>
    </w:p>
    <w:p w:rsidR="00000000" w:rsidDel="00000000" w:rsidP="00000000" w:rsidRDefault="00000000" w:rsidRPr="00000000" w14:paraId="0000001F">
      <w:pPr>
        <w:rPr>
          <w:vertAlign w:val="baseline"/>
        </w:rPr>
      </w:pPr>
      <w:r w:rsidDel="00000000" w:rsidR="00000000" w:rsidRPr="00000000">
        <w:rPr>
          <w:rtl w:val="0"/>
        </w:rPr>
      </w:r>
    </w:p>
    <w:p w:rsidR="00000000" w:rsidDel="00000000" w:rsidP="00000000" w:rsidRDefault="00000000" w:rsidRPr="00000000" w14:paraId="00000020">
      <w:pPr>
        <w:rPr>
          <w:vertAlign w:val="baseline"/>
        </w:rPr>
      </w:pPr>
      <w:r w:rsidDel="00000000" w:rsidR="00000000" w:rsidRPr="00000000">
        <w:rPr>
          <w:rtl w:val="0"/>
        </w:rPr>
      </w:r>
    </w:p>
    <w:p w:rsidR="00000000" w:rsidDel="00000000" w:rsidP="00000000" w:rsidRDefault="00000000" w:rsidRPr="00000000" w14:paraId="00000021">
      <w:pPr>
        <w:rPr>
          <w:vertAlign w:val="baseline"/>
        </w:rPr>
      </w:pPr>
      <w:r w:rsidDel="00000000" w:rsidR="00000000" w:rsidRPr="00000000">
        <w:rPr>
          <w:rtl w:val="0"/>
        </w:rPr>
      </w:r>
    </w:p>
    <w:p w:rsidR="00000000" w:rsidDel="00000000" w:rsidP="00000000" w:rsidRDefault="00000000" w:rsidRPr="00000000" w14:paraId="00000022">
      <w:pPr>
        <w:rPr>
          <w:vertAlign w:val="baseline"/>
        </w:rPr>
      </w:pPr>
      <w:r w:rsidDel="00000000" w:rsidR="00000000" w:rsidRPr="00000000">
        <w:rPr>
          <w:rtl w:val="0"/>
        </w:rPr>
      </w:r>
    </w:p>
    <w:p w:rsidR="00000000" w:rsidDel="00000000" w:rsidP="00000000" w:rsidRDefault="00000000" w:rsidRPr="00000000" w14:paraId="00000023">
      <w:pPr>
        <w:rPr>
          <w:vertAlign w:val="baseline"/>
        </w:rPr>
      </w:pPr>
      <w:r w:rsidDel="00000000" w:rsidR="00000000" w:rsidRPr="00000000">
        <w:rPr>
          <w:rtl w:val="0"/>
        </w:rPr>
      </w:r>
    </w:p>
    <w:p w:rsidR="00000000" w:rsidDel="00000000" w:rsidP="00000000" w:rsidRDefault="00000000" w:rsidRPr="00000000" w14:paraId="00000024">
      <w:pPr>
        <w:rPr>
          <w:vertAlign w:val="baseline"/>
        </w:rPr>
      </w:pPr>
      <w:r w:rsidDel="00000000" w:rsidR="00000000" w:rsidRPr="00000000">
        <w:rPr>
          <w:rtl w:val="0"/>
        </w:rPr>
      </w:r>
    </w:p>
    <w:p w:rsidR="00000000" w:rsidDel="00000000" w:rsidP="00000000" w:rsidRDefault="00000000" w:rsidRPr="00000000" w14:paraId="00000025">
      <w:pPr>
        <w:rPr>
          <w:vertAlign w:val="baseline"/>
        </w:rPr>
      </w:pPr>
      <w:r w:rsidDel="00000000" w:rsidR="00000000" w:rsidRPr="00000000">
        <w:rPr>
          <w:rtl w:val="0"/>
        </w:rPr>
      </w:r>
    </w:p>
    <w:p w:rsidR="00000000" w:rsidDel="00000000" w:rsidP="00000000" w:rsidRDefault="00000000" w:rsidRPr="00000000" w14:paraId="00000026">
      <w:pPr>
        <w:rPr>
          <w:vertAlign w:val="baseline"/>
        </w:rPr>
      </w:pPr>
      <w:r w:rsidDel="00000000" w:rsidR="00000000" w:rsidRPr="00000000">
        <w:rPr>
          <w:rtl w:val="0"/>
        </w:rPr>
      </w:r>
    </w:p>
    <w:p w:rsidR="00000000" w:rsidDel="00000000" w:rsidP="00000000" w:rsidRDefault="00000000" w:rsidRPr="00000000" w14:paraId="00000027">
      <w:pPr>
        <w:rPr>
          <w:vertAlign w:val="baseline"/>
        </w:rPr>
      </w:pPr>
      <w:r w:rsidDel="00000000" w:rsidR="00000000" w:rsidRPr="00000000">
        <w:rPr>
          <w:rtl w:val="0"/>
        </w:rPr>
      </w:r>
    </w:p>
    <w:p w:rsidR="00000000" w:rsidDel="00000000" w:rsidP="00000000" w:rsidRDefault="00000000" w:rsidRPr="00000000" w14:paraId="00000028">
      <w:pPr>
        <w:rPr>
          <w:vertAlign w:val="baseline"/>
        </w:rPr>
      </w:pPr>
      <w:bookmarkStart w:colFirst="0" w:colLast="0" w:name="_heading=h.gjdgxs" w:id="0"/>
      <w:bookmarkEnd w:id="0"/>
      <w:r w:rsidDel="00000000" w:rsidR="00000000" w:rsidRPr="00000000">
        <w:rPr>
          <w:rtl w:val="0"/>
        </w:rPr>
      </w:r>
    </w:p>
    <w:p w:rsidR="00000000" w:rsidDel="00000000" w:rsidP="00000000" w:rsidRDefault="00000000" w:rsidRPr="00000000" w14:paraId="00000029">
      <w:pPr>
        <w:pStyle w:val="Heading1"/>
        <w:numPr>
          <w:ilvl w:val="0"/>
          <w:numId w:val="1"/>
        </w:numPr>
        <w:ind w:left="432" w:hanging="432"/>
        <w:rPr>
          <w:vertAlign w:val="baseline"/>
        </w:rPr>
      </w:pP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14:paraId="0000002A">
      <w:pPr>
        <w:rPr>
          <w:vertAlign w:val="baseline"/>
        </w:rPr>
      </w:pPr>
      <w:bookmarkStart w:colFirst="0" w:colLast="0" w:name="_heading=h.30j0zll" w:id="1"/>
      <w:bookmarkEnd w:id="1"/>
      <w:r w:rsidDel="00000000" w:rsidR="00000000" w:rsidRPr="00000000">
        <w:rPr>
          <w:vertAlign w:val="baseline"/>
          <w:rtl w:val="0"/>
        </w:rPr>
        <w:tab/>
        <w:t xml:space="preserve">Reflective analysis the method of continuous learning from project experiences and practices.   This helps to evaluate the all-important factors of the previous assessment and experiences, such as best performance, felling, efforts, achievements, improvements and skills or knowledge’s development (Miller, Snook and Yoder, 2020).  In context to which further more planning is can be done, according to requirement and results analysed from that.   Community engagement is the process of collective working and efforts of different groups in context to the social well-being.  John Lewis &amp; partners is the British company work as supermarket and departmental store. This organisation has been operated the community engagement program with different approaches and practices. In this report   reflective analysis of community engagement program and practices effectiveness is done.   </w:t>
      </w:r>
    </w:p>
    <w:p w:rsidR="00000000" w:rsidDel="00000000" w:rsidP="00000000" w:rsidRDefault="00000000" w:rsidRPr="00000000" w14:paraId="0000002B">
      <w:pPr>
        <w:pStyle w:val="Heading1"/>
        <w:numPr>
          <w:ilvl w:val="0"/>
          <w:numId w:val="1"/>
        </w:numPr>
        <w:ind w:left="432" w:hanging="432"/>
        <w:rPr>
          <w:vertAlign w:val="baseline"/>
        </w:rPr>
      </w:pPr>
      <w:r w:rsidDel="00000000" w:rsidR="00000000" w:rsidRPr="00000000">
        <w:rPr>
          <w:b w:val="1"/>
          <w:vertAlign w:val="baseline"/>
          <w:rtl w:val="0"/>
        </w:rPr>
        <w:t xml:space="preserve">MAIN BODY </w:t>
      </w:r>
      <w:r w:rsidDel="00000000" w:rsidR="00000000" w:rsidRPr="00000000">
        <w:rPr>
          <w:rtl w:val="0"/>
        </w:rPr>
      </w:r>
    </w:p>
    <w:p w:rsidR="00000000" w:rsidDel="00000000" w:rsidP="00000000" w:rsidRDefault="00000000" w:rsidRPr="00000000" w14:paraId="0000002C">
      <w:pPr>
        <w:rPr>
          <w:b w:val="0"/>
          <w:vertAlign w:val="baseline"/>
        </w:rPr>
      </w:pPr>
      <w:r w:rsidDel="00000000" w:rsidR="00000000" w:rsidRPr="00000000">
        <w:rPr>
          <w:vertAlign w:val="baseline"/>
          <w:rtl w:val="0"/>
        </w:rPr>
        <w:tab/>
        <w:t xml:space="preserve">In John Lewis &amp; partners community engagement program I was leading the leading the all practices of community care by making proper research and identification the community challenges and selection of the effective strategies or actions plans which has been incorporated in the challenges management project plan.   Along with management of community engagement and contribution of every one (Johnstone and Hansen, 2020).  In 2019 I worked with company in project name Community matters “bringing quality to life” which was engaged in various community supporting program such as donation of the £3000 in between three group.  Then we managed hunger free future campaign.  Tesco’s Bags of Help funding scheme,  this is the charity programmer run by the Tesco in context to the community well-being.  This had been provided more than  £ 52 million over the 16,00 local community  since its launch in 2015.   in that project money raised by the sale of carrier bags  benefits of which used to fund local projects , grants ranging from  £1,000 and  £4,000 in range of the community group across Britain. </w:t>
      </w:r>
      <w:r w:rsidDel="00000000" w:rsidR="00000000" w:rsidRPr="00000000">
        <w:rPr>
          <w:rtl w:val="0"/>
        </w:rPr>
      </w:r>
    </w:p>
    <w:p w:rsidR="00000000" w:rsidDel="00000000" w:rsidP="00000000" w:rsidRDefault="00000000" w:rsidRPr="00000000" w14:paraId="0000002D">
      <w:pPr>
        <w:rPr>
          <w:vertAlign w:val="baseline"/>
        </w:rPr>
      </w:pPr>
      <w:r w:rsidDel="00000000" w:rsidR="00000000" w:rsidRPr="00000000">
        <w:rPr>
          <w:b w:val="1"/>
          <w:vertAlign w:val="baseline"/>
          <w:rtl w:val="0"/>
        </w:rPr>
        <w:t xml:space="preserve">Evaluate the best practices on their community engagement approaches</w:t>
      </w:r>
      <w:r w:rsidDel="00000000" w:rsidR="00000000" w:rsidRPr="00000000">
        <w:rPr>
          <w:rtl w:val="0"/>
        </w:rPr>
      </w:r>
    </w:p>
    <w:p w:rsidR="00000000" w:rsidDel="00000000" w:rsidP="00000000" w:rsidRDefault="00000000" w:rsidRPr="00000000" w14:paraId="0000002E">
      <w:pPr>
        <w:rPr>
          <w:b w:val="0"/>
          <w:vertAlign w:val="baseline"/>
        </w:rPr>
      </w:pPr>
      <w:r w:rsidDel="00000000" w:rsidR="00000000" w:rsidRPr="00000000">
        <w:rPr>
          <w:vertAlign w:val="baseline"/>
          <w:rtl w:val="0"/>
        </w:rPr>
        <w:tab/>
        <w:t xml:space="preserve">John Lewis &amp; partners has contributed in some of the charity programs like, Hunger free future campaign: the company has actively participated in the campaign called hunger free future and donated approx.  £170000 to the Trusell Trust. The Salvation Army, Samaritans, Marie Curie and St Mungo’s are the charities in which the company has donated the funds that they have raised from Christmas cards along with 10% of the sales of Waitrose and Lewis. The funds that was donated by the company was above £250000.   Tesco community engagement practices are involving customers, employees and operational participants along with the government to make effective social care plan and achieve all goals of community well-being.   In other hand the community engagement practices of John Lewis &amp; partners  is different from TESCO due to their secondary approaches in community engagement and there are note making and modifying any internal operation changes for funding (Sung and Hepworth, 2017) . </w:t>
      </w:r>
      <w:r w:rsidDel="00000000" w:rsidR="00000000" w:rsidRPr="00000000">
        <w:rPr>
          <w:rtl w:val="0"/>
        </w:rPr>
      </w:r>
    </w:p>
    <w:p w:rsidR="00000000" w:rsidDel="00000000" w:rsidP="00000000" w:rsidRDefault="00000000" w:rsidRPr="00000000" w14:paraId="0000002F">
      <w:pPr>
        <w:rPr>
          <w:vertAlign w:val="baseline"/>
        </w:rPr>
      </w:pPr>
      <w:r w:rsidDel="00000000" w:rsidR="00000000" w:rsidRPr="00000000">
        <w:rPr>
          <w:b w:val="1"/>
          <w:vertAlign w:val="baseline"/>
          <w:rtl w:val="0"/>
        </w:rPr>
        <w:t xml:space="preserve">Reflect on what they do differently and why</w:t>
      </w:r>
      <w:r w:rsidDel="00000000" w:rsidR="00000000" w:rsidRPr="00000000">
        <w:rPr>
          <w:rtl w:val="0"/>
        </w:rPr>
      </w:r>
    </w:p>
    <w:p w:rsidR="00000000" w:rsidDel="00000000" w:rsidP="00000000" w:rsidRDefault="00000000" w:rsidRPr="00000000" w14:paraId="00000030">
      <w:pPr>
        <w:rPr>
          <w:u w:val="single"/>
          <w:vertAlign w:val="baseline"/>
        </w:rPr>
      </w:pPr>
      <w:r w:rsidDel="00000000" w:rsidR="00000000" w:rsidRPr="00000000">
        <w:rPr>
          <w:vertAlign w:val="baseline"/>
          <w:rtl w:val="0"/>
        </w:rPr>
        <w:tab/>
        <w:t xml:space="preserve">Tesco is making their own community and social care programs , and in other hand John Lewis &amp; partners  is contributing in other different community care programs .  Tesco is rising their money for social care program through  their own business activities like product selling worth the aim of contributing its benefits part in fund such as sale of carrier bags  benefits of which used to fund local projects , grants ranging from  £1,000 and  £4,000 and  John Lewis &amp; partners use different sources of funding  for  social care programs such as,  they have raised from Christmas cards along with 10% of the sales of Waitrose in context to the Marie Curie and St Mungo’s are the charities.   John Lewis &amp; partners participate in the different community engagement programs  for example it has contributes in Hunger free future campaign  and £170000 to the Trusell Trust was donated. Organization practices are different from Tesco because company is following the aim  of supporting all community care  programs and companies . In order to smoothly manage that without causing any complication and stress of the project  John Lewis &amp; partners participate as second party contributor without making the direct efforts. Different to that Tesco is managing their own charity programs with objective of effectively sustainability approaches and organization success through employees skills de4vlopment and organization knowledge improvement (Bedford and et.al., 2017). </w:t>
      </w:r>
      <w:r w:rsidDel="00000000" w:rsidR="00000000" w:rsidRPr="00000000">
        <w:rPr>
          <w:rtl w:val="0"/>
        </w:rPr>
      </w:r>
    </w:p>
    <w:p w:rsidR="00000000" w:rsidDel="00000000" w:rsidP="00000000" w:rsidRDefault="00000000" w:rsidRPr="00000000" w14:paraId="00000031">
      <w:pPr>
        <w:rPr>
          <w:vertAlign w:val="baseline"/>
        </w:rPr>
      </w:pPr>
      <w:r w:rsidDel="00000000" w:rsidR="00000000" w:rsidRPr="00000000">
        <w:rPr>
          <w:u w:val="single"/>
          <w:vertAlign w:val="baseline"/>
          <w:rtl w:val="0"/>
        </w:rPr>
        <w:t xml:space="preserve">Analysis of practices improvement impact </w:t>
      </w:r>
      <w:r w:rsidDel="00000000" w:rsidR="00000000" w:rsidRPr="00000000">
        <w:rPr>
          <w:rtl w:val="0"/>
        </w:rPr>
      </w:r>
    </w:p>
    <w:p w:rsidR="00000000" w:rsidDel="00000000" w:rsidP="00000000" w:rsidRDefault="00000000" w:rsidRPr="00000000" w14:paraId="00000032">
      <w:pPr>
        <w:rPr>
          <w:vertAlign w:val="baseline"/>
        </w:rPr>
      </w:pPr>
      <w:r w:rsidDel="00000000" w:rsidR="00000000" w:rsidRPr="00000000">
        <w:rPr>
          <w:vertAlign w:val="baseline"/>
          <w:rtl w:val="0"/>
        </w:rPr>
        <w:tab/>
        <w:t xml:space="preserve">Difference in the community engagement plan  can possess various effects  such as customers, employees, vendor’s and investors, government are the important stakeholder of the organization and they play very essential role in business growth, development and business plan. So in context to the management and success of effective community engagement program that is important  to make effective communication, partnership and inclusion among them.  Organization Community matters “ bringing quality to life”   project is can be more effective and progressive is this will maintain the effective communication among each stakeholder. </w:t>
      </w:r>
    </w:p>
    <w:p w:rsidR="00000000" w:rsidDel="00000000" w:rsidP="00000000" w:rsidRDefault="00000000" w:rsidRPr="00000000" w14:paraId="00000033">
      <w:pPr>
        <w:rPr>
          <w:b w:val="0"/>
          <w:vertAlign w:val="baseline"/>
        </w:rPr>
      </w:pPr>
      <w:r w:rsidDel="00000000" w:rsidR="00000000" w:rsidRPr="00000000">
        <w:rPr>
          <w:vertAlign w:val="baseline"/>
          <w:rtl w:val="0"/>
        </w:rPr>
        <w:tab/>
      </w:r>
      <w:r w:rsidDel="00000000" w:rsidR="00000000" w:rsidRPr="00000000">
        <w:rPr>
          <w:b w:val="1"/>
          <w:vertAlign w:val="baseline"/>
          <w:rtl w:val="0"/>
        </w:rPr>
        <w:t xml:space="preserve">Communication improvement among the stakeholders- </w:t>
      </w:r>
      <w:r w:rsidDel="00000000" w:rsidR="00000000" w:rsidRPr="00000000">
        <w:rPr>
          <w:vertAlign w:val="baseline"/>
          <w:rtl w:val="0"/>
        </w:rPr>
        <w:t xml:space="preserve">Customers are key stakeholder who’s needs and requirement should coordinated with the development of new product and services. And in context to the community engagement program customers have to be properly informed and coordinated so that they can get influence to make their effort on community well-being by purchasing products profit of which collected to community funding.  Employees are another key stakeholder of the organization who have to be properly coordinated and informed about their role in community engagement programs due to which company can achieve all project related objectives within right time  (Roberts, 2018) . Their self participation contribute in development of more knowledge bout  organization sustainability and growth strategies. Their should be the proper structure and tool of stakeholders communication which will help to gain best participation of each and every stakeholders, with effective inclusion. </w:t>
      </w:r>
      <w:r w:rsidDel="00000000" w:rsidR="00000000" w:rsidRPr="00000000">
        <w:rPr>
          <w:rtl w:val="0"/>
        </w:rPr>
      </w:r>
    </w:p>
    <w:p w:rsidR="00000000" w:rsidDel="00000000" w:rsidP="00000000" w:rsidRDefault="00000000" w:rsidRPr="00000000" w14:paraId="00000034">
      <w:pPr>
        <w:rPr>
          <w:b w:val="0"/>
          <w:vertAlign w:val="baseline"/>
        </w:rPr>
      </w:pPr>
      <w:r w:rsidDel="00000000" w:rsidR="00000000" w:rsidRPr="00000000">
        <w:rPr>
          <w:b w:val="1"/>
          <w:vertAlign w:val="baseline"/>
          <w:rtl w:val="0"/>
        </w:rPr>
        <w:tab/>
        <w:t xml:space="preserve">Stakeholders participation and inclusion -  </w:t>
      </w:r>
      <w:r w:rsidDel="00000000" w:rsidR="00000000" w:rsidRPr="00000000">
        <w:rPr>
          <w:vertAlign w:val="baseline"/>
          <w:rtl w:val="0"/>
        </w:rPr>
        <w:t xml:space="preserve">difference and improvement in stakeholders partnership and inclusion will make huge improvement and financial smooth processing of all community engagement and service practices.  Such as government is important stakeholder of the company effective participation and inclusion of which is very beneficial as it help to make faire trading and prevent the company to take unfair advantages of society due to which organization values and community engagement project  will be managed in best position at market.  Investors of the organization have well informed and involved in the community care program.  Because this will helps to manage the funds and charity plan effectively without any financial issues. </w:t>
      </w:r>
      <w:r w:rsidDel="00000000" w:rsidR="00000000" w:rsidRPr="00000000">
        <w:rPr>
          <w:rtl w:val="0"/>
        </w:rPr>
      </w:r>
    </w:p>
    <w:p w:rsidR="00000000" w:rsidDel="00000000" w:rsidP="00000000" w:rsidRDefault="00000000" w:rsidRPr="00000000" w14:paraId="00000035">
      <w:pPr>
        <w:rPr>
          <w:vertAlign w:val="baseline"/>
        </w:rPr>
      </w:pPr>
      <w:r w:rsidDel="00000000" w:rsidR="00000000" w:rsidRPr="00000000">
        <w:rPr>
          <w:b w:val="1"/>
          <w:vertAlign w:val="baseline"/>
          <w:rtl w:val="0"/>
        </w:rPr>
        <w:t xml:space="preserve">Reflective analysis of research practices </w:t>
      </w:r>
      <w:r w:rsidDel="00000000" w:rsidR="00000000" w:rsidRPr="00000000">
        <w:rPr>
          <w:rtl w:val="0"/>
        </w:rPr>
      </w:r>
    </w:p>
    <w:p w:rsidR="00000000" w:rsidDel="00000000" w:rsidP="00000000" w:rsidRDefault="00000000" w:rsidRPr="00000000" w14:paraId="00000036">
      <w:pPr>
        <w:rPr>
          <w:vertAlign w:val="baseline"/>
        </w:rPr>
      </w:pPr>
      <w:r w:rsidDel="00000000" w:rsidR="00000000" w:rsidRPr="00000000">
        <w:rPr>
          <w:vertAlign w:val="baseline"/>
          <w:rtl w:val="0"/>
        </w:rPr>
        <w:tab/>
        <w:t xml:space="preserve">John Lewis &amp; partners  Community matters “ bringing quality to life”  project was developed and managed with the help of proper research practices , primary and secondary research was did with the quantitative and qualitative approaches of research.  By the aid of these research strategies interview, literature review and new evaluation is done  to collect the information of community needs and plan effective project in context to management and care of community. Research of the stakeholder is done in context to the analysis of their interest and participation abilities.  As the customers, employees and  investors  information was important to make effective strategies for community engagement project.  </w:t>
      </w:r>
    </w:p>
    <w:p w:rsidR="00000000" w:rsidDel="00000000" w:rsidP="00000000" w:rsidRDefault="00000000" w:rsidRPr="00000000" w14:paraId="00000037">
      <w:pPr>
        <w:rPr>
          <w:vertAlign w:val="baseline"/>
        </w:rPr>
      </w:pPr>
      <w:r w:rsidDel="00000000" w:rsidR="00000000" w:rsidRPr="00000000">
        <w:rPr>
          <w:rtl w:val="0"/>
        </w:rPr>
      </w:r>
    </w:p>
    <w:p w:rsidR="00000000" w:rsidDel="00000000" w:rsidP="00000000" w:rsidRDefault="00000000" w:rsidRPr="00000000" w14:paraId="00000038">
      <w:pPr>
        <w:rPr>
          <w:b w:val="0"/>
          <w:vertAlign w:val="baseline"/>
        </w:rPr>
      </w:pPr>
      <w:r w:rsidDel="00000000" w:rsidR="00000000" w:rsidRPr="00000000">
        <w:rPr>
          <w:b w:val="1"/>
          <w:vertAlign w:val="baseline"/>
          <w:rtl w:val="0"/>
        </w:rPr>
        <w:tab/>
        <w:t xml:space="preserve">Community mapping –</w:t>
      </w:r>
      <w:r w:rsidDel="00000000" w:rsidR="00000000" w:rsidRPr="00000000">
        <w:rPr>
          <w:vertAlign w:val="baseline"/>
          <w:rtl w:val="0"/>
        </w:rPr>
        <w:t xml:space="preserve"> In order  identify the assets and opportunities from the residents in context to the project that is important to make effective community mapping , such as John Lewis &amp; partners  community engagement program  map was effectively managed and developed with proper planning and step by practices.  First effective team of the assessment establish, then identification and securing of the resources is done  along with the proper engagement of community partners.  All the essential data was collected, analyzed and presented to the partners .  Issues of the community get clarified and further proceed with the goal setting and progress measurement (Aslam and Gunaratna, 2019) . </w:t>
      </w:r>
      <w:r w:rsidDel="00000000" w:rsidR="00000000" w:rsidRPr="00000000">
        <w:rPr>
          <w:rtl w:val="0"/>
        </w:rPr>
      </w:r>
    </w:p>
    <w:p w:rsidR="00000000" w:rsidDel="00000000" w:rsidP="00000000" w:rsidRDefault="00000000" w:rsidRPr="00000000" w14:paraId="00000039">
      <w:pPr>
        <w:rPr>
          <w:b w:val="0"/>
          <w:vertAlign w:val="baseline"/>
        </w:rPr>
      </w:pPr>
      <w:r w:rsidDel="00000000" w:rsidR="00000000" w:rsidRPr="00000000">
        <w:rPr>
          <w:b w:val="1"/>
          <w:vertAlign w:val="baseline"/>
          <w:rtl w:val="0"/>
        </w:rPr>
        <w:t xml:space="preserve">Social media engagement-  </w:t>
      </w:r>
      <w:r w:rsidDel="00000000" w:rsidR="00000000" w:rsidRPr="00000000">
        <w:rPr>
          <w:rtl w:val="0"/>
        </w:rPr>
      </w:r>
    </w:p>
    <w:p w:rsidR="00000000" w:rsidDel="00000000" w:rsidP="00000000" w:rsidRDefault="00000000" w:rsidRPr="00000000" w14:paraId="0000003A">
      <w:pPr>
        <w:rPr>
          <w:vertAlign w:val="baseline"/>
        </w:rPr>
      </w:pPr>
      <w:r w:rsidDel="00000000" w:rsidR="00000000" w:rsidRPr="00000000">
        <w:rPr>
          <w:b w:val="1"/>
          <w:vertAlign w:val="baseline"/>
          <w:rtl w:val="0"/>
        </w:rPr>
        <w:tab/>
      </w:r>
      <w:r w:rsidDel="00000000" w:rsidR="00000000" w:rsidRPr="00000000">
        <w:rPr>
          <w:vertAlign w:val="baseline"/>
          <w:rtl w:val="0"/>
        </w:rPr>
        <w:t xml:space="preserve">This is the process of social media application in context to the  development of project awerness among the community, which helps in the collection of more community support of social welfare.  This further involves the measurement of comments, likes, shares in order to analyses the level of response achieved by the project. Such as in context to the John Lewis &amp; partners  community engagement program , organization given their marketing activities control to the employees due to which organization has driven stronger consumers  and improved the employees engagement.  Organization have achieved the success in plan by the implementation of new technology  such as mobile phone application and new social media app was used to extract benefits for community engagement program awarness due to which higher fund is collected for the community programs. </w:t>
      </w:r>
    </w:p>
    <w:p w:rsidR="00000000" w:rsidDel="00000000" w:rsidP="00000000" w:rsidRDefault="00000000" w:rsidRPr="00000000" w14:paraId="0000003B">
      <w:pPr>
        <w:rPr>
          <w:vertAlign w:val="baseline"/>
        </w:rPr>
      </w:pPr>
      <w:r w:rsidDel="00000000" w:rsidR="00000000" w:rsidRPr="00000000">
        <w:rPr>
          <w:vertAlign w:val="baseline"/>
          <w:rtl w:val="0"/>
        </w:rPr>
        <w:t xml:space="preserve">Impact analysis -</w:t>
      </w:r>
    </w:p>
    <w:p w:rsidR="00000000" w:rsidDel="00000000" w:rsidP="00000000" w:rsidRDefault="00000000" w:rsidRPr="00000000" w14:paraId="0000003C">
      <w:pPr>
        <w:rPr>
          <w:b w:val="0"/>
          <w:vertAlign w:val="baseline"/>
        </w:rPr>
      </w:pPr>
      <w:r w:rsidDel="00000000" w:rsidR="00000000" w:rsidRPr="00000000">
        <w:rPr>
          <w:vertAlign w:val="baseline"/>
          <w:rtl w:val="0"/>
        </w:rPr>
        <w:tab/>
        <w:t xml:space="preserve">Company achieved higher success in the community care programs and along with this organization sustainability values and goal achievements related to the benefits of sustainable approach is successfully achieved.  Community programs are always beneficial for each and every organization in terms of brand value development and society satisfaction. Such as John Lewis &amp; partners  Community matters “ bringing quality to life”  project has impacted the organization growth and development by contributing in the development of various opportunities for organization, because company project was very sustainability and meeting the sustainability standards of due to which government supported the organization global development by offering various benefits and opportunities.  Employees of the organization performance and behavior towards the organization also get more effective and positive.  Investors relationship get more stronger due to the success of project (Farner,  2019) . </w:t>
      </w:r>
      <w:r w:rsidDel="00000000" w:rsidR="00000000" w:rsidRPr="00000000">
        <w:rPr>
          <w:rtl w:val="0"/>
        </w:rPr>
      </w:r>
    </w:p>
    <w:p w:rsidR="00000000" w:rsidDel="00000000" w:rsidP="00000000" w:rsidRDefault="00000000" w:rsidRPr="00000000" w14:paraId="0000003D">
      <w:pPr>
        <w:rPr>
          <w:vertAlign w:val="baseline"/>
        </w:rPr>
      </w:pPr>
      <w:r w:rsidDel="00000000" w:rsidR="00000000" w:rsidRPr="00000000">
        <w:rPr>
          <w:b w:val="1"/>
          <w:vertAlign w:val="baseline"/>
          <w:rtl w:val="0"/>
        </w:rPr>
        <w:t xml:space="preserve">Justification of the best practices -</w:t>
      </w:r>
      <w:r w:rsidDel="00000000" w:rsidR="00000000" w:rsidRPr="00000000">
        <w:rPr>
          <w:rtl w:val="0"/>
        </w:rPr>
      </w:r>
    </w:p>
    <w:p w:rsidR="00000000" w:rsidDel="00000000" w:rsidP="00000000" w:rsidRDefault="00000000" w:rsidRPr="00000000" w14:paraId="0000003E">
      <w:pPr>
        <w:rPr>
          <w:b w:val="0"/>
          <w:vertAlign w:val="baseline"/>
        </w:rPr>
      </w:pPr>
      <w:r w:rsidDel="00000000" w:rsidR="00000000" w:rsidRPr="00000000">
        <w:rPr>
          <w:vertAlign w:val="baseline"/>
          <w:rtl w:val="0"/>
        </w:rPr>
        <w:tab/>
        <w:t xml:space="preserve">social medial approaches of organization were very effective along with stakeholders partnership. Because due to this organization had made effective coordination, goal achievements and community care funding.  Such as marketing function of the organization were  accomplished by the employees , who had effectively applied their customers and community knowledge in social care program.  Government was coordinated at each step without any mistakes and correct information flow (Ryan and et.al., 2020).  The funding program practices was also best and contributed in the social care and support.  Some other community engagement practices are illustrated below which were very effective. </w:t>
      </w:r>
      <w:r w:rsidDel="00000000" w:rsidR="00000000" w:rsidRPr="00000000">
        <w:rPr>
          <w:rtl w:val="0"/>
        </w:rPr>
      </w:r>
    </w:p>
    <w:p w:rsidR="00000000" w:rsidDel="00000000" w:rsidP="00000000" w:rsidRDefault="00000000" w:rsidRPr="00000000" w14:paraId="0000003F">
      <w:pPr>
        <w:rPr>
          <w:b w:val="0"/>
          <w:vertAlign w:val="baseline"/>
        </w:rPr>
      </w:pPr>
      <w:r w:rsidDel="00000000" w:rsidR="00000000" w:rsidRPr="00000000">
        <w:rPr>
          <w:b w:val="1"/>
          <w:vertAlign w:val="baseline"/>
          <w:rtl w:val="0"/>
        </w:rPr>
        <w:tab/>
        <w:t xml:space="preserve">Health and wellbeing- </w:t>
      </w:r>
      <w:r w:rsidDel="00000000" w:rsidR="00000000" w:rsidRPr="00000000">
        <w:rPr>
          <w:vertAlign w:val="baseline"/>
          <w:rtl w:val="0"/>
        </w:rPr>
        <w:t xml:space="preserve">in context to the social well-being one of the best practices of organization were their approach of health specialists development and training in order to provide best health care services to the poor peoples and lower cost. </w:t>
      </w:r>
      <w:r w:rsidDel="00000000" w:rsidR="00000000" w:rsidRPr="00000000">
        <w:rPr>
          <w:rtl w:val="0"/>
        </w:rPr>
      </w:r>
    </w:p>
    <w:p w:rsidR="00000000" w:rsidDel="00000000" w:rsidP="00000000" w:rsidRDefault="00000000" w:rsidRPr="00000000" w14:paraId="00000040">
      <w:pPr>
        <w:rPr>
          <w:b w:val="0"/>
          <w:vertAlign w:val="baseline"/>
        </w:rPr>
      </w:pPr>
      <w:r w:rsidDel="00000000" w:rsidR="00000000" w:rsidRPr="00000000">
        <w:rPr>
          <w:b w:val="1"/>
          <w:vertAlign w:val="baseline"/>
          <w:rtl w:val="0"/>
        </w:rPr>
        <w:tab/>
        <w:t xml:space="preserve">Job opportunities:  </w:t>
      </w:r>
      <w:r w:rsidDel="00000000" w:rsidR="00000000" w:rsidRPr="00000000">
        <w:rPr>
          <w:vertAlign w:val="baseline"/>
          <w:rtl w:val="0"/>
        </w:rPr>
        <w:t xml:space="preserve">such as in order to improve the community condition organization has provided various job opportunities along with management of health working environment. Which has contributed in the society well-being and development . Organization helped the people to improve their finical stabilities and increase the standards of living.  This practices is one of the best as it has also contributed at the economical development. </w:t>
      </w:r>
      <w:r w:rsidDel="00000000" w:rsidR="00000000" w:rsidRPr="00000000">
        <w:rPr>
          <w:rtl w:val="0"/>
        </w:rPr>
      </w:r>
    </w:p>
    <w:p w:rsidR="00000000" w:rsidDel="00000000" w:rsidP="00000000" w:rsidRDefault="00000000" w:rsidRPr="00000000" w14:paraId="00000041">
      <w:pPr>
        <w:rPr>
          <w:b w:val="0"/>
          <w:vertAlign w:val="baseline"/>
        </w:rPr>
      </w:pPr>
      <w:r w:rsidDel="00000000" w:rsidR="00000000" w:rsidRPr="00000000">
        <w:rPr>
          <w:b w:val="1"/>
          <w:vertAlign w:val="baseline"/>
          <w:rtl w:val="0"/>
        </w:rPr>
        <w:tab/>
        <w:t xml:space="preserve">Diversity and inclusion: </w:t>
      </w:r>
      <w:r w:rsidDel="00000000" w:rsidR="00000000" w:rsidRPr="00000000">
        <w:rPr>
          <w:vertAlign w:val="baseline"/>
          <w:rtl w:val="0"/>
        </w:rPr>
        <w:t xml:space="preserve">in context to the sustainability and effective community engagement that was very important to get the best contribution of employees, which was effectively done by offering the growth opportunities and benefits to them. And in return employed had given their best in community engagement and social well-being programs with their complete efforts (Ersoy, 2017) . </w:t>
      </w:r>
      <w:r w:rsidDel="00000000" w:rsidR="00000000" w:rsidRPr="00000000">
        <w:rPr>
          <w:rtl w:val="0"/>
        </w:rPr>
      </w:r>
    </w:p>
    <w:p w:rsidR="00000000" w:rsidDel="00000000" w:rsidP="00000000" w:rsidRDefault="00000000" w:rsidRPr="00000000" w14:paraId="00000042">
      <w:pPr>
        <w:rPr>
          <w:b w:val="0"/>
          <w:vertAlign w:val="baseline"/>
        </w:rPr>
      </w:pPr>
      <w:bookmarkStart w:colFirst="0" w:colLast="0" w:name="_heading=h.1fob9te" w:id="2"/>
      <w:bookmarkEnd w:id="2"/>
      <w:r w:rsidDel="00000000" w:rsidR="00000000" w:rsidRPr="00000000">
        <w:rPr>
          <w:rtl w:val="0"/>
        </w:rPr>
      </w:r>
    </w:p>
    <w:p w:rsidR="00000000" w:rsidDel="00000000" w:rsidP="00000000" w:rsidRDefault="00000000" w:rsidRPr="00000000" w14:paraId="00000043">
      <w:pPr>
        <w:pStyle w:val="Heading1"/>
        <w:numPr>
          <w:ilvl w:val="0"/>
          <w:numId w:val="1"/>
        </w:numPr>
        <w:ind w:left="432" w:hanging="432"/>
        <w:rPr>
          <w:vertAlign w:val="baseline"/>
        </w:rPr>
      </w:pPr>
      <w:r w:rsidDel="00000000" w:rsidR="00000000" w:rsidRPr="00000000">
        <w:rPr>
          <w:b w:val="1"/>
          <w:vertAlign w:val="baseline"/>
          <w:rtl w:val="0"/>
        </w:rPr>
        <w:t xml:space="preserve">CONCLUSION  </w:t>
      </w:r>
      <w:r w:rsidDel="00000000" w:rsidR="00000000" w:rsidRPr="00000000">
        <w:rPr>
          <w:rtl w:val="0"/>
        </w:rPr>
      </w:r>
    </w:p>
    <w:p w:rsidR="00000000" w:rsidDel="00000000" w:rsidP="00000000" w:rsidRDefault="00000000" w:rsidRPr="00000000" w14:paraId="00000044">
      <w:pPr>
        <w:rPr>
          <w:vertAlign w:val="baseline"/>
        </w:rPr>
      </w:pPr>
      <w:r w:rsidDel="00000000" w:rsidR="00000000" w:rsidRPr="00000000">
        <w:rPr>
          <w:vertAlign w:val="baseline"/>
          <w:rtl w:val="0"/>
        </w:rPr>
        <w:tab/>
        <w:t xml:space="preserve">From the above reflective analysis and project review it has been concluded that community engagement program is beneficial for both business organisation and community welfare as it helps to organisation to meet their competitive edge's by meeting the sustainability standards and in other hand sustainable practices of company improve the community well-being.  Improvement and better changes in community engagement practices will be the most effective aspect of project such as communication, active stakeholders’ participation, and inclusion improvement with bets coordinating and effective action plans will help to achievements all objectives and goals. Social media strategies modification according to new features will help to make more achievements in community well-being. </w:t>
      </w:r>
    </w:p>
    <w:p w:rsidR="00000000" w:rsidDel="00000000" w:rsidP="00000000" w:rsidRDefault="00000000" w:rsidRPr="00000000" w14:paraId="00000045">
      <w:pPr>
        <w:pStyle w:val="Heading1"/>
        <w:numPr>
          <w:ilvl w:val="0"/>
          <w:numId w:val="1"/>
        </w:numPr>
        <w:ind w:left="432" w:hanging="432"/>
        <w:rPr>
          <w:vertAlign w:val="baseline"/>
        </w:rPr>
      </w:pPr>
      <w:bookmarkStart w:colFirst="0" w:colLast="0" w:name="_heading=h.3znysh7" w:id="3"/>
      <w:bookmarkEnd w:id="3"/>
      <w:r w:rsidDel="00000000" w:rsidR="00000000" w:rsidRPr="00000000">
        <w:rPr>
          <w:rtl w:val="0"/>
        </w:rPr>
      </w:r>
    </w:p>
    <w:p w:rsidR="00000000" w:rsidDel="00000000" w:rsidP="00000000" w:rsidRDefault="00000000" w:rsidRPr="00000000" w14:paraId="00000046">
      <w:pPr>
        <w:pStyle w:val="Heading1"/>
        <w:numPr>
          <w:ilvl w:val="0"/>
          <w:numId w:val="1"/>
        </w:numPr>
        <w:ind w:left="432" w:hanging="432"/>
        <w:rPr>
          <w:b w:val="0"/>
          <w:color w:val="222222"/>
          <w:sz w:val="24"/>
          <w:szCs w:val="24"/>
          <w:highlight w:val="white"/>
          <w:u w:val="single"/>
          <w:vertAlign w:val="baseline"/>
        </w:rPr>
      </w:pPr>
      <w:r w:rsidDel="00000000" w:rsidR="00000000" w:rsidRPr="00000000">
        <w:br w:type="page"/>
      </w:r>
      <w:r w:rsidDel="00000000" w:rsidR="00000000" w:rsidRPr="00000000">
        <w:rPr>
          <w:b w:val="1"/>
          <w:vertAlign w:val="baseline"/>
          <w:rtl w:val="0"/>
        </w:rPr>
        <w:t xml:space="preserve">REFERENCE</w:t>
      </w:r>
      <w:r w:rsidDel="00000000" w:rsidR="00000000" w:rsidRPr="00000000">
        <w:rPr>
          <w:rtl w:val="0"/>
        </w:rPr>
      </w:r>
    </w:p>
    <w:p w:rsidR="00000000" w:rsidDel="00000000" w:rsidP="00000000" w:rsidRDefault="00000000" w:rsidRPr="00000000" w14:paraId="00000047">
      <w:pPr>
        <w:ind w:left="559" w:hanging="532"/>
        <w:rPr>
          <w:color w:val="222222"/>
          <w:highlight w:val="white"/>
          <w:vertAlign w:val="baseline"/>
        </w:rPr>
      </w:pPr>
      <w:r w:rsidDel="00000000" w:rsidR="00000000" w:rsidRPr="00000000">
        <w:rPr>
          <w:color w:val="222222"/>
          <w:highlight w:val="white"/>
          <w:u w:val="single"/>
          <w:vertAlign w:val="baseline"/>
          <w:rtl w:val="0"/>
        </w:rPr>
        <w:t xml:space="preserve">Books &amp; Journal</w:t>
      </w:r>
      <w:r w:rsidDel="00000000" w:rsidR="00000000" w:rsidRPr="00000000">
        <w:rPr>
          <w:rtl w:val="0"/>
        </w:rPr>
      </w:r>
    </w:p>
    <w:p w:rsidR="00000000" w:rsidDel="00000000" w:rsidP="00000000" w:rsidRDefault="00000000" w:rsidRPr="00000000" w14:paraId="00000048">
      <w:pPr>
        <w:ind w:left="559" w:hanging="532"/>
        <w:rPr>
          <w:color w:val="222222"/>
          <w:highlight w:val="white"/>
          <w:vertAlign w:val="baseline"/>
        </w:rPr>
      </w:pPr>
      <w:r w:rsidDel="00000000" w:rsidR="00000000" w:rsidRPr="00000000">
        <w:rPr>
          <w:color w:val="222222"/>
          <w:highlight w:val="white"/>
          <w:vertAlign w:val="baseline"/>
          <w:rtl w:val="0"/>
        </w:rPr>
        <w:t xml:space="preserve">Ryan and et.al., 2020. Community engagement for disaster preparedness: A systematic literatur review. International journal of disaster risk reduction, 49, p.101655.</w:t>
      </w:r>
    </w:p>
    <w:p w:rsidR="00000000" w:rsidDel="00000000" w:rsidP="00000000" w:rsidRDefault="00000000" w:rsidRPr="00000000" w14:paraId="00000049">
      <w:pPr>
        <w:ind w:left="585" w:hanging="570"/>
        <w:rPr>
          <w:color w:val="222222"/>
          <w:highlight w:val="white"/>
          <w:vertAlign w:val="baseline"/>
        </w:rPr>
      </w:pPr>
      <w:r w:rsidDel="00000000" w:rsidR="00000000" w:rsidRPr="00000000">
        <w:rPr>
          <w:color w:val="222222"/>
          <w:highlight w:val="white"/>
          <w:vertAlign w:val="baseline"/>
          <w:rtl w:val="0"/>
        </w:rPr>
        <w:t xml:space="preserve">Ersoy, A. ed., 2017. The impact of co-production: From community engagement to social justice. Policy Press.</w:t>
      </w:r>
    </w:p>
    <w:p w:rsidR="00000000" w:rsidDel="00000000" w:rsidP="00000000" w:rsidRDefault="00000000" w:rsidRPr="00000000" w14:paraId="0000004A">
      <w:pPr>
        <w:ind w:left="585" w:hanging="570"/>
        <w:rPr>
          <w:color w:val="222222"/>
          <w:highlight w:val="white"/>
          <w:vertAlign w:val="baseline"/>
        </w:rPr>
      </w:pPr>
      <w:r w:rsidDel="00000000" w:rsidR="00000000" w:rsidRPr="00000000">
        <w:rPr>
          <w:color w:val="222222"/>
          <w:highlight w:val="white"/>
          <w:vertAlign w:val="baseline"/>
          <w:rtl w:val="0"/>
        </w:rPr>
        <w:t xml:space="preserve">Farner, K., 2019. Institutionalizing Community Engagement in Higher Education: A Case Study of Processes Toward Engagement. Journal of Higher Education Outreach and Engagement, 23(2), pp.147-152.</w:t>
      </w:r>
    </w:p>
    <w:p w:rsidR="00000000" w:rsidDel="00000000" w:rsidP="00000000" w:rsidRDefault="00000000" w:rsidRPr="00000000" w14:paraId="0000004B">
      <w:pPr>
        <w:ind w:left="585" w:hanging="570"/>
        <w:rPr>
          <w:color w:val="222222"/>
          <w:highlight w:val="white"/>
          <w:vertAlign w:val="baseline"/>
        </w:rPr>
      </w:pPr>
      <w:r w:rsidDel="00000000" w:rsidR="00000000" w:rsidRPr="00000000">
        <w:rPr>
          <w:color w:val="222222"/>
          <w:highlight w:val="white"/>
          <w:vertAlign w:val="baseline"/>
          <w:rtl w:val="0"/>
        </w:rPr>
        <w:t xml:space="preserve">Aslam, M.M. and Gunaratna, R. eds., 2019. Terrorist rehabilitation and community engagement in Malaysia and Southeast Asia. Routledge.</w:t>
      </w:r>
    </w:p>
    <w:p w:rsidR="00000000" w:rsidDel="00000000" w:rsidP="00000000" w:rsidRDefault="00000000" w:rsidRPr="00000000" w14:paraId="0000004C">
      <w:pPr>
        <w:ind w:left="585" w:hanging="570"/>
        <w:rPr>
          <w:color w:val="222222"/>
          <w:highlight w:val="white"/>
          <w:vertAlign w:val="baseline"/>
        </w:rPr>
      </w:pPr>
      <w:r w:rsidDel="00000000" w:rsidR="00000000" w:rsidRPr="00000000">
        <w:rPr>
          <w:color w:val="222222"/>
          <w:highlight w:val="white"/>
          <w:vertAlign w:val="baseline"/>
          <w:rtl w:val="0"/>
        </w:rPr>
        <w:t xml:space="preserve">Roberts, K.J., 2018. Community engagement in Indian higher education: financial and partnership trends. International Journal of Educational Development, 58, pp.95-105.</w:t>
      </w:r>
    </w:p>
    <w:p w:rsidR="00000000" w:rsidDel="00000000" w:rsidP="00000000" w:rsidRDefault="00000000" w:rsidRPr="00000000" w14:paraId="0000004D">
      <w:pPr>
        <w:ind w:left="585" w:hanging="570"/>
        <w:rPr>
          <w:color w:val="222222"/>
          <w:highlight w:val="white"/>
          <w:vertAlign w:val="baseline"/>
        </w:rPr>
      </w:pPr>
      <w:r w:rsidDel="00000000" w:rsidR="00000000" w:rsidRPr="00000000">
        <w:rPr>
          <w:color w:val="222222"/>
          <w:highlight w:val="white"/>
          <w:vertAlign w:val="baseline"/>
          <w:rtl w:val="0"/>
        </w:rPr>
        <w:t xml:space="preserve">Bedford and et.al., 2017. Community engagement in Liberia: Routine immunization post-Ebola. Journal of health communication, 22(sup1), pp.81-90.</w:t>
      </w:r>
    </w:p>
    <w:p w:rsidR="00000000" w:rsidDel="00000000" w:rsidP="00000000" w:rsidRDefault="00000000" w:rsidRPr="00000000" w14:paraId="0000004E">
      <w:pPr>
        <w:ind w:left="585" w:hanging="570"/>
        <w:rPr>
          <w:color w:val="222222"/>
          <w:highlight w:val="white"/>
          <w:vertAlign w:val="baseline"/>
        </w:rPr>
      </w:pPr>
      <w:r w:rsidDel="00000000" w:rsidR="00000000" w:rsidRPr="00000000">
        <w:rPr>
          <w:color w:val="222222"/>
          <w:highlight w:val="white"/>
          <w:vertAlign w:val="baseline"/>
          <w:rtl w:val="0"/>
        </w:rPr>
        <w:t xml:space="preserve">Sung, H.Y. and Hepworth, M., 2017. Modelling community engagement in public libraries. Malaysian Journal of Library &amp; Information Science, 18(1).</w:t>
      </w:r>
    </w:p>
    <w:p w:rsidR="00000000" w:rsidDel="00000000" w:rsidP="00000000" w:rsidRDefault="00000000" w:rsidRPr="00000000" w14:paraId="0000004F">
      <w:pPr>
        <w:ind w:left="585" w:hanging="570"/>
        <w:rPr>
          <w:color w:val="222222"/>
          <w:highlight w:val="white"/>
          <w:vertAlign w:val="baseline"/>
        </w:rPr>
      </w:pPr>
      <w:r w:rsidDel="00000000" w:rsidR="00000000" w:rsidRPr="00000000">
        <w:rPr>
          <w:color w:val="222222"/>
          <w:highlight w:val="white"/>
          <w:vertAlign w:val="baseline"/>
          <w:rtl w:val="0"/>
        </w:rPr>
        <w:t xml:space="preserve">Johnstone, R.L. and Hansen, A.M. eds., 2020. Regulation of Extractive Industries: Community Engagement in the Arctic. Routledge.</w:t>
      </w:r>
    </w:p>
    <w:p w:rsidR="00000000" w:rsidDel="00000000" w:rsidP="00000000" w:rsidRDefault="00000000" w:rsidRPr="00000000" w14:paraId="00000050">
      <w:pPr>
        <w:ind w:left="585" w:hanging="570"/>
        <w:rPr>
          <w:highlight w:val="white"/>
          <w:vertAlign w:val="baseline"/>
        </w:rPr>
      </w:pPr>
      <w:r w:rsidDel="00000000" w:rsidR="00000000" w:rsidRPr="00000000">
        <w:rPr>
          <w:color w:val="222222"/>
          <w:highlight w:val="white"/>
          <w:vertAlign w:val="baseline"/>
          <w:rtl w:val="0"/>
        </w:rPr>
        <w:t xml:space="preserve">Miller, M.R., Snook, W.D. and Yoder, E.W., 2020. Social media in public health departments: A vital component of community engagement. Journal of Public Health Management and Practice, 26(1), pp.94-96.</w:t>
      </w:r>
      <w:r w:rsidDel="00000000" w:rsidR="00000000" w:rsidRPr="00000000">
        <w:rPr>
          <w:rtl w:val="0"/>
        </w:rPr>
      </w:r>
    </w:p>
    <w:p w:rsidR="00000000" w:rsidDel="00000000" w:rsidP="00000000" w:rsidRDefault="00000000" w:rsidRPr="00000000" w14:paraId="00000051">
      <w:pPr>
        <w:ind w:left="585" w:hanging="570"/>
        <w:rPr>
          <w:highlight w:val="white"/>
          <w:vertAlign w:val="baseline"/>
        </w:rPr>
      </w:pPr>
      <w:r w:rsidDel="00000000" w:rsidR="00000000" w:rsidRPr="00000000">
        <w:rPr>
          <w:rtl w:val="0"/>
        </w:rPr>
      </w:r>
    </w:p>
    <w:p w:rsidR="00000000" w:rsidDel="00000000" w:rsidP="00000000" w:rsidRDefault="00000000" w:rsidRPr="00000000" w14:paraId="00000052">
      <w:pPr>
        <w:rP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113" w:line="360" w:lineRule="auto"/>
      <w:ind w:left="432" w:hanging="432"/>
      <w:jc w:val="both"/>
    </w:pPr>
    <w:rPr>
      <w:rFonts w:ascii="Times New Roman" w:cs="Times New Roman" w:eastAsia="Times New Roman" w:hAnsi="Times New Roman"/>
      <w:b w:val="1"/>
      <w:color w:val="000000"/>
      <w:sz w:val="28"/>
      <w:szCs w:val="28"/>
      <w:vertAlign w:val="baseline"/>
    </w:rPr>
  </w:style>
  <w:style w:type="paragraph" w:styleId="Heading2">
    <w:name w:val="heading 2"/>
    <w:basedOn w:val="Normal"/>
    <w:next w:val="Normal"/>
    <w:pPr>
      <w:keepNext w:val="1"/>
      <w:keepLines w:val="1"/>
      <w:spacing w:after="0" w:before="113" w:line="360" w:lineRule="auto"/>
      <w:ind w:left="576" w:hanging="576"/>
      <w:jc w:val="both"/>
    </w:pPr>
    <w:rPr>
      <w:rFonts w:ascii="Times New Roman" w:cs="Times New Roman" w:eastAsia="Times New Roman" w:hAnsi="Times New Roman"/>
      <w:color w:val="000000"/>
      <w:sz w:val="24"/>
      <w:szCs w:val="24"/>
      <w:u w:val="single"/>
      <w:vertAlign w:val="baseline"/>
    </w:rPr>
  </w:style>
  <w:style w:type="paragraph" w:styleId="Heading3">
    <w:name w:val="heading 3"/>
    <w:basedOn w:val="Normal"/>
    <w:next w:val="Normal"/>
    <w:pPr>
      <w:keepNext w:val="1"/>
      <w:spacing w:after="120" w:before="240" w:line="360" w:lineRule="auto"/>
      <w:ind w:left="720" w:hanging="720"/>
      <w:jc w:val="both"/>
    </w:pPr>
    <w:rPr>
      <w:rFonts w:ascii="Arial" w:cs="Arial" w:eastAsia="Arial" w:hAnsi="Arial"/>
      <w:b w:val="1"/>
      <w:color w:val="000000"/>
      <w:sz w:val="28"/>
      <w:szCs w:val="28"/>
      <w:vertAlign w:val="baseline"/>
    </w:rPr>
  </w:style>
  <w:style w:type="paragraph" w:styleId="Heading4">
    <w:name w:val="heading 4"/>
    <w:basedOn w:val="Normal"/>
    <w:next w:val="Normal"/>
    <w:pPr>
      <w:keepNext w:val="1"/>
      <w:spacing w:after="120" w:before="240" w:line="360" w:lineRule="auto"/>
      <w:ind w:left="864" w:hanging="864"/>
      <w:jc w:val="both"/>
    </w:pPr>
    <w:rPr>
      <w:rFonts w:ascii="Arial" w:cs="Arial" w:eastAsia="Arial" w:hAnsi="Arial"/>
      <w:b w:val="1"/>
      <w:i w:val="1"/>
      <w:color w:val="000000"/>
      <w:sz w:val="24"/>
      <w:szCs w:val="24"/>
      <w:vertAlign w:val="baseline"/>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0"/>
      <w:spacing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Heading1">
    <w:name w:val="Heading 1"/>
    <w:basedOn w:val="Normal"/>
    <w:next w:val="Normal"/>
    <w:autoRedefine w:val="0"/>
    <w:hidden w:val="0"/>
    <w:qFormat w:val="0"/>
    <w:pPr>
      <w:keepNext w:val="1"/>
      <w:keepLines w:val="1"/>
      <w:numPr>
        <w:ilvl w:val="0"/>
        <w:numId w:val="1"/>
      </w:numPr>
      <w:suppressAutoHyphens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ar-SA" w:val="en-GB"/>
    </w:rPr>
  </w:style>
  <w:style w:type="paragraph" w:styleId="Heading2">
    <w:name w:val="Heading 2"/>
    <w:basedOn w:val="Normal"/>
    <w:next w:val="Normal"/>
    <w:autoRedefine w:val="0"/>
    <w:hidden w:val="0"/>
    <w:qFormat w:val="0"/>
    <w:pPr>
      <w:keepNext w:val="1"/>
      <w:keepLines w:val="1"/>
      <w:numPr>
        <w:ilvl w:val="1"/>
        <w:numId w:val="1"/>
      </w:numPr>
      <w:suppressAutoHyphens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ar-SA" w:val="en-GB"/>
    </w:rPr>
  </w:style>
  <w:style w:type="paragraph" w:styleId="Heading3">
    <w:name w:val="Heading 3"/>
    <w:basedOn w:val="Heading"/>
    <w:next w:val="BodyText"/>
    <w:autoRedefine w:val="0"/>
    <w:hidden w:val="0"/>
    <w:qFormat w:val="0"/>
    <w:pPr>
      <w:keepNext w:val="1"/>
      <w:numPr>
        <w:ilvl w:val="2"/>
        <w:numId w:val="1"/>
      </w:numPr>
      <w:suppressAutoHyphens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effect w:val="none"/>
      <w:vertAlign w:val="baseline"/>
      <w:cs w:val="0"/>
      <w:em w:val="none"/>
      <w:lang w:bidi="ar-SA" w:eastAsia="ar-SA" w:val="en-GB"/>
    </w:rPr>
  </w:style>
  <w:style w:type="paragraph" w:styleId="Heading4">
    <w:name w:val="Heading 4"/>
    <w:basedOn w:val="Heading"/>
    <w:next w:val="BodyText"/>
    <w:autoRedefine w:val="0"/>
    <w:hidden w:val="0"/>
    <w:qFormat w:val="0"/>
    <w:pPr>
      <w:keepNext w:val="1"/>
      <w:numPr>
        <w:ilvl w:val="3"/>
        <w:numId w:val="1"/>
      </w:numPr>
      <w:suppressAutoHyphens w:val="0"/>
      <w:spacing w:after="120" w:before="240" w:line="360" w:lineRule="auto"/>
      <w:ind w:leftChars="-1" w:rightChars="0" w:firstLineChars="-1"/>
      <w:jc w:val="both"/>
      <w:textDirection w:val="btLr"/>
      <w:textAlignment w:val="top"/>
      <w:outlineLvl w:val="3"/>
    </w:pPr>
    <w:rPr>
      <w:rFonts w:ascii="Arial" w:cs="DejaVu Sans" w:eastAsia="Droid Sans" w:hAnsi="Arial"/>
      <w:b w:val="1"/>
      <w:bCs w:val="1"/>
      <w:i w:val="1"/>
      <w:iCs w:val="1"/>
      <w:color w:val="000000"/>
      <w:w w:val="100"/>
      <w:position w:val="-1"/>
      <w:sz w:val="24"/>
      <w:szCs w:val="24"/>
      <w:effect w:val="none"/>
      <w:vertAlign w:val="baseline"/>
      <w:cs w:val="0"/>
      <w:em w:val="none"/>
      <w:lang w:bidi="ar-SA" w:eastAsia="ar-SA" w:val="en-GB"/>
    </w:rPr>
  </w:style>
  <w:style w:type="character" w:styleId="DefaultParagraphFont0">
    <w:name w:val="Default Paragraph Font"/>
    <w:next w:val="DefaultParagraphFont0"/>
    <w:autoRedefine w:val="0"/>
    <w:hidden w:val="0"/>
    <w:qFormat w:val="1"/>
    <w:rPr>
      <w:w w:val="100"/>
      <w:position w:val="-1"/>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Normal"/>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OpenSymbol" w:hAnsi="Symbol"/>
      <w:w w:val="100"/>
      <w:position w:val="-1"/>
      <w:effect w:val="none"/>
      <w:vertAlign w:val="baseline"/>
      <w:cs w:val="0"/>
      <w:em w:val="none"/>
      <w:lang/>
    </w:rPr>
  </w:style>
  <w:style w:type="character" w:styleId="WW8Num2z1">
    <w:name w:val="WW8Num2z1"/>
    <w:next w:val="WW8Num2z1"/>
    <w:autoRedefine w:val="0"/>
    <w:hidden w:val="0"/>
    <w:qFormat w:val="0"/>
    <w:rPr>
      <w:rFonts w:ascii="OpenSymbol" w:cs="OpenSymbol" w:hAnsi="OpenSymbol"/>
      <w:w w:val="100"/>
      <w:position w:val="-1"/>
      <w:effect w:val="none"/>
      <w:vertAlign w:val="baseline"/>
      <w:cs w:val="0"/>
      <w:em w:val="none"/>
      <w:lang/>
    </w:rPr>
  </w:style>
  <w:style w:type="character" w:styleId="WW8Num2z2">
    <w:name w:val="WW8Num2z2"/>
    <w:next w:val="WW8Num2z2"/>
    <w:autoRedefine w:val="0"/>
    <w:hidden w:val="0"/>
    <w:qFormat w:val="0"/>
    <w:rPr>
      <w:w w:val="100"/>
      <w:position w:val="-1"/>
      <w:effect w:val="none"/>
      <w:vertAlign w:val="baseline"/>
      <w:cs w:val="0"/>
      <w:em w:val="none"/>
      <w:lang/>
    </w:rPr>
  </w:style>
  <w:style w:type="character" w:styleId="WW8Num2z3">
    <w:name w:val="WW8Num2z3"/>
    <w:next w:val="WW8Num2z3"/>
    <w:autoRedefine w:val="0"/>
    <w:hidden w:val="0"/>
    <w:qFormat w:val="0"/>
    <w:rPr>
      <w:w w:val="100"/>
      <w:position w:val="-1"/>
      <w:effect w:val="none"/>
      <w:vertAlign w:val="baseline"/>
      <w:cs w:val="0"/>
      <w:em w:val="none"/>
      <w:lang/>
    </w:rPr>
  </w:style>
  <w:style w:type="character" w:styleId="WW8Num2z4">
    <w:name w:val="WW8Num2z4"/>
    <w:next w:val="WW8Num2z4"/>
    <w:autoRedefine w:val="0"/>
    <w:hidden w:val="0"/>
    <w:qFormat w:val="0"/>
    <w:rPr>
      <w:w w:val="100"/>
      <w:position w:val="-1"/>
      <w:effect w:val="none"/>
      <w:vertAlign w:val="baseline"/>
      <w:cs w:val="0"/>
      <w:em w:val="none"/>
      <w:lang/>
    </w:rPr>
  </w:style>
  <w:style w:type="character" w:styleId="WW8Num2z5">
    <w:name w:val="WW8Num2z5"/>
    <w:next w:val="WW8Num2z5"/>
    <w:autoRedefine w:val="0"/>
    <w:hidden w:val="0"/>
    <w:qFormat w:val="0"/>
    <w:rPr>
      <w:w w:val="100"/>
      <w:position w:val="-1"/>
      <w:effect w:val="none"/>
      <w:vertAlign w:val="baseline"/>
      <w:cs w:val="0"/>
      <w:em w:val="none"/>
      <w:lang/>
    </w:rPr>
  </w:style>
  <w:style w:type="character" w:styleId="WW8Num2z6">
    <w:name w:val="WW8Num2z6"/>
    <w:next w:val="WW8Num2z6"/>
    <w:autoRedefine w:val="0"/>
    <w:hidden w:val="0"/>
    <w:qFormat w:val="0"/>
    <w:rPr>
      <w:w w:val="100"/>
      <w:position w:val="-1"/>
      <w:effect w:val="none"/>
      <w:vertAlign w:val="baseline"/>
      <w:cs w:val="0"/>
      <w:em w:val="none"/>
      <w:lang/>
    </w:rPr>
  </w:style>
  <w:style w:type="character" w:styleId="WW8Num2z7">
    <w:name w:val="WW8Num2z7"/>
    <w:next w:val="WW8Num2z7"/>
    <w:autoRedefine w:val="0"/>
    <w:hidden w:val="0"/>
    <w:qFormat w:val="0"/>
    <w:rPr>
      <w:w w:val="100"/>
      <w:position w:val="-1"/>
      <w:effect w:val="none"/>
      <w:vertAlign w:val="baseline"/>
      <w:cs w:val="0"/>
      <w:em w:val="none"/>
      <w:lang/>
    </w:rPr>
  </w:style>
  <w:style w:type="character" w:styleId="WW8Num2z8">
    <w:name w:val="WW8Num2z8"/>
    <w:next w:val="WW8Num2z8"/>
    <w:autoRedefine w:val="0"/>
    <w:hidden w:val="0"/>
    <w:qFormat w:val="0"/>
    <w:rPr>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w w:val="100"/>
      <w:position w:val="-1"/>
      <w:effect w:val="none"/>
      <w:vertAlign w:val="baseline"/>
      <w:cs w:val="0"/>
      <w:em w:val="none"/>
      <w:lang/>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effect w:val="none"/>
      <w:vertAlign w:val="baseline"/>
      <w:cs w:val="0"/>
      <w:em w:val="none"/>
      <w:lang/>
    </w:rPr>
  </w:style>
  <w:style w:type="character" w:styleId="HeaderChar">
    <w:name w:val="Header Char"/>
    <w:basedOn w:val="WW-DefaultParagraphFont1"/>
    <w:next w:val="HeaderChar"/>
    <w:autoRedefine w:val="0"/>
    <w:hidden w:val="0"/>
    <w:qFormat w:val="0"/>
    <w:rPr>
      <w:w w:val="100"/>
      <w:position w:val="-1"/>
      <w:effect w:val="none"/>
      <w:vertAlign w:val="baseline"/>
      <w:cs w:val="0"/>
      <w:em w:val="none"/>
      <w:lang/>
    </w:rPr>
  </w:style>
  <w:style w:type="character" w:styleId="FooterChar">
    <w:name w:val="Footer Char"/>
    <w:basedOn w:val="WW-DefaultParagraphFont1"/>
    <w:next w:val="FooterChar"/>
    <w:autoRedefine w:val="0"/>
    <w:hidden w:val="0"/>
    <w:qFormat w:val="0"/>
    <w:rPr>
      <w:w w:val="100"/>
      <w:position w:val="-1"/>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Hyperlink">
    <w:name w:val="Hyperlink"/>
    <w:next w:val="Hyperlink"/>
    <w:autoRedefine w:val="0"/>
    <w:hidden w:val="0"/>
    <w:qFormat w:val="0"/>
    <w:rPr>
      <w:color w:val="000080"/>
      <w:w w:val="100"/>
      <w:position w:val="-1"/>
      <w:u w:val="single"/>
      <w:effect w:val="none"/>
      <w:vertAlign w:val="baseline"/>
      <w:cs w:val="0"/>
      <w:em w:val="none"/>
      <w:lang w:bidi="und" w:eastAsia="und" w:val="und"/>
    </w:rPr>
  </w:style>
  <w:style w:type="character" w:styleId="IndexLink">
    <w:name w:val="Index Link"/>
    <w:next w:val="IndexLink"/>
    <w:autoRedefine w:val="0"/>
    <w:hidden w:val="0"/>
    <w:qFormat w:val="0"/>
    <w:rPr>
      <w:w w:val="100"/>
      <w:position w:val="-1"/>
      <w:effect w:val="none"/>
      <w:vertAlign w:val="baseline"/>
      <w:cs w:val="0"/>
      <w:em w:val="none"/>
      <w:lang/>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paragraph" w:styleId="Heading">
    <w:name w:val="Heading"/>
    <w:basedOn w:val="Normal"/>
    <w:next w:val="BodyText"/>
    <w:autoRedefine w:val="0"/>
    <w:hidden w:val="0"/>
    <w:qFormat w:val="0"/>
    <w:pPr>
      <w:keepNext w:val="1"/>
      <w:suppressAutoHyphens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effect w:val="none"/>
      <w:vertAlign w:val="baseline"/>
      <w:cs w:val="0"/>
      <w:em w:val="none"/>
      <w:lang w:bidi="ar-SA" w:eastAsia="ar-SA" w:val="en-GB"/>
    </w:rPr>
  </w:style>
  <w:style w:type="paragraph" w:styleId="BodyText">
    <w:name w:val="Body Text"/>
    <w:basedOn w:val="Normal"/>
    <w:next w:val="BodyTex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List">
    <w:name w:val="List"/>
    <w:basedOn w:val="BodyText"/>
    <w:next w:val="Lis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aption">
    <w:name w:val="Caption"/>
    <w:basedOn w:val="Normal"/>
    <w:next w:val="Caption"/>
    <w:autoRedefine w:val="0"/>
    <w:hidden w:val="0"/>
    <w:qFormat w:val="0"/>
    <w:pPr>
      <w:suppressLineNumbers w:val="1"/>
      <w:suppressAutoHyphens w:val="0"/>
      <w:spacing w:after="120" w:before="120" w:line="360" w:lineRule="auto"/>
      <w:ind w:leftChars="-1" w:rightChars="0" w:firstLineChars="-1"/>
      <w:jc w:val="both"/>
      <w:textDirection w:val="btLr"/>
      <w:textAlignment w:val="top"/>
      <w:outlineLvl w:val="0"/>
    </w:pPr>
    <w:rPr>
      <w:i w:val="1"/>
      <w:iCs w:val="1"/>
      <w:color w:val="000000"/>
      <w:w w:val="100"/>
      <w:position w:val="-1"/>
      <w:sz w:val="24"/>
      <w:szCs w:val="24"/>
      <w:effect w:val="none"/>
      <w:vertAlign w:val="baseline"/>
      <w:cs w:val="0"/>
      <w:em w:val="none"/>
      <w:lang w:bidi="ar-SA" w:eastAsia="ar-SA" w:val="en-GB"/>
    </w:rPr>
  </w:style>
  <w:style w:type="paragraph" w:styleId="Index">
    <w:name w:val="Index"/>
    <w:basedOn w:val="Normal"/>
    <w:next w:val="Index"/>
    <w:autoRedefine w:val="0"/>
    <w:hidden w:val="0"/>
    <w:qFormat w:val="0"/>
    <w:pPr>
      <w:suppressLineNumbers w:val="1"/>
      <w:suppressAutoHyphens w:val="0"/>
      <w:spacing w:line="36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Header">
    <w:name w:val="Header"/>
    <w:basedOn w:val="Normal"/>
    <w:next w:val="Head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Footer">
    <w:name w:val="Footer"/>
    <w:basedOn w:val="Normal"/>
    <w:next w:val="Foot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ontentsHeading">
    <w:name w:val="Contents Heading"/>
    <w:basedOn w:val="Heading"/>
    <w:next w:val="ContentsHeading"/>
    <w:autoRedefine w:val="0"/>
    <w:hidden w:val="0"/>
    <w:qFormat w:val="0"/>
    <w:pPr>
      <w:keepNext w:val="1"/>
      <w:suppressLineNumbers w:val="1"/>
      <w:shd w:color="auto" w:fill="auto" w:val="clear"/>
      <w:suppressAutoHyphens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effect w:val="none"/>
      <w:vertAlign w:val="baseline"/>
      <w:cs w:val="0"/>
      <w:em w:val="none"/>
      <w:lang w:bidi="ar-SA" w:eastAsia="ar-SA" w:val="en-GB"/>
    </w:rPr>
  </w:style>
  <w:style w:type="paragraph" w:styleId="NoSpacing">
    <w:name w:val="No Spacing"/>
    <w:next w:val="NoSpacing"/>
    <w:autoRedefine w:val="0"/>
    <w:hidden w:val="0"/>
    <w:qFormat w:val="0"/>
    <w:pPr>
      <w:suppressAutoHyphens w:val="0"/>
      <w:spacing w:line="100" w:lineRule="atLeast"/>
      <w:ind w:leftChars="-1" w:rightChars="0" w:firstLineChars="-1"/>
      <w:textDirection w:val="btLr"/>
      <w:textAlignment w:val="top"/>
      <w:outlineLvl w:val="0"/>
    </w:pPr>
    <w:rPr>
      <w:rFonts w:ascii="Tinos" w:cs="DejaVu Sans" w:eastAsia="Droid Sans" w:hAnsi="Tinos"/>
      <w:w w:val="100"/>
      <w:position w:val="-1"/>
      <w:sz w:val="24"/>
      <w:szCs w:val="24"/>
      <w:effect w:val="none"/>
      <w:vertAlign w:val="baseline"/>
      <w:cs w:val="0"/>
      <w:em w:val="none"/>
      <w:lang w:bidi="hi-IN" w:eastAsia="hi-IN" w:val="en-GB"/>
    </w:rPr>
  </w:style>
  <w:style w:type="paragraph" w:styleId="TOC1">
    <w:name w:val="TOC 1"/>
    <w:basedOn w:val="Index"/>
    <w:next w:val="TOC1"/>
    <w:autoRedefine w:val="0"/>
    <w:hidden w:val="0"/>
    <w:qFormat w:val="0"/>
    <w:pPr>
      <w:suppressLineNumbers w:val="1"/>
      <w:tabs>
        <w:tab w:val="right" w:leader="dot" w:pos="9360"/>
      </w:tabs>
      <w:suppressAutoHyphens w:val="0"/>
      <w:spacing w:line="360" w:lineRule="auto"/>
      <w:ind w:left="0"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2">
    <w:name w:val="TOC 2"/>
    <w:basedOn w:val="Index"/>
    <w:next w:val="TOC2"/>
    <w:autoRedefine w:val="0"/>
    <w:hidden w:val="0"/>
    <w:qFormat w:val="0"/>
    <w:pPr>
      <w:suppressLineNumbers w:val="1"/>
      <w:tabs>
        <w:tab w:val="right" w:leader="dot" w:pos="9077"/>
      </w:tabs>
      <w:suppressAutoHyphens w:val="0"/>
      <w:spacing w:line="360" w:lineRule="auto"/>
      <w:ind w:left="283"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3">
    <w:name w:val="TOC 3"/>
    <w:basedOn w:val="Index"/>
    <w:next w:val="TOC3"/>
    <w:autoRedefine w:val="0"/>
    <w:hidden w:val="0"/>
    <w:qFormat w:val="0"/>
    <w:pPr>
      <w:suppressLineNumbers w:val="1"/>
      <w:tabs>
        <w:tab w:val="right" w:leader="dot" w:pos="9072"/>
      </w:tabs>
      <w:suppressAutoHyphens w:val="0"/>
      <w:spacing w:line="360" w:lineRule="auto"/>
      <w:ind w:left="566"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4">
    <w:name w:val="TOC 4"/>
    <w:basedOn w:val="Index"/>
    <w:next w:val="TOC4"/>
    <w:autoRedefine w:val="0"/>
    <w:hidden w:val="0"/>
    <w:qFormat w:val="0"/>
    <w:pPr>
      <w:suppressLineNumbers w:val="1"/>
      <w:tabs>
        <w:tab w:val="right" w:leader="dot" w:pos="8789"/>
      </w:tabs>
      <w:suppressAutoHyphens w:val="0"/>
      <w:spacing w:line="360" w:lineRule="auto"/>
      <w:ind w:left="849"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5">
    <w:name w:val="TOC 5"/>
    <w:basedOn w:val="Index"/>
    <w:next w:val="TOC5"/>
    <w:autoRedefine w:val="0"/>
    <w:hidden w:val="0"/>
    <w:qFormat w:val="0"/>
    <w:pPr>
      <w:suppressLineNumbers w:val="1"/>
      <w:tabs>
        <w:tab w:val="right" w:leader="dot" w:pos="8506"/>
      </w:tabs>
      <w:suppressAutoHyphens w:val="0"/>
      <w:spacing w:line="360" w:lineRule="auto"/>
      <w:ind w:left="1132"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6">
    <w:name w:val="TOC 6"/>
    <w:basedOn w:val="Index"/>
    <w:next w:val="TOC6"/>
    <w:autoRedefine w:val="0"/>
    <w:hidden w:val="0"/>
    <w:qFormat w:val="0"/>
    <w:pPr>
      <w:suppressLineNumbers w:val="1"/>
      <w:tabs>
        <w:tab w:val="right" w:leader="dot" w:pos="8223"/>
      </w:tabs>
      <w:suppressAutoHyphens w:val="0"/>
      <w:spacing w:line="360" w:lineRule="auto"/>
      <w:ind w:left="1415"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7">
    <w:name w:val="TOC 7"/>
    <w:basedOn w:val="Index"/>
    <w:next w:val="TOC7"/>
    <w:autoRedefine w:val="0"/>
    <w:hidden w:val="0"/>
    <w:qFormat w:val="0"/>
    <w:pPr>
      <w:suppressLineNumbers w:val="1"/>
      <w:tabs>
        <w:tab w:val="right" w:leader="dot" w:pos="7940"/>
      </w:tabs>
      <w:suppressAutoHyphens w:val="0"/>
      <w:spacing w:line="360" w:lineRule="auto"/>
      <w:ind w:left="1698"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8">
    <w:name w:val="TOC 8"/>
    <w:basedOn w:val="Index"/>
    <w:next w:val="TOC8"/>
    <w:autoRedefine w:val="0"/>
    <w:hidden w:val="0"/>
    <w:qFormat w:val="0"/>
    <w:pPr>
      <w:suppressLineNumbers w:val="1"/>
      <w:tabs>
        <w:tab w:val="right" w:leader="dot" w:pos="7657"/>
      </w:tabs>
      <w:suppressAutoHyphens w:val="0"/>
      <w:spacing w:line="360" w:lineRule="auto"/>
      <w:ind w:left="1981"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TOC9">
    <w:name w:val="TOC 9"/>
    <w:basedOn w:val="Index"/>
    <w:next w:val="TOC9"/>
    <w:autoRedefine w:val="0"/>
    <w:hidden w:val="0"/>
    <w:qFormat w:val="0"/>
    <w:pPr>
      <w:suppressLineNumbers w:val="1"/>
      <w:tabs>
        <w:tab w:val="right" w:leader="dot" w:pos="7374"/>
      </w:tabs>
      <w:suppressAutoHyphens w:val="0"/>
      <w:spacing w:line="360" w:lineRule="auto"/>
      <w:ind w:left="2264"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Contents10">
    <w:name w:val="Contents 10"/>
    <w:basedOn w:val="Index"/>
    <w:next w:val="Contents10"/>
    <w:autoRedefine w:val="0"/>
    <w:hidden w:val="0"/>
    <w:qFormat w:val="0"/>
    <w:pPr>
      <w:suppressLineNumbers w:val="1"/>
      <w:tabs>
        <w:tab w:val="right" w:leader="dot" w:pos="7091"/>
      </w:tabs>
      <w:suppressAutoHyphens w:val="0"/>
      <w:spacing w:line="360" w:lineRule="auto"/>
      <w:ind w:left="2547" w:right="0" w:leftChars="-1" w:rightChars="0" w:firstLine="0" w:firstLineChars="-1"/>
      <w:jc w:val="both"/>
      <w:textDirection w:val="btLr"/>
      <w:textAlignment w:val="top"/>
      <w:outlineLvl w:val="0"/>
    </w:pPr>
    <w:rPr>
      <w:color w:val="000000"/>
      <w:w w:val="100"/>
      <w:position w:val="-1"/>
      <w:sz w:val="24"/>
      <w:szCs w:val="22"/>
      <w:effect w:val="none"/>
      <w:vertAlign w:val="baseline"/>
      <w:cs w:val="0"/>
      <w:em w:val="none"/>
      <w:lang w:bidi="ar-SA" w:eastAsia="ar-SA" w:val="en-GB"/>
    </w:rPr>
  </w:style>
  <w:style w:type="paragraph" w:styleId="PreformattedText">
    <w:name w:val="Preformatted Text"/>
    <w:basedOn w:val="Normal"/>
    <w:next w:val="PreformattedText"/>
    <w:autoRedefine w:val="0"/>
    <w:hidden w:val="0"/>
    <w:qFormat w:val="0"/>
    <w:pPr>
      <w:suppressAutoHyphens w:val="0"/>
      <w:spacing w:after="0" w:before="0" w:line="360" w:lineRule="auto"/>
      <w:ind w:leftChars="-1" w:rightChars="0" w:firstLineChars="-1"/>
      <w:jc w:val="both"/>
      <w:textDirection w:val="btLr"/>
      <w:textAlignment w:val="top"/>
      <w:outlineLvl w:val="0"/>
    </w:pPr>
    <w:rPr>
      <w:rFonts w:ascii="DejaVu Sans Mono" w:cs="DejaVu Sans Mono" w:eastAsia="DejaVu Sans Mono" w:hAnsi="DejaVu Sans Mono"/>
      <w:color w:val="000000"/>
      <w:w w:val="100"/>
      <w:position w:val="-1"/>
      <w:sz w:val="20"/>
      <w:szCs w:val="20"/>
      <w:effect w:val="none"/>
      <w:vertAlign w:val="baseline"/>
      <w:cs w:val="0"/>
      <w:em w:val="none"/>
      <w:lang w:bidi="ar-SA" w:eastAsia="ar-SA"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TmVlW/319sj84vtNhvDtusw9+g==">AMUW2mViv2ljgbgfavEO7LXHk7mZFrfdEMGvB7I4+ZfKXb2958qoQZFnStX3kjYT3zL3jf52KojnWyPzMzeM7NnDyd+gQUmOR+q1AojG8vjoswwzZdcMhw+yGZhWhhGqUaCpcBABF3kQKg1MaEVvrEhpWQ+nLR+uvMiwH0cCbx/gD79iIEUHwf8=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2021-07-10T13:10:00Z</dcterms:created>
  <dc:creator>user</dc:creator>
</cp:coreProperties>
</file>

<file path=docProps/custom.xml><?xml version="1.0" encoding="utf-8"?>
<Properties xmlns="http://schemas.openxmlformats.org/officeDocument/2006/custom-properties" xmlns:vt="http://schemas.openxmlformats.org/officeDocument/2006/docPropsVTypes"/>
</file>