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F6BE2" w14:textId="77777777" w:rsidR="00633A0B" w:rsidRDefault="00633A0B" w:rsidP="00633A0B">
      <w:pPr>
        <w:jc w:val="center"/>
        <w:rPr>
          <w:b/>
        </w:rPr>
      </w:pPr>
    </w:p>
    <w:p w14:paraId="528A9D15" w14:textId="77777777" w:rsidR="00633A0B" w:rsidRDefault="00633A0B" w:rsidP="00633A0B">
      <w:pPr>
        <w:jc w:val="center"/>
        <w:rPr>
          <w:b/>
        </w:rPr>
      </w:pPr>
    </w:p>
    <w:p w14:paraId="2AB9229F" w14:textId="77777777" w:rsidR="00633A0B" w:rsidRDefault="00633A0B" w:rsidP="00633A0B">
      <w:pPr>
        <w:jc w:val="center"/>
        <w:rPr>
          <w:b/>
        </w:rPr>
      </w:pPr>
    </w:p>
    <w:p w14:paraId="1B71E822" w14:textId="77777777" w:rsidR="00633A0B" w:rsidRDefault="00633A0B" w:rsidP="00633A0B">
      <w:pPr>
        <w:spacing w:after="160"/>
        <w:jc w:val="center"/>
      </w:pPr>
      <w:r w:rsidRPr="00173D02">
        <w:rPr>
          <w:b/>
        </w:rPr>
        <w:t>Topic: How to engage employees throughout the employee lifecycle</w:t>
      </w:r>
    </w:p>
    <w:p w14:paraId="7BE326EE" w14:textId="77777777" w:rsidR="00633A0B" w:rsidRDefault="00633A0B" w:rsidP="00633A0B">
      <w:pPr>
        <w:jc w:val="center"/>
        <w:rPr>
          <w:b/>
        </w:rPr>
      </w:pPr>
    </w:p>
    <w:p w14:paraId="78523140" w14:textId="3C41EB52" w:rsidR="00145A9C" w:rsidRPr="00173D02" w:rsidRDefault="00633A0B" w:rsidP="00145A9C">
      <w:pPr>
        <w:jc w:val="center"/>
        <w:rPr>
          <w:b/>
        </w:rPr>
      </w:pPr>
      <w:r>
        <w:rPr>
          <w:b/>
        </w:rPr>
        <w:t>Student N</w:t>
      </w:r>
      <w:r w:rsidR="00110748" w:rsidRPr="00173D02">
        <w:rPr>
          <w:b/>
        </w:rPr>
        <w:t>ame</w:t>
      </w:r>
      <w:r w:rsidR="00145A9C">
        <w:rPr>
          <w:b/>
        </w:rPr>
        <w:t xml:space="preserve"> Andreea Nicoleta Tapuc</w:t>
      </w:r>
    </w:p>
    <w:p w14:paraId="08121C86" w14:textId="1F35474B" w:rsidR="00173D02" w:rsidRPr="00173D02" w:rsidRDefault="00110748" w:rsidP="00633A0B">
      <w:pPr>
        <w:jc w:val="center"/>
        <w:rPr>
          <w:b/>
        </w:rPr>
      </w:pPr>
      <w:r w:rsidRPr="00173D02">
        <w:rPr>
          <w:b/>
        </w:rPr>
        <w:t>Student ID</w:t>
      </w:r>
      <w:r w:rsidR="00145A9C">
        <w:rPr>
          <w:b/>
        </w:rPr>
        <w:t xml:space="preserve"> 2117504</w:t>
      </w:r>
    </w:p>
    <w:p w14:paraId="39DD0251" w14:textId="77777777" w:rsidR="00173D02" w:rsidRPr="00173D02" w:rsidRDefault="00633A0B" w:rsidP="00633A0B">
      <w:pPr>
        <w:jc w:val="center"/>
        <w:rPr>
          <w:b/>
        </w:rPr>
      </w:pPr>
      <w:r>
        <w:rPr>
          <w:b/>
        </w:rPr>
        <w:t>Assignment M</w:t>
      </w:r>
      <w:r w:rsidR="00110748" w:rsidRPr="00173D02">
        <w:rPr>
          <w:b/>
        </w:rPr>
        <w:t>odule</w:t>
      </w:r>
    </w:p>
    <w:p w14:paraId="6EAEBBC2" w14:textId="77777777" w:rsidR="00173D02" w:rsidRDefault="00110748" w:rsidP="00EC237C">
      <w:pPr>
        <w:spacing w:after="160"/>
        <w:jc w:val="both"/>
      </w:pPr>
      <w:r>
        <w:br w:type="page"/>
      </w:r>
    </w:p>
    <w:p w14:paraId="4065F59E" w14:textId="77777777" w:rsidR="004562E0" w:rsidRDefault="004562E0" w:rsidP="004562E0">
      <w:pPr>
        <w:jc w:val="center"/>
      </w:pPr>
      <w:r>
        <w:rPr>
          <w:b/>
        </w:rPr>
        <w:lastRenderedPageBreak/>
        <w:t>How t</w:t>
      </w:r>
      <w:r w:rsidRPr="00173D02">
        <w:rPr>
          <w:b/>
        </w:rPr>
        <w:t xml:space="preserve">o Engage Employees </w:t>
      </w:r>
      <w:r w:rsidR="00BA10CF" w:rsidRPr="00173D02">
        <w:rPr>
          <w:b/>
        </w:rPr>
        <w:t>throughout</w:t>
      </w:r>
      <w:r w:rsidR="00BA10CF">
        <w:rPr>
          <w:b/>
        </w:rPr>
        <w:t xml:space="preserve"> t</w:t>
      </w:r>
      <w:r w:rsidRPr="00173D02">
        <w:rPr>
          <w:b/>
        </w:rPr>
        <w:t>he Employee Lifecycle</w:t>
      </w:r>
    </w:p>
    <w:p w14:paraId="228C76DB" w14:textId="77777777" w:rsidR="004562E0" w:rsidRDefault="004562E0" w:rsidP="004562E0">
      <w:pPr>
        <w:jc w:val="both"/>
      </w:pPr>
    </w:p>
    <w:p w14:paraId="01B87BD7" w14:textId="77777777" w:rsidR="004562E0" w:rsidRDefault="004562E0" w:rsidP="004562E0">
      <w:pPr>
        <w:jc w:val="both"/>
      </w:pPr>
      <w:r>
        <w:t xml:space="preserve">Engaging employees is essential for organisations as it can lead to increased productivity, job satisfaction, and employee retention. When employees feel valued and connected to their work, they are more likely to contribute their best efforts and remain loyal to the organisation. Effective employee engagement also promotes a positive work culture, improving employee communication and collaboration (Armstrong &amp; Taylor, 2020). This can lead to increased innovation, problem-solving, and better teamwork and overall performance. Engaging employees through their lifecycle is important for increased job satisfaction, productivity, and retention, leading to improved organisational performance. A well-designed employee engagement program addresses the needs and expectations of employees at each stage of their employment (Torrington et al., 2020). Additionally, engaged employees are more likely to provide exceptional customer service and positively impact the organisation's reputation. This can help organisations attract and retain customers and ultimately drive business growth. Considering this, this essay highlights the importance of engaging teams and employees in large hotel management. Also, it aims to highlight the employee engagement cycle and how it can be utilised in hotel management by HR. </w:t>
      </w:r>
    </w:p>
    <w:p w14:paraId="1D739723" w14:textId="77777777" w:rsidR="004562E0" w:rsidRDefault="004562E0" w:rsidP="004562E0">
      <w:pPr>
        <w:jc w:val="both"/>
      </w:pPr>
      <w:r>
        <w:t xml:space="preserve">Human Resources (HR) plays a vital role in engaging employees and fostering a positive work environment that supports employee satisfaction, productivity, and retention. HR is responsible for designing and implementing an effective onboarding program that helps new hires feel welcome and integrated into the company culture (Friedman, 2012). This can include providing orientation programs, pairing new hires with mentors or buddies, and ensuring they have the tools and resources they need to succeed. This department is also responsible for designing and implementing performance management systems that encourage employees to develop and grow in their roles. This includes setting clear performance expectations, providing regular feedback and coaching, and recognising and rewarding outstanding performance (Cattermole, 2019). HR ensures that employees receive regular, open, and honest communication from the company. This includes sharing company updates and news, addressing employee concerns and feedback, and providing opportunities for employees to voice their opinions and suggestions. Employee development is performed by HR and it is responsible for providing opportunities for employees </w:t>
      </w:r>
      <w:r>
        <w:lastRenderedPageBreak/>
        <w:t>to grow and develop both professionally and personally. This includes offering training and development programs, encouraging employees to take on new challenges and responsibilities, and supporting employees who are seeking career advancement (Singh, 2019). HR of an organisation works to promote employee well-being by creating and maintaining a healthy and safe work environment. This includes providing resources for mental and physical health support, promoting work-life balance, and addressing workplace stress and burnout. They help facilitate employee engagement by promoting a positive company culture that values diversity and inclusivity and encouraging teamwork and collaboration (Goswami, 2021). Additionally, HR can measure employee engagement levels through regular surveys and focus groups and use the feedback received to improve the work environment.</w:t>
      </w:r>
    </w:p>
    <w:p w14:paraId="7679DDC0" w14:textId="77777777" w:rsidR="004562E0" w:rsidRDefault="004562E0" w:rsidP="004562E0">
      <w:pPr>
        <w:jc w:val="both"/>
      </w:pPr>
      <w:r>
        <w:t xml:space="preserve">Several theories related to employee engagement help explain why engagement is important and how it can be fostered within the workplace. Two-Factor Theory also known as Herzberg's motivation-hygiene theory, suggests that two types of factors determine employee satisfaction and engagement: hygiene factors (e.g., working conditions, pay, and job security) and motivators (e.g., recognition, opportunities for growth and development). The theory suggests that organisations must meet basic needs (hygiene factors) to avoid dissatisfaction, but that long-term engagement requires providing employees with motivators (Fortier et al., 2019). Engagement-Performance Link theory suggests that employee engagement positively relates to job performance and organisational outcomes. Research has shown that engaged employees are more productive, committed to their jobs, and less likely to leave the organisation. Social Exchange Theory illustrates that engagement is a reciprocal process between the employee and the organisation. Employees engage in behaviours that benefit the organisation because they expect to receive something of value in return, such as recognition, career advancement opportunities, or a supportive work environment (Kwon &amp; Park, 2019). Transformational Leadership explains that leaders can play a critical role in engaging employees by creating a vision for the future, inspiring employees to achieve their full potential, and providing individualised support and guidance (Kwon &amp; Kim, 2020). According to Positive Psychology Theory, employee engagement is related to a positive work environment that fosters psychological well-being, such as hope, optimism, and positive emotions. These theories provide valuable insights into why employee engagement is important and how organisations can foster a positive and engaging work environment (Shrotryia &amp; Dhanda, 2020). By understanding these theories, organisations </w:t>
      </w:r>
      <w:r>
        <w:lastRenderedPageBreak/>
        <w:t>can develop strategies that effectively engage employees and promote long-term commitment and productivity.</w:t>
      </w:r>
    </w:p>
    <w:p w14:paraId="3C3CFCE5" w14:textId="77777777" w:rsidR="004562E0" w:rsidRDefault="004562E0" w:rsidP="004562E0">
      <w:pPr>
        <w:jc w:val="both"/>
      </w:pPr>
      <w:r>
        <w:t>Engaging a team is important to maintain a productive and motivated workforce. Some engaging strategies include communication, reward and recognition, growth and development opportunities, and so on. Encouraging open and honest communication between team members and leaders and creating opportunities for regular feedback and discussion helps in engaging teams (Ohemeng et al., 2020). Recognition and rewards play a significant role in recognising and rewarding individual and team achievements and celebrating successes. Providing opportunities for growth and development plays an active role for team members to develop their skills and take on new challenges, and support their professional and personal growth. It is important to note that offering flexible work arrangements, such as remote work options, flexible hours, and paid time off, helps team members maintain a work-life balance, hence ensuring their engagement (Mertens &amp; Recker, 2020). A collaborative work environment is important in engaging teams as it fosters a collaborative work environment where team members feel valued and respected and where teamwork and cooperation are encouraged (Sivathanu &amp; Pillai, 2019).</w:t>
      </w:r>
    </w:p>
    <w:p w14:paraId="0ABEB7A2" w14:textId="77777777" w:rsidR="004562E0" w:rsidRDefault="004562E0" w:rsidP="004562E0">
      <w:pPr>
        <w:jc w:val="both"/>
      </w:pPr>
      <w:r>
        <w:t>The advantages of engaging a team are numerous, including increased productivity, job satisfaction, and employee retention. Engaged teams are more likely to be motivated, committed to their work, and willing to go the extra mile. They are also more likely to provide high-quality work, be more creative and innovative, and have lower levels of absenteeism and turnover (Martin et al., 2022). In addition, engaged teams are more likely to be supportive of one another and work well together, contributing to a positive work environment and increased overall organisational performance. When there is effective team building in an organisation, it leads towards enhanced growth of the company and business. The building of teams ensures that the organisation is meeting its goals and enabling businesses to attain the vision, sustainability, and competitive advantage in the marketplace as well (Berber et al., 2020). It is significant to highlight that in the absence of effective team management, businesses can collapse as they cannot execute projects timely, which involves the risk of losing potential investors and key stakeholders.</w:t>
      </w:r>
    </w:p>
    <w:p w14:paraId="51977E8B" w14:textId="77777777" w:rsidR="004562E0" w:rsidRDefault="004562E0" w:rsidP="004562E0">
      <w:pPr>
        <w:jc w:val="both"/>
      </w:pPr>
      <w:r>
        <w:t xml:space="preserve">The employee lifecycle refers to the stages an employee goes through, from recruitment to termination. It is an important framework for organisations to understand and manage the </w:t>
      </w:r>
      <w:r>
        <w:lastRenderedPageBreak/>
        <w:t>experiences of their employees in order to improve engagement, productivity, and retention. Recruitment is one of the important steps in the employee lifecycle. This stage involves attracting and selecting candidates for open positions (Cattermole, 2019). This includes advertising job openings, conducting interviews, and making hiring decisions. Onboarding is the second step, and this process is critical for helping new hires acclimate to the organisation and their new role. This includes orientation, training, and establishing a sense of belonging within the team. Performance management is the stage that involves regular monitoring and evaluating employee performance, providing feedback and coaching, and setting goals and expectations for future performance (Lipson, 2021). The stage of professional development includes the provision of opportunities for employees to develop their skills, knowledge, and abilities and supporting their career growth and advancement within the organisation. Engagement and retention are also important and foster employee engagement and motivation, reducing turnover by providing a supportive work environment and recognising and rewarding performance. The termination stage involves ending the employment relationship, either through resignation or termination (Singh, 2019). This stage can be difficult for both the employee and the organisation, and it is important to handle it with dignity and respect. Throughout the employee lifecycle, organisations should focus on creating a positive employee experience and promoting engagement, productivity, and retention (Singh, 2021). This may include investing in training and development programs, providing regular feedback and recognition, and creating opportunities for employees to connect and collaborate with their peers.</w:t>
      </w:r>
    </w:p>
    <w:p w14:paraId="3BDE7948" w14:textId="77777777" w:rsidR="004562E0" w:rsidRDefault="004562E0" w:rsidP="004562E0">
      <w:pPr>
        <w:jc w:val="both"/>
      </w:pPr>
      <w:r>
        <w:t xml:space="preserve">A large hotel management company's human resource (HR) team can use various strategies to engage and motivate employees. This can be done using open and effective communication between employees and establishing an honest environment for workers. Also, it is important to ensure work and life balance for the employees. This can be done by offering flexible work arrangements, such as remote work options, flexible hours, and paid time off, to help employees maintain a work-life balance (Saling &amp; Do, 2020). Promote a healthy work environment with wellness initiatives, such as fitness challenges, healthy food options, and stress-management resources. Besides this fostering a collaborative work environment by encouraging teamwork and cooperation is another important step in team building in hotel management. By implementing these strategies, HR can create a work environment that supports employee engagement and motivation, leading to increased productivity and satisfaction (Sivathanu and </w:t>
      </w:r>
      <w:r>
        <w:lastRenderedPageBreak/>
        <w:t>Pillai, 2019). This, in turn, can help to reduce turnover, improve overall job performance, and contribute to the success of the organisation as a whole.</w:t>
      </w:r>
    </w:p>
    <w:p w14:paraId="60DF9060" w14:textId="77777777" w:rsidR="004562E0" w:rsidRDefault="004562E0" w:rsidP="004562E0">
      <w:pPr>
        <w:jc w:val="both"/>
      </w:pPr>
      <w:r>
        <w:t>Many hotels in the UK have implemented an employee engagement model. One such example is the InterContinental Hotels Group (IHG). IHG has implemented the Gallup Q12 model, which identifies 12 key elements of employee engagement, as part of its overall strategy to improve employee engagement. IHG has developed programs to address each of the 12 elements, including providing opportunities for professional growth and development, recognising and rewarding employees for their achievements, and improving organizational communication and transparency (Voegeli, 2021). The company also supports work-life balance, offering flexible work arrangements and promoting a healthy work environment through wellness initiatives. Another example is the Hilton Hotels and Resorts chain, which has implemented the Hilton Purpose-Driven Engagement Model. This model focuses on the belief that employees are more engaged when they understand the purpose of their work and feel a sense of fulfillment. The model includes programs and initiatives that support the development of purposeful work, such as employee volunteer opportunities, sustainability initiatives, and recognition programs (André, 2022). These examples demonstrate how the UK hotel industry is using employee engagement models to create a positive work environment, increase motivation and satisfaction, and drive overall success. By investing in their employees and making employee engagement a priority, hotels can reap the benefits of a highly motivated and productive workforce.</w:t>
      </w:r>
    </w:p>
    <w:p w14:paraId="7BB2AF2D" w14:textId="77777777" w:rsidR="005B2A70" w:rsidRDefault="004562E0" w:rsidP="00BA10CF">
      <w:pPr>
        <w:jc w:val="both"/>
      </w:pPr>
      <w:r>
        <w:t>In a nutshell, it can be said that engaging employees throughout the employee lifecycle are important for retaining top talent and improving overall workplace satisfaction. This can be achieved through various steps such as onboarding programs to help new hires feel welcomed, regular performance evaluations to provide feedback and set goals, professional development opportunities to encourage growth, and open communication channels for employees to voice their concerns. Companies can foster a positive work environment by consistently engaging employees, increasing employee morale and motivation, and ultimately driving business success. Additionally, engaged employees are more likely to stay with a company longer and be more productive, leading to decreased turnover costs and increased profitability. In conclusion, investing in employee engagement initiatives throughout the employee lifecycle is crucial for the success of both the employees and the organisation</w:t>
      </w:r>
      <w:r w:rsidR="00110748" w:rsidRPr="00E978CE">
        <w:rPr>
          <w:rFonts w:eastAsia="Times New Roman"/>
          <w:lang w:val="en-US"/>
        </w:rPr>
        <w:t>.</w:t>
      </w:r>
      <w:r w:rsidR="00110748">
        <w:br w:type="page"/>
      </w:r>
    </w:p>
    <w:p w14:paraId="10F75EAA" w14:textId="77777777" w:rsidR="005B2A70" w:rsidRDefault="00110748" w:rsidP="00EC237C">
      <w:pPr>
        <w:pStyle w:val="Heading1"/>
        <w:spacing w:line="360" w:lineRule="auto"/>
        <w:jc w:val="both"/>
      </w:pPr>
      <w:r>
        <w:lastRenderedPageBreak/>
        <w:t xml:space="preserve">References </w:t>
      </w:r>
    </w:p>
    <w:p w14:paraId="7CF76969" w14:textId="77777777" w:rsidR="00110748" w:rsidRDefault="00110748" w:rsidP="00BA10CF">
      <w:pPr>
        <w:spacing w:after="0"/>
        <w:ind w:left="720" w:hanging="720"/>
      </w:pPr>
      <w:r>
        <w:rPr>
          <w:shd w:val="clear" w:color="auto" w:fill="FFFFFF"/>
        </w:rPr>
        <w:t>André, R., 2022. Equity research on intercontinental hotels group PLC-how to feel safe in the hotel industry (Doctoral dissertation).</w:t>
      </w:r>
    </w:p>
    <w:p w14:paraId="3A93D030" w14:textId="77777777" w:rsidR="00110748" w:rsidRDefault="00110748" w:rsidP="00BA10CF">
      <w:pPr>
        <w:spacing w:after="0"/>
        <w:ind w:left="720" w:hanging="720"/>
        <w:jc w:val="both"/>
      </w:pPr>
      <w:r>
        <w:t xml:space="preserve">Armstrong, M. and Taylor, S. (2020) Armstrong’s handbook of human resource management practice. 15th edition. London, United Kingdom ;: KoganPage. </w:t>
      </w:r>
    </w:p>
    <w:p w14:paraId="53A6A2C5" w14:textId="77777777" w:rsidR="00110748" w:rsidRPr="008D33AE" w:rsidRDefault="00110748" w:rsidP="00BA10CF">
      <w:pPr>
        <w:spacing w:after="0"/>
        <w:ind w:left="720" w:hanging="720"/>
      </w:pPr>
      <w:r>
        <w:rPr>
          <w:shd w:val="clear" w:color="auto" w:fill="FFFFFF"/>
        </w:rPr>
        <w:t>Berber, N., Slavić, A. and Aleksić, M., 2020. Relationship between perceived teamwork effectiveness and team performance in banking sector of Serbia. </w:t>
      </w:r>
      <w:r>
        <w:rPr>
          <w:i/>
          <w:iCs/>
          <w:shd w:val="clear" w:color="auto" w:fill="FFFFFF"/>
        </w:rPr>
        <w:t>Sustainability</w:t>
      </w:r>
      <w:r>
        <w:rPr>
          <w:shd w:val="clear" w:color="auto" w:fill="FFFFFF"/>
        </w:rPr>
        <w:t>, </w:t>
      </w:r>
      <w:r>
        <w:rPr>
          <w:i/>
          <w:iCs/>
          <w:shd w:val="clear" w:color="auto" w:fill="FFFFFF"/>
        </w:rPr>
        <w:t>12</w:t>
      </w:r>
      <w:r>
        <w:rPr>
          <w:shd w:val="clear" w:color="auto" w:fill="FFFFFF"/>
        </w:rPr>
        <w:t>(20), p.8753.</w:t>
      </w:r>
    </w:p>
    <w:p w14:paraId="3ABF3788" w14:textId="77777777" w:rsidR="00110748" w:rsidRDefault="00110748" w:rsidP="00BA10CF">
      <w:pPr>
        <w:spacing w:after="0"/>
        <w:ind w:left="720" w:hanging="720"/>
        <w:jc w:val="both"/>
      </w:pPr>
      <w:r>
        <w:rPr>
          <w:shd w:val="clear" w:color="auto" w:fill="FFFFFF"/>
        </w:rPr>
        <w:t>Cattermole, G., 2019. Developing the employee lifecycle to keep top talent. </w:t>
      </w:r>
      <w:r>
        <w:rPr>
          <w:i/>
          <w:iCs/>
        </w:rPr>
        <w:t>Strategic HR review</w:t>
      </w:r>
      <w:r>
        <w:t>, </w:t>
      </w:r>
      <w:r>
        <w:rPr>
          <w:i/>
          <w:iCs/>
        </w:rPr>
        <w:t>18</w:t>
      </w:r>
      <w:r>
        <w:t>(6), pp.258-262.</w:t>
      </w:r>
    </w:p>
    <w:p w14:paraId="54C23FAF" w14:textId="77777777" w:rsidR="00110748" w:rsidRDefault="00110748" w:rsidP="00BA10CF">
      <w:pPr>
        <w:spacing w:after="0"/>
        <w:ind w:left="720" w:hanging="720"/>
        <w:rPr>
          <w:shd w:val="clear" w:color="auto" w:fill="FFFFFF"/>
        </w:rPr>
      </w:pPr>
      <w:r>
        <w:rPr>
          <w:shd w:val="clear" w:color="auto" w:fill="FFFFFF"/>
        </w:rPr>
        <w:t>Cattermole, G., 2019. Developing the employee lifecycle to keep top talent. </w:t>
      </w:r>
      <w:r>
        <w:rPr>
          <w:i/>
          <w:iCs/>
          <w:shd w:val="clear" w:color="auto" w:fill="FFFFFF"/>
        </w:rPr>
        <w:t>Strategic HR review</w:t>
      </w:r>
      <w:r>
        <w:rPr>
          <w:shd w:val="clear" w:color="auto" w:fill="FFFFFF"/>
        </w:rPr>
        <w:t>, </w:t>
      </w:r>
      <w:r>
        <w:rPr>
          <w:i/>
          <w:iCs/>
          <w:shd w:val="clear" w:color="auto" w:fill="FFFFFF"/>
        </w:rPr>
        <w:t>18</w:t>
      </w:r>
      <w:r>
        <w:rPr>
          <w:shd w:val="clear" w:color="auto" w:fill="FFFFFF"/>
        </w:rPr>
        <w:t>(6), pp.258-262.</w:t>
      </w:r>
    </w:p>
    <w:p w14:paraId="3B121044" w14:textId="77777777" w:rsidR="00110748" w:rsidRDefault="00110748" w:rsidP="00BA10CF">
      <w:pPr>
        <w:spacing w:after="0"/>
        <w:ind w:left="720" w:hanging="720"/>
        <w:jc w:val="both"/>
      </w:pPr>
      <w:r>
        <w:rPr>
          <w:shd w:val="clear" w:color="auto" w:fill="FFFFFF"/>
        </w:rPr>
        <w:t>Fortier, M.O.P., Teron, L., Reames, T.G., Munardy, D.T. and Sullivan, B.M., 2019. Introduction to evaluating energy justice across the life cycle: A social life cycle assessment approach. </w:t>
      </w:r>
      <w:r>
        <w:rPr>
          <w:i/>
          <w:iCs/>
        </w:rPr>
        <w:t>Applied Energy</w:t>
      </w:r>
      <w:r>
        <w:t>, </w:t>
      </w:r>
      <w:r>
        <w:rPr>
          <w:i/>
          <w:iCs/>
        </w:rPr>
        <w:t>236</w:t>
      </w:r>
      <w:r>
        <w:t>, pp.211-219.</w:t>
      </w:r>
    </w:p>
    <w:p w14:paraId="3F06C590" w14:textId="77777777" w:rsidR="00110748" w:rsidRDefault="00110748" w:rsidP="00BA10CF">
      <w:pPr>
        <w:spacing w:after="0"/>
        <w:ind w:left="720" w:hanging="720"/>
        <w:jc w:val="both"/>
      </w:pPr>
      <w:r>
        <w:t>Friedman, A. (2012) Continuing professional development: lifelong learning of millions. London: Routledge.</w:t>
      </w:r>
    </w:p>
    <w:p w14:paraId="01D5FC62" w14:textId="77777777" w:rsidR="00110748" w:rsidRDefault="00110748" w:rsidP="00BA10CF">
      <w:pPr>
        <w:spacing w:after="0"/>
        <w:ind w:left="720" w:hanging="720"/>
        <w:jc w:val="both"/>
      </w:pPr>
      <w:r>
        <w:rPr>
          <w:shd w:val="clear" w:color="auto" w:fill="FFFFFF"/>
        </w:rPr>
        <w:t>Goswami, S., 2021. Exploring the Shift from Employee Engagement to Employee Experience in Improving Organizational Performance: A Study of Hospitality Sector. </w:t>
      </w:r>
      <w:r>
        <w:rPr>
          <w:i/>
          <w:iCs/>
        </w:rPr>
        <w:t>Turkish Journal of Computer and Mathematics Education (TURCOMAT)</w:t>
      </w:r>
      <w:r>
        <w:t>, </w:t>
      </w:r>
      <w:r>
        <w:rPr>
          <w:i/>
          <w:iCs/>
        </w:rPr>
        <w:t>12</w:t>
      </w:r>
      <w:r>
        <w:t>(11), pp.3142-3151.</w:t>
      </w:r>
    </w:p>
    <w:p w14:paraId="093FF1A1" w14:textId="77777777" w:rsidR="00110748" w:rsidRDefault="00110748" w:rsidP="00BA10CF">
      <w:pPr>
        <w:spacing w:after="0"/>
        <w:ind w:left="720" w:hanging="720"/>
        <w:jc w:val="both"/>
      </w:pPr>
      <w:r>
        <w:rPr>
          <w:shd w:val="clear" w:color="auto" w:fill="FFFFFF"/>
        </w:rPr>
        <w:t>Kwon, K. and Kim, T., 2020. An integrative literature review of employee engagement and innovative behavior: Revisiting the JD-R model. </w:t>
      </w:r>
      <w:r>
        <w:rPr>
          <w:i/>
          <w:iCs/>
        </w:rPr>
        <w:t>Human Resource Management Review</w:t>
      </w:r>
      <w:r>
        <w:t>, </w:t>
      </w:r>
      <w:r>
        <w:rPr>
          <w:i/>
          <w:iCs/>
        </w:rPr>
        <w:t>30</w:t>
      </w:r>
      <w:r>
        <w:t>(2), p.100704.</w:t>
      </w:r>
    </w:p>
    <w:p w14:paraId="75255F8A" w14:textId="77777777" w:rsidR="00110748" w:rsidRDefault="00110748" w:rsidP="00BA10CF">
      <w:pPr>
        <w:spacing w:after="0"/>
        <w:ind w:left="720" w:hanging="720"/>
        <w:jc w:val="both"/>
      </w:pPr>
      <w:r>
        <w:rPr>
          <w:shd w:val="clear" w:color="auto" w:fill="FFFFFF"/>
        </w:rPr>
        <w:t>Kwon, K. and Park, J., 2019. The life cycle of employee engagement theory in HRD research. </w:t>
      </w:r>
      <w:r>
        <w:rPr>
          <w:i/>
          <w:iCs/>
        </w:rPr>
        <w:t>Advances in Developing Human Resources</w:t>
      </w:r>
      <w:r>
        <w:t>, </w:t>
      </w:r>
      <w:r>
        <w:rPr>
          <w:i/>
          <w:iCs/>
        </w:rPr>
        <w:t>21</w:t>
      </w:r>
      <w:r>
        <w:t>(3), pp.352-370.</w:t>
      </w:r>
    </w:p>
    <w:p w14:paraId="35CF2EDB" w14:textId="77777777" w:rsidR="00110748" w:rsidRDefault="00110748" w:rsidP="00BA10CF">
      <w:pPr>
        <w:spacing w:after="0"/>
        <w:ind w:left="720" w:hanging="720"/>
        <w:rPr>
          <w:shd w:val="clear" w:color="auto" w:fill="FFFFFF"/>
        </w:rPr>
      </w:pPr>
      <w:r>
        <w:rPr>
          <w:shd w:val="clear" w:color="auto" w:fill="FFFFFF"/>
        </w:rPr>
        <w:t>Lipson, S.D., 2021. Platforming gamification as a means of engagement in employee recruitment and onboarding.</w:t>
      </w:r>
    </w:p>
    <w:p w14:paraId="68454A51" w14:textId="77777777" w:rsidR="00110748" w:rsidRDefault="00110748" w:rsidP="00BA10CF">
      <w:pPr>
        <w:spacing w:after="0"/>
        <w:ind w:left="720" w:hanging="720"/>
        <w:jc w:val="both"/>
      </w:pPr>
      <w:r>
        <w:rPr>
          <w:shd w:val="clear" w:color="auto" w:fill="FFFFFF"/>
        </w:rPr>
        <w:t>Martin, S.R., Emich, K.J., McClean, E.J. and Woodruff, C.T., 2022. Keeping teams together: How ethical leadership moderates the effects of performance on team efficacy and social integration. </w:t>
      </w:r>
      <w:r>
        <w:rPr>
          <w:i/>
          <w:iCs/>
        </w:rPr>
        <w:t>Journal of Business Ethics</w:t>
      </w:r>
      <w:r>
        <w:t>, pp.1-13.</w:t>
      </w:r>
    </w:p>
    <w:p w14:paraId="4540FF8F" w14:textId="77777777" w:rsidR="00110748" w:rsidRDefault="00110748" w:rsidP="00BA10CF">
      <w:pPr>
        <w:spacing w:after="0"/>
        <w:ind w:left="720" w:hanging="720"/>
        <w:jc w:val="both"/>
      </w:pPr>
      <w:r>
        <w:rPr>
          <w:shd w:val="clear" w:color="auto" w:fill="FFFFFF"/>
        </w:rPr>
        <w:lastRenderedPageBreak/>
        <w:t>Mertens, W. and Recker, J., 2020. How store managers can empower their teams to engage in constructive deviance: Theory development through a multiple case study. </w:t>
      </w:r>
      <w:r>
        <w:rPr>
          <w:i/>
          <w:iCs/>
        </w:rPr>
        <w:t>Journal of Retailing and Consumer Services</w:t>
      </w:r>
      <w:r>
        <w:t>, </w:t>
      </w:r>
      <w:r>
        <w:rPr>
          <w:i/>
          <w:iCs/>
        </w:rPr>
        <w:t>52</w:t>
      </w:r>
      <w:r>
        <w:t>, p.101937.</w:t>
      </w:r>
    </w:p>
    <w:p w14:paraId="6998EDA2" w14:textId="77777777" w:rsidR="00110748" w:rsidRDefault="00110748" w:rsidP="00BA10CF">
      <w:pPr>
        <w:spacing w:after="0"/>
        <w:ind w:left="720" w:hanging="720"/>
        <w:jc w:val="both"/>
      </w:pPr>
      <w:r>
        <w:rPr>
          <w:shd w:val="clear" w:color="auto" w:fill="FFFFFF"/>
        </w:rPr>
        <w:t>Ohemeng, F.L., Obuobisa Darko, T. and Amoako-Asiedu, E., 2020. Bureaucratic leadership, trust building, and employee engagement in the public sector in Ghana: The perspective of social exchange theory. </w:t>
      </w:r>
      <w:r>
        <w:rPr>
          <w:i/>
          <w:iCs/>
        </w:rPr>
        <w:t>International Journal of Public Leadership</w:t>
      </w:r>
      <w:r>
        <w:t>, </w:t>
      </w:r>
      <w:r>
        <w:rPr>
          <w:i/>
          <w:iCs/>
        </w:rPr>
        <w:t>16</w:t>
      </w:r>
      <w:r>
        <w:t>(1), pp.17-40.</w:t>
      </w:r>
    </w:p>
    <w:p w14:paraId="2AE15424" w14:textId="77777777" w:rsidR="00110748" w:rsidRDefault="00110748" w:rsidP="00BA10CF">
      <w:pPr>
        <w:spacing w:after="0"/>
        <w:ind w:left="720" w:hanging="720"/>
        <w:rPr>
          <w:shd w:val="clear" w:color="auto" w:fill="FFFFFF"/>
        </w:rPr>
      </w:pPr>
      <w:r>
        <w:rPr>
          <w:shd w:val="clear" w:color="auto" w:fill="FFFFFF"/>
        </w:rPr>
        <w:t>Saling, K.C. and Do, M.D., 2020. Leveraging people analytics for an adaptive complex talent management system. </w:t>
      </w:r>
      <w:r>
        <w:rPr>
          <w:i/>
          <w:iCs/>
          <w:shd w:val="clear" w:color="auto" w:fill="FFFFFF"/>
        </w:rPr>
        <w:t>Procedia Computer Science</w:t>
      </w:r>
      <w:r>
        <w:rPr>
          <w:shd w:val="clear" w:color="auto" w:fill="FFFFFF"/>
        </w:rPr>
        <w:t>, </w:t>
      </w:r>
      <w:r>
        <w:rPr>
          <w:i/>
          <w:iCs/>
          <w:shd w:val="clear" w:color="auto" w:fill="FFFFFF"/>
        </w:rPr>
        <w:t>168</w:t>
      </w:r>
      <w:r>
        <w:rPr>
          <w:shd w:val="clear" w:color="auto" w:fill="FFFFFF"/>
        </w:rPr>
        <w:t>, pp.105-111.</w:t>
      </w:r>
    </w:p>
    <w:p w14:paraId="2165BF53" w14:textId="77777777" w:rsidR="00110748" w:rsidRDefault="00110748" w:rsidP="00BA10CF">
      <w:pPr>
        <w:spacing w:after="0"/>
        <w:ind w:left="720" w:hanging="720"/>
        <w:jc w:val="both"/>
      </w:pPr>
      <w:r>
        <w:rPr>
          <w:shd w:val="clear" w:color="auto" w:fill="FFFFFF"/>
        </w:rPr>
        <w:t>Shrotryia, V.K. and Dhanda, U., 2020. Exploring employee engagement using grounded theory: experiences from the best firms in India. </w:t>
      </w:r>
      <w:r>
        <w:rPr>
          <w:i/>
          <w:iCs/>
        </w:rPr>
        <w:t>Vision</w:t>
      </w:r>
      <w:r>
        <w:t>, </w:t>
      </w:r>
      <w:r>
        <w:rPr>
          <w:i/>
          <w:iCs/>
        </w:rPr>
        <w:t>24</w:t>
      </w:r>
      <w:r>
        <w:t>(2), pp.171-183.</w:t>
      </w:r>
    </w:p>
    <w:p w14:paraId="57698940" w14:textId="77777777" w:rsidR="00110748" w:rsidRDefault="00110748" w:rsidP="00BA10CF">
      <w:pPr>
        <w:spacing w:after="0"/>
        <w:ind w:left="720" w:hanging="720"/>
        <w:jc w:val="both"/>
      </w:pPr>
      <w:r>
        <w:rPr>
          <w:shd w:val="clear" w:color="auto" w:fill="FFFFFF"/>
        </w:rPr>
        <w:t>Singh, D., 2019. A literature review on employee retention with focus on recent trends. </w:t>
      </w:r>
      <w:r>
        <w:rPr>
          <w:i/>
          <w:iCs/>
        </w:rPr>
        <w:t>International Journal of Scientific Research in Science and Technology</w:t>
      </w:r>
      <w:r>
        <w:t>, </w:t>
      </w:r>
      <w:r>
        <w:rPr>
          <w:i/>
          <w:iCs/>
        </w:rPr>
        <w:t>6</w:t>
      </w:r>
      <w:r>
        <w:t>(1), pp.425-431.</w:t>
      </w:r>
    </w:p>
    <w:p w14:paraId="06C33BA3" w14:textId="77777777" w:rsidR="00110748" w:rsidRDefault="00110748" w:rsidP="00BA10CF">
      <w:pPr>
        <w:spacing w:after="0"/>
        <w:ind w:left="720" w:hanging="720"/>
        <w:rPr>
          <w:shd w:val="clear" w:color="auto" w:fill="FFFFFF"/>
        </w:rPr>
      </w:pPr>
      <w:r>
        <w:rPr>
          <w:shd w:val="clear" w:color="auto" w:fill="FFFFFF"/>
        </w:rPr>
        <w:t>Singh, D., 2019. A literature review on employee retention with focus on recent trends. </w:t>
      </w:r>
      <w:r>
        <w:rPr>
          <w:i/>
          <w:iCs/>
          <w:shd w:val="clear" w:color="auto" w:fill="FFFFFF"/>
        </w:rPr>
        <w:t>International Journal of Scientific Research in Science and Technology</w:t>
      </w:r>
      <w:r>
        <w:rPr>
          <w:shd w:val="clear" w:color="auto" w:fill="FFFFFF"/>
        </w:rPr>
        <w:t>, </w:t>
      </w:r>
      <w:r>
        <w:rPr>
          <w:i/>
          <w:iCs/>
          <w:shd w:val="clear" w:color="auto" w:fill="FFFFFF"/>
        </w:rPr>
        <w:t>6</w:t>
      </w:r>
      <w:r>
        <w:rPr>
          <w:shd w:val="clear" w:color="auto" w:fill="FFFFFF"/>
        </w:rPr>
        <w:t>(1), pp.425-431.</w:t>
      </w:r>
    </w:p>
    <w:p w14:paraId="0AD39876" w14:textId="77777777" w:rsidR="00110748" w:rsidRDefault="00110748" w:rsidP="00BA10CF">
      <w:pPr>
        <w:spacing w:after="0"/>
        <w:ind w:left="720" w:hanging="720"/>
        <w:rPr>
          <w:shd w:val="clear" w:color="auto" w:fill="FFFFFF"/>
        </w:rPr>
      </w:pPr>
      <w:r>
        <w:rPr>
          <w:shd w:val="clear" w:color="auto" w:fill="FFFFFF"/>
        </w:rPr>
        <w:t>Singh, R.P., 2021. Talent management literature review. </w:t>
      </w:r>
      <w:r>
        <w:rPr>
          <w:i/>
          <w:iCs/>
          <w:shd w:val="clear" w:color="auto" w:fill="FFFFFF"/>
        </w:rPr>
        <w:t>Feedforward: Journal of Human Resource</w:t>
      </w:r>
      <w:r>
        <w:rPr>
          <w:shd w:val="clear" w:color="auto" w:fill="FFFFFF"/>
        </w:rPr>
        <w:t>, </w:t>
      </w:r>
      <w:r>
        <w:rPr>
          <w:i/>
          <w:iCs/>
          <w:shd w:val="clear" w:color="auto" w:fill="FFFFFF"/>
        </w:rPr>
        <w:t>1</w:t>
      </w:r>
      <w:r>
        <w:rPr>
          <w:shd w:val="clear" w:color="auto" w:fill="FFFFFF"/>
        </w:rPr>
        <w:t>(1), pp.43-48.</w:t>
      </w:r>
    </w:p>
    <w:p w14:paraId="728C9BD7" w14:textId="77777777" w:rsidR="00110748" w:rsidRDefault="00110748" w:rsidP="00BA10CF">
      <w:pPr>
        <w:spacing w:after="0"/>
        <w:ind w:left="720" w:hanging="720"/>
        <w:rPr>
          <w:shd w:val="clear" w:color="auto" w:fill="FFFFFF"/>
        </w:rPr>
      </w:pPr>
      <w:r>
        <w:rPr>
          <w:shd w:val="clear" w:color="auto" w:fill="FFFFFF"/>
        </w:rPr>
        <w:t>Sivathanu, B. and Pillai, R., 2019. Leveraging technology for talent management: Foresight for organizational performance. </w:t>
      </w:r>
      <w:r>
        <w:rPr>
          <w:i/>
          <w:iCs/>
          <w:shd w:val="clear" w:color="auto" w:fill="FFFFFF"/>
        </w:rPr>
        <w:t>International Journal of Sociotechnology and Knowledge Development (IJSKD)</w:t>
      </w:r>
      <w:r>
        <w:rPr>
          <w:shd w:val="clear" w:color="auto" w:fill="FFFFFF"/>
        </w:rPr>
        <w:t>, </w:t>
      </w:r>
      <w:r>
        <w:rPr>
          <w:i/>
          <w:iCs/>
          <w:shd w:val="clear" w:color="auto" w:fill="FFFFFF"/>
        </w:rPr>
        <w:t>11</w:t>
      </w:r>
      <w:r>
        <w:rPr>
          <w:shd w:val="clear" w:color="auto" w:fill="FFFFFF"/>
        </w:rPr>
        <w:t>(2), pp.16-30.</w:t>
      </w:r>
    </w:p>
    <w:p w14:paraId="1743710F" w14:textId="77777777" w:rsidR="00110748" w:rsidRDefault="00110748" w:rsidP="00BA10CF">
      <w:pPr>
        <w:spacing w:after="0"/>
        <w:ind w:left="720" w:hanging="720"/>
        <w:jc w:val="both"/>
      </w:pPr>
      <w:r>
        <w:t xml:space="preserve">Torrington, D, Hall, L, Atkinson, C, &amp; Taylor, S 2020, Human Resource Management PDF EBook, Pearson Education, Limited, Harlow. Available from: ProQuest Ebook Central. </w:t>
      </w:r>
    </w:p>
    <w:p w14:paraId="1154F9EF" w14:textId="77777777" w:rsidR="00110748" w:rsidRDefault="00110748" w:rsidP="00BA10CF">
      <w:pPr>
        <w:spacing w:after="0"/>
        <w:ind w:left="720" w:hanging="720"/>
        <w:rPr>
          <w:shd w:val="clear" w:color="auto" w:fill="FFFFFF"/>
        </w:rPr>
      </w:pPr>
      <w:r>
        <w:rPr>
          <w:shd w:val="clear" w:color="auto" w:fill="FFFFFF"/>
        </w:rPr>
        <w:t>Voegeli, C., 2021. A Case Study of Knowledge Management Practices at the Intercontinental Hotels’ Group. </w:t>
      </w:r>
      <w:r>
        <w:rPr>
          <w:i/>
          <w:iCs/>
          <w:shd w:val="clear" w:color="auto" w:fill="FFFFFF"/>
        </w:rPr>
        <w:t>Available at SSRN 3819409</w:t>
      </w:r>
      <w:r>
        <w:rPr>
          <w:shd w:val="clear" w:color="auto" w:fill="FFFFFF"/>
        </w:rPr>
        <w:t>.</w:t>
      </w:r>
    </w:p>
    <w:p w14:paraId="0405031F" w14:textId="77777777" w:rsidR="00110748" w:rsidRDefault="00110748" w:rsidP="00BA10CF">
      <w:pPr>
        <w:spacing w:after="0"/>
        <w:ind w:left="720" w:hanging="720"/>
        <w:rPr>
          <w:shd w:val="clear" w:color="auto" w:fill="FFFFFF"/>
        </w:rPr>
      </w:pPr>
    </w:p>
    <w:p w14:paraId="4F555FB4" w14:textId="77777777" w:rsidR="00FC4B30" w:rsidRDefault="00FC4B30" w:rsidP="00BA10CF">
      <w:pPr>
        <w:spacing w:after="0"/>
        <w:ind w:left="720" w:hanging="720"/>
        <w:jc w:val="both"/>
      </w:pPr>
    </w:p>
    <w:p w14:paraId="19455303" w14:textId="77777777" w:rsidR="005B2A70" w:rsidRPr="005B2A70" w:rsidRDefault="005B2A70" w:rsidP="00BA10CF">
      <w:pPr>
        <w:spacing w:after="0"/>
        <w:ind w:left="720" w:hanging="720"/>
        <w:jc w:val="both"/>
      </w:pPr>
    </w:p>
    <w:p w14:paraId="138E4CAB" w14:textId="77777777" w:rsidR="00173D02" w:rsidRDefault="00173D02" w:rsidP="00EC237C">
      <w:pPr>
        <w:jc w:val="both"/>
      </w:pPr>
    </w:p>
    <w:p w14:paraId="552006E6" w14:textId="77777777" w:rsidR="00173D02" w:rsidRDefault="00173D02" w:rsidP="00EC237C">
      <w:pPr>
        <w:jc w:val="both"/>
      </w:pPr>
    </w:p>
    <w:sectPr w:rsidR="00173D0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EE164B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E6F35DC"/>
    <w:multiLevelType w:val="multilevel"/>
    <w:tmpl w:val="F72867E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146849518">
    <w:abstractNumId w:val="0"/>
  </w:num>
  <w:num w:numId="2" w16cid:durableId="1579634905">
    <w:abstractNumId w:val="1"/>
  </w:num>
  <w:num w:numId="3" w16cid:durableId="1600408286">
    <w:abstractNumId w:val="0"/>
  </w:num>
  <w:num w:numId="4" w16cid:durableId="1756895830">
    <w:abstractNumId w:val="0"/>
  </w:num>
  <w:num w:numId="5" w16cid:durableId="722406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73D02"/>
    <w:rsid w:val="00052AF7"/>
    <w:rsid w:val="00093A03"/>
    <w:rsid w:val="00110748"/>
    <w:rsid w:val="00145A9C"/>
    <w:rsid w:val="00154F97"/>
    <w:rsid w:val="00173D02"/>
    <w:rsid w:val="00174BE2"/>
    <w:rsid w:val="00191967"/>
    <w:rsid w:val="001A764E"/>
    <w:rsid w:val="001F487E"/>
    <w:rsid w:val="00314B2C"/>
    <w:rsid w:val="003D21B6"/>
    <w:rsid w:val="003F71CB"/>
    <w:rsid w:val="004562E0"/>
    <w:rsid w:val="004C603E"/>
    <w:rsid w:val="00577FC9"/>
    <w:rsid w:val="005B2A70"/>
    <w:rsid w:val="00633A0B"/>
    <w:rsid w:val="006E110F"/>
    <w:rsid w:val="006E1206"/>
    <w:rsid w:val="006E7EE2"/>
    <w:rsid w:val="007C6480"/>
    <w:rsid w:val="007E35E9"/>
    <w:rsid w:val="008B5291"/>
    <w:rsid w:val="00931081"/>
    <w:rsid w:val="00960A64"/>
    <w:rsid w:val="00A176D4"/>
    <w:rsid w:val="00A23A94"/>
    <w:rsid w:val="00B17939"/>
    <w:rsid w:val="00B53901"/>
    <w:rsid w:val="00B579D0"/>
    <w:rsid w:val="00BA10CF"/>
    <w:rsid w:val="00BE16B8"/>
    <w:rsid w:val="00BE6E69"/>
    <w:rsid w:val="00BE74CD"/>
    <w:rsid w:val="00BF4B4B"/>
    <w:rsid w:val="00C67BDA"/>
    <w:rsid w:val="00C7498D"/>
    <w:rsid w:val="00CE409D"/>
    <w:rsid w:val="00DB0844"/>
    <w:rsid w:val="00E37EC9"/>
    <w:rsid w:val="00E65981"/>
    <w:rsid w:val="00E739CE"/>
    <w:rsid w:val="00E978CE"/>
    <w:rsid w:val="00EC237C"/>
    <w:rsid w:val="00EE417F"/>
    <w:rsid w:val="00F265C0"/>
    <w:rsid w:val="00F37BB1"/>
    <w:rsid w:val="00F72729"/>
    <w:rsid w:val="00FC4B30"/>
    <w:rsid w:val="00FF1145"/>
    <w:rsid w:val="00FF5E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D44FF"/>
  <w15:docId w15:val="{EA2AD100-E267-4CCD-AF2D-2042A9088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6D4"/>
    <w:pPr>
      <w:spacing w:after="200" w:line="360" w:lineRule="auto"/>
    </w:pPr>
    <w:rPr>
      <w:rFonts w:eastAsiaTheme="minorEastAsia"/>
      <w:sz w:val="24"/>
      <w:lang w:val="en-GB"/>
    </w:rPr>
  </w:style>
  <w:style w:type="paragraph" w:styleId="Heading1">
    <w:name w:val="heading 1"/>
    <w:basedOn w:val="Normal"/>
    <w:next w:val="Normal"/>
    <w:link w:val="Heading1Char"/>
    <w:autoRedefine/>
    <w:uiPriority w:val="9"/>
    <w:qFormat/>
    <w:rsid w:val="00A176D4"/>
    <w:pPr>
      <w:spacing w:before="480" w:line="276" w:lineRule="auto"/>
      <w:contextualSpacing/>
      <w:outlineLvl w:val="0"/>
    </w:pPr>
    <w:rPr>
      <w:rFonts w:asciiTheme="majorHAnsi" w:eastAsiaTheme="majorEastAsia" w:hAnsiTheme="majorHAnsi" w:cstheme="majorBidi"/>
      <w:b/>
      <w:bCs/>
      <w:szCs w:val="28"/>
    </w:rPr>
  </w:style>
  <w:style w:type="paragraph" w:styleId="Heading2">
    <w:name w:val="heading 2"/>
    <w:basedOn w:val="Normal"/>
    <w:next w:val="Normal"/>
    <w:link w:val="Heading2Char"/>
    <w:autoRedefine/>
    <w:uiPriority w:val="9"/>
    <w:unhideWhenUsed/>
    <w:qFormat/>
    <w:rsid w:val="00A176D4"/>
    <w:pPr>
      <w:spacing w:before="200" w:line="276" w:lineRule="auto"/>
      <w:outlineLvl w:val="1"/>
    </w:pPr>
    <w:rPr>
      <w:rFonts w:asciiTheme="majorHAnsi" w:eastAsiaTheme="majorEastAsia" w:hAnsiTheme="majorHAnsi" w:cstheme="majorBidi"/>
      <w:b/>
      <w:bCs/>
      <w:i/>
      <w:szCs w:val="26"/>
    </w:rPr>
  </w:style>
  <w:style w:type="paragraph" w:styleId="Heading3">
    <w:name w:val="heading 3"/>
    <w:basedOn w:val="Normal"/>
    <w:next w:val="Normal"/>
    <w:link w:val="Heading3Char"/>
    <w:autoRedefine/>
    <w:uiPriority w:val="9"/>
    <w:unhideWhenUsed/>
    <w:qFormat/>
    <w:rsid w:val="00A176D4"/>
    <w:pPr>
      <w:keepNext/>
      <w:numPr>
        <w:ilvl w:val="2"/>
        <w:numId w:val="4"/>
      </w:numPr>
      <w:spacing w:before="240" w:after="60" w:line="240" w:lineRule="auto"/>
      <w:outlineLvl w:val="2"/>
    </w:pPr>
    <w:rPr>
      <w:rFonts w:asciiTheme="majorHAnsi" w:eastAsiaTheme="majorEastAsia" w:hAnsiTheme="majorHAnsi"/>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6D4"/>
    <w:rPr>
      <w:rFonts w:asciiTheme="majorHAnsi" w:eastAsiaTheme="majorEastAsia" w:hAnsiTheme="majorHAnsi" w:cstheme="majorBidi"/>
      <w:b/>
      <w:bCs/>
      <w:sz w:val="24"/>
      <w:szCs w:val="28"/>
    </w:rPr>
  </w:style>
  <w:style w:type="character" w:customStyle="1" w:styleId="Heading2Char">
    <w:name w:val="Heading 2 Char"/>
    <w:basedOn w:val="DefaultParagraphFont"/>
    <w:link w:val="Heading2"/>
    <w:uiPriority w:val="9"/>
    <w:rsid w:val="00A176D4"/>
    <w:rPr>
      <w:rFonts w:asciiTheme="majorHAnsi" w:eastAsiaTheme="majorEastAsia" w:hAnsiTheme="majorHAnsi" w:cstheme="majorBidi"/>
      <w:b/>
      <w:bCs/>
      <w:i/>
      <w:sz w:val="24"/>
      <w:szCs w:val="26"/>
    </w:rPr>
  </w:style>
  <w:style w:type="paragraph" w:styleId="Title">
    <w:name w:val="Title"/>
    <w:basedOn w:val="Normal"/>
    <w:next w:val="Normal"/>
    <w:link w:val="TitleChar"/>
    <w:autoRedefine/>
    <w:uiPriority w:val="10"/>
    <w:qFormat/>
    <w:rsid w:val="00A176D4"/>
    <w:pPr>
      <w:pBdr>
        <w:bottom w:val="single" w:sz="4" w:space="1" w:color="auto"/>
      </w:pBdr>
      <w:spacing w:line="240" w:lineRule="auto"/>
      <w:contextualSpacing/>
    </w:pPr>
    <w:rPr>
      <w:rFonts w:asciiTheme="majorHAnsi" w:eastAsiaTheme="majorEastAsia" w:hAnsiTheme="majorHAnsi" w:cstheme="majorBidi"/>
      <w:i/>
      <w:spacing w:val="5"/>
      <w:szCs w:val="52"/>
    </w:rPr>
  </w:style>
  <w:style w:type="character" w:customStyle="1" w:styleId="TitleChar">
    <w:name w:val="Title Char"/>
    <w:basedOn w:val="DefaultParagraphFont"/>
    <w:link w:val="Title"/>
    <w:uiPriority w:val="10"/>
    <w:rsid w:val="00A176D4"/>
    <w:rPr>
      <w:rFonts w:asciiTheme="majorHAnsi" w:eastAsiaTheme="majorEastAsia" w:hAnsiTheme="majorHAnsi" w:cstheme="majorBidi"/>
      <w:i/>
      <w:spacing w:val="5"/>
      <w:sz w:val="24"/>
      <w:szCs w:val="52"/>
    </w:rPr>
  </w:style>
  <w:style w:type="character" w:customStyle="1" w:styleId="Heading3Char">
    <w:name w:val="Heading 3 Char"/>
    <w:basedOn w:val="DefaultParagraphFont"/>
    <w:link w:val="Heading3"/>
    <w:uiPriority w:val="9"/>
    <w:rsid w:val="00A176D4"/>
    <w:rPr>
      <w:rFonts w:asciiTheme="majorHAnsi" w:eastAsiaTheme="majorEastAsia" w:hAnsiTheme="majorHAnsi"/>
      <w:bCs/>
      <w:i/>
      <w:sz w:val="24"/>
      <w:szCs w:val="26"/>
    </w:rPr>
  </w:style>
  <w:style w:type="paragraph" w:styleId="TOCHeading">
    <w:name w:val="TOC Heading"/>
    <w:basedOn w:val="Heading1"/>
    <w:next w:val="Normal"/>
    <w:uiPriority w:val="39"/>
    <w:unhideWhenUsed/>
    <w:qFormat/>
    <w:rsid w:val="00C67BDA"/>
    <w:pPr>
      <w:keepNext/>
      <w:keepLines/>
      <w:spacing w:before="240" w:after="0" w:line="259" w:lineRule="auto"/>
      <w:contextualSpacing w:val="0"/>
      <w:outlineLvl w:val="9"/>
    </w:pPr>
    <w:rPr>
      <w:b w:val="0"/>
      <w:bCs w:val="0"/>
      <w:color w:val="2E74B5" w:themeColor="accent1" w:themeShade="BF"/>
      <w:sz w:val="32"/>
      <w:szCs w:val="32"/>
      <w:lang w:val="en-US"/>
    </w:rPr>
  </w:style>
  <w:style w:type="paragraph" w:styleId="TOC1">
    <w:name w:val="toc 1"/>
    <w:basedOn w:val="Normal"/>
    <w:next w:val="Normal"/>
    <w:autoRedefine/>
    <w:uiPriority w:val="39"/>
    <w:unhideWhenUsed/>
    <w:rsid w:val="00C67BDA"/>
    <w:pPr>
      <w:spacing w:after="100"/>
    </w:pPr>
  </w:style>
  <w:style w:type="character" w:styleId="Hyperlink">
    <w:name w:val="Hyperlink"/>
    <w:basedOn w:val="DefaultParagraphFont"/>
    <w:uiPriority w:val="99"/>
    <w:unhideWhenUsed/>
    <w:rsid w:val="00C67BDA"/>
    <w:rPr>
      <w:color w:val="0563C1" w:themeColor="hyperlink"/>
      <w:u w:val="single"/>
    </w:rPr>
  </w:style>
  <w:style w:type="paragraph" w:styleId="NormalWeb">
    <w:name w:val="Normal (Web)"/>
    <w:basedOn w:val="Normal"/>
    <w:uiPriority w:val="99"/>
    <w:semiHidden/>
    <w:unhideWhenUsed/>
    <w:rsid w:val="00E739CE"/>
    <w:pPr>
      <w:spacing w:before="100" w:beforeAutospacing="1" w:after="100" w:afterAutospacing="1" w:line="240" w:lineRule="auto"/>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2">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26818-B36E-4980-9CB1-2F465D467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2591</Words>
  <Characters>14774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vasile balan</cp:lastModifiedBy>
  <cp:revision>40</cp:revision>
  <dcterms:created xsi:type="dcterms:W3CDTF">2023-01-31T14:45:00Z</dcterms:created>
  <dcterms:modified xsi:type="dcterms:W3CDTF">2023-02-08T19:25:00Z</dcterms:modified>
</cp:coreProperties>
</file>