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D5218" w14:textId="77777777" w:rsidR="004273B4" w:rsidRDefault="004273B4" w:rsidP="004273B4">
      <w:pPr>
        <w:rPr>
          <w:rFonts w:ascii="Arial" w:hAnsi="Arial" w:cs="Arial"/>
          <w:sz w:val="22"/>
          <w:szCs w:val="22"/>
        </w:rPr>
      </w:pPr>
      <w:r w:rsidRPr="004273B4">
        <w:rPr>
          <w:rFonts w:ascii="Arial" w:hAnsi="Arial" w:cs="Arial"/>
          <w:b/>
          <w:bCs/>
          <w:sz w:val="22"/>
          <w:szCs w:val="22"/>
        </w:rPr>
        <w:t>Component 2</w:t>
      </w:r>
      <w:r w:rsidRPr="004273B4">
        <w:rPr>
          <w:rFonts w:ascii="Arial" w:hAnsi="Arial" w:cs="Arial"/>
          <w:sz w:val="22"/>
          <w:szCs w:val="22"/>
        </w:rPr>
        <w:t>: Written Assignment (Report)</w:t>
      </w:r>
    </w:p>
    <w:p w14:paraId="1FA87302" w14:textId="5C94ADEE" w:rsidR="004273B4" w:rsidRPr="004273B4" w:rsidRDefault="004273B4" w:rsidP="004273B4">
      <w:pPr>
        <w:rPr>
          <w:rFonts w:ascii="Arial" w:hAnsi="Arial" w:cs="Arial"/>
          <w:sz w:val="22"/>
          <w:szCs w:val="22"/>
        </w:rPr>
      </w:pPr>
      <w:r w:rsidRPr="004273B4">
        <w:rPr>
          <w:rFonts w:ascii="Arial" w:hAnsi="Arial" w:cs="Arial"/>
          <w:b/>
          <w:bCs/>
          <w:sz w:val="22"/>
          <w:szCs w:val="22"/>
        </w:rPr>
        <w:t>Programme:</w:t>
      </w:r>
      <w:r>
        <w:rPr>
          <w:rFonts w:ascii="Arial" w:hAnsi="Arial" w:cs="Arial"/>
          <w:sz w:val="22"/>
          <w:szCs w:val="22"/>
        </w:rPr>
        <w:t xml:space="preserve"> </w:t>
      </w:r>
      <w:r w:rsidRPr="004273B4">
        <w:rPr>
          <w:rFonts w:ascii="Arial" w:hAnsi="Arial" w:cs="Arial"/>
          <w:sz w:val="22"/>
          <w:szCs w:val="22"/>
        </w:rPr>
        <w:t>BSc Health and Social Care</w:t>
      </w:r>
    </w:p>
    <w:p w14:paraId="1C50D4FE" w14:textId="77FB85D9" w:rsidR="004273B4" w:rsidRPr="004273B4" w:rsidRDefault="004273B4" w:rsidP="004273B4">
      <w:pPr>
        <w:rPr>
          <w:rFonts w:ascii="Arial" w:hAnsi="Arial" w:cs="Arial"/>
          <w:sz w:val="22"/>
          <w:szCs w:val="22"/>
        </w:rPr>
      </w:pPr>
      <w:r w:rsidRPr="004273B4">
        <w:rPr>
          <w:rFonts w:ascii="Arial" w:hAnsi="Arial" w:cs="Arial"/>
          <w:b/>
          <w:bCs/>
          <w:sz w:val="22"/>
          <w:szCs w:val="22"/>
        </w:rPr>
        <w:t>Module:</w:t>
      </w:r>
      <w:r>
        <w:rPr>
          <w:rFonts w:ascii="Arial" w:hAnsi="Arial" w:cs="Arial"/>
          <w:sz w:val="22"/>
          <w:szCs w:val="22"/>
        </w:rPr>
        <w:t xml:space="preserve"> </w:t>
      </w:r>
      <w:r w:rsidRPr="004273B4">
        <w:rPr>
          <w:rFonts w:ascii="Arial" w:hAnsi="Arial" w:cs="Arial"/>
          <w:sz w:val="22"/>
          <w:szCs w:val="22"/>
        </w:rPr>
        <w:t>Principles of Health and Social Care Practice</w:t>
      </w:r>
    </w:p>
    <w:p w14:paraId="6407CFC4" w14:textId="000F3B26" w:rsidR="004273B4" w:rsidRDefault="004273B4" w:rsidP="004273B4">
      <w:pPr>
        <w:rPr>
          <w:rFonts w:ascii="Arial" w:hAnsi="Arial" w:cs="Arial"/>
          <w:sz w:val="22"/>
          <w:szCs w:val="22"/>
        </w:rPr>
      </w:pPr>
      <w:r w:rsidRPr="004273B4">
        <w:rPr>
          <w:rFonts w:ascii="Arial" w:hAnsi="Arial" w:cs="Arial"/>
          <w:b/>
          <w:bCs/>
          <w:sz w:val="22"/>
          <w:szCs w:val="22"/>
        </w:rPr>
        <w:t>Module Code:</w:t>
      </w:r>
      <w:r>
        <w:rPr>
          <w:rFonts w:ascii="Arial" w:hAnsi="Arial" w:cs="Arial"/>
          <w:sz w:val="22"/>
          <w:szCs w:val="22"/>
        </w:rPr>
        <w:t xml:space="preserve"> </w:t>
      </w:r>
      <w:r w:rsidRPr="004273B4">
        <w:rPr>
          <w:rFonts w:ascii="Arial" w:hAnsi="Arial" w:cs="Arial"/>
          <w:sz w:val="22"/>
          <w:szCs w:val="22"/>
        </w:rPr>
        <w:t>BMHP5016</w:t>
      </w:r>
    </w:p>
    <w:p w14:paraId="3837F3F6" w14:textId="14555C47" w:rsidR="004273B4" w:rsidRDefault="004273B4" w:rsidP="004273B4">
      <w:pPr>
        <w:rPr>
          <w:rFonts w:ascii="Arial" w:hAnsi="Arial" w:cs="Arial"/>
          <w:sz w:val="22"/>
          <w:szCs w:val="22"/>
        </w:rPr>
      </w:pPr>
      <w:r w:rsidRPr="004273B4">
        <w:rPr>
          <w:rFonts w:ascii="Arial" w:hAnsi="Arial" w:cs="Arial"/>
          <w:b/>
          <w:bCs/>
          <w:sz w:val="22"/>
          <w:szCs w:val="22"/>
        </w:rPr>
        <w:t>Lecturer:</w:t>
      </w:r>
      <w:r>
        <w:rPr>
          <w:rFonts w:ascii="Arial" w:hAnsi="Arial" w:cs="Arial"/>
          <w:sz w:val="22"/>
          <w:szCs w:val="22"/>
        </w:rPr>
        <w:t xml:space="preserve"> </w:t>
      </w:r>
      <w:r w:rsidRPr="004273B4">
        <w:rPr>
          <w:rFonts w:ascii="Arial" w:hAnsi="Arial" w:cs="Arial"/>
          <w:sz w:val="22"/>
          <w:szCs w:val="22"/>
        </w:rPr>
        <w:t>Rizwan Nadim</w:t>
      </w:r>
    </w:p>
    <w:p w14:paraId="0D5552BC" w14:textId="57D6D7EB" w:rsidR="004273B4" w:rsidRDefault="004273B4" w:rsidP="004273B4">
      <w:pPr>
        <w:rPr>
          <w:rFonts w:ascii="Arial" w:hAnsi="Arial" w:cs="Arial"/>
          <w:sz w:val="22"/>
          <w:szCs w:val="22"/>
        </w:rPr>
      </w:pPr>
      <w:r>
        <w:rPr>
          <w:rFonts w:ascii="Arial" w:hAnsi="Arial" w:cs="Arial"/>
          <w:b/>
          <w:bCs/>
          <w:sz w:val="22"/>
          <w:szCs w:val="22"/>
        </w:rPr>
        <w:t xml:space="preserve">Student Name : </w:t>
      </w:r>
      <w:r>
        <w:rPr>
          <w:rFonts w:ascii="Arial" w:hAnsi="Arial" w:cs="Arial"/>
          <w:sz w:val="22"/>
          <w:szCs w:val="22"/>
        </w:rPr>
        <w:t>Shahreen Akhtar</w:t>
      </w:r>
    </w:p>
    <w:p w14:paraId="1F187BA6" w14:textId="4067394B" w:rsidR="004273B4" w:rsidRDefault="004273B4" w:rsidP="004273B4">
      <w:pPr>
        <w:rPr>
          <w:rFonts w:ascii="Arial" w:hAnsi="Arial" w:cs="Arial"/>
          <w:sz w:val="22"/>
          <w:szCs w:val="22"/>
        </w:rPr>
      </w:pPr>
      <w:r>
        <w:rPr>
          <w:rFonts w:ascii="Arial" w:hAnsi="Arial" w:cs="Arial"/>
          <w:b/>
          <w:bCs/>
          <w:sz w:val="22"/>
          <w:szCs w:val="22"/>
        </w:rPr>
        <w:t xml:space="preserve">Student Number </w:t>
      </w:r>
      <w:r>
        <w:rPr>
          <w:rFonts w:ascii="Arial" w:hAnsi="Arial" w:cs="Arial"/>
          <w:sz w:val="22"/>
          <w:szCs w:val="22"/>
        </w:rPr>
        <w:t>: 2440149</w:t>
      </w:r>
    </w:p>
    <w:p w14:paraId="524D05D2" w14:textId="2CDBC256" w:rsidR="004273B4" w:rsidRDefault="004273B4" w:rsidP="004273B4">
      <w:pPr>
        <w:rPr>
          <w:rFonts w:ascii="Arial" w:hAnsi="Arial" w:cs="Arial"/>
          <w:sz w:val="22"/>
          <w:szCs w:val="22"/>
        </w:rPr>
      </w:pPr>
      <w:r w:rsidRPr="004273B4">
        <w:rPr>
          <w:rFonts w:ascii="Arial" w:hAnsi="Arial" w:cs="Arial"/>
          <w:b/>
          <w:bCs/>
          <w:sz w:val="22"/>
          <w:szCs w:val="22"/>
        </w:rPr>
        <w:t>Submission Date:</w:t>
      </w:r>
      <w:r>
        <w:rPr>
          <w:rFonts w:ascii="Arial" w:hAnsi="Arial" w:cs="Arial"/>
          <w:sz w:val="22"/>
          <w:szCs w:val="22"/>
        </w:rPr>
        <w:t xml:space="preserve"> </w:t>
      </w:r>
      <w:r w:rsidRPr="004273B4">
        <w:rPr>
          <w:rFonts w:ascii="Arial" w:hAnsi="Arial" w:cs="Arial"/>
          <w:sz w:val="22"/>
          <w:szCs w:val="22"/>
        </w:rPr>
        <w:t>Sunday 26th July 2026</w:t>
      </w:r>
    </w:p>
    <w:p w14:paraId="5D605C9D" w14:textId="77777777" w:rsidR="00920C7F" w:rsidRDefault="00920C7F" w:rsidP="004273B4">
      <w:pPr>
        <w:rPr>
          <w:rFonts w:ascii="Arial" w:hAnsi="Arial" w:cs="Arial"/>
          <w:sz w:val="22"/>
          <w:szCs w:val="22"/>
        </w:rPr>
      </w:pPr>
    </w:p>
    <w:p w14:paraId="765BFD7E" w14:textId="77777777" w:rsidR="00920C7F" w:rsidRDefault="00920C7F" w:rsidP="004273B4">
      <w:pPr>
        <w:rPr>
          <w:rFonts w:ascii="Arial" w:hAnsi="Arial" w:cs="Arial"/>
          <w:sz w:val="22"/>
          <w:szCs w:val="22"/>
        </w:rPr>
      </w:pPr>
    </w:p>
    <w:p w14:paraId="4A74FE7C" w14:textId="77777777" w:rsidR="00920C7F" w:rsidRDefault="00920C7F" w:rsidP="004273B4">
      <w:pPr>
        <w:rPr>
          <w:rFonts w:ascii="Arial" w:hAnsi="Arial" w:cs="Arial"/>
          <w:sz w:val="22"/>
          <w:szCs w:val="22"/>
        </w:rPr>
      </w:pPr>
    </w:p>
    <w:p w14:paraId="75A8AD25" w14:textId="77777777" w:rsidR="00920C7F" w:rsidRDefault="00920C7F" w:rsidP="004273B4">
      <w:pPr>
        <w:rPr>
          <w:rFonts w:ascii="Arial" w:hAnsi="Arial" w:cs="Arial"/>
          <w:sz w:val="22"/>
          <w:szCs w:val="22"/>
        </w:rPr>
      </w:pPr>
    </w:p>
    <w:p w14:paraId="2C680E61" w14:textId="77777777" w:rsidR="00920C7F" w:rsidRDefault="00920C7F" w:rsidP="004273B4">
      <w:pPr>
        <w:rPr>
          <w:rFonts w:ascii="Arial" w:hAnsi="Arial" w:cs="Arial"/>
          <w:sz w:val="22"/>
          <w:szCs w:val="22"/>
        </w:rPr>
      </w:pPr>
    </w:p>
    <w:p w14:paraId="3F539626" w14:textId="77777777" w:rsidR="00ED08F3" w:rsidRDefault="00ED08F3" w:rsidP="004273B4">
      <w:pPr>
        <w:rPr>
          <w:rFonts w:ascii="Arial" w:hAnsi="Arial" w:cs="Arial"/>
          <w:sz w:val="22"/>
          <w:szCs w:val="22"/>
        </w:rPr>
      </w:pPr>
    </w:p>
    <w:p w14:paraId="0AA647D3" w14:textId="77777777" w:rsidR="00ED08F3" w:rsidRDefault="00ED08F3" w:rsidP="004273B4">
      <w:pPr>
        <w:rPr>
          <w:rFonts w:ascii="Arial" w:hAnsi="Arial" w:cs="Arial"/>
          <w:sz w:val="22"/>
          <w:szCs w:val="22"/>
        </w:rPr>
      </w:pPr>
    </w:p>
    <w:p w14:paraId="247EA19D" w14:textId="77777777" w:rsidR="00ED08F3" w:rsidRDefault="00ED08F3" w:rsidP="004273B4">
      <w:pPr>
        <w:rPr>
          <w:rFonts w:ascii="Arial" w:hAnsi="Arial" w:cs="Arial"/>
          <w:sz w:val="22"/>
          <w:szCs w:val="22"/>
        </w:rPr>
      </w:pPr>
    </w:p>
    <w:p w14:paraId="55782AAA" w14:textId="77777777" w:rsidR="00ED08F3" w:rsidRDefault="00ED08F3" w:rsidP="004273B4">
      <w:pPr>
        <w:rPr>
          <w:rFonts w:ascii="Arial" w:hAnsi="Arial" w:cs="Arial"/>
          <w:sz w:val="22"/>
          <w:szCs w:val="22"/>
        </w:rPr>
      </w:pPr>
    </w:p>
    <w:p w14:paraId="4F894E17" w14:textId="77777777" w:rsidR="00ED08F3" w:rsidRDefault="00ED08F3" w:rsidP="004273B4">
      <w:pPr>
        <w:rPr>
          <w:rFonts w:ascii="Arial" w:hAnsi="Arial" w:cs="Arial"/>
          <w:sz w:val="22"/>
          <w:szCs w:val="22"/>
        </w:rPr>
      </w:pPr>
    </w:p>
    <w:p w14:paraId="617509C3" w14:textId="77777777" w:rsidR="00ED08F3" w:rsidRDefault="00ED08F3" w:rsidP="004273B4">
      <w:pPr>
        <w:rPr>
          <w:rFonts w:ascii="Arial" w:hAnsi="Arial" w:cs="Arial"/>
          <w:sz w:val="22"/>
          <w:szCs w:val="22"/>
        </w:rPr>
      </w:pPr>
    </w:p>
    <w:p w14:paraId="5DA428DC" w14:textId="77777777" w:rsidR="00ED08F3" w:rsidRDefault="00ED08F3" w:rsidP="004273B4">
      <w:pPr>
        <w:rPr>
          <w:rFonts w:ascii="Arial" w:hAnsi="Arial" w:cs="Arial"/>
          <w:sz w:val="22"/>
          <w:szCs w:val="22"/>
        </w:rPr>
      </w:pPr>
    </w:p>
    <w:p w14:paraId="5C3CA617" w14:textId="77777777" w:rsidR="00ED08F3" w:rsidRDefault="00ED08F3" w:rsidP="004273B4">
      <w:pPr>
        <w:rPr>
          <w:rFonts w:ascii="Arial" w:hAnsi="Arial" w:cs="Arial"/>
          <w:sz w:val="22"/>
          <w:szCs w:val="22"/>
        </w:rPr>
      </w:pPr>
    </w:p>
    <w:p w14:paraId="69292E2D" w14:textId="77777777" w:rsidR="00ED08F3" w:rsidRDefault="00ED08F3" w:rsidP="004273B4">
      <w:pPr>
        <w:rPr>
          <w:rFonts w:ascii="Arial" w:hAnsi="Arial" w:cs="Arial"/>
          <w:sz w:val="22"/>
          <w:szCs w:val="22"/>
        </w:rPr>
      </w:pPr>
    </w:p>
    <w:p w14:paraId="1D6DD466" w14:textId="77777777" w:rsidR="00ED08F3" w:rsidRDefault="00ED08F3" w:rsidP="004273B4">
      <w:pPr>
        <w:rPr>
          <w:rFonts w:ascii="Arial" w:hAnsi="Arial" w:cs="Arial"/>
          <w:sz w:val="22"/>
          <w:szCs w:val="22"/>
        </w:rPr>
      </w:pPr>
    </w:p>
    <w:p w14:paraId="7B58D1B5" w14:textId="77777777" w:rsidR="00ED08F3" w:rsidRDefault="00ED08F3" w:rsidP="004273B4">
      <w:pPr>
        <w:rPr>
          <w:rFonts w:ascii="Arial" w:hAnsi="Arial" w:cs="Arial"/>
          <w:sz w:val="22"/>
          <w:szCs w:val="22"/>
        </w:rPr>
      </w:pPr>
    </w:p>
    <w:p w14:paraId="27D8ED66" w14:textId="77777777" w:rsidR="00ED08F3" w:rsidRDefault="00ED08F3" w:rsidP="004273B4">
      <w:pPr>
        <w:rPr>
          <w:rFonts w:ascii="Arial" w:hAnsi="Arial" w:cs="Arial"/>
          <w:sz w:val="22"/>
          <w:szCs w:val="22"/>
        </w:rPr>
      </w:pPr>
    </w:p>
    <w:p w14:paraId="48FA52A5" w14:textId="77777777" w:rsidR="00ED08F3" w:rsidRDefault="00ED08F3" w:rsidP="004273B4">
      <w:pPr>
        <w:rPr>
          <w:rFonts w:ascii="Arial" w:hAnsi="Arial" w:cs="Arial"/>
          <w:sz w:val="22"/>
          <w:szCs w:val="22"/>
        </w:rPr>
      </w:pPr>
    </w:p>
    <w:p w14:paraId="5415B302" w14:textId="77777777" w:rsidR="00E80CED" w:rsidRDefault="00E80CED" w:rsidP="004273B4">
      <w:pPr>
        <w:rPr>
          <w:rFonts w:ascii="Arial" w:hAnsi="Arial" w:cs="Arial"/>
          <w:sz w:val="22"/>
          <w:szCs w:val="22"/>
        </w:rPr>
      </w:pPr>
    </w:p>
    <w:p w14:paraId="23CF87B2" w14:textId="77777777" w:rsidR="00920C7F" w:rsidRDefault="00920C7F" w:rsidP="004273B4">
      <w:pPr>
        <w:rPr>
          <w:rFonts w:ascii="Arial" w:hAnsi="Arial" w:cs="Arial"/>
          <w:sz w:val="22"/>
          <w:szCs w:val="22"/>
        </w:rPr>
      </w:pPr>
    </w:p>
    <w:sdt>
      <w:sdtPr>
        <w:rPr>
          <w:rFonts w:asciiTheme="minorHAnsi" w:eastAsiaTheme="minorHAnsi" w:hAnsiTheme="minorHAnsi" w:cstheme="minorBidi"/>
          <w:color w:val="auto"/>
          <w:kern w:val="2"/>
          <w:sz w:val="24"/>
          <w:szCs w:val="24"/>
          <w:lang w:eastAsia="en-US"/>
          <w14:ligatures w14:val="standardContextual"/>
        </w:rPr>
        <w:id w:val="-484861374"/>
        <w:docPartObj>
          <w:docPartGallery w:val="Table of Contents"/>
          <w:docPartUnique/>
        </w:docPartObj>
      </w:sdtPr>
      <w:sdtEndPr>
        <w:rPr>
          <w:b/>
          <w:bCs/>
        </w:rPr>
      </w:sdtEndPr>
      <w:sdtContent>
        <w:p w14:paraId="7045741F" w14:textId="18AE0F5E" w:rsidR="00812D7A" w:rsidRDefault="00812D7A">
          <w:pPr>
            <w:pStyle w:val="TOCHeading"/>
          </w:pPr>
        </w:p>
        <w:p w14:paraId="171A9ECC" w14:textId="40826E29" w:rsidR="000A3900" w:rsidRDefault="00ED08F3" w:rsidP="000A3900">
          <w:pPr>
            <w:pStyle w:val="Heading1"/>
            <w:rPr>
              <w:rFonts w:eastAsiaTheme="minorEastAsia"/>
              <w:noProof/>
              <w:lang w:eastAsia="en-GB"/>
            </w:rPr>
          </w:pPr>
          <w:bookmarkStart w:id="0" w:name="_Toc235739413"/>
          <w:bookmarkStart w:id="1" w:name="_Toc235745302"/>
          <w:bookmarkStart w:id="2" w:name="_Toc235796779"/>
          <w:r w:rsidRPr="00E80CED">
            <w:rPr>
              <w:rFonts w:ascii="Arial" w:hAnsi="Arial" w:cs="Arial"/>
              <w:sz w:val="22"/>
              <w:szCs w:val="22"/>
            </w:rPr>
            <w:t>Content page</w:t>
          </w:r>
          <w:bookmarkEnd w:id="0"/>
          <w:bookmarkEnd w:id="1"/>
          <w:bookmarkEnd w:id="2"/>
          <w:r w:rsidRPr="00E80CED">
            <w:rPr>
              <w:rFonts w:ascii="Arial" w:hAnsi="Arial" w:cs="Arial"/>
              <w:sz w:val="22"/>
              <w:szCs w:val="22"/>
            </w:rPr>
            <w:t xml:space="preserve"> </w:t>
          </w:r>
          <w:r w:rsidR="00812D7A" w:rsidRPr="00E80CED">
            <w:rPr>
              <w:rFonts w:ascii="Arial" w:hAnsi="Arial" w:cs="Arial"/>
              <w:sz w:val="22"/>
              <w:szCs w:val="22"/>
            </w:rPr>
            <w:fldChar w:fldCharType="begin"/>
          </w:r>
          <w:r w:rsidR="00812D7A" w:rsidRPr="00E80CED">
            <w:rPr>
              <w:rFonts w:ascii="Arial" w:hAnsi="Arial" w:cs="Arial"/>
              <w:sz w:val="22"/>
              <w:szCs w:val="22"/>
            </w:rPr>
            <w:instrText xml:space="preserve"> TOC \o "1-3" \h \z \u </w:instrText>
          </w:r>
          <w:r w:rsidR="00812D7A" w:rsidRPr="00E80CED">
            <w:rPr>
              <w:rFonts w:ascii="Arial" w:hAnsi="Arial" w:cs="Arial"/>
              <w:sz w:val="22"/>
              <w:szCs w:val="22"/>
            </w:rPr>
            <w:fldChar w:fldCharType="separate"/>
          </w:r>
        </w:p>
        <w:p w14:paraId="734AAECE" w14:textId="0E0F2C8B" w:rsidR="000A3900" w:rsidRDefault="000A3900">
          <w:pPr>
            <w:pStyle w:val="TOC1"/>
            <w:tabs>
              <w:tab w:val="right" w:leader="dot" w:pos="9016"/>
            </w:tabs>
            <w:rPr>
              <w:rFonts w:eastAsiaTheme="minorEastAsia"/>
              <w:noProof/>
              <w:lang w:eastAsia="en-GB"/>
            </w:rPr>
          </w:pPr>
          <w:hyperlink w:anchor="_Toc235796780" w:history="1">
            <w:r w:rsidRPr="00E02DFE">
              <w:rPr>
                <w:rStyle w:val="Hyperlink"/>
                <w:rFonts w:ascii="Arial" w:hAnsi="Arial" w:cs="Arial"/>
                <w:noProof/>
              </w:rPr>
              <w:t>Abstract</w:t>
            </w:r>
            <w:r>
              <w:rPr>
                <w:noProof/>
                <w:webHidden/>
              </w:rPr>
              <w:tab/>
            </w:r>
            <w:r>
              <w:rPr>
                <w:noProof/>
                <w:webHidden/>
              </w:rPr>
              <w:fldChar w:fldCharType="begin"/>
            </w:r>
            <w:r>
              <w:rPr>
                <w:noProof/>
                <w:webHidden/>
              </w:rPr>
              <w:instrText xml:space="preserve"> PAGEREF _Toc235796780 \h </w:instrText>
            </w:r>
            <w:r>
              <w:rPr>
                <w:noProof/>
                <w:webHidden/>
              </w:rPr>
            </w:r>
            <w:r>
              <w:rPr>
                <w:noProof/>
                <w:webHidden/>
              </w:rPr>
              <w:fldChar w:fldCharType="separate"/>
            </w:r>
            <w:r>
              <w:rPr>
                <w:noProof/>
                <w:webHidden/>
              </w:rPr>
              <w:t>3</w:t>
            </w:r>
            <w:r>
              <w:rPr>
                <w:noProof/>
                <w:webHidden/>
              </w:rPr>
              <w:fldChar w:fldCharType="end"/>
            </w:r>
          </w:hyperlink>
        </w:p>
        <w:p w14:paraId="1321059B" w14:textId="01E0F85B" w:rsidR="000A3900" w:rsidRDefault="000A3900">
          <w:pPr>
            <w:pStyle w:val="TOC1"/>
            <w:tabs>
              <w:tab w:val="right" w:leader="dot" w:pos="9016"/>
            </w:tabs>
            <w:rPr>
              <w:rFonts w:eastAsiaTheme="minorEastAsia"/>
              <w:noProof/>
              <w:lang w:eastAsia="en-GB"/>
            </w:rPr>
          </w:pPr>
          <w:hyperlink w:anchor="_Toc235796781" w:history="1">
            <w:r w:rsidRPr="00E02DF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_Toc235796781 \h </w:instrText>
            </w:r>
            <w:r>
              <w:rPr>
                <w:noProof/>
                <w:webHidden/>
              </w:rPr>
            </w:r>
            <w:r>
              <w:rPr>
                <w:noProof/>
                <w:webHidden/>
              </w:rPr>
              <w:fldChar w:fldCharType="separate"/>
            </w:r>
            <w:r>
              <w:rPr>
                <w:noProof/>
                <w:webHidden/>
              </w:rPr>
              <w:t>3</w:t>
            </w:r>
            <w:r>
              <w:rPr>
                <w:noProof/>
                <w:webHidden/>
              </w:rPr>
              <w:fldChar w:fldCharType="end"/>
            </w:r>
          </w:hyperlink>
        </w:p>
        <w:p w14:paraId="74E0CD05" w14:textId="772B38AE" w:rsidR="000A3900" w:rsidRDefault="000A3900">
          <w:pPr>
            <w:pStyle w:val="TOC1"/>
            <w:tabs>
              <w:tab w:val="right" w:leader="dot" w:pos="9016"/>
            </w:tabs>
            <w:rPr>
              <w:rFonts w:eastAsiaTheme="minorEastAsia"/>
              <w:noProof/>
              <w:lang w:eastAsia="en-GB"/>
            </w:rPr>
          </w:pPr>
          <w:hyperlink w:anchor="_Toc235796782" w:history="1">
            <w:r w:rsidRPr="00E02DFE">
              <w:rPr>
                <w:rStyle w:val="Hyperlink"/>
                <w:rFonts w:ascii="Arial" w:hAnsi="Arial" w:cs="Arial"/>
                <w:noProof/>
              </w:rPr>
              <w:t>Chosen Health and Social Care Setting</w:t>
            </w:r>
            <w:r>
              <w:rPr>
                <w:noProof/>
                <w:webHidden/>
              </w:rPr>
              <w:tab/>
            </w:r>
            <w:r>
              <w:rPr>
                <w:noProof/>
                <w:webHidden/>
              </w:rPr>
              <w:fldChar w:fldCharType="begin"/>
            </w:r>
            <w:r>
              <w:rPr>
                <w:noProof/>
                <w:webHidden/>
              </w:rPr>
              <w:instrText xml:space="preserve"> PAGEREF _Toc235796782 \h </w:instrText>
            </w:r>
            <w:r>
              <w:rPr>
                <w:noProof/>
                <w:webHidden/>
              </w:rPr>
            </w:r>
            <w:r>
              <w:rPr>
                <w:noProof/>
                <w:webHidden/>
              </w:rPr>
              <w:fldChar w:fldCharType="separate"/>
            </w:r>
            <w:r>
              <w:rPr>
                <w:noProof/>
                <w:webHidden/>
              </w:rPr>
              <w:t>3</w:t>
            </w:r>
            <w:r>
              <w:rPr>
                <w:noProof/>
                <w:webHidden/>
              </w:rPr>
              <w:fldChar w:fldCharType="end"/>
            </w:r>
          </w:hyperlink>
        </w:p>
        <w:p w14:paraId="6F261E1E" w14:textId="04930844" w:rsidR="000A3900" w:rsidRDefault="000A3900">
          <w:pPr>
            <w:pStyle w:val="TOC1"/>
            <w:tabs>
              <w:tab w:val="right" w:leader="dot" w:pos="9016"/>
            </w:tabs>
            <w:rPr>
              <w:rFonts w:eastAsiaTheme="minorEastAsia"/>
              <w:noProof/>
              <w:lang w:eastAsia="en-GB"/>
            </w:rPr>
          </w:pPr>
          <w:hyperlink w:anchor="_Toc235796783" w:history="1">
            <w:r w:rsidRPr="00E02DFE">
              <w:rPr>
                <w:rStyle w:val="Hyperlink"/>
                <w:rFonts w:ascii="Arial" w:hAnsi="Arial" w:cs="Arial"/>
                <w:noProof/>
              </w:rPr>
              <w:t>Definition of Person-Centred Care</w:t>
            </w:r>
            <w:r>
              <w:rPr>
                <w:noProof/>
                <w:webHidden/>
              </w:rPr>
              <w:tab/>
            </w:r>
            <w:r>
              <w:rPr>
                <w:noProof/>
                <w:webHidden/>
              </w:rPr>
              <w:fldChar w:fldCharType="begin"/>
            </w:r>
            <w:r>
              <w:rPr>
                <w:noProof/>
                <w:webHidden/>
              </w:rPr>
              <w:instrText xml:space="preserve"> PAGEREF _Toc235796783 \h </w:instrText>
            </w:r>
            <w:r>
              <w:rPr>
                <w:noProof/>
                <w:webHidden/>
              </w:rPr>
            </w:r>
            <w:r>
              <w:rPr>
                <w:noProof/>
                <w:webHidden/>
              </w:rPr>
              <w:fldChar w:fldCharType="separate"/>
            </w:r>
            <w:r>
              <w:rPr>
                <w:noProof/>
                <w:webHidden/>
              </w:rPr>
              <w:t>4</w:t>
            </w:r>
            <w:r>
              <w:rPr>
                <w:noProof/>
                <w:webHidden/>
              </w:rPr>
              <w:fldChar w:fldCharType="end"/>
            </w:r>
          </w:hyperlink>
        </w:p>
        <w:p w14:paraId="245E54EB" w14:textId="71B3139E" w:rsidR="000A3900" w:rsidRDefault="000A3900">
          <w:pPr>
            <w:pStyle w:val="TOC1"/>
            <w:tabs>
              <w:tab w:val="right" w:leader="dot" w:pos="9016"/>
            </w:tabs>
            <w:rPr>
              <w:rFonts w:eastAsiaTheme="minorEastAsia"/>
              <w:noProof/>
              <w:lang w:eastAsia="en-GB"/>
            </w:rPr>
          </w:pPr>
          <w:hyperlink w:anchor="_Toc235796784" w:history="1">
            <w:r w:rsidRPr="00E02DFE">
              <w:rPr>
                <w:rStyle w:val="Hyperlink"/>
                <w:rFonts w:ascii="Arial" w:hAnsi="Arial" w:cs="Arial"/>
                <w:noProof/>
              </w:rPr>
              <w:t>Benefits of Person-Centred Care</w:t>
            </w:r>
            <w:r>
              <w:rPr>
                <w:noProof/>
                <w:webHidden/>
              </w:rPr>
              <w:tab/>
            </w:r>
            <w:r>
              <w:rPr>
                <w:noProof/>
                <w:webHidden/>
              </w:rPr>
              <w:fldChar w:fldCharType="begin"/>
            </w:r>
            <w:r>
              <w:rPr>
                <w:noProof/>
                <w:webHidden/>
              </w:rPr>
              <w:instrText xml:space="preserve"> PAGEREF _Toc235796784 \h </w:instrText>
            </w:r>
            <w:r>
              <w:rPr>
                <w:noProof/>
                <w:webHidden/>
              </w:rPr>
            </w:r>
            <w:r>
              <w:rPr>
                <w:noProof/>
                <w:webHidden/>
              </w:rPr>
              <w:fldChar w:fldCharType="separate"/>
            </w:r>
            <w:r>
              <w:rPr>
                <w:noProof/>
                <w:webHidden/>
              </w:rPr>
              <w:t>4</w:t>
            </w:r>
            <w:r>
              <w:rPr>
                <w:noProof/>
                <w:webHidden/>
              </w:rPr>
              <w:fldChar w:fldCharType="end"/>
            </w:r>
          </w:hyperlink>
        </w:p>
        <w:p w14:paraId="51EC8420" w14:textId="0E72A464" w:rsidR="000A3900" w:rsidRDefault="000A3900">
          <w:pPr>
            <w:pStyle w:val="TOC1"/>
            <w:tabs>
              <w:tab w:val="right" w:leader="dot" w:pos="9016"/>
            </w:tabs>
            <w:rPr>
              <w:rFonts w:eastAsiaTheme="minorEastAsia"/>
              <w:noProof/>
              <w:lang w:eastAsia="en-GB"/>
            </w:rPr>
          </w:pPr>
          <w:hyperlink w:anchor="_Toc235796785" w:history="1">
            <w:r w:rsidRPr="00E02DFE">
              <w:rPr>
                <w:rStyle w:val="Hyperlink"/>
                <w:rFonts w:ascii="Arial" w:hAnsi="Arial" w:cs="Arial"/>
                <w:noProof/>
              </w:rPr>
              <w:t>Limitations of Person-Centred Care</w:t>
            </w:r>
            <w:r>
              <w:rPr>
                <w:noProof/>
                <w:webHidden/>
              </w:rPr>
              <w:tab/>
            </w:r>
            <w:r>
              <w:rPr>
                <w:noProof/>
                <w:webHidden/>
              </w:rPr>
              <w:fldChar w:fldCharType="begin"/>
            </w:r>
            <w:r>
              <w:rPr>
                <w:noProof/>
                <w:webHidden/>
              </w:rPr>
              <w:instrText xml:space="preserve"> PAGEREF _Toc235796785 \h </w:instrText>
            </w:r>
            <w:r>
              <w:rPr>
                <w:noProof/>
                <w:webHidden/>
              </w:rPr>
            </w:r>
            <w:r>
              <w:rPr>
                <w:noProof/>
                <w:webHidden/>
              </w:rPr>
              <w:fldChar w:fldCharType="separate"/>
            </w:r>
            <w:r>
              <w:rPr>
                <w:noProof/>
                <w:webHidden/>
              </w:rPr>
              <w:t>5</w:t>
            </w:r>
            <w:r>
              <w:rPr>
                <w:noProof/>
                <w:webHidden/>
              </w:rPr>
              <w:fldChar w:fldCharType="end"/>
            </w:r>
          </w:hyperlink>
        </w:p>
        <w:p w14:paraId="7995A7C6" w14:textId="68987881" w:rsidR="000A3900" w:rsidRDefault="000A3900">
          <w:pPr>
            <w:pStyle w:val="TOC1"/>
            <w:tabs>
              <w:tab w:val="right" w:leader="dot" w:pos="9016"/>
            </w:tabs>
            <w:rPr>
              <w:rFonts w:eastAsiaTheme="minorEastAsia"/>
              <w:noProof/>
              <w:lang w:eastAsia="en-GB"/>
            </w:rPr>
          </w:pPr>
          <w:hyperlink w:anchor="_Toc235796786" w:history="1">
            <w:r w:rsidRPr="00E02DFE">
              <w:rPr>
                <w:rStyle w:val="Hyperlink"/>
                <w:rFonts w:ascii="Arial" w:hAnsi="Arial" w:cs="Arial"/>
                <w:noProof/>
              </w:rPr>
              <w:t>Maslow’s Hierarchy of Needs</w:t>
            </w:r>
            <w:r>
              <w:rPr>
                <w:noProof/>
                <w:webHidden/>
              </w:rPr>
              <w:tab/>
            </w:r>
            <w:r>
              <w:rPr>
                <w:noProof/>
                <w:webHidden/>
              </w:rPr>
              <w:fldChar w:fldCharType="begin"/>
            </w:r>
            <w:r>
              <w:rPr>
                <w:noProof/>
                <w:webHidden/>
              </w:rPr>
              <w:instrText xml:space="preserve"> PAGEREF _Toc235796786 \h </w:instrText>
            </w:r>
            <w:r>
              <w:rPr>
                <w:noProof/>
                <w:webHidden/>
              </w:rPr>
            </w:r>
            <w:r>
              <w:rPr>
                <w:noProof/>
                <w:webHidden/>
              </w:rPr>
              <w:fldChar w:fldCharType="separate"/>
            </w:r>
            <w:r>
              <w:rPr>
                <w:noProof/>
                <w:webHidden/>
              </w:rPr>
              <w:t>5</w:t>
            </w:r>
            <w:r>
              <w:rPr>
                <w:noProof/>
                <w:webHidden/>
              </w:rPr>
              <w:fldChar w:fldCharType="end"/>
            </w:r>
          </w:hyperlink>
        </w:p>
        <w:p w14:paraId="7D524333" w14:textId="7802D624" w:rsidR="000A3900" w:rsidRDefault="000A3900">
          <w:pPr>
            <w:pStyle w:val="TOC1"/>
            <w:tabs>
              <w:tab w:val="right" w:leader="dot" w:pos="9016"/>
            </w:tabs>
            <w:rPr>
              <w:rFonts w:eastAsiaTheme="minorEastAsia"/>
              <w:noProof/>
              <w:lang w:eastAsia="en-GB"/>
            </w:rPr>
          </w:pPr>
          <w:hyperlink w:anchor="_Toc235796787" w:history="1">
            <w:r w:rsidRPr="00E02DFE">
              <w:rPr>
                <w:rStyle w:val="Hyperlink"/>
                <w:rFonts w:ascii="Arial" w:hAnsi="Arial" w:cs="Arial"/>
                <w:noProof/>
              </w:rPr>
              <w:t>Ethical Principles in Health and Social Care</w:t>
            </w:r>
            <w:r>
              <w:rPr>
                <w:noProof/>
                <w:webHidden/>
              </w:rPr>
              <w:tab/>
            </w:r>
            <w:r>
              <w:rPr>
                <w:noProof/>
                <w:webHidden/>
              </w:rPr>
              <w:fldChar w:fldCharType="begin"/>
            </w:r>
            <w:r>
              <w:rPr>
                <w:noProof/>
                <w:webHidden/>
              </w:rPr>
              <w:instrText xml:space="preserve"> PAGEREF _Toc235796787 \h </w:instrText>
            </w:r>
            <w:r>
              <w:rPr>
                <w:noProof/>
                <w:webHidden/>
              </w:rPr>
            </w:r>
            <w:r>
              <w:rPr>
                <w:noProof/>
                <w:webHidden/>
              </w:rPr>
              <w:fldChar w:fldCharType="separate"/>
            </w:r>
            <w:r>
              <w:rPr>
                <w:noProof/>
                <w:webHidden/>
              </w:rPr>
              <w:t>6</w:t>
            </w:r>
            <w:r>
              <w:rPr>
                <w:noProof/>
                <w:webHidden/>
              </w:rPr>
              <w:fldChar w:fldCharType="end"/>
            </w:r>
          </w:hyperlink>
        </w:p>
        <w:p w14:paraId="57E8E77F" w14:textId="27E553F0" w:rsidR="000A3900" w:rsidRDefault="000A3900">
          <w:pPr>
            <w:pStyle w:val="TOC1"/>
            <w:tabs>
              <w:tab w:val="right" w:leader="dot" w:pos="9016"/>
            </w:tabs>
            <w:rPr>
              <w:rFonts w:eastAsiaTheme="minorEastAsia"/>
              <w:noProof/>
              <w:lang w:eastAsia="en-GB"/>
            </w:rPr>
          </w:pPr>
          <w:hyperlink w:anchor="_Toc235796788" w:history="1">
            <w:r w:rsidRPr="00E02DFE">
              <w:rPr>
                <w:rStyle w:val="Hyperlink"/>
                <w:rFonts w:ascii="Arial" w:hAnsi="Arial" w:cs="Arial"/>
                <w:noProof/>
              </w:rPr>
              <w:t>Evaluation of Partnership Working and Integrated Care Systems</w:t>
            </w:r>
            <w:r>
              <w:rPr>
                <w:noProof/>
                <w:webHidden/>
              </w:rPr>
              <w:tab/>
            </w:r>
            <w:r>
              <w:rPr>
                <w:noProof/>
                <w:webHidden/>
              </w:rPr>
              <w:fldChar w:fldCharType="begin"/>
            </w:r>
            <w:r>
              <w:rPr>
                <w:noProof/>
                <w:webHidden/>
              </w:rPr>
              <w:instrText xml:space="preserve"> PAGEREF _Toc235796788 \h </w:instrText>
            </w:r>
            <w:r>
              <w:rPr>
                <w:noProof/>
                <w:webHidden/>
              </w:rPr>
            </w:r>
            <w:r>
              <w:rPr>
                <w:noProof/>
                <w:webHidden/>
              </w:rPr>
              <w:fldChar w:fldCharType="separate"/>
            </w:r>
            <w:r>
              <w:rPr>
                <w:noProof/>
                <w:webHidden/>
              </w:rPr>
              <w:t>7</w:t>
            </w:r>
            <w:r>
              <w:rPr>
                <w:noProof/>
                <w:webHidden/>
              </w:rPr>
              <w:fldChar w:fldCharType="end"/>
            </w:r>
          </w:hyperlink>
        </w:p>
        <w:p w14:paraId="1D05E99A" w14:textId="49501446" w:rsidR="000A3900" w:rsidRDefault="000A3900">
          <w:pPr>
            <w:pStyle w:val="TOC1"/>
            <w:tabs>
              <w:tab w:val="right" w:leader="dot" w:pos="9016"/>
            </w:tabs>
            <w:rPr>
              <w:rFonts w:eastAsiaTheme="minorEastAsia"/>
              <w:noProof/>
              <w:lang w:eastAsia="en-GB"/>
            </w:rPr>
          </w:pPr>
          <w:hyperlink w:anchor="_Toc235796789" w:history="1">
            <w:r w:rsidRPr="00E02DFE">
              <w:rPr>
                <w:rStyle w:val="Hyperlink"/>
                <w:rFonts w:ascii="Arial" w:hAnsi="Arial" w:cs="Arial"/>
                <w:noProof/>
              </w:rPr>
              <w:t>Policy and Legislation</w:t>
            </w:r>
            <w:r>
              <w:rPr>
                <w:noProof/>
                <w:webHidden/>
              </w:rPr>
              <w:tab/>
            </w:r>
            <w:r>
              <w:rPr>
                <w:noProof/>
                <w:webHidden/>
              </w:rPr>
              <w:fldChar w:fldCharType="begin"/>
            </w:r>
            <w:r>
              <w:rPr>
                <w:noProof/>
                <w:webHidden/>
              </w:rPr>
              <w:instrText xml:space="preserve"> PAGEREF _Toc235796789 \h </w:instrText>
            </w:r>
            <w:r>
              <w:rPr>
                <w:noProof/>
                <w:webHidden/>
              </w:rPr>
            </w:r>
            <w:r>
              <w:rPr>
                <w:noProof/>
                <w:webHidden/>
              </w:rPr>
              <w:fldChar w:fldCharType="separate"/>
            </w:r>
            <w:r>
              <w:rPr>
                <w:noProof/>
                <w:webHidden/>
              </w:rPr>
              <w:t>8</w:t>
            </w:r>
            <w:r>
              <w:rPr>
                <w:noProof/>
                <w:webHidden/>
              </w:rPr>
              <w:fldChar w:fldCharType="end"/>
            </w:r>
          </w:hyperlink>
        </w:p>
        <w:p w14:paraId="06DF7318" w14:textId="064A3EC8" w:rsidR="000A3900" w:rsidRDefault="000A3900">
          <w:pPr>
            <w:pStyle w:val="TOC1"/>
            <w:tabs>
              <w:tab w:val="right" w:leader="dot" w:pos="9016"/>
            </w:tabs>
            <w:rPr>
              <w:rFonts w:eastAsiaTheme="minorEastAsia"/>
              <w:noProof/>
              <w:lang w:eastAsia="en-GB"/>
            </w:rPr>
          </w:pPr>
          <w:hyperlink w:anchor="_Toc235796790" w:history="1">
            <w:r w:rsidRPr="00E02DFE">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_Toc235796790 \h </w:instrText>
            </w:r>
            <w:r>
              <w:rPr>
                <w:noProof/>
                <w:webHidden/>
              </w:rPr>
            </w:r>
            <w:r>
              <w:rPr>
                <w:noProof/>
                <w:webHidden/>
              </w:rPr>
              <w:fldChar w:fldCharType="separate"/>
            </w:r>
            <w:r>
              <w:rPr>
                <w:noProof/>
                <w:webHidden/>
              </w:rPr>
              <w:t>8</w:t>
            </w:r>
            <w:r>
              <w:rPr>
                <w:noProof/>
                <w:webHidden/>
              </w:rPr>
              <w:fldChar w:fldCharType="end"/>
            </w:r>
          </w:hyperlink>
        </w:p>
        <w:p w14:paraId="454F1165" w14:textId="52A3A315" w:rsidR="000A3900" w:rsidRDefault="000A3900">
          <w:pPr>
            <w:pStyle w:val="TOC1"/>
            <w:tabs>
              <w:tab w:val="right" w:leader="dot" w:pos="9016"/>
            </w:tabs>
            <w:rPr>
              <w:rFonts w:eastAsiaTheme="minorEastAsia"/>
              <w:noProof/>
              <w:lang w:eastAsia="en-GB"/>
            </w:rPr>
          </w:pPr>
          <w:hyperlink w:anchor="_Toc235796791" w:history="1">
            <w:r w:rsidRPr="00E02DF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_Toc235796791 \h </w:instrText>
            </w:r>
            <w:r>
              <w:rPr>
                <w:noProof/>
                <w:webHidden/>
              </w:rPr>
            </w:r>
            <w:r>
              <w:rPr>
                <w:noProof/>
                <w:webHidden/>
              </w:rPr>
              <w:fldChar w:fldCharType="separate"/>
            </w:r>
            <w:r>
              <w:rPr>
                <w:noProof/>
                <w:webHidden/>
              </w:rPr>
              <w:t>9</w:t>
            </w:r>
            <w:r>
              <w:rPr>
                <w:noProof/>
                <w:webHidden/>
              </w:rPr>
              <w:fldChar w:fldCharType="end"/>
            </w:r>
          </w:hyperlink>
        </w:p>
        <w:p w14:paraId="055B39F2" w14:textId="1E1ED0D4" w:rsidR="000A3900" w:rsidRDefault="000A3900">
          <w:pPr>
            <w:pStyle w:val="TOC1"/>
            <w:tabs>
              <w:tab w:val="right" w:leader="dot" w:pos="9016"/>
            </w:tabs>
            <w:rPr>
              <w:rFonts w:eastAsiaTheme="minorEastAsia"/>
              <w:noProof/>
              <w:lang w:eastAsia="en-GB"/>
            </w:rPr>
          </w:pPr>
          <w:hyperlink w:anchor="_Toc235796792" w:history="1">
            <w:r w:rsidRPr="00E02DF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_Toc235796792 \h </w:instrText>
            </w:r>
            <w:r>
              <w:rPr>
                <w:noProof/>
                <w:webHidden/>
              </w:rPr>
            </w:r>
            <w:r>
              <w:rPr>
                <w:noProof/>
                <w:webHidden/>
              </w:rPr>
              <w:fldChar w:fldCharType="separate"/>
            </w:r>
            <w:r>
              <w:rPr>
                <w:noProof/>
                <w:webHidden/>
              </w:rPr>
              <w:t>10</w:t>
            </w:r>
            <w:r>
              <w:rPr>
                <w:noProof/>
                <w:webHidden/>
              </w:rPr>
              <w:fldChar w:fldCharType="end"/>
            </w:r>
          </w:hyperlink>
        </w:p>
        <w:p w14:paraId="58544B51" w14:textId="62A50928" w:rsidR="00920C7F" w:rsidRPr="00ED08F3" w:rsidRDefault="00812D7A" w:rsidP="00ED08F3">
          <w:r w:rsidRPr="00E80CED">
            <w:rPr>
              <w:rFonts w:ascii="Arial" w:hAnsi="Arial" w:cs="Arial"/>
              <w:b/>
              <w:bCs/>
              <w:sz w:val="22"/>
              <w:szCs w:val="22"/>
            </w:rPr>
            <w:fldChar w:fldCharType="end"/>
          </w:r>
        </w:p>
      </w:sdtContent>
    </w:sdt>
    <w:p w14:paraId="0D2A8ECF" w14:textId="16C256D5" w:rsidR="00D16A1C" w:rsidRDefault="00D16A1C" w:rsidP="00574B67">
      <w:pPr>
        <w:spacing w:line="360" w:lineRule="auto"/>
        <w:jc w:val="both"/>
        <w:rPr>
          <w:rFonts w:ascii="Arial" w:hAnsi="Arial" w:cs="Arial"/>
          <w:sz w:val="22"/>
          <w:szCs w:val="22"/>
        </w:rPr>
      </w:pPr>
    </w:p>
    <w:p w14:paraId="62E72712" w14:textId="77777777" w:rsidR="00ED08F3" w:rsidRDefault="00ED08F3" w:rsidP="00574B67">
      <w:pPr>
        <w:spacing w:line="360" w:lineRule="auto"/>
        <w:jc w:val="both"/>
        <w:rPr>
          <w:rFonts w:ascii="Arial" w:hAnsi="Arial" w:cs="Arial"/>
          <w:sz w:val="22"/>
          <w:szCs w:val="22"/>
        </w:rPr>
      </w:pPr>
    </w:p>
    <w:p w14:paraId="2A4CEDD2" w14:textId="77777777" w:rsidR="00ED08F3" w:rsidRDefault="00ED08F3" w:rsidP="00574B67">
      <w:pPr>
        <w:spacing w:line="360" w:lineRule="auto"/>
        <w:jc w:val="both"/>
        <w:rPr>
          <w:rFonts w:ascii="Arial" w:hAnsi="Arial" w:cs="Arial"/>
          <w:sz w:val="22"/>
          <w:szCs w:val="22"/>
        </w:rPr>
      </w:pPr>
    </w:p>
    <w:p w14:paraId="69D56FB9" w14:textId="77777777" w:rsidR="00ED08F3" w:rsidRDefault="00ED08F3" w:rsidP="00574B67">
      <w:pPr>
        <w:spacing w:line="360" w:lineRule="auto"/>
        <w:jc w:val="both"/>
        <w:rPr>
          <w:rFonts w:ascii="Arial" w:hAnsi="Arial" w:cs="Arial"/>
          <w:sz w:val="22"/>
          <w:szCs w:val="22"/>
        </w:rPr>
      </w:pPr>
    </w:p>
    <w:p w14:paraId="6B461507" w14:textId="77777777" w:rsidR="00ED08F3" w:rsidRDefault="00ED08F3" w:rsidP="00574B67">
      <w:pPr>
        <w:spacing w:line="360" w:lineRule="auto"/>
        <w:jc w:val="both"/>
        <w:rPr>
          <w:rFonts w:ascii="Arial" w:hAnsi="Arial" w:cs="Arial"/>
          <w:sz w:val="22"/>
          <w:szCs w:val="22"/>
        </w:rPr>
      </w:pPr>
    </w:p>
    <w:p w14:paraId="6B15D38C" w14:textId="77777777" w:rsidR="00ED08F3" w:rsidRDefault="00ED08F3" w:rsidP="00574B67">
      <w:pPr>
        <w:spacing w:line="360" w:lineRule="auto"/>
        <w:jc w:val="both"/>
        <w:rPr>
          <w:rFonts w:ascii="Arial" w:hAnsi="Arial" w:cs="Arial"/>
          <w:sz w:val="22"/>
          <w:szCs w:val="22"/>
        </w:rPr>
      </w:pPr>
    </w:p>
    <w:p w14:paraId="7AFFE4AF" w14:textId="77777777" w:rsidR="00ED08F3" w:rsidRDefault="00ED08F3" w:rsidP="00574B67">
      <w:pPr>
        <w:spacing w:line="360" w:lineRule="auto"/>
        <w:jc w:val="both"/>
        <w:rPr>
          <w:rFonts w:ascii="Arial" w:hAnsi="Arial" w:cs="Arial"/>
          <w:sz w:val="22"/>
          <w:szCs w:val="22"/>
        </w:rPr>
      </w:pPr>
    </w:p>
    <w:p w14:paraId="21040D3C" w14:textId="77777777" w:rsidR="00ED08F3" w:rsidRDefault="00ED08F3" w:rsidP="00574B67">
      <w:pPr>
        <w:spacing w:line="360" w:lineRule="auto"/>
        <w:jc w:val="both"/>
        <w:rPr>
          <w:rFonts w:ascii="Arial" w:hAnsi="Arial" w:cs="Arial"/>
          <w:sz w:val="22"/>
          <w:szCs w:val="22"/>
        </w:rPr>
      </w:pPr>
    </w:p>
    <w:p w14:paraId="506A7903" w14:textId="77777777" w:rsidR="00ED08F3" w:rsidRDefault="00ED08F3" w:rsidP="00574B67">
      <w:pPr>
        <w:spacing w:line="360" w:lineRule="auto"/>
        <w:jc w:val="both"/>
        <w:rPr>
          <w:rFonts w:ascii="Arial" w:hAnsi="Arial" w:cs="Arial"/>
          <w:sz w:val="22"/>
          <w:szCs w:val="22"/>
        </w:rPr>
      </w:pPr>
    </w:p>
    <w:p w14:paraId="7BEA68C1" w14:textId="77777777" w:rsidR="00ED08F3" w:rsidRDefault="00ED08F3" w:rsidP="00574B67">
      <w:pPr>
        <w:spacing w:line="360" w:lineRule="auto"/>
        <w:jc w:val="both"/>
        <w:rPr>
          <w:rFonts w:ascii="Arial" w:hAnsi="Arial" w:cs="Arial"/>
          <w:sz w:val="22"/>
          <w:szCs w:val="22"/>
        </w:rPr>
      </w:pPr>
    </w:p>
    <w:p w14:paraId="65D7742D" w14:textId="77777777" w:rsidR="00ED08F3" w:rsidRDefault="00ED08F3" w:rsidP="00574B67">
      <w:pPr>
        <w:spacing w:line="360" w:lineRule="auto"/>
        <w:jc w:val="both"/>
        <w:rPr>
          <w:rFonts w:ascii="Arial" w:hAnsi="Arial" w:cs="Arial"/>
          <w:sz w:val="22"/>
          <w:szCs w:val="22"/>
        </w:rPr>
      </w:pPr>
    </w:p>
    <w:p w14:paraId="61ED3F26" w14:textId="2CACAA9F" w:rsidR="00924983" w:rsidRPr="00325C9B" w:rsidRDefault="00924983" w:rsidP="00325C9B">
      <w:pPr>
        <w:pStyle w:val="Heading1"/>
        <w:spacing w:line="360" w:lineRule="auto"/>
        <w:jc w:val="both"/>
        <w:rPr>
          <w:rFonts w:ascii="Arial" w:hAnsi="Arial" w:cs="Arial"/>
          <w:sz w:val="22"/>
          <w:szCs w:val="22"/>
        </w:rPr>
      </w:pPr>
      <w:bookmarkStart w:id="3" w:name="_Toc235796780"/>
      <w:r w:rsidRPr="00325C9B">
        <w:rPr>
          <w:rFonts w:ascii="Arial" w:hAnsi="Arial" w:cs="Arial"/>
          <w:sz w:val="22"/>
          <w:szCs w:val="22"/>
        </w:rPr>
        <w:lastRenderedPageBreak/>
        <w:t>Abstract</w:t>
      </w:r>
      <w:bookmarkEnd w:id="3"/>
    </w:p>
    <w:p w14:paraId="6F70044F" w14:textId="4F318B4E" w:rsidR="00EB1D4C" w:rsidRPr="00325C9B" w:rsidRDefault="003D5491" w:rsidP="00325C9B">
      <w:pPr>
        <w:spacing w:line="360" w:lineRule="auto"/>
        <w:jc w:val="both"/>
        <w:rPr>
          <w:rFonts w:ascii="Arial" w:hAnsi="Arial" w:cs="Arial"/>
          <w:sz w:val="22"/>
          <w:szCs w:val="22"/>
        </w:rPr>
      </w:pPr>
      <w:r w:rsidRPr="00325C9B">
        <w:rPr>
          <w:rFonts w:ascii="Arial" w:hAnsi="Arial" w:cs="Arial"/>
          <w:sz w:val="22"/>
          <w:szCs w:val="22"/>
        </w:rPr>
        <w:t>This report evaluates the importance of person-centred care (PCC) and partnership working (PW) within health and social care practice, focusing on an NHS hospital setting supporting older adults. PCC focuses on recognising individual needs, choices, values and preferences, while partnership working promotes collaboration between patients, families, healthcare professionals and services. The report explores the benefits and limitations of PCC, applies Maslow’s Hierarchy of Needs, and examines ethical principles and UK legislation that support effective care delivery. It identifies challenges including communication barriers, staff pressures and limited resources. Recommendations are provided to improve communication, teamwork and training to ensure care remains personalised and responsive to patient needs.</w:t>
      </w:r>
    </w:p>
    <w:p w14:paraId="746AB228" w14:textId="00D89668" w:rsidR="000427A2" w:rsidRPr="00325C9B" w:rsidRDefault="00EC4F93" w:rsidP="00325C9B">
      <w:pPr>
        <w:pStyle w:val="Heading1"/>
        <w:spacing w:line="360" w:lineRule="auto"/>
        <w:jc w:val="both"/>
        <w:rPr>
          <w:rFonts w:ascii="Arial" w:hAnsi="Arial" w:cs="Arial"/>
          <w:sz w:val="22"/>
          <w:szCs w:val="22"/>
        </w:rPr>
      </w:pPr>
      <w:bookmarkStart w:id="4" w:name="_Toc235796781"/>
      <w:r w:rsidRPr="00325C9B">
        <w:rPr>
          <w:rFonts w:ascii="Arial" w:hAnsi="Arial" w:cs="Arial"/>
          <w:sz w:val="22"/>
          <w:szCs w:val="22"/>
        </w:rPr>
        <w:t>Introduction</w:t>
      </w:r>
      <w:bookmarkEnd w:id="4"/>
    </w:p>
    <w:p w14:paraId="259F8BCF" w14:textId="77777777" w:rsidR="005D5247" w:rsidRPr="00325C9B" w:rsidRDefault="005D5247" w:rsidP="00325C9B">
      <w:pPr>
        <w:spacing w:line="360" w:lineRule="auto"/>
        <w:jc w:val="both"/>
        <w:rPr>
          <w:rFonts w:ascii="Arial" w:hAnsi="Arial" w:cs="Arial"/>
          <w:sz w:val="22"/>
          <w:szCs w:val="22"/>
        </w:rPr>
      </w:pPr>
      <w:r w:rsidRPr="00325C9B">
        <w:rPr>
          <w:rFonts w:ascii="Arial" w:hAnsi="Arial" w:cs="Arial"/>
          <w:sz w:val="22"/>
          <w:szCs w:val="22"/>
        </w:rPr>
        <w:t>Health and social care services aim to provide safe, effective and high-quality care that meets individual needs. Person-centred care (PCC) recognises individuals as unique people by considering their needs, choices and preferences rather than focusing only on their medical condition (Coulter and Oldham, 2016). Partnership working enables healthcare professionals, patients and services to collaborate and provide coordinated care (Pow et al., 2013).</w:t>
      </w:r>
    </w:p>
    <w:p w14:paraId="74C35CD6" w14:textId="77777777" w:rsidR="005D5247" w:rsidRPr="00325C9B" w:rsidRDefault="005D5247" w:rsidP="00325C9B">
      <w:pPr>
        <w:spacing w:line="360" w:lineRule="auto"/>
        <w:jc w:val="both"/>
        <w:rPr>
          <w:rFonts w:ascii="Arial" w:hAnsi="Arial" w:cs="Arial"/>
          <w:sz w:val="22"/>
          <w:szCs w:val="22"/>
        </w:rPr>
      </w:pPr>
      <w:r w:rsidRPr="00325C9B">
        <w:rPr>
          <w:rFonts w:ascii="Arial" w:hAnsi="Arial" w:cs="Arial"/>
          <w:sz w:val="22"/>
          <w:szCs w:val="22"/>
        </w:rPr>
        <w:t>This report focuses on an NHS hospital setting supporting an older adult recovering from a fractured hip. It explores PCC and partnership working through theories, ethical principles, legislation and integrated care approaches, before providing recommendations to improve care delivery.</w:t>
      </w:r>
    </w:p>
    <w:p w14:paraId="229431C4" w14:textId="77777777" w:rsidR="005D5247" w:rsidRPr="00325C9B" w:rsidRDefault="005D5247" w:rsidP="00325C9B">
      <w:pPr>
        <w:spacing w:line="360" w:lineRule="auto"/>
        <w:rPr>
          <w:rFonts w:ascii="Arial" w:hAnsi="Arial" w:cs="Arial"/>
          <w:sz w:val="22"/>
          <w:szCs w:val="22"/>
        </w:rPr>
      </w:pPr>
    </w:p>
    <w:p w14:paraId="616F1465" w14:textId="45877912" w:rsidR="00794231" w:rsidRPr="00325C9B" w:rsidRDefault="00087A81" w:rsidP="00325C9B">
      <w:pPr>
        <w:pStyle w:val="Heading1"/>
        <w:spacing w:line="360" w:lineRule="auto"/>
        <w:jc w:val="both"/>
        <w:rPr>
          <w:rFonts w:ascii="Arial" w:hAnsi="Arial" w:cs="Arial"/>
          <w:sz w:val="22"/>
          <w:szCs w:val="22"/>
        </w:rPr>
      </w:pPr>
      <w:bookmarkStart w:id="5" w:name="_Toc235796782"/>
      <w:r w:rsidRPr="00325C9B">
        <w:rPr>
          <w:rFonts w:ascii="Arial" w:hAnsi="Arial" w:cs="Arial"/>
          <w:sz w:val="22"/>
          <w:szCs w:val="22"/>
        </w:rPr>
        <w:t>Chosen Health and Social Care Setting</w:t>
      </w:r>
      <w:bookmarkEnd w:id="5"/>
    </w:p>
    <w:p w14:paraId="30C835FC" w14:textId="48D989C9" w:rsidR="006A4F05" w:rsidRPr="00325C9B" w:rsidRDefault="006A4F05" w:rsidP="00325C9B">
      <w:pPr>
        <w:spacing w:line="360" w:lineRule="auto"/>
        <w:jc w:val="both"/>
        <w:rPr>
          <w:rFonts w:ascii="Arial" w:hAnsi="Arial" w:cs="Arial"/>
          <w:sz w:val="22"/>
          <w:szCs w:val="22"/>
        </w:rPr>
      </w:pPr>
      <w:r w:rsidRPr="00325C9B">
        <w:rPr>
          <w:rFonts w:ascii="Arial" w:hAnsi="Arial" w:cs="Arial"/>
          <w:sz w:val="22"/>
          <w:szCs w:val="22"/>
        </w:rPr>
        <w:t>This report focuses on an NHS hospital setting supporting older adults during treatment, recovery and discharge. The case example involves an older patient admitted after a fall causing a hip fracture. Following surgery, the patient is supported by a multidisciplinary team of nurses, doctors, physiotherapists, occupational therapists and social workers.</w:t>
      </w:r>
    </w:p>
    <w:p w14:paraId="10381442" w14:textId="09B56C30" w:rsidR="00F02D34" w:rsidRPr="00325C9B" w:rsidRDefault="00087A81" w:rsidP="00325C9B">
      <w:pPr>
        <w:spacing w:line="360" w:lineRule="auto"/>
        <w:jc w:val="both"/>
        <w:rPr>
          <w:rFonts w:ascii="Arial" w:hAnsi="Arial" w:cs="Arial"/>
          <w:sz w:val="22"/>
          <w:szCs w:val="22"/>
        </w:rPr>
      </w:pPr>
      <w:r w:rsidRPr="00325C9B">
        <w:rPr>
          <w:rFonts w:ascii="Arial" w:hAnsi="Arial" w:cs="Arial"/>
          <w:sz w:val="22"/>
          <w:szCs w:val="22"/>
        </w:rPr>
        <w:t>The patient’s care involves more than treating the physical injury, as professionals must also consider emotional wellbeing, independence and concerns about returning home. Person-centred care ensures the patient’s needs, preferences and recovery goals are considered, while partnership working between the patient, family and professionals supports safe discharge planning and coordinated care.</w:t>
      </w:r>
    </w:p>
    <w:p w14:paraId="65BDCB2A" w14:textId="75C0C76E" w:rsidR="00794231" w:rsidRPr="00325C9B" w:rsidRDefault="005E317D" w:rsidP="00325C9B">
      <w:pPr>
        <w:pStyle w:val="Heading1"/>
        <w:spacing w:line="360" w:lineRule="auto"/>
        <w:jc w:val="both"/>
        <w:rPr>
          <w:rFonts w:ascii="Arial" w:hAnsi="Arial" w:cs="Arial"/>
          <w:sz w:val="22"/>
          <w:szCs w:val="22"/>
        </w:rPr>
      </w:pPr>
      <w:bookmarkStart w:id="6" w:name="_Toc235796783"/>
      <w:r w:rsidRPr="00325C9B">
        <w:rPr>
          <w:rFonts w:ascii="Arial" w:hAnsi="Arial" w:cs="Arial"/>
          <w:sz w:val="22"/>
          <w:szCs w:val="22"/>
        </w:rPr>
        <w:lastRenderedPageBreak/>
        <w:t>Definition of Person-Centred Care</w:t>
      </w:r>
      <w:bookmarkEnd w:id="6"/>
      <w:r w:rsidRPr="00325C9B">
        <w:rPr>
          <w:rFonts w:ascii="Arial" w:hAnsi="Arial" w:cs="Arial"/>
          <w:sz w:val="22"/>
          <w:szCs w:val="22"/>
        </w:rPr>
        <w:t xml:space="preserve"> </w:t>
      </w:r>
    </w:p>
    <w:p w14:paraId="624992EC" w14:textId="7F1DFBA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Person-centred care is an approach within health and social care that focuses on the individual rather than only their illness or medical condition. It recognises that each person has their own needs, values, preferences and circumstances, while encouraging individuals to participate in decisions about their care. PCC promotes dignity, choice, control and independence by ensuring care is personalised to the individual (Coulter and Oldham, 2016; The Health Foundation, 2016).</w:t>
      </w:r>
    </w:p>
    <w:p w14:paraId="6B2D8F8E" w14:textId="46000C54" w:rsidR="00667B36"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Within an NHS hospital setting, PCC is important because patients may have different needs during treatment and recovery. For an older patient admitted following a fall that resulted in a fractured hip, care should involve more than treating the injury and completing surgery. Healthcare professionals must also consider the patient’s emotional wellbeing, independence and recovery goals. For example, the patient may feel anxious about reduced mobility or returning home after surgery. Involving the patient in rehabilitation and discharge planning ensures their preferences are considered.</w:t>
      </w:r>
    </w:p>
    <w:p w14:paraId="0680F06E" w14:textId="4EB4DA58" w:rsidR="00644FF5" w:rsidRPr="00325C9B" w:rsidRDefault="008523AE" w:rsidP="00325C9B">
      <w:pPr>
        <w:pStyle w:val="Heading1"/>
        <w:spacing w:line="360" w:lineRule="auto"/>
        <w:jc w:val="both"/>
        <w:rPr>
          <w:rFonts w:ascii="Arial" w:hAnsi="Arial" w:cs="Arial"/>
          <w:sz w:val="22"/>
          <w:szCs w:val="22"/>
        </w:rPr>
      </w:pPr>
      <w:bookmarkStart w:id="7" w:name="_Toc235796784"/>
      <w:r w:rsidRPr="00325C9B">
        <w:rPr>
          <w:rFonts w:ascii="Arial" w:hAnsi="Arial" w:cs="Arial"/>
          <w:sz w:val="22"/>
          <w:szCs w:val="22"/>
        </w:rPr>
        <w:t>Benefits of Person-Centred Care</w:t>
      </w:r>
      <w:bookmarkEnd w:id="7"/>
    </w:p>
    <w:p w14:paraId="4E4A1603" w14:textId="7777777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A key benefit of PCC is that it improves patient experience by ensuring individuals feel respected, listened to and involved in decisions about their care (Coulter and Oldham, 2016). This involvement can increase confidence and encourage patients to take an active role in their recovery.</w:t>
      </w:r>
    </w:p>
    <w:p w14:paraId="0B3B3D98" w14:textId="7777777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Yu et al. (2023) found that higher levels of PCC among hospital inpatients were associated with improved physical and mental health outcomes. This demonstrates that recognising individual needs can positively influence recovery. In relation to the older patient recovering from hip fracture surgery, PCC can involve setting personal rehabilitation goals, such as improving mobility and returning home safely. The multidisciplinary team, including nurses, physiotherapists and occupational therapists, can work with the patient to support these goals.</w:t>
      </w:r>
    </w:p>
    <w:p w14:paraId="7AB6B526" w14:textId="7777777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Hommel et al. (2012) also identified that patients recovering from hip fractures valued communication, reassurance and emotional support from healthcare professionals. This highlights that PCC involves addressing psychological needs as well as physical recovery.</w:t>
      </w:r>
    </w:p>
    <w:p w14:paraId="61A92784" w14:textId="4D56813D" w:rsidR="005759FB" w:rsidRPr="00325C9B" w:rsidRDefault="005759FB" w:rsidP="00325C9B">
      <w:pPr>
        <w:tabs>
          <w:tab w:val="left" w:pos="2436"/>
        </w:tabs>
        <w:spacing w:line="360" w:lineRule="auto"/>
        <w:jc w:val="both"/>
        <w:rPr>
          <w:rFonts w:ascii="Arial" w:hAnsi="Arial" w:cs="Arial"/>
          <w:sz w:val="22"/>
          <w:szCs w:val="22"/>
        </w:rPr>
      </w:pPr>
    </w:p>
    <w:p w14:paraId="2246DD6B" w14:textId="77777777" w:rsidR="0058289A" w:rsidRPr="00325C9B" w:rsidRDefault="0058289A" w:rsidP="00325C9B">
      <w:pPr>
        <w:tabs>
          <w:tab w:val="left" w:pos="2436"/>
        </w:tabs>
        <w:spacing w:line="360" w:lineRule="auto"/>
        <w:jc w:val="both"/>
        <w:rPr>
          <w:rFonts w:ascii="Arial" w:hAnsi="Arial" w:cs="Arial"/>
          <w:sz w:val="22"/>
          <w:szCs w:val="22"/>
        </w:rPr>
      </w:pPr>
    </w:p>
    <w:p w14:paraId="59B5C11B" w14:textId="77777777" w:rsidR="0058289A" w:rsidRPr="00325C9B" w:rsidRDefault="0058289A" w:rsidP="00325C9B">
      <w:pPr>
        <w:tabs>
          <w:tab w:val="left" w:pos="2436"/>
        </w:tabs>
        <w:spacing w:line="360" w:lineRule="auto"/>
        <w:jc w:val="both"/>
        <w:rPr>
          <w:rFonts w:ascii="Arial" w:hAnsi="Arial" w:cs="Arial"/>
          <w:sz w:val="22"/>
          <w:szCs w:val="22"/>
        </w:rPr>
      </w:pPr>
    </w:p>
    <w:p w14:paraId="66365E1E" w14:textId="1B6BDF31" w:rsidR="00A51840" w:rsidRPr="00325C9B" w:rsidRDefault="008523AE" w:rsidP="00325C9B">
      <w:pPr>
        <w:pStyle w:val="Heading1"/>
        <w:spacing w:line="360" w:lineRule="auto"/>
        <w:jc w:val="both"/>
        <w:rPr>
          <w:rFonts w:ascii="Arial" w:hAnsi="Arial" w:cs="Arial"/>
          <w:sz w:val="22"/>
          <w:szCs w:val="22"/>
        </w:rPr>
      </w:pPr>
      <w:bookmarkStart w:id="8" w:name="_Toc235796785"/>
      <w:r w:rsidRPr="00325C9B">
        <w:rPr>
          <w:rFonts w:ascii="Arial" w:hAnsi="Arial" w:cs="Arial"/>
          <w:sz w:val="22"/>
          <w:szCs w:val="22"/>
        </w:rPr>
        <w:lastRenderedPageBreak/>
        <w:t>Limitations of Person-Centred Care</w:t>
      </w:r>
      <w:bookmarkEnd w:id="8"/>
    </w:p>
    <w:p w14:paraId="7FF9DE3A" w14:textId="7777777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Although PCC has many benefits, challenges such as staff shortages, limited time and increasing pressures on health services can make personalised care difficult to deliver. For example, healthcare staff supporting the patient after hip fracture surgery may recognise the need for emotional support but have limited time due to other clinical responsibilities.</w:t>
      </w:r>
    </w:p>
    <w:p w14:paraId="2FCF5D31" w14:textId="77777777" w:rsidR="008523AE"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Another challenge is balancing patient choice with safety. For example, the patient may wish to return home soon after surgery, but professionals must consider whether this is safe and whether suitable support is available. Effective communication between the patient, family and multidisciplinary team is therefore essential.</w:t>
      </w:r>
    </w:p>
    <w:p w14:paraId="4E32EC60" w14:textId="309121B4" w:rsidR="00224E30" w:rsidRPr="00325C9B" w:rsidRDefault="008523AE" w:rsidP="00325C9B">
      <w:pPr>
        <w:tabs>
          <w:tab w:val="left" w:pos="2436"/>
        </w:tabs>
        <w:spacing w:line="360" w:lineRule="auto"/>
        <w:jc w:val="both"/>
        <w:rPr>
          <w:rFonts w:ascii="Arial" w:hAnsi="Arial" w:cs="Arial"/>
          <w:sz w:val="22"/>
          <w:szCs w:val="22"/>
        </w:rPr>
      </w:pPr>
      <w:r w:rsidRPr="00325C9B">
        <w:rPr>
          <w:rFonts w:ascii="Arial" w:hAnsi="Arial" w:cs="Arial"/>
          <w:sz w:val="22"/>
          <w:szCs w:val="22"/>
        </w:rPr>
        <w:t xml:space="preserve">PCC also relies on good information sharing between services. Poor communication between hospital teams and community services may affect continuity of care </w:t>
      </w:r>
      <w:r w:rsidR="00BB063C" w:rsidRPr="00325C9B">
        <w:rPr>
          <w:rFonts w:ascii="Arial" w:hAnsi="Arial" w:cs="Arial"/>
          <w:sz w:val="22"/>
          <w:szCs w:val="22"/>
        </w:rPr>
        <w:t>(Coulter and Oldham, 2016)</w:t>
      </w:r>
      <w:r w:rsidRPr="00325C9B">
        <w:rPr>
          <w:rFonts w:ascii="Arial" w:hAnsi="Arial" w:cs="Arial"/>
          <w:sz w:val="22"/>
          <w:szCs w:val="22"/>
        </w:rPr>
        <w:t>. Therefore, effective PCC requires adequate resources, staff training and partnership working.</w:t>
      </w:r>
    </w:p>
    <w:p w14:paraId="0041363C" w14:textId="71A459D6" w:rsidR="00224E30" w:rsidRPr="00325C9B" w:rsidRDefault="00A253BF" w:rsidP="00325C9B">
      <w:pPr>
        <w:pStyle w:val="Heading1"/>
        <w:spacing w:line="360" w:lineRule="auto"/>
        <w:jc w:val="both"/>
        <w:rPr>
          <w:rFonts w:ascii="Arial" w:hAnsi="Arial" w:cs="Arial"/>
          <w:sz w:val="22"/>
          <w:szCs w:val="22"/>
        </w:rPr>
      </w:pPr>
      <w:bookmarkStart w:id="9" w:name="_Toc235796786"/>
      <w:r w:rsidRPr="00325C9B">
        <w:rPr>
          <w:rFonts w:ascii="Arial" w:hAnsi="Arial" w:cs="Arial"/>
          <w:sz w:val="22"/>
          <w:szCs w:val="22"/>
        </w:rPr>
        <w:t>Maslow’s Hierarchy of Needs</w:t>
      </w:r>
      <w:bookmarkEnd w:id="9"/>
    </w:p>
    <w:p w14:paraId="602BCB87" w14:textId="77777777" w:rsidR="00A253BF" w:rsidRPr="00325C9B" w:rsidRDefault="00A253BF" w:rsidP="00325C9B">
      <w:pPr>
        <w:tabs>
          <w:tab w:val="left" w:pos="2436"/>
        </w:tabs>
        <w:spacing w:line="360" w:lineRule="auto"/>
        <w:jc w:val="both"/>
        <w:rPr>
          <w:rFonts w:ascii="Arial" w:hAnsi="Arial" w:cs="Arial"/>
          <w:sz w:val="22"/>
          <w:szCs w:val="22"/>
        </w:rPr>
      </w:pPr>
      <w:r w:rsidRPr="00325C9B">
        <w:rPr>
          <w:rFonts w:ascii="Arial" w:hAnsi="Arial" w:cs="Arial"/>
          <w:sz w:val="22"/>
          <w:szCs w:val="22"/>
        </w:rPr>
        <w:t>Maslow’s Hierarchy of Needs is a psychological theory developed by Abraham Maslow (1943) that explains human needs through five levels: physiological, safety, love and belonging, esteem and self-actualisation. The theory suggests that individuals are motivated to meet basic needs before progressing to higher-level needs, with the overall aim of achieving self-actualisation, defined as reaching one’s full potential (Carducci, 2020). In health and social care, the theory supports a holistic approach by encouraging professionals to consider physical, emotional, social and psychological needs.</w:t>
      </w:r>
    </w:p>
    <w:p w14:paraId="0B2BEF89" w14:textId="77777777" w:rsidR="00A253BF" w:rsidRPr="00325C9B" w:rsidRDefault="00A253BF" w:rsidP="00325C9B">
      <w:pPr>
        <w:tabs>
          <w:tab w:val="left" w:pos="2436"/>
        </w:tabs>
        <w:spacing w:line="360" w:lineRule="auto"/>
        <w:jc w:val="both"/>
        <w:rPr>
          <w:rFonts w:ascii="Arial" w:hAnsi="Arial" w:cs="Arial"/>
          <w:sz w:val="22"/>
          <w:szCs w:val="22"/>
        </w:rPr>
      </w:pPr>
      <w:r w:rsidRPr="00325C9B">
        <w:rPr>
          <w:rFonts w:ascii="Arial" w:hAnsi="Arial" w:cs="Arial"/>
          <w:sz w:val="22"/>
          <w:szCs w:val="22"/>
        </w:rPr>
        <w:t>Within an NHS hospital setting, Maslow’s theory can be applied to an older adult recovering from a hip fracture. Physiological needs include pain management, nutrition, hydration and rest following surgery, which support recovery and rehabilitation. NICE (2023) highlights the importance of coordinated hip fracture care to improve mobility and independence.</w:t>
      </w:r>
    </w:p>
    <w:p w14:paraId="2F911284" w14:textId="77777777" w:rsidR="00A253BF" w:rsidRPr="00325C9B" w:rsidRDefault="00A253BF" w:rsidP="00325C9B">
      <w:pPr>
        <w:tabs>
          <w:tab w:val="left" w:pos="2436"/>
        </w:tabs>
        <w:spacing w:line="360" w:lineRule="auto"/>
        <w:jc w:val="both"/>
        <w:rPr>
          <w:rFonts w:ascii="Arial" w:hAnsi="Arial" w:cs="Arial"/>
          <w:sz w:val="22"/>
          <w:szCs w:val="22"/>
        </w:rPr>
      </w:pPr>
      <w:r w:rsidRPr="00325C9B">
        <w:rPr>
          <w:rFonts w:ascii="Arial" w:hAnsi="Arial" w:cs="Arial"/>
          <w:sz w:val="22"/>
          <w:szCs w:val="22"/>
        </w:rPr>
        <w:t>Safety needs are also important due to reduced mobility and increased fall risks. Nurses, physiotherapists and occupational therapists support safe mobilisation, risk assessments and discharge planning through a multidisciplinary approach (NICE, 2023).</w:t>
      </w:r>
    </w:p>
    <w:p w14:paraId="6B80312F" w14:textId="1C105D82" w:rsidR="00A253BF" w:rsidRPr="00325C9B" w:rsidRDefault="00A253BF" w:rsidP="00325C9B">
      <w:pPr>
        <w:tabs>
          <w:tab w:val="left" w:pos="2436"/>
        </w:tabs>
        <w:spacing w:line="360" w:lineRule="auto"/>
        <w:jc w:val="both"/>
        <w:rPr>
          <w:rFonts w:ascii="Arial" w:hAnsi="Arial" w:cs="Arial"/>
          <w:sz w:val="22"/>
          <w:szCs w:val="22"/>
        </w:rPr>
      </w:pPr>
      <w:r w:rsidRPr="00325C9B">
        <w:rPr>
          <w:rFonts w:ascii="Arial" w:hAnsi="Arial" w:cs="Arial"/>
          <w:sz w:val="22"/>
          <w:szCs w:val="22"/>
        </w:rPr>
        <w:t>Love and belonging needs involve emotional support and maintaining relationships, as hospital admission may cause anxiety or isolation. Communication with healthcare professionals and family involvement can help the patient feel supported (</w:t>
      </w:r>
      <w:r w:rsidR="00A907CF">
        <w:rPr>
          <w:rFonts w:ascii="Arial" w:hAnsi="Arial" w:cs="Arial"/>
          <w:sz w:val="22"/>
          <w:szCs w:val="22"/>
        </w:rPr>
        <w:t xml:space="preserve">The </w:t>
      </w:r>
      <w:r w:rsidRPr="00325C9B">
        <w:rPr>
          <w:rFonts w:ascii="Arial" w:hAnsi="Arial" w:cs="Arial"/>
          <w:sz w:val="22"/>
          <w:szCs w:val="22"/>
        </w:rPr>
        <w:t>Health Foundation, 201</w:t>
      </w:r>
      <w:r w:rsidR="005E622E" w:rsidRPr="00325C9B">
        <w:rPr>
          <w:rFonts w:ascii="Arial" w:hAnsi="Arial" w:cs="Arial"/>
          <w:sz w:val="22"/>
          <w:szCs w:val="22"/>
        </w:rPr>
        <w:t>6</w:t>
      </w:r>
      <w:r w:rsidRPr="00325C9B">
        <w:rPr>
          <w:rFonts w:ascii="Arial" w:hAnsi="Arial" w:cs="Arial"/>
          <w:sz w:val="22"/>
          <w:szCs w:val="22"/>
        </w:rPr>
        <w:t>).</w:t>
      </w:r>
    </w:p>
    <w:p w14:paraId="2FEBD31C" w14:textId="77777777" w:rsidR="00A253BF" w:rsidRPr="00325C9B" w:rsidRDefault="00A253BF" w:rsidP="00325C9B">
      <w:pPr>
        <w:tabs>
          <w:tab w:val="left" w:pos="2436"/>
        </w:tabs>
        <w:spacing w:line="360" w:lineRule="auto"/>
        <w:jc w:val="both"/>
        <w:rPr>
          <w:rFonts w:ascii="Arial" w:hAnsi="Arial" w:cs="Arial"/>
          <w:sz w:val="22"/>
          <w:szCs w:val="22"/>
        </w:rPr>
      </w:pPr>
      <w:r w:rsidRPr="00325C9B">
        <w:rPr>
          <w:rFonts w:ascii="Arial" w:hAnsi="Arial" w:cs="Arial"/>
          <w:sz w:val="22"/>
          <w:szCs w:val="22"/>
        </w:rPr>
        <w:lastRenderedPageBreak/>
        <w:t>Esteem and self-actualisation can be promoted by encouraging independence and supporting personal goals, such as improving mobility and returning home safely (NICE, 2023).</w:t>
      </w:r>
    </w:p>
    <w:p w14:paraId="72DD568D" w14:textId="24441409" w:rsidR="002640D6" w:rsidRPr="00325C9B" w:rsidRDefault="0016779B" w:rsidP="00325C9B">
      <w:pPr>
        <w:tabs>
          <w:tab w:val="left" w:pos="2436"/>
        </w:tabs>
        <w:spacing w:line="360" w:lineRule="auto"/>
        <w:jc w:val="both"/>
        <w:rPr>
          <w:rFonts w:ascii="Arial" w:hAnsi="Arial" w:cs="Arial"/>
          <w:sz w:val="22"/>
          <w:szCs w:val="22"/>
        </w:rPr>
      </w:pPr>
      <w:r w:rsidRPr="00325C9B">
        <w:rPr>
          <w:rFonts w:ascii="Arial" w:hAnsi="Arial" w:cs="Arial"/>
          <w:sz w:val="22"/>
          <w:szCs w:val="22"/>
        </w:rPr>
        <w:t>Although Maslow’s theory is useful for understanding the different needs of individuals, it has limitations because people may not always experience needs in a specific order. Personal circumstances, health conditions and individual priorities can affect which needs are most important at different times. However, the theory remains valuable in supporting holistic and person-centred care by encouraging healthcare professionals to consider the wider needs of individuals.</w:t>
      </w:r>
    </w:p>
    <w:p w14:paraId="31CFACAF" w14:textId="63AA14AF" w:rsidR="002C7AF9" w:rsidRPr="00325C9B" w:rsidRDefault="002640D6" w:rsidP="00325C9B">
      <w:pPr>
        <w:pStyle w:val="Heading1"/>
        <w:spacing w:line="360" w:lineRule="auto"/>
        <w:jc w:val="both"/>
        <w:rPr>
          <w:rFonts w:ascii="Arial" w:hAnsi="Arial" w:cs="Arial"/>
          <w:sz w:val="22"/>
          <w:szCs w:val="22"/>
        </w:rPr>
      </w:pPr>
      <w:bookmarkStart w:id="10" w:name="_Toc235796787"/>
      <w:r w:rsidRPr="00325C9B">
        <w:rPr>
          <w:rFonts w:ascii="Arial" w:hAnsi="Arial" w:cs="Arial"/>
          <w:sz w:val="22"/>
          <w:szCs w:val="22"/>
        </w:rPr>
        <w:t>Ethical Principles in Health and Social Care</w:t>
      </w:r>
      <w:bookmarkEnd w:id="10"/>
    </w:p>
    <w:p w14:paraId="294DB03A" w14:textId="77777777" w:rsidR="002640D6" w:rsidRPr="00325C9B" w:rsidRDefault="002640D6" w:rsidP="00325C9B">
      <w:pPr>
        <w:tabs>
          <w:tab w:val="left" w:pos="2436"/>
        </w:tabs>
        <w:spacing w:line="360" w:lineRule="auto"/>
        <w:jc w:val="both"/>
        <w:rPr>
          <w:rFonts w:ascii="Arial" w:hAnsi="Arial" w:cs="Arial"/>
          <w:sz w:val="22"/>
          <w:szCs w:val="22"/>
        </w:rPr>
      </w:pPr>
      <w:r w:rsidRPr="00325C9B">
        <w:rPr>
          <w:rFonts w:ascii="Arial" w:hAnsi="Arial" w:cs="Arial"/>
          <w:sz w:val="22"/>
          <w:szCs w:val="22"/>
        </w:rPr>
        <w:t>Ethical principles guide healthcare professionals in providing safe, respectful and fair care. The four main principles are autonomy, beneficence, non-maleficence and justice (Varkey, 2021). These support person-centred care and partnership working by promoting dignity, respecting choices and ensuring decisions are made in the patient’s best interests.</w:t>
      </w:r>
    </w:p>
    <w:p w14:paraId="246E7A03" w14:textId="2B972F2C" w:rsidR="002640D6" w:rsidRPr="00325C9B" w:rsidRDefault="00A47893" w:rsidP="00325C9B">
      <w:pPr>
        <w:tabs>
          <w:tab w:val="left" w:pos="2436"/>
        </w:tabs>
        <w:spacing w:line="360" w:lineRule="auto"/>
        <w:jc w:val="both"/>
        <w:rPr>
          <w:rFonts w:ascii="Arial" w:hAnsi="Arial" w:cs="Arial"/>
          <w:sz w:val="22"/>
          <w:szCs w:val="22"/>
        </w:rPr>
      </w:pPr>
      <w:r w:rsidRPr="00325C9B">
        <w:rPr>
          <w:rFonts w:ascii="Arial" w:hAnsi="Arial" w:cs="Arial"/>
          <w:sz w:val="22"/>
          <w:szCs w:val="22"/>
        </w:rPr>
        <w:t>Autonomy refers to respecting an individual’s right to make decisions about their care (Varkey, 2021). In an NHS hospital setting, an older patient recovering from a hip fracture should be involved in decisions about treatment, rehabilitation and discharge. For example, the patient may wish to return home to maintain independence; however, they live alone and therapists identify that they cannot mobilise safely without support. Healthcare professionals should respect the patient’s wishes while explaining risks and support options. NICE (2023) highlights the importance of multidisciplinary rehabilitation and assessing safe mobility before discharge. This demonstrates the need to balance patient choice with professional responsibility and shared decision-making</w:t>
      </w:r>
      <w:r w:rsidR="002640D6" w:rsidRPr="00325C9B">
        <w:rPr>
          <w:rFonts w:ascii="Arial" w:hAnsi="Arial" w:cs="Arial"/>
          <w:sz w:val="22"/>
          <w:szCs w:val="22"/>
        </w:rPr>
        <w:t>.</w:t>
      </w:r>
    </w:p>
    <w:p w14:paraId="3D4B8FDE" w14:textId="77777777" w:rsidR="002640D6" w:rsidRPr="00325C9B" w:rsidRDefault="002640D6" w:rsidP="00325C9B">
      <w:pPr>
        <w:tabs>
          <w:tab w:val="left" w:pos="2436"/>
        </w:tabs>
        <w:spacing w:line="360" w:lineRule="auto"/>
        <w:jc w:val="both"/>
        <w:rPr>
          <w:rFonts w:ascii="Arial" w:hAnsi="Arial" w:cs="Arial"/>
          <w:sz w:val="22"/>
          <w:szCs w:val="22"/>
        </w:rPr>
      </w:pPr>
      <w:r w:rsidRPr="00325C9B">
        <w:rPr>
          <w:rFonts w:ascii="Arial" w:hAnsi="Arial" w:cs="Arial"/>
          <w:sz w:val="22"/>
          <w:szCs w:val="22"/>
        </w:rPr>
        <w:t>Beneficence means acting in the best interests of the patient and promoting wellbeing. For an older patient recovering from a hip fracture, this includes providing pain relief, rehabilitation and emotional support. Nurses, doctors, physiotherapists and occupational therapists work together to support recovery and independence (NICE, 2023).</w:t>
      </w:r>
    </w:p>
    <w:p w14:paraId="16DB1C21" w14:textId="77777777" w:rsidR="002640D6" w:rsidRPr="00325C9B" w:rsidRDefault="002640D6" w:rsidP="00325C9B">
      <w:pPr>
        <w:tabs>
          <w:tab w:val="left" w:pos="2436"/>
        </w:tabs>
        <w:spacing w:line="360" w:lineRule="auto"/>
        <w:jc w:val="both"/>
        <w:rPr>
          <w:rFonts w:ascii="Arial" w:hAnsi="Arial" w:cs="Arial"/>
          <w:sz w:val="22"/>
          <w:szCs w:val="22"/>
        </w:rPr>
      </w:pPr>
      <w:r w:rsidRPr="00325C9B">
        <w:rPr>
          <w:rFonts w:ascii="Arial" w:hAnsi="Arial" w:cs="Arial"/>
          <w:sz w:val="22"/>
          <w:szCs w:val="22"/>
        </w:rPr>
        <w:t>Non-maleficence means avoiding harm and preventing unnecessary risks. Healthcare professionals must consider risks such as falls, reduced mobility and complications following surgery. For example, physiotherapists support safe mobilisation while nurses use appropriate moving and handling techniques to prevent injury. Ethical challenges may occur if a patient chooses an option that increases their risk of harm, requiring professionals to balance autonomy with their duty of care.</w:t>
      </w:r>
    </w:p>
    <w:p w14:paraId="6ED2E7B7" w14:textId="77777777" w:rsidR="002640D6" w:rsidRPr="00325C9B" w:rsidRDefault="002640D6" w:rsidP="00325C9B">
      <w:pPr>
        <w:tabs>
          <w:tab w:val="left" w:pos="2436"/>
        </w:tabs>
        <w:spacing w:line="360" w:lineRule="auto"/>
        <w:jc w:val="both"/>
        <w:rPr>
          <w:rFonts w:ascii="Arial" w:hAnsi="Arial" w:cs="Arial"/>
          <w:sz w:val="22"/>
          <w:szCs w:val="22"/>
        </w:rPr>
      </w:pPr>
      <w:r w:rsidRPr="00325C9B">
        <w:rPr>
          <w:rFonts w:ascii="Arial" w:hAnsi="Arial" w:cs="Arial"/>
          <w:sz w:val="22"/>
          <w:szCs w:val="22"/>
        </w:rPr>
        <w:lastRenderedPageBreak/>
        <w:t>Justice refers to providing fair and equal access to healthcare. In an NHS setting, the patient should receive appropriate treatment and rehabilitation based on clinical need rather than age or personal circumstances.</w:t>
      </w:r>
    </w:p>
    <w:p w14:paraId="467C6F47" w14:textId="6378CC13" w:rsidR="002640D6" w:rsidRPr="00325C9B" w:rsidRDefault="002640D6" w:rsidP="00325C9B">
      <w:pPr>
        <w:tabs>
          <w:tab w:val="left" w:pos="2436"/>
        </w:tabs>
        <w:spacing w:line="360" w:lineRule="auto"/>
        <w:jc w:val="both"/>
        <w:rPr>
          <w:rFonts w:ascii="Arial" w:hAnsi="Arial" w:cs="Arial"/>
          <w:sz w:val="22"/>
          <w:szCs w:val="22"/>
        </w:rPr>
      </w:pPr>
      <w:r w:rsidRPr="00325C9B">
        <w:rPr>
          <w:rFonts w:ascii="Arial" w:hAnsi="Arial" w:cs="Arial"/>
          <w:sz w:val="22"/>
          <w:szCs w:val="22"/>
        </w:rPr>
        <w:t>Overall, ethical principles support safe and person-centred care by ensuring patient choices are respected while maintaining safety and wellbeing.</w:t>
      </w:r>
    </w:p>
    <w:p w14:paraId="415E1974" w14:textId="4739F5C2" w:rsidR="002C7AF9" w:rsidRPr="00325C9B" w:rsidRDefault="0061654C" w:rsidP="00325C9B">
      <w:pPr>
        <w:pStyle w:val="Heading1"/>
        <w:spacing w:line="360" w:lineRule="auto"/>
        <w:jc w:val="both"/>
        <w:rPr>
          <w:rFonts w:ascii="Arial" w:hAnsi="Arial" w:cs="Arial"/>
          <w:sz w:val="22"/>
          <w:szCs w:val="22"/>
        </w:rPr>
      </w:pPr>
      <w:bookmarkStart w:id="11" w:name="_Toc235796788"/>
      <w:r w:rsidRPr="00325C9B">
        <w:rPr>
          <w:rFonts w:ascii="Arial" w:hAnsi="Arial" w:cs="Arial"/>
          <w:sz w:val="22"/>
          <w:szCs w:val="22"/>
        </w:rPr>
        <w:t>Evaluation of Partnership Working and Integrated Care Systems</w:t>
      </w:r>
      <w:bookmarkEnd w:id="11"/>
    </w:p>
    <w:p w14:paraId="769ED7A2" w14:textId="7AB53BEA" w:rsidR="0061654C" w:rsidRPr="00325C9B" w:rsidRDefault="0061654C" w:rsidP="00325C9B">
      <w:pPr>
        <w:tabs>
          <w:tab w:val="left" w:pos="2436"/>
        </w:tabs>
        <w:spacing w:line="360" w:lineRule="auto"/>
        <w:jc w:val="both"/>
        <w:rPr>
          <w:rFonts w:ascii="Arial" w:hAnsi="Arial" w:cs="Arial"/>
          <w:sz w:val="22"/>
          <w:szCs w:val="22"/>
        </w:rPr>
      </w:pPr>
      <w:r w:rsidRPr="00325C9B">
        <w:rPr>
          <w:rFonts w:ascii="Arial" w:hAnsi="Arial" w:cs="Arial"/>
          <w:sz w:val="22"/>
          <w:szCs w:val="22"/>
        </w:rPr>
        <w:t>Partnership working involves different professionals, organisations and services working together to provide coordinated care that meets individual needs. It is important because many individuals require support from multiple services rather than one professional group alone. Effective partnership working promotes communication, shared decision-making and person-centred care (Goodwin, 2016).</w:t>
      </w:r>
      <w:r w:rsidR="005C3B66" w:rsidRPr="00325C9B">
        <w:rPr>
          <w:rFonts w:ascii="Arial" w:hAnsi="Arial" w:cs="Arial"/>
          <w:sz w:val="22"/>
          <w:szCs w:val="22"/>
        </w:rPr>
        <w:t xml:space="preserve"> </w:t>
      </w:r>
      <w:r w:rsidR="0028141F" w:rsidRPr="00325C9B">
        <w:rPr>
          <w:rFonts w:ascii="Arial" w:hAnsi="Arial" w:cs="Arial"/>
          <w:sz w:val="22"/>
          <w:szCs w:val="22"/>
        </w:rPr>
        <w:t>PCC and partnership working are linked, as collaboration helps professionals understand needs, respect choices and coordinate care.</w:t>
      </w:r>
    </w:p>
    <w:p w14:paraId="46C34C40" w14:textId="77777777" w:rsidR="0061654C" w:rsidRPr="00325C9B" w:rsidRDefault="0061654C" w:rsidP="00325C9B">
      <w:pPr>
        <w:tabs>
          <w:tab w:val="left" w:pos="2436"/>
        </w:tabs>
        <w:spacing w:line="360" w:lineRule="auto"/>
        <w:jc w:val="both"/>
        <w:rPr>
          <w:rFonts w:ascii="Arial" w:hAnsi="Arial" w:cs="Arial"/>
          <w:sz w:val="22"/>
          <w:szCs w:val="22"/>
        </w:rPr>
      </w:pPr>
      <w:r w:rsidRPr="00325C9B">
        <w:rPr>
          <w:rFonts w:ascii="Arial" w:hAnsi="Arial" w:cs="Arial"/>
          <w:sz w:val="22"/>
          <w:szCs w:val="22"/>
        </w:rPr>
        <w:t>Within an NHS hospital setting, partnership working is essential for an older patient recovering from a hip fracture. Recovery involves support from doctors, nurses, physiotherapists, occupational therapists and social care services. These professionals work together to create a coordinated care plan that promotes independence, reduces risks and supports a safe transition from hospital to home. NICE (2023) highlights the importance of multidisciplinary hip fracture programmes involving assessment, rehabilitation and discharge planning.</w:t>
      </w:r>
    </w:p>
    <w:p w14:paraId="4D510A64" w14:textId="420AC337" w:rsidR="0061654C" w:rsidRPr="00325C9B" w:rsidRDefault="0061654C" w:rsidP="00325C9B">
      <w:pPr>
        <w:tabs>
          <w:tab w:val="left" w:pos="2436"/>
        </w:tabs>
        <w:spacing w:line="360" w:lineRule="auto"/>
        <w:jc w:val="both"/>
        <w:rPr>
          <w:rFonts w:ascii="Arial" w:hAnsi="Arial" w:cs="Arial"/>
          <w:sz w:val="22"/>
          <w:szCs w:val="22"/>
        </w:rPr>
      </w:pPr>
      <w:r w:rsidRPr="00325C9B">
        <w:rPr>
          <w:rFonts w:ascii="Arial" w:hAnsi="Arial" w:cs="Arial"/>
          <w:sz w:val="22"/>
          <w:szCs w:val="22"/>
        </w:rPr>
        <w:t>Integrated Care Systems were introduced in England to strengthen collaboration between NHS organisations, local authorities, social care providers and community services. They aim to improve health outcomes, reduce inequalities and provide more joined-up care (NHS England, 2022). For an older person recovering from a hip fracture, ICSs can support communication between hospital and community services to ensure appropriate support is available after discharge.</w:t>
      </w:r>
      <w:r w:rsidR="00B874C2" w:rsidRPr="00325C9B">
        <w:rPr>
          <w:rFonts w:ascii="Arial" w:hAnsi="Arial" w:cs="Arial"/>
          <w:sz w:val="22"/>
          <w:szCs w:val="22"/>
        </w:rPr>
        <w:t xml:space="preserve"> </w:t>
      </w:r>
    </w:p>
    <w:p w14:paraId="7227C074" w14:textId="36B50826" w:rsidR="003509EF" w:rsidRPr="00325C9B" w:rsidRDefault="003509EF" w:rsidP="00325C9B">
      <w:pPr>
        <w:tabs>
          <w:tab w:val="left" w:pos="2436"/>
        </w:tabs>
        <w:spacing w:line="360" w:lineRule="auto"/>
        <w:jc w:val="both"/>
        <w:rPr>
          <w:rFonts w:ascii="Arial" w:hAnsi="Arial" w:cs="Arial"/>
          <w:sz w:val="22"/>
          <w:szCs w:val="22"/>
        </w:rPr>
      </w:pPr>
      <w:r w:rsidRPr="00325C9B">
        <w:rPr>
          <w:rFonts w:ascii="Arial" w:hAnsi="Arial" w:cs="Arial"/>
          <w:sz w:val="22"/>
          <w:szCs w:val="22"/>
        </w:rPr>
        <w:t>Partnership working improves outcomes by ensuring individuals receive appropriate support at the right time (Pow et al., 2013). Although focused on sexual health services, findings apply to wider healthcare settings, where partnership working relies on communication, trust and clear roles. Collaboration between hospital, rehabilitation and social care teams can help patients regain independence and reduce readmissions. However, communication barriers, differing priorities, limited resources and staff shortages may affect integrated care.</w:t>
      </w:r>
    </w:p>
    <w:p w14:paraId="1663EADF" w14:textId="77777777" w:rsidR="0061654C" w:rsidRPr="00325C9B" w:rsidRDefault="0061654C" w:rsidP="00325C9B">
      <w:pPr>
        <w:tabs>
          <w:tab w:val="left" w:pos="2436"/>
        </w:tabs>
        <w:spacing w:line="360" w:lineRule="auto"/>
        <w:jc w:val="both"/>
        <w:rPr>
          <w:rFonts w:ascii="Arial" w:hAnsi="Arial" w:cs="Arial"/>
          <w:sz w:val="22"/>
          <w:szCs w:val="22"/>
        </w:rPr>
      </w:pPr>
      <w:r w:rsidRPr="00325C9B">
        <w:rPr>
          <w:rFonts w:ascii="Arial" w:hAnsi="Arial" w:cs="Arial"/>
          <w:sz w:val="22"/>
          <w:szCs w:val="22"/>
        </w:rPr>
        <w:t>Overall, partnership working and ICSs can improve the quality and coordination of care. However, their effectiveness depends on strong leadership, information sharing and commitment from professionals to keep individuals at the centre of care (Goodwin, 2016).</w:t>
      </w:r>
    </w:p>
    <w:p w14:paraId="15E2386B" w14:textId="77777777" w:rsidR="00720598" w:rsidRPr="00325C9B" w:rsidRDefault="00720598" w:rsidP="00325C9B">
      <w:pPr>
        <w:tabs>
          <w:tab w:val="left" w:pos="2436"/>
        </w:tabs>
        <w:spacing w:line="360" w:lineRule="auto"/>
        <w:jc w:val="both"/>
        <w:rPr>
          <w:rFonts w:ascii="Arial" w:hAnsi="Arial" w:cs="Arial"/>
          <w:sz w:val="22"/>
          <w:szCs w:val="22"/>
        </w:rPr>
      </w:pPr>
    </w:p>
    <w:p w14:paraId="168DB681" w14:textId="6FBFA0FE" w:rsidR="00BB063C" w:rsidRPr="00325C9B" w:rsidRDefault="00E87358" w:rsidP="00325C9B">
      <w:pPr>
        <w:pStyle w:val="Heading1"/>
        <w:spacing w:line="360" w:lineRule="auto"/>
        <w:jc w:val="both"/>
        <w:rPr>
          <w:rFonts w:ascii="Arial" w:hAnsi="Arial" w:cs="Arial"/>
          <w:sz w:val="22"/>
          <w:szCs w:val="22"/>
        </w:rPr>
      </w:pPr>
      <w:bookmarkStart w:id="12" w:name="_Toc235796789"/>
      <w:r w:rsidRPr="00325C9B">
        <w:rPr>
          <w:rFonts w:ascii="Arial" w:hAnsi="Arial" w:cs="Arial"/>
          <w:sz w:val="22"/>
          <w:szCs w:val="22"/>
        </w:rPr>
        <w:t>Policy and Legislation</w:t>
      </w:r>
      <w:bookmarkEnd w:id="12"/>
    </w:p>
    <w:p w14:paraId="5EB0B557" w14:textId="77777777" w:rsidR="00E87358" w:rsidRPr="00325C9B" w:rsidRDefault="00E87358" w:rsidP="00325C9B">
      <w:pPr>
        <w:tabs>
          <w:tab w:val="left" w:pos="2436"/>
        </w:tabs>
        <w:spacing w:line="360" w:lineRule="auto"/>
        <w:jc w:val="both"/>
        <w:rPr>
          <w:rFonts w:ascii="Arial" w:hAnsi="Arial" w:cs="Arial"/>
          <w:sz w:val="22"/>
          <w:szCs w:val="22"/>
        </w:rPr>
      </w:pPr>
      <w:r w:rsidRPr="00325C9B">
        <w:rPr>
          <w:rFonts w:ascii="Arial" w:hAnsi="Arial" w:cs="Arial"/>
          <w:sz w:val="22"/>
          <w:szCs w:val="22"/>
        </w:rPr>
        <w:t>Policies and legislation provide a framework for delivering safe and person-centred care. They protect patient rights, promote independence and support partnership working. In an NHS hospital setting, they are particularly important for an older patient recovering from a hip fracture during rehabilitation, discharge planning and coordination with other services.</w:t>
      </w:r>
    </w:p>
    <w:p w14:paraId="3C29A0B3" w14:textId="12C912E2" w:rsidR="00E87358" w:rsidRPr="00325C9B" w:rsidRDefault="00E87358" w:rsidP="00325C9B">
      <w:pPr>
        <w:tabs>
          <w:tab w:val="left" w:pos="2436"/>
        </w:tabs>
        <w:spacing w:line="360" w:lineRule="auto"/>
        <w:jc w:val="both"/>
        <w:rPr>
          <w:rFonts w:ascii="Arial" w:hAnsi="Arial" w:cs="Arial"/>
          <w:sz w:val="22"/>
          <w:szCs w:val="22"/>
        </w:rPr>
      </w:pPr>
      <w:r w:rsidRPr="00325C9B">
        <w:rPr>
          <w:rFonts w:ascii="Arial" w:hAnsi="Arial" w:cs="Arial"/>
          <w:sz w:val="22"/>
          <w:szCs w:val="22"/>
        </w:rPr>
        <w:t>The Care Act 2014 promotes wellbeing, independence and involvement in decisions about care and support. For this patient, it supports involving the individual, family and social care services when planning rehabilitation and discharge. However, limited resources may affect personalised care delivery (Cooper and Bruin, 2017).</w:t>
      </w:r>
    </w:p>
    <w:p w14:paraId="2406C18E" w14:textId="77777777" w:rsidR="00E87358" w:rsidRPr="00325C9B" w:rsidRDefault="00E87358" w:rsidP="00325C9B">
      <w:pPr>
        <w:tabs>
          <w:tab w:val="left" w:pos="2436"/>
        </w:tabs>
        <w:spacing w:line="360" w:lineRule="auto"/>
        <w:jc w:val="both"/>
        <w:rPr>
          <w:rFonts w:ascii="Arial" w:hAnsi="Arial" w:cs="Arial"/>
          <w:sz w:val="22"/>
          <w:szCs w:val="22"/>
        </w:rPr>
      </w:pPr>
      <w:r w:rsidRPr="00325C9B">
        <w:rPr>
          <w:rFonts w:ascii="Arial" w:hAnsi="Arial" w:cs="Arial"/>
          <w:sz w:val="22"/>
          <w:szCs w:val="22"/>
        </w:rPr>
        <w:t>The Mental Capacity Act 2005 supports person-centred care by ensuring individuals are involved in decisions wherever possible and that decisions made on behalf of those lacking capacity are in their best interests (Mental Capacity Act, 2005). This is relevant if the patient experiences confusion following their hip fracture, as professionals must balance independence with safety.</w:t>
      </w:r>
    </w:p>
    <w:p w14:paraId="323C25DA" w14:textId="77777777" w:rsidR="00E87358" w:rsidRPr="00325C9B" w:rsidRDefault="00E87358" w:rsidP="00325C9B">
      <w:pPr>
        <w:tabs>
          <w:tab w:val="left" w:pos="2436"/>
        </w:tabs>
        <w:spacing w:line="360" w:lineRule="auto"/>
        <w:jc w:val="both"/>
        <w:rPr>
          <w:rFonts w:ascii="Arial" w:hAnsi="Arial" w:cs="Arial"/>
          <w:sz w:val="22"/>
          <w:szCs w:val="22"/>
        </w:rPr>
      </w:pPr>
      <w:r w:rsidRPr="00325C9B">
        <w:rPr>
          <w:rFonts w:ascii="Arial" w:hAnsi="Arial" w:cs="Arial"/>
          <w:sz w:val="22"/>
          <w:szCs w:val="22"/>
        </w:rPr>
        <w:t>The Human Rights Act 1998 and Equality Act 2010 protect dignity, respect and equal access to care, ensuring the patient is treated fairly and without discrimination (UK Government, 1998; GOV.UK, 2013). Professionals must also consider safeguarding responsibilities when making care decisions (McHale, Gallagher and Mason, 2001).</w:t>
      </w:r>
    </w:p>
    <w:p w14:paraId="4884D7B0" w14:textId="7FDEA753" w:rsidR="00E87358" w:rsidRPr="00325C9B" w:rsidRDefault="00E87358" w:rsidP="00325C9B">
      <w:pPr>
        <w:tabs>
          <w:tab w:val="left" w:pos="2436"/>
        </w:tabs>
        <w:spacing w:line="360" w:lineRule="auto"/>
        <w:jc w:val="both"/>
        <w:rPr>
          <w:rFonts w:ascii="Arial" w:hAnsi="Arial" w:cs="Arial"/>
          <w:sz w:val="22"/>
          <w:szCs w:val="22"/>
        </w:rPr>
      </w:pPr>
      <w:r w:rsidRPr="00325C9B">
        <w:rPr>
          <w:rFonts w:ascii="Arial" w:hAnsi="Arial" w:cs="Arial"/>
          <w:sz w:val="22"/>
          <w:szCs w:val="22"/>
        </w:rPr>
        <w:t>The Health and Care Act 2022 supports partnership working through Integrated Care Systems, encouraging NHS organisations, local authorities and other services to improve coordination of care (NHS England, 2022). For an older patient recovering from a hip fracture, this supports communication between hospital, rehabilitation and community services.</w:t>
      </w:r>
    </w:p>
    <w:p w14:paraId="0FC0E609" w14:textId="47A939C5" w:rsidR="002B204B" w:rsidRPr="00325C9B" w:rsidRDefault="00803A75" w:rsidP="00325C9B">
      <w:pPr>
        <w:tabs>
          <w:tab w:val="left" w:pos="2436"/>
        </w:tabs>
        <w:spacing w:line="360" w:lineRule="auto"/>
        <w:jc w:val="both"/>
        <w:rPr>
          <w:rFonts w:ascii="Arial" w:hAnsi="Arial" w:cs="Arial"/>
          <w:sz w:val="22"/>
          <w:szCs w:val="22"/>
        </w:rPr>
      </w:pPr>
      <w:r w:rsidRPr="00325C9B">
        <w:rPr>
          <w:rFonts w:ascii="Arial" w:hAnsi="Arial" w:cs="Arial"/>
          <w:sz w:val="22"/>
          <w:szCs w:val="22"/>
        </w:rPr>
        <w:t>Overall, legislation supports person-centred and partnership-based care, but effective implementation depends on resources, communication and collaboration.</w:t>
      </w:r>
    </w:p>
    <w:p w14:paraId="611B7AF3" w14:textId="727FD152" w:rsidR="002C7AF9" w:rsidRPr="00325C9B" w:rsidRDefault="006060BE" w:rsidP="00325C9B">
      <w:pPr>
        <w:pStyle w:val="Heading1"/>
        <w:spacing w:line="360" w:lineRule="auto"/>
        <w:jc w:val="both"/>
        <w:rPr>
          <w:rFonts w:ascii="Arial" w:hAnsi="Arial" w:cs="Arial"/>
          <w:sz w:val="22"/>
          <w:szCs w:val="22"/>
        </w:rPr>
      </w:pPr>
      <w:bookmarkStart w:id="13" w:name="_Toc235796790"/>
      <w:r w:rsidRPr="00325C9B">
        <w:rPr>
          <w:rFonts w:ascii="Arial" w:hAnsi="Arial" w:cs="Arial"/>
          <w:sz w:val="22"/>
          <w:szCs w:val="22"/>
        </w:rPr>
        <w:t>Recommendations</w:t>
      </w:r>
      <w:bookmarkEnd w:id="13"/>
    </w:p>
    <w:p w14:paraId="41B44EFE" w14:textId="77777777" w:rsidR="00AD4B9D" w:rsidRPr="00325C9B" w:rsidRDefault="00AD4B9D" w:rsidP="00325C9B">
      <w:pPr>
        <w:spacing w:line="360" w:lineRule="auto"/>
        <w:jc w:val="both"/>
        <w:rPr>
          <w:rFonts w:ascii="Arial" w:hAnsi="Arial" w:cs="Arial"/>
          <w:sz w:val="22"/>
          <w:szCs w:val="22"/>
        </w:rPr>
      </w:pPr>
      <w:r w:rsidRPr="00325C9B">
        <w:rPr>
          <w:rFonts w:ascii="Arial" w:hAnsi="Arial" w:cs="Arial"/>
          <w:sz w:val="22"/>
          <w:szCs w:val="22"/>
        </w:rPr>
        <w:t xml:space="preserve">To improve person-centred care and partnership working, healthcare organisations should strengthen communication and information sharing between multidisciplinary teams, NHS services and social care providers. Effective communication can support safer discharge planning and improve continuity of care for older adults recovering from hip fractures (NICE, 2023; Goodwin, 2016). This is particularly important where multiple services are involved in </w:t>
      </w:r>
      <w:r w:rsidRPr="00325C9B">
        <w:rPr>
          <w:rFonts w:ascii="Arial" w:hAnsi="Arial" w:cs="Arial"/>
          <w:sz w:val="22"/>
          <w:szCs w:val="22"/>
        </w:rPr>
        <w:lastRenderedPageBreak/>
        <w:t>patient recovery. However, different information systems and staff pressures may affect implementation.</w:t>
      </w:r>
    </w:p>
    <w:p w14:paraId="3D472C8F" w14:textId="77777777" w:rsidR="00AD4B9D" w:rsidRPr="00325C9B" w:rsidRDefault="00AD4B9D" w:rsidP="00325C9B">
      <w:pPr>
        <w:spacing w:line="360" w:lineRule="auto"/>
        <w:jc w:val="both"/>
        <w:rPr>
          <w:rFonts w:ascii="Arial" w:hAnsi="Arial" w:cs="Arial"/>
          <w:sz w:val="22"/>
          <w:szCs w:val="22"/>
        </w:rPr>
      </w:pPr>
      <w:r w:rsidRPr="00325C9B">
        <w:rPr>
          <w:rFonts w:ascii="Arial" w:hAnsi="Arial" w:cs="Arial"/>
          <w:sz w:val="22"/>
          <w:szCs w:val="22"/>
        </w:rPr>
        <w:t>Healthcare professionals should receive ongoing training to strengthen person-centred care skills, including communication and shared decision-making. Training and effective leadership can help overcome barriers to personalised care (Moore et al., 2017). However, staff shortages and limited resources may reduce training opportunities.</w:t>
      </w:r>
    </w:p>
    <w:p w14:paraId="6E852BF5" w14:textId="77777777" w:rsidR="00AD4B9D" w:rsidRPr="00325C9B" w:rsidRDefault="00AD4B9D" w:rsidP="00325C9B">
      <w:pPr>
        <w:spacing w:line="360" w:lineRule="auto"/>
        <w:jc w:val="both"/>
        <w:rPr>
          <w:rFonts w:ascii="Arial" w:hAnsi="Arial" w:cs="Arial"/>
          <w:sz w:val="22"/>
          <w:szCs w:val="22"/>
        </w:rPr>
      </w:pPr>
      <w:r w:rsidRPr="00325C9B">
        <w:rPr>
          <w:rFonts w:ascii="Arial" w:hAnsi="Arial" w:cs="Arial"/>
          <w:sz w:val="22"/>
          <w:szCs w:val="22"/>
        </w:rPr>
        <w:t>A further recommendation is to strengthen patient involvement in care planning, rehabilitation goals and discharge decisions. Supporting patients to express preferences can promote independence, dignity and improved care experiences (Coulter and Oldham, 2016). However, professionals must balance patient choices with safety considerations.</w:t>
      </w:r>
    </w:p>
    <w:p w14:paraId="05F4572F" w14:textId="77777777" w:rsidR="00AD4B9D" w:rsidRPr="00325C9B" w:rsidRDefault="00AD4B9D" w:rsidP="00325C9B">
      <w:pPr>
        <w:spacing w:line="360" w:lineRule="auto"/>
        <w:jc w:val="both"/>
        <w:rPr>
          <w:rFonts w:ascii="Arial" w:hAnsi="Arial" w:cs="Arial"/>
          <w:sz w:val="22"/>
          <w:szCs w:val="22"/>
        </w:rPr>
      </w:pPr>
      <w:r w:rsidRPr="00325C9B">
        <w:rPr>
          <w:rFonts w:ascii="Arial" w:hAnsi="Arial" w:cs="Arial"/>
          <w:sz w:val="22"/>
          <w:szCs w:val="22"/>
        </w:rPr>
        <w:t>Overall, these recommendations could improve PCC and partnership working by ensuring patients remain central to decisions, professionals collaborate effectively and services provide coordinated care.</w:t>
      </w:r>
    </w:p>
    <w:p w14:paraId="7A1430CF" w14:textId="77777777" w:rsidR="00AA5DF6" w:rsidRPr="00325C9B" w:rsidRDefault="00AA5DF6" w:rsidP="00325C9B">
      <w:pPr>
        <w:spacing w:line="360" w:lineRule="auto"/>
        <w:jc w:val="both"/>
        <w:rPr>
          <w:rFonts w:ascii="Arial" w:hAnsi="Arial" w:cs="Arial"/>
          <w:sz w:val="22"/>
          <w:szCs w:val="22"/>
        </w:rPr>
      </w:pPr>
    </w:p>
    <w:p w14:paraId="3D22E2CB" w14:textId="5E25789A" w:rsidR="00BD7242" w:rsidRPr="00325C9B" w:rsidRDefault="00293EE2" w:rsidP="00325C9B">
      <w:pPr>
        <w:pStyle w:val="Heading1"/>
        <w:spacing w:line="360" w:lineRule="auto"/>
        <w:jc w:val="both"/>
        <w:rPr>
          <w:rFonts w:ascii="Arial" w:hAnsi="Arial" w:cs="Arial"/>
          <w:sz w:val="22"/>
          <w:szCs w:val="22"/>
        </w:rPr>
      </w:pPr>
      <w:bookmarkStart w:id="14" w:name="_Toc235796791"/>
      <w:r w:rsidRPr="00325C9B">
        <w:rPr>
          <w:rFonts w:ascii="Arial" w:hAnsi="Arial" w:cs="Arial"/>
          <w:sz w:val="22"/>
          <w:szCs w:val="22"/>
        </w:rPr>
        <w:t>Conclusion</w:t>
      </w:r>
      <w:bookmarkEnd w:id="14"/>
    </w:p>
    <w:p w14:paraId="68898D6D" w14:textId="20148890" w:rsidR="0058289A" w:rsidRPr="00325C9B" w:rsidRDefault="003E5B15" w:rsidP="00325C9B">
      <w:pPr>
        <w:spacing w:line="360" w:lineRule="auto"/>
        <w:jc w:val="both"/>
        <w:rPr>
          <w:rFonts w:ascii="Arial" w:hAnsi="Arial" w:cs="Arial"/>
          <w:sz w:val="22"/>
          <w:szCs w:val="22"/>
        </w:rPr>
      </w:pPr>
      <w:r w:rsidRPr="00325C9B">
        <w:rPr>
          <w:rFonts w:ascii="Arial" w:hAnsi="Arial" w:cs="Arial"/>
          <w:sz w:val="22"/>
          <w:szCs w:val="22"/>
        </w:rPr>
        <w:t xml:space="preserve"> </w:t>
      </w:r>
      <w:r w:rsidR="00455023">
        <w:rPr>
          <w:rFonts w:ascii="Arial" w:hAnsi="Arial" w:cs="Arial"/>
          <w:sz w:val="22"/>
          <w:szCs w:val="22"/>
        </w:rPr>
        <w:t>P</w:t>
      </w:r>
      <w:r w:rsidRPr="00325C9B">
        <w:rPr>
          <w:rFonts w:ascii="Arial" w:hAnsi="Arial" w:cs="Arial"/>
          <w:sz w:val="22"/>
          <w:szCs w:val="22"/>
        </w:rPr>
        <w:t>erson-centred care and partnership working are essential for safe and effective healthcare. This report has shown how theories, ethical principles and legislation support individualised care for an older patient recovering from a hip fracture. Although challenges such as limited resources and communication barriers exist, effective collaboration can improve outcomes, independence and dignity. Recommendations focusing on communication, training and patient involvement highlight the importance of maintaining person-centred, coordinated care.</w:t>
      </w:r>
    </w:p>
    <w:p w14:paraId="23818089" w14:textId="77777777" w:rsidR="0058289A" w:rsidRPr="00325C9B" w:rsidRDefault="0058289A" w:rsidP="00325C9B">
      <w:pPr>
        <w:spacing w:line="360" w:lineRule="auto"/>
        <w:jc w:val="both"/>
        <w:rPr>
          <w:rFonts w:ascii="Arial" w:hAnsi="Arial" w:cs="Arial"/>
          <w:b/>
          <w:bCs/>
          <w:sz w:val="22"/>
          <w:szCs w:val="22"/>
        </w:rPr>
      </w:pPr>
    </w:p>
    <w:p w14:paraId="62E14AD1" w14:textId="77777777" w:rsidR="0058289A" w:rsidRDefault="0058289A" w:rsidP="00574B67">
      <w:pPr>
        <w:spacing w:line="360" w:lineRule="auto"/>
        <w:jc w:val="both"/>
        <w:rPr>
          <w:rFonts w:ascii="Arial" w:hAnsi="Arial" w:cs="Arial"/>
          <w:b/>
          <w:bCs/>
          <w:sz w:val="22"/>
          <w:szCs w:val="22"/>
        </w:rPr>
      </w:pPr>
    </w:p>
    <w:p w14:paraId="3A66CCF7" w14:textId="77777777" w:rsidR="0058289A" w:rsidRDefault="0058289A" w:rsidP="00574B67">
      <w:pPr>
        <w:spacing w:line="360" w:lineRule="auto"/>
        <w:jc w:val="both"/>
        <w:rPr>
          <w:rFonts w:ascii="Arial" w:hAnsi="Arial" w:cs="Arial"/>
          <w:b/>
          <w:bCs/>
          <w:sz w:val="22"/>
          <w:szCs w:val="22"/>
        </w:rPr>
      </w:pPr>
    </w:p>
    <w:p w14:paraId="52E50FCD" w14:textId="77777777" w:rsidR="0058289A" w:rsidRDefault="0058289A" w:rsidP="00574B67">
      <w:pPr>
        <w:spacing w:line="360" w:lineRule="auto"/>
        <w:jc w:val="both"/>
        <w:rPr>
          <w:rFonts w:ascii="Arial" w:hAnsi="Arial" w:cs="Arial"/>
          <w:b/>
          <w:bCs/>
          <w:sz w:val="22"/>
          <w:szCs w:val="22"/>
        </w:rPr>
      </w:pPr>
    </w:p>
    <w:p w14:paraId="562E0C98" w14:textId="77777777" w:rsidR="0058289A" w:rsidRDefault="0058289A" w:rsidP="00574B67">
      <w:pPr>
        <w:spacing w:line="360" w:lineRule="auto"/>
        <w:jc w:val="both"/>
        <w:rPr>
          <w:rFonts w:ascii="Arial" w:hAnsi="Arial" w:cs="Arial"/>
          <w:b/>
          <w:bCs/>
          <w:sz w:val="22"/>
          <w:szCs w:val="22"/>
        </w:rPr>
      </w:pPr>
    </w:p>
    <w:p w14:paraId="60EAB150" w14:textId="77777777" w:rsidR="006E2D3A" w:rsidRDefault="006E2D3A" w:rsidP="00574B67">
      <w:pPr>
        <w:spacing w:line="360" w:lineRule="auto"/>
        <w:jc w:val="both"/>
        <w:rPr>
          <w:rFonts w:ascii="Arial" w:hAnsi="Arial" w:cs="Arial"/>
          <w:b/>
          <w:bCs/>
          <w:sz w:val="22"/>
          <w:szCs w:val="22"/>
        </w:rPr>
      </w:pPr>
    </w:p>
    <w:p w14:paraId="7A468CB0" w14:textId="77777777" w:rsidR="007C0E9A" w:rsidRDefault="007C0E9A" w:rsidP="00574B67">
      <w:pPr>
        <w:spacing w:line="360" w:lineRule="auto"/>
        <w:jc w:val="both"/>
        <w:rPr>
          <w:rFonts w:ascii="Arial" w:hAnsi="Arial" w:cs="Arial"/>
          <w:b/>
          <w:bCs/>
          <w:sz w:val="22"/>
          <w:szCs w:val="22"/>
        </w:rPr>
      </w:pPr>
    </w:p>
    <w:p w14:paraId="3581A796" w14:textId="77777777" w:rsidR="00F416A5" w:rsidRDefault="00F416A5" w:rsidP="00574B67">
      <w:pPr>
        <w:spacing w:line="360" w:lineRule="auto"/>
        <w:jc w:val="both"/>
        <w:rPr>
          <w:rFonts w:ascii="Arial" w:hAnsi="Arial" w:cs="Arial"/>
          <w:b/>
          <w:bCs/>
          <w:sz w:val="22"/>
          <w:szCs w:val="22"/>
        </w:rPr>
      </w:pPr>
    </w:p>
    <w:p w14:paraId="083C400A" w14:textId="77777777" w:rsidR="00F416A5" w:rsidRDefault="00F416A5" w:rsidP="00574B67">
      <w:pPr>
        <w:spacing w:line="360" w:lineRule="auto"/>
        <w:jc w:val="both"/>
        <w:rPr>
          <w:rFonts w:ascii="Arial" w:hAnsi="Arial" w:cs="Arial"/>
          <w:b/>
          <w:bCs/>
          <w:sz w:val="22"/>
          <w:szCs w:val="22"/>
        </w:rPr>
      </w:pPr>
    </w:p>
    <w:p w14:paraId="053D2E7F" w14:textId="4168B338" w:rsidR="00022D42" w:rsidRDefault="00022D42" w:rsidP="0041260B">
      <w:pPr>
        <w:pStyle w:val="Heading1"/>
        <w:rPr>
          <w:rFonts w:ascii="Arial" w:hAnsi="Arial" w:cs="Arial"/>
          <w:sz w:val="22"/>
          <w:szCs w:val="22"/>
        </w:rPr>
      </w:pPr>
      <w:bookmarkStart w:id="15" w:name="_Toc235796792"/>
      <w:r w:rsidRPr="008425F6">
        <w:rPr>
          <w:rFonts w:ascii="Arial" w:hAnsi="Arial" w:cs="Arial"/>
          <w:sz w:val="22"/>
          <w:szCs w:val="22"/>
        </w:rPr>
        <w:lastRenderedPageBreak/>
        <w:t>References</w:t>
      </w:r>
      <w:bookmarkEnd w:id="15"/>
    </w:p>
    <w:p w14:paraId="25159925" w14:textId="77777777" w:rsidR="008425F6" w:rsidRPr="008425F6" w:rsidRDefault="008425F6" w:rsidP="008425F6"/>
    <w:p w14:paraId="061289CF"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Carducci, B.J. (2020) </w:t>
      </w:r>
      <w:r w:rsidRPr="00D479DE">
        <w:rPr>
          <w:rFonts w:ascii="Arial" w:hAnsi="Arial" w:cs="Arial"/>
          <w:i/>
          <w:iCs/>
          <w:sz w:val="22"/>
          <w:szCs w:val="22"/>
        </w:rPr>
        <w:t>Maslow’s Hierarchy of Needs</w:t>
      </w:r>
      <w:r w:rsidRPr="00D479DE">
        <w:rPr>
          <w:rFonts w:ascii="Arial" w:hAnsi="Arial" w:cs="Arial"/>
          <w:sz w:val="22"/>
          <w:szCs w:val="22"/>
        </w:rPr>
        <w:t xml:space="preserve">. In: Carducci, B.J. and Nave, C.S. (eds.) </w:t>
      </w:r>
      <w:r w:rsidRPr="00D479DE">
        <w:rPr>
          <w:rFonts w:ascii="Arial" w:hAnsi="Arial" w:cs="Arial"/>
          <w:i/>
          <w:iCs/>
          <w:sz w:val="22"/>
          <w:szCs w:val="22"/>
        </w:rPr>
        <w:t xml:space="preserve">The Wiley </w:t>
      </w:r>
      <w:proofErr w:type="spellStart"/>
      <w:r w:rsidRPr="00D479DE">
        <w:rPr>
          <w:rFonts w:ascii="Arial" w:hAnsi="Arial" w:cs="Arial"/>
          <w:i/>
          <w:iCs/>
          <w:sz w:val="22"/>
          <w:szCs w:val="22"/>
        </w:rPr>
        <w:t>Encyclopedia</w:t>
      </w:r>
      <w:proofErr w:type="spellEnd"/>
      <w:r w:rsidRPr="00D479DE">
        <w:rPr>
          <w:rFonts w:ascii="Arial" w:hAnsi="Arial" w:cs="Arial"/>
          <w:i/>
          <w:iCs/>
          <w:sz w:val="22"/>
          <w:szCs w:val="22"/>
        </w:rPr>
        <w:t xml:space="preserve"> of Personality and Individual Differences: Clinical, Applied, and Cross-Cultural Research</w:t>
      </w:r>
      <w:r w:rsidRPr="00D479DE">
        <w:rPr>
          <w:rFonts w:ascii="Arial" w:hAnsi="Arial" w:cs="Arial"/>
          <w:sz w:val="22"/>
          <w:szCs w:val="22"/>
        </w:rPr>
        <w:t xml:space="preserve">. Available at: </w:t>
      </w:r>
      <w:hyperlink r:id="rId6" w:tgtFrame="_new" w:history="1">
        <w:r w:rsidRPr="00D479DE">
          <w:rPr>
            <w:rStyle w:val="Hyperlink"/>
            <w:rFonts w:ascii="Arial" w:hAnsi="Arial" w:cs="Arial"/>
            <w:sz w:val="22"/>
            <w:szCs w:val="22"/>
          </w:rPr>
          <w:t>https://doi.org/10.1002/9781118970843.ch45</w:t>
        </w:r>
      </w:hyperlink>
      <w:r w:rsidRPr="00D479DE">
        <w:rPr>
          <w:rFonts w:ascii="Arial" w:hAnsi="Arial" w:cs="Arial"/>
          <w:sz w:val="22"/>
          <w:szCs w:val="22"/>
        </w:rPr>
        <w:t xml:space="preserve"> (Accessed: 23 July 2026).</w:t>
      </w:r>
    </w:p>
    <w:p w14:paraId="103D7E81"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Cooper, A. and Bruin, C. (2017) ‘Adult safeguarding and the Care Act (2014) – the impacts on partnerships and practice’, </w:t>
      </w:r>
      <w:r w:rsidRPr="00D479DE">
        <w:rPr>
          <w:rFonts w:ascii="Arial" w:hAnsi="Arial" w:cs="Arial"/>
          <w:i/>
          <w:iCs/>
          <w:sz w:val="22"/>
          <w:szCs w:val="22"/>
        </w:rPr>
        <w:t>The Journal of Adult Protection</w:t>
      </w:r>
      <w:r w:rsidRPr="00D479DE">
        <w:rPr>
          <w:rFonts w:ascii="Arial" w:hAnsi="Arial" w:cs="Arial"/>
          <w:sz w:val="22"/>
          <w:szCs w:val="22"/>
        </w:rPr>
        <w:t>, 19(4), pp. 209–219. Available at: https://doi.org/10.1108/JAP-03-2017-0009 (Accessed: 8 July 2026).</w:t>
      </w:r>
    </w:p>
    <w:p w14:paraId="222AC619"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Coulter, A. and Oldham, J. (2016) ‘Person-centred care: what is it and how do we get there?’, </w:t>
      </w:r>
      <w:r w:rsidRPr="00D479DE">
        <w:rPr>
          <w:rFonts w:ascii="Arial" w:hAnsi="Arial" w:cs="Arial"/>
          <w:i/>
          <w:iCs/>
          <w:sz w:val="22"/>
          <w:szCs w:val="22"/>
        </w:rPr>
        <w:t>Future Hospital Journal</w:t>
      </w:r>
      <w:r w:rsidRPr="00D479DE">
        <w:rPr>
          <w:rFonts w:ascii="Arial" w:hAnsi="Arial" w:cs="Arial"/>
          <w:sz w:val="22"/>
          <w:szCs w:val="22"/>
        </w:rPr>
        <w:t xml:space="preserve">, 3(2), pp. 114–116. Available at: </w:t>
      </w:r>
      <w:hyperlink r:id="rId7" w:tgtFrame="_new" w:history="1">
        <w:r w:rsidRPr="00D479DE">
          <w:rPr>
            <w:rStyle w:val="Hyperlink"/>
            <w:rFonts w:ascii="Arial" w:hAnsi="Arial" w:cs="Arial"/>
            <w:sz w:val="22"/>
            <w:szCs w:val="22"/>
          </w:rPr>
          <w:t>https://pmc.ncbi.nlm.nih.gov/articles/PMC6465833/</w:t>
        </w:r>
      </w:hyperlink>
      <w:r w:rsidRPr="00D479DE">
        <w:rPr>
          <w:rFonts w:ascii="Arial" w:hAnsi="Arial" w:cs="Arial"/>
          <w:sz w:val="22"/>
          <w:szCs w:val="22"/>
        </w:rPr>
        <w:t xml:space="preserve"> (Accessed: 9 July 2026).</w:t>
      </w:r>
    </w:p>
    <w:p w14:paraId="5DFE7F80"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Department for Constitutional Affairs (2005) </w:t>
      </w:r>
      <w:r w:rsidRPr="00D479DE">
        <w:rPr>
          <w:rFonts w:ascii="Arial" w:hAnsi="Arial" w:cs="Arial"/>
          <w:i/>
          <w:iCs/>
          <w:sz w:val="22"/>
          <w:szCs w:val="22"/>
        </w:rPr>
        <w:t>Mental Capacity Act 2005</w:t>
      </w:r>
      <w:r w:rsidRPr="00D479DE">
        <w:rPr>
          <w:rFonts w:ascii="Arial" w:hAnsi="Arial" w:cs="Arial"/>
          <w:sz w:val="22"/>
          <w:szCs w:val="22"/>
        </w:rPr>
        <w:t xml:space="preserve">. Available at: </w:t>
      </w:r>
      <w:hyperlink r:id="rId8" w:tgtFrame="_new" w:history="1">
        <w:r w:rsidRPr="00D479DE">
          <w:rPr>
            <w:rStyle w:val="Hyperlink"/>
            <w:rFonts w:ascii="Arial" w:hAnsi="Arial" w:cs="Arial"/>
            <w:sz w:val="22"/>
            <w:szCs w:val="22"/>
          </w:rPr>
          <w:t>https://www.legislation.gov.uk/ukpga/2005/9/section/2</w:t>
        </w:r>
      </w:hyperlink>
      <w:r w:rsidRPr="00D479DE">
        <w:rPr>
          <w:rFonts w:ascii="Arial" w:hAnsi="Arial" w:cs="Arial"/>
          <w:sz w:val="22"/>
          <w:szCs w:val="22"/>
        </w:rPr>
        <w:t xml:space="preserve"> (Accessed: 15 July 2026).</w:t>
      </w:r>
    </w:p>
    <w:p w14:paraId="076E4A37"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Goodwin, N. (2016) ‘Understanding integrated care’, </w:t>
      </w:r>
      <w:r w:rsidRPr="00D479DE">
        <w:rPr>
          <w:rFonts w:ascii="Arial" w:hAnsi="Arial" w:cs="Arial"/>
          <w:i/>
          <w:iCs/>
          <w:sz w:val="22"/>
          <w:szCs w:val="22"/>
        </w:rPr>
        <w:t>International Journal of Integrated Care</w:t>
      </w:r>
      <w:r w:rsidRPr="00D479DE">
        <w:rPr>
          <w:rFonts w:ascii="Arial" w:hAnsi="Arial" w:cs="Arial"/>
          <w:sz w:val="22"/>
          <w:szCs w:val="22"/>
        </w:rPr>
        <w:t xml:space="preserve">, 16(4), pp. 1–4. Available at: </w:t>
      </w:r>
      <w:hyperlink r:id="rId9" w:tgtFrame="_new" w:history="1">
        <w:r w:rsidRPr="00D479DE">
          <w:rPr>
            <w:rStyle w:val="Hyperlink"/>
            <w:rFonts w:ascii="Arial" w:hAnsi="Arial" w:cs="Arial"/>
            <w:sz w:val="22"/>
            <w:szCs w:val="22"/>
          </w:rPr>
          <w:t>https://doi.org/10.5334/ijic.2530</w:t>
        </w:r>
      </w:hyperlink>
      <w:r w:rsidRPr="00D479DE">
        <w:rPr>
          <w:rFonts w:ascii="Arial" w:hAnsi="Arial" w:cs="Arial"/>
          <w:sz w:val="22"/>
          <w:szCs w:val="22"/>
        </w:rPr>
        <w:t xml:space="preserve"> (Accessed: 15 July 2026).</w:t>
      </w:r>
    </w:p>
    <w:p w14:paraId="2D21C4FF"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GOV.UK (2013) </w:t>
      </w:r>
      <w:r w:rsidRPr="00D479DE">
        <w:rPr>
          <w:rFonts w:ascii="Arial" w:hAnsi="Arial" w:cs="Arial"/>
          <w:i/>
          <w:iCs/>
          <w:sz w:val="22"/>
          <w:szCs w:val="22"/>
        </w:rPr>
        <w:t>Equality Act 2010</w:t>
      </w:r>
      <w:r w:rsidRPr="00D479DE">
        <w:rPr>
          <w:rFonts w:ascii="Arial" w:hAnsi="Arial" w:cs="Arial"/>
          <w:sz w:val="22"/>
          <w:szCs w:val="22"/>
        </w:rPr>
        <w:t xml:space="preserve">. Available at: </w:t>
      </w:r>
      <w:hyperlink r:id="rId10" w:tgtFrame="_new" w:history="1">
        <w:r w:rsidRPr="00D479DE">
          <w:rPr>
            <w:rStyle w:val="Hyperlink"/>
            <w:rFonts w:ascii="Arial" w:hAnsi="Arial" w:cs="Arial"/>
            <w:sz w:val="22"/>
            <w:szCs w:val="22"/>
          </w:rPr>
          <w:t>https://www.gov.uk/guidance/equality-act-2010-guidance</w:t>
        </w:r>
      </w:hyperlink>
      <w:r w:rsidRPr="00D479DE">
        <w:rPr>
          <w:rFonts w:ascii="Arial" w:hAnsi="Arial" w:cs="Arial"/>
          <w:sz w:val="22"/>
          <w:szCs w:val="22"/>
        </w:rPr>
        <w:t xml:space="preserve"> (Accessed: 16 July 2026).</w:t>
      </w:r>
    </w:p>
    <w:p w14:paraId="038F3A24"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Health Education England (2017) </w:t>
      </w:r>
      <w:r w:rsidRPr="00D479DE">
        <w:rPr>
          <w:rFonts w:ascii="Arial" w:hAnsi="Arial" w:cs="Arial"/>
          <w:i/>
          <w:iCs/>
          <w:sz w:val="22"/>
          <w:szCs w:val="22"/>
        </w:rPr>
        <w:t>Person-centred care</w:t>
      </w:r>
      <w:r w:rsidRPr="00D479DE">
        <w:rPr>
          <w:rFonts w:ascii="Arial" w:hAnsi="Arial" w:cs="Arial"/>
          <w:sz w:val="22"/>
          <w:szCs w:val="22"/>
        </w:rPr>
        <w:t xml:space="preserve">. Available at: </w:t>
      </w:r>
      <w:hyperlink r:id="rId11" w:tgtFrame="_new" w:history="1">
        <w:r w:rsidRPr="00D479DE">
          <w:rPr>
            <w:rStyle w:val="Hyperlink"/>
            <w:rFonts w:ascii="Arial" w:hAnsi="Arial" w:cs="Arial"/>
            <w:sz w:val="22"/>
            <w:szCs w:val="22"/>
          </w:rPr>
          <w:t>https://www.hee.nhs.uk/our-work/person-centred-care</w:t>
        </w:r>
      </w:hyperlink>
      <w:r w:rsidRPr="00D479DE">
        <w:rPr>
          <w:rFonts w:ascii="Arial" w:hAnsi="Arial" w:cs="Arial"/>
          <w:sz w:val="22"/>
          <w:szCs w:val="22"/>
        </w:rPr>
        <w:t xml:space="preserve"> (Accessed: 7 July 2026).</w:t>
      </w:r>
    </w:p>
    <w:p w14:paraId="28B61FD7" w14:textId="77777777" w:rsidR="00D479DE" w:rsidRDefault="00D479DE" w:rsidP="0027756D">
      <w:pPr>
        <w:spacing w:line="360" w:lineRule="auto"/>
        <w:rPr>
          <w:rFonts w:ascii="Arial" w:hAnsi="Arial" w:cs="Arial"/>
          <w:sz w:val="22"/>
          <w:szCs w:val="22"/>
        </w:rPr>
      </w:pPr>
      <w:r w:rsidRPr="00D479DE">
        <w:rPr>
          <w:rFonts w:ascii="Arial" w:hAnsi="Arial" w:cs="Arial"/>
          <w:sz w:val="22"/>
          <w:szCs w:val="22"/>
        </w:rPr>
        <w:t xml:space="preserve">The Health Foundation (2016) </w:t>
      </w:r>
      <w:r w:rsidRPr="00D479DE">
        <w:rPr>
          <w:rFonts w:ascii="Arial" w:hAnsi="Arial" w:cs="Arial"/>
          <w:i/>
          <w:iCs/>
          <w:sz w:val="22"/>
          <w:szCs w:val="22"/>
        </w:rPr>
        <w:t>Person-centred care made simple: What everyone should know about person-centred care</w:t>
      </w:r>
      <w:r w:rsidRPr="00D479DE">
        <w:rPr>
          <w:rFonts w:ascii="Arial" w:hAnsi="Arial" w:cs="Arial"/>
          <w:sz w:val="22"/>
          <w:szCs w:val="22"/>
        </w:rPr>
        <w:t xml:space="preserve">. Available at: </w:t>
      </w:r>
      <w:hyperlink r:id="rId12" w:tgtFrame="_new" w:history="1">
        <w:r w:rsidRPr="00D479DE">
          <w:rPr>
            <w:rStyle w:val="Hyperlink"/>
            <w:rFonts w:ascii="Arial" w:hAnsi="Arial" w:cs="Arial"/>
            <w:sz w:val="22"/>
            <w:szCs w:val="22"/>
          </w:rPr>
          <w:t>https://www.health.org.uk/sites/default/files/PersonCentredCareMadeSimple_0.pdf</w:t>
        </w:r>
      </w:hyperlink>
      <w:r w:rsidRPr="00D479DE">
        <w:rPr>
          <w:rFonts w:ascii="Arial" w:hAnsi="Arial" w:cs="Arial"/>
          <w:sz w:val="22"/>
          <w:szCs w:val="22"/>
        </w:rPr>
        <w:t xml:space="preserve"> (Accessed: 8 July 2026).</w:t>
      </w:r>
    </w:p>
    <w:p w14:paraId="5415C5D7" w14:textId="47A799FC" w:rsidR="00C8122B" w:rsidRPr="00D479DE" w:rsidRDefault="00C8122B" w:rsidP="0027756D">
      <w:pPr>
        <w:spacing w:line="360" w:lineRule="auto"/>
        <w:rPr>
          <w:rFonts w:ascii="Arial" w:hAnsi="Arial" w:cs="Arial"/>
          <w:sz w:val="22"/>
          <w:szCs w:val="22"/>
        </w:rPr>
      </w:pPr>
      <w:r w:rsidRPr="00C8122B">
        <w:rPr>
          <w:rFonts w:ascii="Arial" w:hAnsi="Arial" w:cs="Arial"/>
          <w:sz w:val="22"/>
          <w:szCs w:val="22"/>
        </w:rPr>
        <w:t xml:space="preserve">Hommel, A., Kihlgren, M., Brorsson, B. and Gustafsson, B.A. (2012) ‘The patient’s view of nursing care after hip fracture’, </w:t>
      </w:r>
      <w:r w:rsidRPr="00C8122B">
        <w:rPr>
          <w:rFonts w:ascii="Arial" w:hAnsi="Arial" w:cs="Arial"/>
          <w:i/>
          <w:iCs/>
          <w:sz w:val="22"/>
          <w:szCs w:val="22"/>
        </w:rPr>
        <w:t>ISRN Nursing</w:t>
      </w:r>
      <w:r w:rsidRPr="00C8122B">
        <w:rPr>
          <w:rFonts w:ascii="Arial" w:hAnsi="Arial" w:cs="Arial"/>
          <w:sz w:val="22"/>
          <w:szCs w:val="22"/>
        </w:rPr>
        <w:t xml:space="preserve">. Available at: </w:t>
      </w:r>
      <w:hyperlink r:id="rId13" w:tgtFrame="_new" w:history="1">
        <w:r w:rsidRPr="00C8122B">
          <w:rPr>
            <w:rStyle w:val="Hyperlink"/>
            <w:rFonts w:ascii="Arial" w:hAnsi="Arial" w:cs="Arial"/>
            <w:sz w:val="22"/>
            <w:szCs w:val="22"/>
          </w:rPr>
          <w:t>https://www.researchgate.net/publication/229327243_The_Patient%27s_View_of_Nursing_Care_after_Hip_Fracture</w:t>
        </w:r>
      </w:hyperlink>
      <w:r w:rsidRPr="00C8122B">
        <w:rPr>
          <w:rFonts w:ascii="Arial" w:hAnsi="Arial" w:cs="Arial"/>
          <w:sz w:val="22"/>
          <w:szCs w:val="22"/>
        </w:rPr>
        <w:t xml:space="preserve"> (Accessed: 23 July 2026).</w:t>
      </w:r>
    </w:p>
    <w:p w14:paraId="6DF04DC0"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Maslow, A.H. (1943) ‘A theory of human motivation’, </w:t>
      </w:r>
      <w:r w:rsidRPr="00D479DE">
        <w:rPr>
          <w:rFonts w:ascii="Arial" w:hAnsi="Arial" w:cs="Arial"/>
          <w:i/>
          <w:iCs/>
          <w:sz w:val="22"/>
          <w:szCs w:val="22"/>
        </w:rPr>
        <w:t>Psychological Review</w:t>
      </w:r>
      <w:r w:rsidRPr="00D479DE">
        <w:rPr>
          <w:rFonts w:ascii="Arial" w:hAnsi="Arial" w:cs="Arial"/>
          <w:sz w:val="22"/>
          <w:szCs w:val="22"/>
        </w:rPr>
        <w:t xml:space="preserve">, 50(4), pp. 370–396. Available at: </w:t>
      </w:r>
      <w:hyperlink r:id="rId14" w:tgtFrame="_new" w:history="1">
        <w:r w:rsidRPr="00D479DE">
          <w:rPr>
            <w:rStyle w:val="Hyperlink"/>
            <w:rFonts w:ascii="Arial" w:hAnsi="Arial" w:cs="Arial"/>
            <w:sz w:val="22"/>
            <w:szCs w:val="22"/>
          </w:rPr>
          <w:t>https://doi.org/10.1037/h0054346</w:t>
        </w:r>
      </w:hyperlink>
      <w:r w:rsidRPr="00D479DE">
        <w:rPr>
          <w:rFonts w:ascii="Arial" w:hAnsi="Arial" w:cs="Arial"/>
          <w:sz w:val="22"/>
          <w:szCs w:val="22"/>
        </w:rPr>
        <w:t xml:space="preserve"> (Accessed: 14 July 2026).</w:t>
      </w:r>
    </w:p>
    <w:p w14:paraId="36E3A601"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lastRenderedPageBreak/>
        <w:t xml:space="preserve">McHale, J., Gallagher, A. and Mason, I. (2001) ‘The UK Human Rights Act 1998: implications for nurses’, </w:t>
      </w:r>
      <w:r w:rsidRPr="00D479DE">
        <w:rPr>
          <w:rFonts w:ascii="Arial" w:hAnsi="Arial" w:cs="Arial"/>
          <w:i/>
          <w:iCs/>
          <w:sz w:val="22"/>
          <w:szCs w:val="22"/>
        </w:rPr>
        <w:t>Nursing Ethics</w:t>
      </w:r>
      <w:r w:rsidRPr="00D479DE">
        <w:rPr>
          <w:rFonts w:ascii="Arial" w:hAnsi="Arial" w:cs="Arial"/>
          <w:sz w:val="22"/>
          <w:szCs w:val="22"/>
        </w:rPr>
        <w:t>, 8(3), pp. 223–233. Available at: https://doi.org/10.1177/096973300100800307 (Accessed: 15 July 2026).</w:t>
      </w:r>
    </w:p>
    <w:p w14:paraId="56643387"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Moore, L., Britten, N., Lydahl, D., </w:t>
      </w:r>
      <w:proofErr w:type="spellStart"/>
      <w:r w:rsidRPr="00D479DE">
        <w:rPr>
          <w:rFonts w:ascii="Arial" w:hAnsi="Arial" w:cs="Arial"/>
          <w:sz w:val="22"/>
          <w:szCs w:val="22"/>
        </w:rPr>
        <w:t>Naldemirci</w:t>
      </w:r>
      <w:proofErr w:type="spellEnd"/>
      <w:r w:rsidRPr="00D479DE">
        <w:rPr>
          <w:rFonts w:ascii="Arial" w:hAnsi="Arial" w:cs="Arial"/>
          <w:sz w:val="22"/>
          <w:szCs w:val="22"/>
        </w:rPr>
        <w:t xml:space="preserve">, Ö., Elam, M. and Wolf, A. (2017) ‘Barriers and facilitators to the implementation of person-centred care in different healthcare contexts’, </w:t>
      </w:r>
      <w:r w:rsidRPr="00D479DE">
        <w:rPr>
          <w:rFonts w:ascii="Arial" w:hAnsi="Arial" w:cs="Arial"/>
          <w:i/>
          <w:iCs/>
          <w:sz w:val="22"/>
          <w:szCs w:val="22"/>
        </w:rPr>
        <w:t>Scandinavian Journal of Caring Sciences</w:t>
      </w:r>
      <w:r w:rsidRPr="00D479DE">
        <w:rPr>
          <w:rFonts w:ascii="Arial" w:hAnsi="Arial" w:cs="Arial"/>
          <w:sz w:val="22"/>
          <w:szCs w:val="22"/>
        </w:rPr>
        <w:t xml:space="preserve">, 31(4), pp. 662–673. Available at: </w:t>
      </w:r>
      <w:hyperlink r:id="rId15" w:tgtFrame="_new" w:history="1">
        <w:r w:rsidRPr="00D479DE">
          <w:rPr>
            <w:rStyle w:val="Hyperlink"/>
            <w:rFonts w:ascii="Arial" w:hAnsi="Arial" w:cs="Arial"/>
            <w:sz w:val="22"/>
            <w:szCs w:val="22"/>
          </w:rPr>
          <w:t>https://doi.org/10.1111/scs.12376</w:t>
        </w:r>
      </w:hyperlink>
      <w:r w:rsidRPr="00D479DE">
        <w:rPr>
          <w:rFonts w:ascii="Arial" w:hAnsi="Arial" w:cs="Arial"/>
          <w:sz w:val="22"/>
          <w:szCs w:val="22"/>
        </w:rPr>
        <w:t xml:space="preserve"> (Accessed: 23 July 2026).</w:t>
      </w:r>
    </w:p>
    <w:p w14:paraId="5D19A09A"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National Institute for Health and Care Excellence (NICE) (2023) </w:t>
      </w:r>
      <w:r w:rsidRPr="00D479DE">
        <w:rPr>
          <w:rFonts w:ascii="Arial" w:hAnsi="Arial" w:cs="Arial"/>
          <w:i/>
          <w:iCs/>
          <w:sz w:val="22"/>
          <w:szCs w:val="22"/>
        </w:rPr>
        <w:t>Hip fracture: management (CG124)</w:t>
      </w:r>
      <w:r w:rsidRPr="00D479DE">
        <w:rPr>
          <w:rFonts w:ascii="Arial" w:hAnsi="Arial" w:cs="Arial"/>
          <w:sz w:val="22"/>
          <w:szCs w:val="22"/>
        </w:rPr>
        <w:t xml:space="preserve">. Available at: </w:t>
      </w:r>
      <w:hyperlink r:id="rId16" w:tgtFrame="_new" w:history="1">
        <w:r w:rsidRPr="00D479DE">
          <w:rPr>
            <w:rStyle w:val="Hyperlink"/>
            <w:rFonts w:ascii="Arial" w:hAnsi="Arial" w:cs="Arial"/>
            <w:sz w:val="22"/>
            <w:szCs w:val="22"/>
          </w:rPr>
          <w:t>https://www.nice.org.uk/guidance/cg124</w:t>
        </w:r>
      </w:hyperlink>
      <w:r w:rsidRPr="00D479DE">
        <w:rPr>
          <w:rFonts w:ascii="Arial" w:hAnsi="Arial" w:cs="Arial"/>
          <w:sz w:val="22"/>
          <w:szCs w:val="22"/>
        </w:rPr>
        <w:t xml:space="preserve"> (Accessed: 23 July 2026).</w:t>
      </w:r>
    </w:p>
    <w:p w14:paraId="3B3316A0"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NHS England (2022) </w:t>
      </w:r>
      <w:r w:rsidRPr="00D479DE">
        <w:rPr>
          <w:rFonts w:ascii="Arial" w:hAnsi="Arial" w:cs="Arial"/>
          <w:i/>
          <w:iCs/>
          <w:sz w:val="22"/>
          <w:szCs w:val="22"/>
        </w:rPr>
        <w:t>What are integrated care systems?</w:t>
      </w:r>
      <w:r w:rsidRPr="00D479DE">
        <w:rPr>
          <w:rFonts w:ascii="Arial" w:hAnsi="Arial" w:cs="Arial"/>
          <w:sz w:val="22"/>
          <w:szCs w:val="22"/>
        </w:rPr>
        <w:t xml:space="preserve"> Available at: </w:t>
      </w:r>
      <w:hyperlink r:id="rId17" w:tgtFrame="_new" w:history="1">
        <w:r w:rsidRPr="00D479DE">
          <w:rPr>
            <w:rStyle w:val="Hyperlink"/>
            <w:rFonts w:ascii="Arial" w:hAnsi="Arial" w:cs="Arial"/>
            <w:sz w:val="22"/>
            <w:szCs w:val="22"/>
          </w:rPr>
          <w:t>https://www.england.nhs.uk/integratedcare/what-is-integrated-care/</w:t>
        </w:r>
      </w:hyperlink>
      <w:r w:rsidRPr="00D479DE">
        <w:rPr>
          <w:rFonts w:ascii="Arial" w:hAnsi="Arial" w:cs="Arial"/>
          <w:sz w:val="22"/>
          <w:szCs w:val="22"/>
        </w:rPr>
        <w:t xml:space="preserve"> (Accessed: 7 July 2026).</w:t>
      </w:r>
    </w:p>
    <w:p w14:paraId="31F7DA6F"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Pow, J., Elliott, L., Raeside, R., </w:t>
      </w:r>
      <w:proofErr w:type="spellStart"/>
      <w:r w:rsidRPr="00D479DE">
        <w:rPr>
          <w:rFonts w:ascii="Arial" w:hAnsi="Arial" w:cs="Arial"/>
          <w:sz w:val="22"/>
          <w:szCs w:val="22"/>
        </w:rPr>
        <w:t>Themessl</w:t>
      </w:r>
      <w:proofErr w:type="spellEnd"/>
      <w:r w:rsidRPr="00D479DE">
        <w:rPr>
          <w:rFonts w:ascii="Arial" w:hAnsi="Arial" w:cs="Arial"/>
          <w:sz w:val="22"/>
          <w:szCs w:val="22"/>
        </w:rPr>
        <w:t xml:space="preserve">-Huber, M. and </w:t>
      </w:r>
      <w:proofErr w:type="spellStart"/>
      <w:r w:rsidRPr="00D479DE">
        <w:rPr>
          <w:rFonts w:ascii="Arial" w:hAnsi="Arial" w:cs="Arial"/>
          <w:sz w:val="22"/>
          <w:szCs w:val="22"/>
        </w:rPr>
        <w:t>Claveirole</w:t>
      </w:r>
      <w:proofErr w:type="spellEnd"/>
      <w:r w:rsidRPr="00D479DE">
        <w:rPr>
          <w:rFonts w:ascii="Arial" w:hAnsi="Arial" w:cs="Arial"/>
          <w:sz w:val="22"/>
          <w:szCs w:val="22"/>
        </w:rPr>
        <w:t xml:space="preserve">, A. (2013) ‘Partnership working and improved service delivery: views of staff providing sexual health services’, </w:t>
      </w:r>
      <w:r w:rsidRPr="00D479DE">
        <w:rPr>
          <w:rFonts w:ascii="Arial" w:hAnsi="Arial" w:cs="Arial"/>
          <w:i/>
          <w:iCs/>
          <w:sz w:val="22"/>
          <w:szCs w:val="22"/>
        </w:rPr>
        <w:t>Journal of Health Services Research &amp; Policy</w:t>
      </w:r>
      <w:r w:rsidRPr="00D479DE">
        <w:rPr>
          <w:rFonts w:ascii="Arial" w:hAnsi="Arial" w:cs="Arial"/>
          <w:sz w:val="22"/>
          <w:szCs w:val="22"/>
        </w:rPr>
        <w:t xml:space="preserve">, 18(3), pp. 132–137. Available at: </w:t>
      </w:r>
      <w:hyperlink r:id="rId18" w:tgtFrame="_new" w:history="1">
        <w:r w:rsidRPr="00D479DE">
          <w:rPr>
            <w:rStyle w:val="Hyperlink"/>
            <w:rFonts w:ascii="Arial" w:hAnsi="Arial" w:cs="Arial"/>
            <w:sz w:val="22"/>
            <w:szCs w:val="22"/>
          </w:rPr>
          <w:t>https://doi.org/10.1177/1355819612473584</w:t>
        </w:r>
      </w:hyperlink>
      <w:r w:rsidRPr="00D479DE">
        <w:rPr>
          <w:rFonts w:ascii="Arial" w:hAnsi="Arial" w:cs="Arial"/>
          <w:sz w:val="22"/>
          <w:szCs w:val="22"/>
        </w:rPr>
        <w:t xml:space="preserve"> (Accessed: 9 July 2026).</w:t>
      </w:r>
    </w:p>
    <w:p w14:paraId="0C8393CB"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Varkey, B. (2021) ‘Principles of clinical ethics and their application to practice’, </w:t>
      </w:r>
      <w:r w:rsidRPr="00D479DE">
        <w:rPr>
          <w:rFonts w:ascii="Arial" w:hAnsi="Arial" w:cs="Arial"/>
          <w:i/>
          <w:iCs/>
          <w:sz w:val="22"/>
          <w:szCs w:val="22"/>
        </w:rPr>
        <w:t>Medical Principles and Practice</w:t>
      </w:r>
      <w:r w:rsidRPr="00D479DE">
        <w:rPr>
          <w:rFonts w:ascii="Arial" w:hAnsi="Arial" w:cs="Arial"/>
          <w:sz w:val="22"/>
          <w:szCs w:val="22"/>
        </w:rPr>
        <w:t xml:space="preserve">, 30(1), pp. 17–28. Available at: </w:t>
      </w:r>
      <w:hyperlink r:id="rId19" w:tgtFrame="_new" w:history="1">
        <w:r w:rsidRPr="00D479DE">
          <w:rPr>
            <w:rStyle w:val="Hyperlink"/>
            <w:rFonts w:ascii="Arial" w:hAnsi="Arial" w:cs="Arial"/>
            <w:sz w:val="22"/>
            <w:szCs w:val="22"/>
          </w:rPr>
          <w:t>https://doi.org/10.1159/000509119</w:t>
        </w:r>
      </w:hyperlink>
      <w:r w:rsidRPr="00D479DE">
        <w:rPr>
          <w:rFonts w:ascii="Arial" w:hAnsi="Arial" w:cs="Arial"/>
          <w:sz w:val="22"/>
          <w:szCs w:val="22"/>
        </w:rPr>
        <w:t xml:space="preserve"> (Accessed: 16 July 2026).</w:t>
      </w:r>
    </w:p>
    <w:p w14:paraId="2EC98074" w14:textId="77777777" w:rsidR="00D479DE" w:rsidRPr="00D479DE" w:rsidRDefault="00D479DE" w:rsidP="0027756D">
      <w:pPr>
        <w:spacing w:line="360" w:lineRule="auto"/>
        <w:rPr>
          <w:rFonts w:ascii="Arial" w:hAnsi="Arial" w:cs="Arial"/>
          <w:sz w:val="22"/>
          <w:szCs w:val="22"/>
        </w:rPr>
      </w:pPr>
      <w:r w:rsidRPr="00D479DE">
        <w:rPr>
          <w:rFonts w:ascii="Arial" w:hAnsi="Arial" w:cs="Arial"/>
          <w:sz w:val="22"/>
          <w:szCs w:val="22"/>
        </w:rPr>
        <w:t xml:space="preserve">Yu, C., Xian, Y., Jing, T., Bai, M., Li, X., Li, J., Liang, H., Yu, G. and Zhang, Z. (2023) ‘More patient-centred care, better healthcare: the association between patient-centred care and healthcare outcomes in inpatients’, </w:t>
      </w:r>
      <w:r w:rsidRPr="00D479DE">
        <w:rPr>
          <w:rFonts w:ascii="Arial" w:hAnsi="Arial" w:cs="Arial"/>
          <w:i/>
          <w:iCs/>
          <w:sz w:val="22"/>
          <w:szCs w:val="22"/>
        </w:rPr>
        <w:t>Frontiers in Public Health</w:t>
      </w:r>
      <w:r w:rsidRPr="00D479DE">
        <w:rPr>
          <w:rFonts w:ascii="Arial" w:hAnsi="Arial" w:cs="Arial"/>
          <w:sz w:val="22"/>
          <w:szCs w:val="22"/>
        </w:rPr>
        <w:t xml:space="preserve">, 11, pp. 1–9. Available at: </w:t>
      </w:r>
      <w:hyperlink r:id="rId20" w:tgtFrame="_new" w:history="1">
        <w:r w:rsidRPr="00D479DE">
          <w:rPr>
            <w:rStyle w:val="Hyperlink"/>
            <w:rFonts w:ascii="Arial" w:hAnsi="Arial" w:cs="Arial"/>
            <w:sz w:val="22"/>
            <w:szCs w:val="22"/>
          </w:rPr>
          <w:t>https://doi.org/10.3389/fpubh.2023.1148277</w:t>
        </w:r>
      </w:hyperlink>
      <w:r w:rsidRPr="00D479DE">
        <w:rPr>
          <w:rFonts w:ascii="Arial" w:hAnsi="Arial" w:cs="Arial"/>
          <w:sz w:val="22"/>
          <w:szCs w:val="22"/>
        </w:rPr>
        <w:t xml:space="preserve"> (Accessed: 21 July 2026).</w:t>
      </w:r>
    </w:p>
    <w:p w14:paraId="3CFCEEB8" w14:textId="77777777" w:rsidR="00D479DE" w:rsidRPr="00D479DE" w:rsidRDefault="00D479DE" w:rsidP="0027756D">
      <w:pPr>
        <w:spacing w:line="360" w:lineRule="auto"/>
        <w:rPr>
          <w:rFonts w:ascii="Arial" w:hAnsi="Arial" w:cs="Arial"/>
          <w:sz w:val="22"/>
          <w:szCs w:val="22"/>
        </w:rPr>
      </w:pPr>
    </w:p>
    <w:p w14:paraId="01E1C438" w14:textId="77777777" w:rsidR="005C36D1" w:rsidRPr="00810D17" w:rsidRDefault="005C36D1" w:rsidP="0027756D">
      <w:pPr>
        <w:spacing w:line="360" w:lineRule="auto"/>
        <w:rPr>
          <w:rFonts w:ascii="Arial" w:hAnsi="Arial" w:cs="Arial"/>
          <w:sz w:val="22"/>
          <w:szCs w:val="22"/>
        </w:rPr>
      </w:pPr>
    </w:p>
    <w:sectPr w:rsidR="005C36D1" w:rsidRPr="00810D1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271CB" w14:textId="77777777" w:rsidR="005D1F64" w:rsidRDefault="005D1F64" w:rsidP="00EC4BB4">
      <w:pPr>
        <w:spacing w:after="0" w:line="240" w:lineRule="auto"/>
      </w:pPr>
      <w:r>
        <w:separator/>
      </w:r>
    </w:p>
  </w:endnote>
  <w:endnote w:type="continuationSeparator" w:id="0">
    <w:p w14:paraId="76FA6E37" w14:textId="77777777" w:rsidR="005D1F64" w:rsidRDefault="005D1F64" w:rsidP="00EC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7274910"/>
      <w:docPartObj>
        <w:docPartGallery w:val="Page Numbers (Bottom of Page)"/>
        <w:docPartUnique/>
      </w:docPartObj>
    </w:sdtPr>
    <w:sdtEndPr/>
    <w:sdtContent>
      <w:p w14:paraId="57D1E888" w14:textId="695815AD" w:rsidR="00975E36" w:rsidRDefault="00975E36">
        <w:pPr>
          <w:pStyle w:val="Footer"/>
          <w:jc w:val="right"/>
        </w:pPr>
        <w:r>
          <w:fldChar w:fldCharType="begin"/>
        </w:r>
        <w:r>
          <w:instrText>PAGE   \* MERGEFORMAT</w:instrText>
        </w:r>
        <w:r>
          <w:fldChar w:fldCharType="separate"/>
        </w:r>
        <w:r>
          <w:t>2</w:t>
        </w:r>
        <w:r>
          <w:fldChar w:fldCharType="end"/>
        </w:r>
      </w:p>
    </w:sdtContent>
  </w:sdt>
  <w:p w14:paraId="16D767D0" w14:textId="77777777" w:rsidR="00EC4BB4" w:rsidRDefault="00EC4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5869B" w14:textId="77777777" w:rsidR="005D1F64" w:rsidRDefault="005D1F64" w:rsidP="00EC4BB4">
      <w:pPr>
        <w:spacing w:after="0" w:line="240" w:lineRule="auto"/>
      </w:pPr>
      <w:r>
        <w:separator/>
      </w:r>
    </w:p>
  </w:footnote>
  <w:footnote w:type="continuationSeparator" w:id="0">
    <w:p w14:paraId="6E9C375C" w14:textId="77777777" w:rsidR="005D1F64" w:rsidRDefault="005D1F64" w:rsidP="00EC4B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3B4"/>
    <w:rsid w:val="00001AA4"/>
    <w:rsid w:val="00017B59"/>
    <w:rsid w:val="00021BE3"/>
    <w:rsid w:val="00022D42"/>
    <w:rsid w:val="00024680"/>
    <w:rsid w:val="00026D0C"/>
    <w:rsid w:val="000344A4"/>
    <w:rsid w:val="000427A2"/>
    <w:rsid w:val="00050ED2"/>
    <w:rsid w:val="000618E0"/>
    <w:rsid w:val="00065E61"/>
    <w:rsid w:val="0006719C"/>
    <w:rsid w:val="000769D1"/>
    <w:rsid w:val="00087A81"/>
    <w:rsid w:val="000A01BE"/>
    <w:rsid w:val="000A3900"/>
    <w:rsid w:val="000B48D7"/>
    <w:rsid w:val="000B58F0"/>
    <w:rsid w:val="000B6F6B"/>
    <w:rsid w:val="000C6F90"/>
    <w:rsid w:val="000D3A0B"/>
    <w:rsid w:val="000D4F34"/>
    <w:rsid w:val="000D5B81"/>
    <w:rsid w:val="000F0400"/>
    <w:rsid w:val="000F751F"/>
    <w:rsid w:val="001000A5"/>
    <w:rsid w:val="00102489"/>
    <w:rsid w:val="001054ED"/>
    <w:rsid w:val="001101ED"/>
    <w:rsid w:val="00110925"/>
    <w:rsid w:val="001216D0"/>
    <w:rsid w:val="00153EA4"/>
    <w:rsid w:val="00154967"/>
    <w:rsid w:val="00160FB5"/>
    <w:rsid w:val="0016779B"/>
    <w:rsid w:val="00172198"/>
    <w:rsid w:val="001732F6"/>
    <w:rsid w:val="001739A6"/>
    <w:rsid w:val="001A66CC"/>
    <w:rsid w:val="001C3BE1"/>
    <w:rsid w:val="001C62EB"/>
    <w:rsid w:val="001D2E11"/>
    <w:rsid w:val="001E2BDC"/>
    <w:rsid w:val="001E50D2"/>
    <w:rsid w:val="001E5DD3"/>
    <w:rsid w:val="00207EC3"/>
    <w:rsid w:val="00216AC3"/>
    <w:rsid w:val="00220C6F"/>
    <w:rsid w:val="00224E30"/>
    <w:rsid w:val="002264BD"/>
    <w:rsid w:val="002478E7"/>
    <w:rsid w:val="00254BBF"/>
    <w:rsid w:val="002568D4"/>
    <w:rsid w:val="00263088"/>
    <w:rsid w:val="002631FC"/>
    <w:rsid w:val="00263F36"/>
    <w:rsid w:val="002640D6"/>
    <w:rsid w:val="002768B7"/>
    <w:rsid w:val="0027756D"/>
    <w:rsid w:val="0028141F"/>
    <w:rsid w:val="002819DC"/>
    <w:rsid w:val="00281BEC"/>
    <w:rsid w:val="00293EE2"/>
    <w:rsid w:val="002A4855"/>
    <w:rsid w:val="002A6B09"/>
    <w:rsid w:val="002B04F6"/>
    <w:rsid w:val="002B0649"/>
    <w:rsid w:val="002B204B"/>
    <w:rsid w:val="002B40EF"/>
    <w:rsid w:val="002C45B1"/>
    <w:rsid w:val="002C6EB9"/>
    <w:rsid w:val="002C7AF9"/>
    <w:rsid w:val="002F5846"/>
    <w:rsid w:val="00305431"/>
    <w:rsid w:val="00310D84"/>
    <w:rsid w:val="00325B32"/>
    <w:rsid w:val="00325C9B"/>
    <w:rsid w:val="0033382F"/>
    <w:rsid w:val="00336DAE"/>
    <w:rsid w:val="003472E2"/>
    <w:rsid w:val="003507AF"/>
    <w:rsid w:val="003509EF"/>
    <w:rsid w:val="003541BB"/>
    <w:rsid w:val="003634CF"/>
    <w:rsid w:val="003749B3"/>
    <w:rsid w:val="00377667"/>
    <w:rsid w:val="00380BBA"/>
    <w:rsid w:val="00381800"/>
    <w:rsid w:val="00392851"/>
    <w:rsid w:val="003A19F6"/>
    <w:rsid w:val="003A3880"/>
    <w:rsid w:val="003B0134"/>
    <w:rsid w:val="003B4A9A"/>
    <w:rsid w:val="003D2BCB"/>
    <w:rsid w:val="003D354D"/>
    <w:rsid w:val="003D3AC3"/>
    <w:rsid w:val="003D5491"/>
    <w:rsid w:val="003E5B15"/>
    <w:rsid w:val="0041260B"/>
    <w:rsid w:val="00415849"/>
    <w:rsid w:val="00417084"/>
    <w:rsid w:val="004203A0"/>
    <w:rsid w:val="004273B4"/>
    <w:rsid w:val="004311BD"/>
    <w:rsid w:val="00434DD0"/>
    <w:rsid w:val="00443F3B"/>
    <w:rsid w:val="00445F13"/>
    <w:rsid w:val="00455023"/>
    <w:rsid w:val="00455F91"/>
    <w:rsid w:val="004674F3"/>
    <w:rsid w:val="0047727C"/>
    <w:rsid w:val="00480AD7"/>
    <w:rsid w:val="00482890"/>
    <w:rsid w:val="00490305"/>
    <w:rsid w:val="004933E4"/>
    <w:rsid w:val="004A7DCF"/>
    <w:rsid w:val="004B6EC7"/>
    <w:rsid w:val="004B77E6"/>
    <w:rsid w:val="004C2A28"/>
    <w:rsid w:val="004C52DE"/>
    <w:rsid w:val="004D79DA"/>
    <w:rsid w:val="004F21E8"/>
    <w:rsid w:val="004F434C"/>
    <w:rsid w:val="004F4532"/>
    <w:rsid w:val="005011E5"/>
    <w:rsid w:val="005026DE"/>
    <w:rsid w:val="00506BAB"/>
    <w:rsid w:val="0052047A"/>
    <w:rsid w:val="0052124E"/>
    <w:rsid w:val="00521969"/>
    <w:rsid w:val="00525C9A"/>
    <w:rsid w:val="005315F8"/>
    <w:rsid w:val="00532976"/>
    <w:rsid w:val="005353BD"/>
    <w:rsid w:val="0054524E"/>
    <w:rsid w:val="00570AAB"/>
    <w:rsid w:val="0057407C"/>
    <w:rsid w:val="00574B67"/>
    <w:rsid w:val="005759FB"/>
    <w:rsid w:val="00577CA3"/>
    <w:rsid w:val="00580DE0"/>
    <w:rsid w:val="0058289A"/>
    <w:rsid w:val="00590888"/>
    <w:rsid w:val="005A2559"/>
    <w:rsid w:val="005A4864"/>
    <w:rsid w:val="005A6E41"/>
    <w:rsid w:val="005C36D1"/>
    <w:rsid w:val="005C3B66"/>
    <w:rsid w:val="005C5F43"/>
    <w:rsid w:val="005D1F64"/>
    <w:rsid w:val="005D5247"/>
    <w:rsid w:val="005D52AE"/>
    <w:rsid w:val="005E317D"/>
    <w:rsid w:val="005E622E"/>
    <w:rsid w:val="005F57C3"/>
    <w:rsid w:val="00600ACB"/>
    <w:rsid w:val="006060BE"/>
    <w:rsid w:val="006116C5"/>
    <w:rsid w:val="0061654C"/>
    <w:rsid w:val="0062292C"/>
    <w:rsid w:val="00635358"/>
    <w:rsid w:val="006375A9"/>
    <w:rsid w:val="00644FF5"/>
    <w:rsid w:val="00662E1B"/>
    <w:rsid w:val="00663674"/>
    <w:rsid w:val="00667B36"/>
    <w:rsid w:val="0067187B"/>
    <w:rsid w:val="00681C16"/>
    <w:rsid w:val="00687AB5"/>
    <w:rsid w:val="006916F0"/>
    <w:rsid w:val="00693570"/>
    <w:rsid w:val="006947C9"/>
    <w:rsid w:val="006A4F05"/>
    <w:rsid w:val="006B2801"/>
    <w:rsid w:val="006E2D3A"/>
    <w:rsid w:val="006E427E"/>
    <w:rsid w:val="006F22EE"/>
    <w:rsid w:val="0070283B"/>
    <w:rsid w:val="00707356"/>
    <w:rsid w:val="007168E9"/>
    <w:rsid w:val="00720598"/>
    <w:rsid w:val="007223C0"/>
    <w:rsid w:val="00725C95"/>
    <w:rsid w:val="00735F1D"/>
    <w:rsid w:val="00735F26"/>
    <w:rsid w:val="00745E5D"/>
    <w:rsid w:val="00747ED2"/>
    <w:rsid w:val="00781118"/>
    <w:rsid w:val="0078234E"/>
    <w:rsid w:val="00783D21"/>
    <w:rsid w:val="0078464F"/>
    <w:rsid w:val="007868A6"/>
    <w:rsid w:val="007916D6"/>
    <w:rsid w:val="00794231"/>
    <w:rsid w:val="007B05D1"/>
    <w:rsid w:val="007B0939"/>
    <w:rsid w:val="007C0995"/>
    <w:rsid w:val="007C0E9A"/>
    <w:rsid w:val="007C5A82"/>
    <w:rsid w:val="007D068D"/>
    <w:rsid w:val="007D3732"/>
    <w:rsid w:val="007D408C"/>
    <w:rsid w:val="007D574B"/>
    <w:rsid w:val="00803A75"/>
    <w:rsid w:val="0080608B"/>
    <w:rsid w:val="00810D17"/>
    <w:rsid w:val="00811340"/>
    <w:rsid w:val="00812D7A"/>
    <w:rsid w:val="0081599D"/>
    <w:rsid w:val="008177DE"/>
    <w:rsid w:val="00823B08"/>
    <w:rsid w:val="00834830"/>
    <w:rsid w:val="008425F6"/>
    <w:rsid w:val="00844638"/>
    <w:rsid w:val="00845846"/>
    <w:rsid w:val="00847300"/>
    <w:rsid w:val="008523AE"/>
    <w:rsid w:val="008529B3"/>
    <w:rsid w:val="008678CE"/>
    <w:rsid w:val="00872CF6"/>
    <w:rsid w:val="00892A60"/>
    <w:rsid w:val="00894C4B"/>
    <w:rsid w:val="008A0F66"/>
    <w:rsid w:val="008A135B"/>
    <w:rsid w:val="008A1DB8"/>
    <w:rsid w:val="008A5A71"/>
    <w:rsid w:val="008A62CC"/>
    <w:rsid w:val="008E222B"/>
    <w:rsid w:val="008F23F9"/>
    <w:rsid w:val="008F3162"/>
    <w:rsid w:val="00900F18"/>
    <w:rsid w:val="009036D6"/>
    <w:rsid w:val="0090473B"/>
    <w:rsid w:val="0090641C"/>
    <w:rsid w:val="0090773F"/>
    <w:rsid w:val="00916F46"/>
    <w:rsid w:val="0092068E"/>
    <w:rsid w:val="00920C7F"/>
    <w:rsid w:val="00924983"/>
    <w:rsid w:val="00936AB8"/>
    <w:rsid w:val="00940787"/>
    <w:rsid w:val="00954725"/>
    <w:rsid w:val="00960DA7"/>
    <w:rsid w:val="009721D1"/>
    <w:rsid w:val="00975E36"/>
    <w:rsid w:val="0097740A"/>
    <w:rsid w:val="00987A57"/>
    <w:rsid w:val="00991730"/>
    <w:rsid w:val="009A223E"/>
    <w:rsid w:val="009B1B2E"/>
    <w:rsid w:val="009B6B9E"/>
    <w:rsid w:val="009C60FE"/>
    <w:rsid w:val="009D7D75"/>
    <w:rsid w:val="009E7B01"/>
    <w:rsid w:val="009F4389"/>
    <w:rsid w:val="00A04DA3"/>
    <w:rsid w:val="00A11C2E"/>
    <w:rsid w:val="00A17FDC"/>
    <w:rsid w:val="00A24B6D"/>
    <w:rsid w:val="00A253BF"/>
    <w:rsid w:val="00A322C0"/>
    <w:rsid w:val="00A47893"/>
    <w:rsid w:val="00A51840"/>
    <w:rsid w:val="00A61F2B"/>
    <w:rsid w:val="00A64E0D"/>
    <w:rsid w:val="00A66008"/>
    <w:rsid w:val="00A76B1F"/>
    <w:rsid w:val="00A77DF0"/>
    <w:rsid w:val="00A872EF"/>
    <w:rsid w:val="00A907CF"/>
    <w:rsid w:val="00A94276"/>
    <w:rsid w:val="00A97C11"/>
    <w:rsid w:val="00A97CA0"/>
    <w:rsid w:val="00AA25C5"/>
    <w:rsid w:val="00AA5DF6"/>
    <w:rsid w:val="00AB2ACC"/>
    <w:rsid w:val="00AB5655"/>
    <w:rsid w:val="00AB757C"/>
    <w:rsid w:val="00AC306F"/>
    <w:rsid w:val="00AD3EBC"/>
    <w:rsid w:val="00AD4B9D"/>
    <w:rsid w:val="00AE1391"/>
    <w:rsid w:val="00AE4BF0"/>
    <w:rsid w:val="00AE53C2"/>
    <w:rsid w:val="00AE7C1C"/>
    <w:rsid w:val="00AF078F"/>
    <w:rsid w:val="00B13CE1"/>
    <w:rsid w:val="00B22B00"/>
    <w:rsid w:val="00B25366"/>
    <w:rsid w:val="00B35511"/>
    <w:rsid w:val="00B445AC"/>
    <w:rsid w:val="00B50787"/>
    <w:rsid w:val="00B81BA3"/>
    <w:rsid w:val="00B84B75"/>
    <w:rsid w:val="00B84E32"/>
    <w:rsid w:val="00B86778"/>
    <w:rsid w:val="00B874C2"/>
    <w:rsid w:val="00BA1F6C"/>
    <w:rsid w:val="00BA5C5F"/>
    <w:rsid w:val="00BB063C"/>
    <w:rsid w:val="00BD44D7"/>
    <w:rsid w:val="00BD5F66"/>
    <w:rsid w:val="00BD686B"/>
    <w:rsid w:val="00BD7242"/>
    <w:rsid w:val="00BE3F65"/>
    <w:rsid w:val="00C00749"/>
    <w:rsid w:val="00C05C60"/>
    <w:rsid w:val="00C21AE7"/>
    <w:rsid w:val="00C21F51"/>
    <w:rsid w:val="00C27B89"/>
    <w:rsid w:val="00C43B1A"/>
    <w:rsid w:val="00C563BB"/>
    <w:rsid w:val="00C65089"/>
    <w:rsid w:val="00C70000"/>
    <w:rsid w:val="00C75E36"/>
    <w:rsid w:val="00C76459"/>
    <w:rsid w:val="00C808B4"/>
    <w:rsid w:val="00C8122B"/>
    <w:rsid w:val="00C81B13"/>
    <w:rsid w:val="00C90DB8"/>
    <w:rsid w:val="00C9105E"/>
    <w:rsid w:val="00CB1EE9"/>
    <w:rsid w:val="00CC7270"/>
    <w:rsid w:val="00CC7FB1"/>
    <w:rsid w:val="00CD2AC6"/>
    <w:rsid w:val="00CD7F6A"/>
    <w:rsid w:val="00CE0101"/>
    <w:rsid w:val="00CF0252"/>
    <w:rsid w:val="00CF41C1"/>
    <w:rsid w:val="00CF52EE"/>
    <w:rsid w:val="00D00BF7"/>
    <w:rsid w:val="00D16A1C"/>
    <w:rsid w:val="00D2153C"/>
    <w:rsid w:val="00D340A4"/>
    <w:rsid w:val="00D3610C"/>
    <w:rsid w:val="00D3749C"/>
    <w:rsid w:val="00D4005E"/>
    <w:rsid w:val="00D479DE"/>
    <w:rsid w:val="00D52B9D"/>
    <w:rsid w:val="00D6350F"/>
    <w:rsid w:val="00D64F98"/>
    <w:rsid w:val="00D67F8A"/>
    <w:rsid w:val="00D91579"/>
    <w:rsid w:val="00D969A6"/>
    <w:rsid w:val="00D977A9"/>
    <w:rsid w:val="00DA6847"/>
    <w:rsid w:val="00DA753A"/>
    <w:rsid w:val="00DD215B"/>
    <w:rsid w:val="00DD6094"/>
    <w:rsid w:val="00DD6BA0"/>
    <w:rsid w:val="00DE5D71"/>
    <w:rsid w:val="00DF26A3"/>
    <w:rsid w:val="00E17260"/>
    <w:rsid w:val="00E243F4"/>
    <w:rsid w:val="00E31C80"/>
    <w:rsid w:val="00E447DA"/>
    <w:rsid w:val="00E477F7"/>
    <w:rsid w:val="00E61927"/>
    <w:rsid w:val="00E67123"/>
    <w:rsid w:val="00E77D4E"/>
    <w:rsid w:val="00E80444"/>
    <w:rsid w:val="00E80CED"/>
    <w:rsid w:val="00E81336"/>
    <w:rsid w:val="00E85A27"/>
    <w:rsid w:val="00E87358"/>
    <w:rsid w:val="00EA17E0"/>
    <w:rsid w:val="00EB1D4C"/>
    <w:rsid w:val="00EB2D4E"/>
    <w:rsid w:val="00EB3A79"/>
    <w:rsid w:val="00EB42FC"/>
    <w:rsid w:val="00EC4BB4"/>
    <w:rsid w:val="00EC4F93"/>
    <w:rsid w:val="00ED08F3"/>
    <w:rsid w:val="00EE18CA"/>
    <w:rsid w:val="00EF4A87"/>
    <w:rsid w:val="00F007B7"/>
    <w:rsid w:val="00F02D34"/>
    <w:rsid w:val="00F03DD2"/>
    <w:rsid w:val="00F21F4A"/>
    <w:rsid w:val="00F416A5"/>
    <w:rsid w:val="00F5058D"/>
    <w:rsid w:val="00F51AA2"/>
    <w:rsid w:val="00F51D52"/>
    <w:rsid w:val="00F5327F"/>
    <w:rsid w:val="00F61C85"/>
    <w:rsid w:val="00F67003"/>
    <w:rsid w:val="00F73772"/>
    <w:rsid w:val="00F756FF"/>
    <w:rsid w:val="00F75D1D"/>
    <w:rsid w:val="00F84F64"/>
    <w:rsid w:val="00F867E6"/>
    <w:rsid w:val="00F93997"/>
    <w:rsid w:val="00F94CD7"/>
    <w:rsid w:val="00FB55B6"/>
    <w:rsid w:val="00FB7DCF"/>
    <w:rsid w:val="00FC0D58"/>
    <w:rsid w:val="00FD47AE"/>
    <w:rsid w:val="00FE1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EB0B1"/>
  <w15:chartTrackingRefBased/>
  <w15:docId w15:val="{1A6E0AA1-3D9F-414A-AB19-4FFC556FA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3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3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3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3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3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3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3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3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3B4"/>
    <w:rPr>
      <w:rFonts w:eastAsiaTheme="majorEastAsia" w:cstheme="majorBidi"/>
      <w:color w:val="272727" w:themeColor="text1" w:themeTint="D8"/>
    </w:rPr>
  </w:style>
  <w:style w:type="paragraph" w:styleId="Title">
    <w:name w:val="Title"/>
    <w:basedOn w:val="Normal"/>
    <w:next w:val="Normal"/>
    <w:link w:val="TitleChar"/>
    <w:uiPriority w:val="10"/>
    <w:qFormat/>
    <w:rsid w:val="00427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3B4"/>
    <w:pPr>
      <w:spacing w:before="160"/>
      <w:jc w:val="center"/>
    </w:pPr>
    <w:rPr>
      <w:i/>
      <w:iCs/>
      <w:color w:val="404040" w:themeColor="text1" w:themeTint="BF"/>
    </w:rPr>
  </w:style>
  <w:style w:type="character" w:customStyle="1" w:styleId="QuoteChar">
    <w:name w:val="Quote Char"/>
    <w:basedOn w:val="DefaultParagraphFont"/>
    <w:link w:val="Quote"/>
    <w:uiPriority w:val="29"/>
    <w:rsid w:val="004273B4"/>
    <w:rPr>
      <w:i/>
      <w:iCs/>
      <w:color w:val="404040" w:themeColor="text1" w:themeTint="BF"/>
    </w:rPr>
  </w:style>
  <w:style w:type="paragraph" w:styleId="ListParagraph">
    <w:name w:val="List Paragraph"/>
    <w:basedOn w:val="Normal"/>
    <w:uiPriority w:val="34"/>
    <w:qFormat/>
    <w:rsid w:val="004273B4"/>
    <w:pPr>
      <w:ind w:left="720"/>
      <w:contextualSpacing/>
    </w:pPr>
  </w:style>
  <w:style w:type="character" w:styleId="IntenseEmphasis">
    <w:name w:val="Intense Emphasis"/>
    <w:basedOn w:val="DefaultParagraphFont"/>
    <w:uiPriority w:val="21"/>
    <w:qFormat/>
    <w:rsid w:val="004273B4"/>
    <w:rPr>
      <w:i/>
      <w:iCs/>
      <w:color w:val="0F4761" w:themeColor="accent1" w:themeShade="BF"/>
    </w:rPr>
  </w:style>
  <w:style w:type="paragraph" w:styleId="IntenseQuote">
    <w:name w:val="Intense Quote"/>
    <w:basedOn w:val="Normal"/>
    <w:next w:val="Normal"/>
    <w:link w:val="IntenseQuoteChar"/>
    <w:uiPriority w:val="30"/>
    <w:qFormat/>
    <w:rsid w:val="00427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3B4"/>
    <w:rPr>
      <w:i/>
      <w:iCs/>
      <w:color w:val="0F4761" w:themeColor="accent1" w:themeShade="BF"/>
    </w:rPr>
  </w:style>
  <w:style w:type="character" w:styleId="IntenseReference">
    <w:name w:val="Intense Reference"/>
    <w:basedOn w:val="DefaultParagraphFont"/>
    <w:uiPriority w:val="32"/>
    <w:qFormat/>
    <w:rsid w:val="004273B4"/>
    <w:rPr>
      <w:b/>
      <w:bCs/>
      <w:smallCaps/>
      <w:color w:val="0F4761" w:themeColor="accent1" w:themeShade="BF"/>
      <w:spacing w:val="5"/>
    </w:rPr>
  </w:style>
  <w:style w:type="paragraph" w:styleId="Header">
    <w:name w:val="header"/>
    <w:basedOn w:val="Normal"/>
    <w:link w:val="HeaderChar"/>
    <w:uiPriority w:val="99"/>
    <w:unhideWhenUsed/>
    <w:rsid w:val="00EC4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BB4"/>
  </w:style>
  <w:style w:type="paragraph" w:styleId="Footer">
    <w:name w:val="footer"/>
    <w:basedOn w:val="Normal"/>
    <w:link w:val="FooterChar"/>
    <w:uiPriority w:val="99"/>
    <w:unhideWhenUsed/>
    <w:rsid w:val="00EC4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BB4"/>
  </w:style>
  <w:style w:type="character" w:styleId="Hyperlink">
    <w:name w:val="Hyperlink"/>
    <w:basedOn w:val="DefaultParagraphFont"/>
    <w:uiPriority w:val="99"/>
    <w:unhideWhenUsed/>
    <w:rsid w:val="00525C9A"/>
    <w:rPr>
      <w:color w:val="467886" w:themeColor="hyperlink"/>
      <w:u w:val="single"/>
    </w:rPr>
  </w:style>
  <w:style w:type="character" w:styleId="UnresolvedMention">
    <w:name w:val="Unresolved Mention"/>
    <w:basedOn w:val="DefaultParagraphFont"/>
    <w:uiPriority w:val="99"/>
    <w:semiHidden/>
    <w:unhideWhenUsed/>
    <w:rsid w:val="00525C9A"/>
    <w:rPr>
      <w:color w:val="605E5C"/>
      <w:shd w:val="clear" w:color="auto" w:fill="E1DFDD"/>
    </w:rPr>
  </w:style>
  <w:style w:type="character" w:styleId="FollowedHyperlink">
    <w:name w:val="FollowedHyperlink"/>
    <w:basedOn w:val="DefaultParagraphFont"/>
    <w:uiPriority w:val="99"/>
    <w:semiHidden/>
    <w:unhideWhenUsed/>
    <w:rsid w:val="00DD6BA0"/>
    <w:rPr>
      <w:color w:val="96607D" w:themeColor="followedHyperlink"/>
      <w:u w:val="single"/>
    </w:rPr>
  </w:style>
  <w:style w:type="paragraph" w:styleId="TOCHeading">
    <w:name w:val="TOC Heading"/>
    <w:basedOn w:val="Heading1"/>
    <w:next w:val="Normal"/>
    <w:uiPriority w:val="39"/>
    <w:unhideWhenUsed/>
    <w:qFormat/>
    <w:rsid w:val="0079423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12D7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section/2" TargetMode="External"/><Relationship Id="rId13" Type="http://schemas.openxmlformats.org/officeDocument/2006/relationships/hyperlink" Target="https://www.researchgate.net/publication/229327243_The_Patient%27s_View_of_Nursing_Care_after_Hip_Fracture" TargetMode="External"/><Relationship Id="rId18" Type="http://schemas.openxmlformats.org/officeDocument/2006/relationships/hyperlink" Target="https://doi.org/10.1177/1355819612473584"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pmc.ncbi.nlm.nih.gov/articles/PMC6465833/" TargetMode="External"/><Relationship Id="rId12" Type="http://schemas.openxmlformats.org/officeDocument/2006/relationships/hyperlink" Target="https://www.health.org.uk/sites/default/files/PersonCentredCareMadeSimple_0.pdf" TargetMode="External"/><Relationship Id="rId17" Type="http://schemas.openxmlformats.org/officeDocument/2006/relationships/hyperlink" Target="https://www.england.nhs.uk/integratedcare/what-is-integrated-care/" TargetMode="External"/><Relationship Id="rId2" Type="http://schemas.openxmlformats.org/officeDocument/2006/relationships/settings" Target="settings.xml"/><Relationship Id="rId16" Type="http://schemas.openxmlformats.org/officeDocument/2006/relationships/hyperlink" Target="https://www.nice.org.uk/guidance/cg124" TargetMode="External"/><Relationship Id="rId20" Type="http://schemas.openxmlformats.org/officeDocument/2006/relationships/hyperlink" Target="https://doi.org/10.3389/fpubh.2023.1148277" TargetMode="External"/><Relationship Id="rId1" Type="http://schemas.openxmlformats.org/officeDocument/2006/relationships/styles" Target="styles.xml"/><Relationship Id="rId6" Type="http://schemas.openxmlformats.org/officeDocument/2006/relationships/hyperlink" Target="https://doi.org/10.1002/9781118970843.ch45" TargetMode="External"/><Relationship Id="rId11" Type="http://schemas.openxmlformats.org/officeDocument/2006/relationships/hyperlink" Target="https://www.hee.nhs.uk/our-work/person-centred-care" TargetMode="External"/><Relationship Id="rId5" Type="http://schemas.openxmlformats.org/officeDocument/2006/relationships/endnotes" Target="endnotes.xml"/><Relationship Id="rId15" Type="http://schemas.openxmlformats.org/officeDocument/2006/relationships/hyperlink" Target="https://doi.org/10.1111/scs.12376" TargetMode="External"/><Relationship Id="rId23" Type="http://schemas.openxmlformats.org/officeDocument/2006/relationships/theme" Target="theme/theme1.xml"/><Relationship Id="rId10" Type="http://schemas.openxmlformats.org/officeDocument/2006/relationships/hyperlink" Target="https://www.gov.uk/guidance/equality-act-2010-guidance" TargetMode="External"/><Relationship Id="rId19" Type="http://schemas.openxmlformats.org/officeDocument/2006/relationships/hyperlink" Target="https://doi.org/10.1159/000509119" TargetMode="External"/><Relationship Id="rId4" Type="http://schemas.openxmlformats.org/officeDocument/2006/relationships/footnotes" Target="footnotes.xml"/><Relationship Id="rId9" Type="http://schemas.openxmlformats.org/officeDocument/2006/relationships/hyperlink" Target="https://doi.org/10.5334/ijic.2530" TargetMode="External"/><Relationship Id="rId14" Type="http://schemas.openxmlformats.org/officeDocument/2006/relationships/hyperlink" Target="https://doi.org/10.1037/h005434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9795</TotalTime>
  <Pages>11</Pages>
  <Words>3439</Words>
  <Characters>19605</Characters>
  <Application>Microsoft Office Word</Application>
  <DocSecurity>0</DocSecurity>
  <Lines>163</Lines>
  <Paragraphs>45</Paragraphs>
  <ScaleCrop>false</ScaleCrop>
  <Company/>
  <LinksUpToDate>false</LinksUpToDate>
  <CharactersWithSpaces>22999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shahreen akhtar</dc:creator>
  <cp:keywords/>
  <dc:description/>
  <cp:lastModifiedBy>shahreen akhtar</cp:lastModifiedBy>
  <cp:revision>402</cp:revision>
  <dcterms:created xsi:type="dcterms:W3CDTF">2026-07-07T21:00:00Z</dcterms:created>
  <dcterms:modified xsi:type="dcterms:W3CDTF">2026-07-24T13:49:00Z</dcterms:modified>
</cp:coreProperties>
</file>