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8301738"/>
        <w:docPartObj>
          <w:docPartGallery w:val="Cover Pages"/>
          <w:docPartUnique/>
        </w:docPartObj>
      </w:sdtPr>
      <w:sdtEndPr>
        <w:rPr>
          <w:noProof/>
          <w:bdr w:val="none" w:sz="0" w:space="0" w:color="auto" w:frame="1"/>
        </w:rPr>
      </w:sdtEndPr>
      <w:sdtContent>
        <w:p w14:paraId="102C86E6" w14:textId="34862BF1" w:rsidR="009D7E13" w:rsidRDefault="009D7E13">
          <w:r>
            <w:rPr>
              <w:noProof/>
            </w:rPr>
            <mc:AlternateContent>
              <mc:Choice Requires="wps">
                <w:drawing>
                  <wp:anchor distT="0" distB="0" distL="114300" distR="114300" simplePos="0" relativeHeight="251659264" behindDoc="0" locked="0" layoutInCell="1" allowOverlap="1" wp14:anchorId="4031C67D" wp14:editId="43078592">
                    <wp:simplePos x="0" y="0"/>
                    <wp:positionH relativeFrom="margin">
                      <wp:posOffset>5353049</wp:posOffset>
                    </wp:positionH>
                    <wp:positionV relativeFrom="page">
                      <wp:posOffset>228599</wp:posOffset>
                    </wp:positionV>
                    <wp:extent cx="657225" cy="1091135"/>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7225" cy="109113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CF81AF6" w14:textId="61307E9E" w:rsidR="009D7E13" w:rsidRDefault="009D7E13">
                                    <w:pPr>
                                      <w:pStyle w:val="NoSpacing"/>
                                      <w:jc w:val="right"/>
                                      <w:rPr>
                                        <w:color w:val="FFFFFF" w:themeColor="background1"/>
                                        <w:sz w:val="24"/>
                                        <w:szCs w:val="24"/>
                                      </w:rPr>
                                    </w:pPr>
                                    <w:r>
                                      <w:rPr>
                                        <w:color w:val="FFFFFF" w:themeColor="background1"/>
                                        <w:sz w:val="24"/>
                                        <w:szCs w:val="24"/>
                                      </w:rPr>
                                      <w:t>Masters</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031C67D" id="Rectangle 132" o:spid="_x0000_s1026" style="position:absolute;margin-left:421.5pt;margin-top:18pt;width:51.75pt;height:85.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CF81AF6" w14:textId="61307E9E" w:rsidR="009D7E13" w:rsidRDefault="009D7E13">
                              <w:pPr>
                                <w:pStyle w:val="NoSpacing"/>
                                <w:jc w:val="right"/>
                                <w:rPr>
                                  <w:color w:val="FFFFFF" w:themeColor="background1"/>
                                  <w:sz w:val="24"/>
                                  <w:szCs w:val="24"/>
                                </w:rPr>
                              </w:pPr>
                              <w:r>
                                <w:rPr>
                                  <w:color w:val="FFFFFF" w:themeColor="background1"/>
                                  <w:sz w:val="24"/>
                                  <w:szCs w:val="24"/>
                                </w:rPr>
                                <w:t>Masters</w:t>
                              </w:r>
                            </w:p>
                          </w:sdtContent>
                        </w:sdt>
                      </w:txbxContent>
                    </v:textbox>
                    <w10:wrap anchorx="margin" anchory="page"/>
                  </v:rect>
                </w:pict>
              </mc:Fallback>
            </mc:AlternateContent>
          </w:r>
        </w:p>
        <w:p w14:paraId="2EBF167A" w14:textId="7646F53A" w:rsidR="009D7E13" w:rsidRDefault="009D7E13">
          <w:pPr>
            <w:rPr>
              <w:noProof/>
              <w:bdr w:val="none" w:sz="0" w:space="0" w:color="auto" w:frame="1"/>
            </w:rPr>
          </w:pPr>
          <w:r>
            <w:rPr>
              <w:noProof/>
              <w:bdr w:val="none" w:sz="0" w:space="0" w:color="auto" w:frame="1"/>
            </w:rPr>
            <w:drawing>
              <wp:anchor distT="0" distB="0" distL="114300" distR="114300" simplePos="0" relativeHeight="251662336" behindDoc="0" locked="0" layoutInCell="1" allowOverlap="1" wp14:anchorId="21138716" wp14:editId="1B3AAF47">
                <wp:simplePos x="0" y="0"/>
                <wp:positionH relativeFrom="margin">
                  <wp:align>center</wp:align>
                </wp:positionH>
                <wp:positionV relativeFrom="paragraph">
                  <wp:posOffset>1656715</wp:posOffset>
                </wp:positionV>
                <wp:extent cx="4791075" cy="1581150"/>
                <wp:effectExtent l="0" t="0" r="9525"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1075"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82880" distR="182880" simplePos="0" relativeHeight="251660288" behindDoc="0" locked="0" layoutInCell="1" allowOverlap="1" wp14:anchorId="05900F70" wp14:editId="60197547">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E22A1" w14:textId="5843521B" w:rsidR="009D7E13" w:rsidRDefault="009D7E13">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Examine if it is Nature or Nurture that is the Cause for Criminal Behaviour</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13724C" w14:textId="3799EB53" w:rsidR="009D7E13" w:rsidRDefault="009D7E13">
                                    <w:pPr>
                                      <w:pStyle w:val="NoSpacing"/>
                                      <w:spacing w:before="40" w:after="40"/>
                                      <w:rPr>
                                        <w:caps/>
                                        <w:color w:val="215868" w:themeColor="accent5" w:themeShade="80"/>
                                        <w:sz w:val="28"/>
                                        <w:szCs w:val="28"/>
                                      </w:rPr>
                                    </w:pPr>
                                    <w:r>
                                      <w:rPr>
                                        <w:caps/>
                                        <w:color w:val="215868" w:themeColor="accent5" w:themeShade="80"/>
                                        <w:sz w:val="28"/>
                                        <w:szCs w:val="28"/>
                                      </w:rPr>
                                      <w:t>Jane Thomas- 09/03/2022- Word count-2920</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14B887" w14:textId="6801432F" w:rsidR="009D7E13" w:rsidRDefault="009D7E13">
                                    <w:pPr>
                                      <w:pStyle w:val="NoSpacing"/>
                                      <w:spacing w:before="80" w:after="40"/>
                                      <w:rPr>
                                        <w:caps/>
                                        <w:color w:val="4BACC6" w:themeColor="accent5"/>
                                        <w:sz w:val="24"/>
                                        <w:szCs w:val="24"/>
                                      </w:rPr>
                                    </w:pPr>
                                    <w:r>
                                      <w:rPr>
                                        <w:caps/>
                                        <w:color w:val="4BACC6" w:themeColor="accent5"/>
                                        <w:sz w:val="24"/>
                                        <w:szCs w:val="24"/>
                                      </w:rPr>
                                      <w:t>Andrew James - 1700591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900F70"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3CE22A1" w14:textId="5843521B" w:rsidR="009D7E13" w:rsidRDefault="009D7E13">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Examine if it is Nature or Nurture that is the Cause for Criminal Behaviour</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13724C" w14:textId="3799EB53" w:rsidR="009D7E13" w:rsidRDefault="009D7E13">
                              <w:pPr>
                                <w:pStyle w:val="NoSpacing"/>
                                <w:spacing w:before="40" w:after="40"/>
                                <w:rPr>
                                  <w:caps/>
                                  <w:color w:val="215868" w:themeColor="accent5" w:themeShade="80"/>
                                  <w:sz w:val="28"/>
                                  <w:szCs w:val="28"/>
                                </w:rPr>
                              </w:pPr>
                              <w:r>
                                <w:rPr>
                                  <w:caps/>
                                  <w:color w:val="215868" w:themeColor="accent5" w:themeShade="80"/>
                                  <w:sz w:val="28"/>
                                  <w:szCs w:val="28"/>
                                </w:rPr>
                                <w:t>Jane Thomas- 09/03/2022- Word count-2920</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14B887" w14:textId="6801432F" w:rsidR="009D7E13" w:rsidRDefault="009D7E13">
                              <w:pPr>
                                <w:pStyle w:val="NoSpacing"/>
                                <w:spacing w:before="80" w:after="40"/>
                                <w:rPr>
                                  <w:caps/>
                                  <w:color w:val="4BACC6" w:themeColor="accent5"/>
                                  <w:sz w:val="24"/>
                                  <w:szCs w:val="24"/>
                                </w:rPr>
                              </w:pPr>
                              <w:r>
                                <w:rPr>
                                  <w:caps/>
                                  <w:color w:val="4BACC6" w:themeColor="accent5"/>
                                  <w:sz w:val="24"/>
                                  <w:szCs w:val="24"/>
                                </w:rPr>
                                <w:t>Andrew James - 1700591</w:t>
                              </w:r>
                            </w:p>
                          </w:sdtContent>
                        </w:sdt>
                      </w:txbxContent>
                    </v:textbox>
                    <w10:wrap type="square" anchorx="margin" anchory="page"/>
                  </v:shape>
                </w:pict>
              </mc:Fallback>
            </mc:AlternateContent>
          </w:r>
          <w:r>
            <w:rPr>
              <w:noProof/>
              <w:bdr w:val="none" w:sz="0" w:space="0" w:color="auto" w:frame="1"/>
            </w:rPr>
            <w:br w:type="page"/>
          </w:r>
        </w:p>
      </w:sdtContent>
    </w:sdt>
    <w:p w14:paraId="00000001" w14:textId="5D73638E" w:rsidR="008D6C6B" w:rsidRDefault="000540CB" w:rsidP="000540CB">
      <w:pPr>
        <w:spacing w:before="240" w:after="240"/>
        <w:jc w:val="center"/>
        <w:rPr>
          <w:sz w:val="24"/>
          <w:szCs w:val="24"/>
          <w:u w:val="single"/>
        </w:rPr>
      </w:pPr>
      <w:r>
        <w:rPr>
          <w:sz w:val="24"/>
          <w:szCs w:val="24"/>
          <w:u w:val="single"/>
        </w:rPr>
        <w:lastRenderedPageBreak/>
        <w:t xml:space="preserve">Examine if it is Nature or Nurture that is the </w:t>
      </w:r>
    </w:p>
    <w:p w14:paraId="00000002" w14:textId="77777777" w:rsidR="008D6C6B" w:rsidRDefault="000540CB" w:rsidP="000540CB">
      <w:pPr>
        <w:spacing w:before="240" w:after="240"/>
        <w:jc w:val="center"/>
        <w:rPr>
          <w:sz w:val="24"/>
          <w:szCs w:val="24"/>
          <w:u w:val="single"/>
        </w:rPr>
      </w:pPr>
      <w:r>
        <w:rPr>
          <w:sz w:val="24"/>
          <w:szCs w:val="24"/>
          <w:u w:val="single"/>
        </w:rPr>
        <w:t>cause of criminal behaviour</w:t>
      </w:r>
    </w:p>
    <w:p w14:paraId="00000003" w14:textId="0607A6FA" w:rsidR="008D6C6B" w:rsidRDefault="000540CB" w:rsidP="000540CB">
      <w:pPr>
        <w:spacing w:before="240" w:after="240" w:line="480" w:lineRule="auto"/>
        <w:rPr>
          <w:sz w:val="24"/>
          <w:szCs w:val="24"/>
          <w:u w:val="single"/>
        </w:rPr>
      </w:pPr>
      <w:r>
        <w:rPr>
          <w:sz w:val="24"/>
          <w:szCs w:val="24"/>
        </w:rPr>
        <w:t xml:space="preserve">Is a person born to be a criminal or is it the influences of their surroundings that turns a person to become a </w:t>
      </w:r>
      <w:r w:rsidR="000E6E28">
        <w:rPr>
          <w:sz w:val="24"/>
          <w:szCs w:val="24"/>
        </w:rPr>
        <w:t>criminal?</w:t>
      </w:r>
      <w:r>
        <w:rPr>
          <w:sz w:val="24"/>
          <w:szCs w:val="24"/>
        </w:rPr>
        <w:t xml:space="preserve"> The initial thesis of this work is that it is nurture more than nature that has an impact on if a person wants to commit a crime. To examine which one is correct this work will identify theories that would support these possible causes and there will also look at case studies where these causes could be seen.</w:t>
      </w:r>
    </w:p>
    <w:p w14:paraId="00000004" w14:textId="499041AE" w:rsidR="008D6C6B" w:rsidRDefault="000540CB" w:rsidP="000540CB">
      <w:pPr>
        <w:spacing w:before="240" w:after="240" w:line="480" w:lineRule="auto"/>
        <w:rPr>
          <w:sz w:val="24"/>
          <w:szCs w:val="24"/>
        </w:rPr>
      </w:pPr>
      <w:r>
        <w:rPr>
          <w:sz w:val="24"/>
          <w:szCs w:val="24"/>
        </w:rPr>
        <w:t xml:space="preserve">What is meant by nature vs nurture, Cherry (2020) says that nature is attributed to genes and any hereditary factors, these factors have an influence on who a person </w:t>
      </w:r>
      <w:r w:rsidR="000E6E28">
        <w:rPr>
          <w:sz w:val="24"/>
          <w:szCs w:val="24"/>
        </w:rPr>
        <w:t>is,</w:t>
      </w:r>
      <w:r>
        <w:rPr>
          <w:sz w:val="24"/>
          <w:szCs w:val="24"/>
        </w:rPr>
        <w:t xml:space="preserve"> and these could be physical features to personality. </w:t>
      </w:r>
      <w:r w:rsidR="000E6E28">
        <w:rPr>
          <w:sz w:val="24"/>
          <w:szCs w:val="24"/>
        </w:rPr>
        <w:t>In regard to</w:t>
      </w:r>
      <w:r>
        <w:rPr>
          <w:sz w:val="24"/>
          <w:szCs w:val="24"/>
        </w:rPr>
        <w:t xml:space="preserve"> nurture Cherry (2020) explains that is to do with environmental variables that could have an impact on a person, these could be early childhood experiences, social relationships and the culture that someone has grown up in.</w:t>
      </w:r>
    </w:p>
    <w:p w14:paraId="00000005" w14:textId="67EF5440" w:rsidR="008D6C6B" w:rsidRDefault="000540CB" w:rsidP="000540CB">
      <w:pPr>
        <w:spacing w:before="240" w:after="240" w:line="480" w:lineRule="auto"/>
        <w:rPr>
          <w:sz w:val="24"/>
          <w:szCs w:val="24"/>
        </w:rPr>
      </w:pPr>
      <w:r>
        <w:rPr>
          <w:sz w:val="24"/>
          <w:szCs w:val="24"/>
        </w:rPr>
        <w:t xml:space="preserve">The nature vs nurture debate is important in criminology in the opinion of Beaver et al (2014) they it is important because at their time of writing they said that criminology was at a crossroads, with what they say is the status quo would be that there will the occasional experiments and that it will convince people that the findings of other scientific fields will go away. The other path that Beaver et al (2014) mention could uncover uncomfortable truths such as that humans are not better than animals as some people believe and that humans are a product of evolution. It should also be noted that Beaver et al (2014) are proponents of biosocial theories, this theory as stated by Portnoy (2020) is </w:t>
      </w:r>
      <w:r w:rsidR="000E6E28">
        <w:rPr>
          <w:sz w:val="24"/>
          <w:szCs w:val="24"/>
        </w:rPr>
        <w:t>multi-disciplined</w:t>
      </w:r>
      <w:r>
        <w:rPr>
          <w:sz w:val="24"/>
          <w:szCs w:val="24"/>
        </w:rPr>
        <w:t xml:space="preserve">, this means that they use methods from a </w:t>
      </w:r>
      <w:r w:rsidR="000E6E28">
        <w:rPr>
          <w:sz w:val="24"/>
          <w:szCs w:val="24"/>
        </w:rPr>
        <w:t xml:space="preserve">variety </w:t>
      </w:r>
      <w:r w:rsidR="000E6E28">
        <w:rPr>
          <w:sz w:val="24"/>
          <w:szCs w:val="24"/>
        </w:rPr>
        <w:lastRenderedPageBreak/>
        <w:t>discipline</w:t>
      </w:r>
      <w:r>
        <w:rPr>
          <w:sz w:val="24"/>
          <w:szCs w:val="24"/>
        </w:rPr>
        <w:t xml:space="preserve"> such as genetics, psychology and sociology. In a way Beaver et al (2014) believe that both nature and nurture could have an impact.</w:t>
      </w:r>
    </w:p>
    <w:p w14:paraId="00000006" w14:textId="0EB6A7C2" w:rsidR="008D6C6B" w:rsidRDefault="000540CB" w:rsidP="000540CB">
      <w:pPr>
        <w:spacing w:before="240" w:after="240" w:line="480" w:lineRule="auto"/>
        <w:rPr>
          <w:sz w:val="24"/>
          <w:szCs w:val="24"/>
        </w:rPr>
      </w:pPr>
      <w:r>
        <w:rPr>
          <w:sz w:val="24"/>
          <w:szCs w:val="24"/>
        </w:rPr>
        <w:t xml:space="preserve">In terms of theories that could support the argument that nature is what makes a person commit criminal behaviour, these would be from biological positivism, these </w:t>
      </w:r>
      <w:r w:rsidR="000E6E28">
        <w:rPr>
          <w:sz w:val="24"/>
          <w:szCs w:val="24"/>
        </w:rPr>
        <w:t>types of</w:t>
      </w:r>
      <w:r>
        <w:rPr>
          <w:sz w:val="24"/>
          <w:szCs w:val="24"/>
        </w:rPr>
        <w:t xml:space="preserve"> theories are based on that a person’s genetics has an influence on their behaviour (Newburn, 2017). A prominent theory in biological positivism is Lombroso theory, in the words of Pratt et al (2014) that the fundamental element of Lombroso theory was that criminals were anatomically different from what can be perceived as normal individuals and that criminals were evolutionary throwbacks, lastly Pratt et al (2014) adds that Lombroso felt that physical markers could identify mental faculties which as a result makes them a prone to criminality. Lombroso used his access to prisons to gather his data (Gibson, 2013).  </w:t>
      </w:r>
    </w:p>
    <w:p w14:paraId="00000007" w14:textId="77777777" w:rsidR="008D6C6B" w:rsidRDefault="000540CB" w:rsidP="000540CB">
      <w:pPr>
        <w:spacing w:before="240" w:after="240" w:line="480" w:lineRule="auto"/>
        <w:rPr>
          <w:sz w:val="24"/>
          <w:szCs w:val="24"/>
        </w:rPr>
      </w:pPr>
      <w:r>
        <w:rPr>
          <w:sz w:val="24"/>
          <w:szCs w:val="24"/>
        </w:rPr>
        <w:t>Some of features that Lombroso believed make a criminal are described by Reid (2017), some of these are large foreheads, jug ears and protruding chins. She also adds that Lombroso theory has now been discredited, one of the main reasons why this theory discredited is alluded to by Simon (2014) in that the features that Lombroso alludes to are features that would be found on people's ethnicity that are not white, he also adds that some of the features that Lombroso says that a person needs to be a criminal are also features of animals, as Lombroso had the opinion that criminals are like animals. A further reason why Lombroso theory has been discredited is mentioned by Behl and Steverson (2021) that there was an absence of a control group while doing his research, they also add that some people also criticised that he also chose to use soldiers as his supposed form of a control group.</w:t>
      </w:r>
    </w:p>
    <w:p w14:paraId="00000008" w14:textId="6C93FD7D" w:rsidR="008D6C6B" w:rsidRDefault="000540CB" w:rsidP="000540CB">
      <w:pPr>
        <w:spacing w:before="240" w:after="240" w:line="480" w:lineRule="auto"/>
        <w:rPr>
          <w:sz w:val="24"/>
          <w:szCs w:val="24"/>
        </w:rPr>
      </w:pPr>
      <w:r>
        <w:rPr>
          <w:sz w:val="24"/>
          <w:szCs w:val="24"/>
        </w:rPr>
        <w:lastRenderedPageBreak/>
        <w:t xml:space="preserve">A study done by Barnes et al (2011) suggests that a person’s genetics could be a reason for criminal behaviour. It was discovered during their research that genetic influences had a greater impact than environmental influences in persistent offending, in non-offenders it was a split between genetics and environment factors, the adolescent offenders the environment appeared to be more important. Barnes et al (2011) do admit that </w:t>
      </w:r>
      <w:r w:rsidR="000E6E28">
        <w:rPr>
          <w:sz w:val="24"/>
          <w:szCs w:val="24"/>
        </w:rPr>
        <w:t>their</w:t>
      </w:r>
      <w:r>
        <w:rPr>
          <w:sz w:val="24"/>
          <w:szCs w:val="24"/>
        </w:rPr>
        <w:t xml:space="preserve"> research does have some limitations, one of these was that </w:t>
      </w:r>
      <w:r w:rsidR="000E6E28">
        <w:rPr>
          <w:sz w:val="24"/>
          <w:szCs w:val="24"/>
        </w:rPr>
        <w:t>their</w:t>
      </w:r>
      <w:r>
        <w:rPr>
          <w:sz w:val="24"/>
          <w:szCs w:val="24"/>
        </w:rPr>
        <w:t xml:space="preserve"> data was only collected in a person’s adolescence and early adulthood, Barnes et al (2011) add that ideally they should have data from childhood, adolescence and late adulthood has this would give more accurate assessments about different offending groups.</w:t>
      </w:r>
    </w:p>
    <w:p w14:paraId="00000009" w14:textId="638C94FD" w:rsidR="008D6C6B" w:rsidRDefault="000540CB" w:rsidP="000540CB">
      <w:pPr>
        <w:spacing w:before="200" w:line="480" w:lineRule="auto"/>
        <w:rPr>
          <w:sz w:val="24"/>
          <w:szCs w:val="24"/>
        </w:rPr>
      </w:pPr>
      <w:r>
        <w:rPr>
          <w:sz w:val="24"/>
          <w:szCs w:val="24"/>
        </w:rPr>
        <w:t xml:space="preserve">Another recent study done by Lewis et al (2014) supports the research done by Barnes et al (2011), the study done by Lewis et al (2014) found that the genetic influences that underpin personality were overlapped with those genetic factors that underlie adolescent behaviour problems. In their conclusion Lewis et al (2014) say that behaviour problems in adolescence could be understood at least in part with normal personality traits. On the other </w:t>
      </w:r>
      <w:r w:rsidR="000E6E28">
        <w:rPr>
          <w:sz w:val="24"/>
          <w:szCs w:val="24"/>
        </w:rPr>
        <w:t>hand,</w:t>
      </w:r>
      <w:r>
        <w:rPr>
          <w:sz w:val="24"/>
          <w:szCs w:val="24"/>
        </w:rPr>
        <w:t xml:space="preserve"> Owen (2014) warns that there should be an avoidance associated with a person’s genetics is inevitable that they will commit a crime, he also says that within social science there is a tendency to associate biological proneness with inevitability. </w:t>
      </w:r>
    </w:p>
    <w:p w14:paraId="0000000A" w14:textId="77777777" w:rsidR="008D6C6B" w:rsidRDefault="000540CB" w:rsidP="000540CB">
      <w:pPr>
        <w:spacing w:before="200" w:line="480" w:lineRule="auto"/>
        <w:rPr>
          <w:sz w:val="24"/>
          <w:szCs w:val="24"/>
        </w:rPr>
      </w:pPr>
      <w:r>
        <w:rPr>
          <w:sz w:val="24"/>
          <w:szCs w:val="24"/>
        </w:rPr>
        <w:t xml:space="preserve">Researchers in Finland identified that there were two genes that can be associated with violent crime, they say that those with these genes are 13 times more likely to have a history of repeated violent behaviour (Hogenboom, 2014). These two genes Hogenboom (2014) say are referred to as the warrior gene because of its link to aggressive behaviour. It should be noted Hogenboom (2014) agrees with the view of </w:t>
      </w:r>
      <w:r>
        <w:rPr>
          <w:sz w:val="24"/>
          <w:szCs w:val="24"/>
        </w:rPr>
        <w:lastRenderedPageBreak/>
        <w:t>Owen (2014) that having these genes does not mean that they will commit a crime, Hogenboom (2014) adds that the researcher also believes that a person's genetic information should not have an influence on conviction outcomes.</w:t>
      </w:r>
    </w:p>
    <w:p w14:paraId="0000000B" w14:textId="6760FDB1" w:rsidR="008D6C6B" w:rsidRDefault="000540CB" w:rsidP="000540CB">
      <w:pPr>
        <w:spacing w:before="200" w:line="480" w:lineRule="auto"/>
        <w:rPr>
          <w:sz w:val="24"/>
          <w:szCs w:val="24"/>
          <w:u w:val="single"/>
        </w:rPr>
      </w:pPr>
      <w:r>
        <w:rPr>
          <w:sz w:val="24"/>
          <w:szCs w:val="24"/>
        </w:rPr>
        <w:t xml:space="preserve">In spite of Hogenboom (2014) and Owen (2014) views, lawyers have begun to use a person’s genetic history to defend their clients in court this is according to Barras (2018), he refers to one case where the jury reached a verdict of voluntary manslaughter and not murder. The prosecuting lawyer according to Barras (2018) was astonished, in this case the defence lawyer used the genes discovered in the research that Hogenboom (2014) writes about. It should also be made aware that there are some who do not support the idea that there is a gene for violence, Farahany and Robinson (2021) support this viewpoint, they say that studies that look for this warrior genes are out of date. They believe that there should be legal precedence in the United States (US) so that it </w:t>
      </w:r>
      <w:r w:rsidR="000E6E28">
        <w:rPr>
          <w:sz w:val="24"/>
          <w:szCs w:val="24"/>
        </w:rPr>
        <w:t>cannot</w:t>
      </w:r>
      <w:r>
        <w:rPr>
          <w:sz w:val="24"/>
          <w:szCs w:val="24"/>
        </w:rPr>
        <w:t xml:space="preserve"> be used in the defence of a client.</w:t>
      </w:r>
    </w:p>
    <w:p w14:paraId="0000000C" w14:textId="77777777" w:rsidR="008D6C6B" w:rsidRDefault="000540CB" w:rsidP="000540CB">
      <w:pPr>
        <w:spacing w:before="200" w:line="480" w:lineRule="auto"/>
        <w:rPr>
          <w:sz w:val="24"/>
          <w:szCs w:val="24"/>
        </w:rPr>
      </w:pPr>
      <w:r>
        <w:rPr>
          <w:sz w:val="24"/>
          <w:szCs w:val="24"/>
        </w:rPr>
        <w:t xml:space="preserve">The case that Barras (2018) was referring to was that of Bradley Waldroup in the US, Waldroup was arrested for the murder of his wife’s friend and for the attempted murder of his wife, he had shot his wife’s friend 8 times in a fit of rage after he was told by his wife that she was leaving (Gillham, 2011). During the trial Sarto-Jackson (2022) says that Waldroup confessed to the charges without remorse, usually she adds that when this happens in the state that Waldroup was from he would be issued the death penalty, notwithstanding this the defence lawyer for Waldroup would use what become known as the genetic defence strategy. Sarto-Jackson (2022) mentions that Waldroup was tested for the same gene that Hogenboom (2014) mentioned, it was discovered that Waldroup had this gene and the lawyer said that this made him more prone to anger. </w:t>
      </w:r>
    </w:p>
    <w:p w14:paraId="0000000D" w14:textId="03CA19BA" w:rsidR="008D6C6B" w:rsidRDefault="000540CB" w:rsidP="000540CB">
      <w:pPr>
        <w:spacing w:before="200" w:line="480" w:lineRule="auto"/>
        <w:rPr>
          <w:sz w:val="24"/>
          <w:szCs w:val="24"/>
        </w:rPr>
      </w:pPr>
      <w:r>
        <w:rPr>
          <w:sz w:val="24"/>
          <w:szCs w:val="24"/>
        </w:rPr>
        <w:lastRenderedPageBreak/>
        <w:t xml:space="preserve">This strategy worked as Waldroup conviction went from murder and the death sentence to the lesser sentence of manslaughter, which does not have a death penalty, one of the jurors at the trial said that it was scientific evidence that swayed them, they also added that Waldroup was in control of their actions (Sarto-Jackson, 2022). It is worth nothing that this defence has only really been used in the US according Barras (2018), he refers to work done by Catley and Claydon (2015), they say that in the United Kingdom (UK) the use of  neuroscientific evidence has been used a total 84 times in appeals, Catley and Claydon (2015) concluded that 22 were successful when using neuroscientific evidence but 59 were unsuccessful even when using neuroscientific evidence, this suggest that courts in the UK do not identify it as a good defence. </w:t>
      </w:r>
      <w:r w:rsidR="000E6E28">
        <w:rPr>
          <w:sz w:val="24"/>
          <w:szCs w:val="24"/>
        </w:rPr>
        <w:t>Finally,</w:t>
      </w:r>
      <w:r>
        <w:rPr>
          <w:sz w:val="24"/>
          <w:szCs w:val="24"/>
        </w:rPr>
        <w:t xml:space="preserve"> Barras (2018) says that this type of defence has been used in </w:t>
      </w:r>
      <w:r w:rsidR="000E6E28">
        <w:rPr>
          <w:sz w:val="24"/>
          <w:szCs w:val="24"/>
        </w:rPr>
        <w:t>Germany,</w:t>
      </w:r>
      <w:r>
        <w:rPr>
          <w:sz w:val="24"/>
          <w:szCs w:val="24"/>
        </w:rPr>
        <w:t xml:space="preserve"> but they too were unsuccessful. </w:t>
      </w:r>
    </w:p>
    <w:p w14:paraId="0000000E" w14:textId="77777777" w:rsidR="008D6C6B" w:rsidRDefault="000540CB" w:rsidP="000540CB">
      <w:pPr>
        <w:spacing w:before="200" w:line="480" w:lineRule="auto"/>
        <w:rPr>
          <w:sz w:val="24"/>
          <w:szCs w:val="24"/>
        </w:rPr>
      </w:pPr>
      <w:r>
        <w:rPr>
          <w:sz w:val="24"/>
          <w:szCs w:val="24"/>
        </w:rPr>
        <w:t xml:space="preserve">In terms of nurture, Levitt (2013) makes the point that nurture is more influential than nature, he supports his view by saying that in a recent study nearly all of the respondents believed that parents and family were the most important influences for babies and young children. He further adds that for young people it is their peer group and other relationships that will have an influence. Levitt (2013) also gives possible reasons why a child may have bad behaviour is the possibility of a parent who has either got an illness or passed away. The viewpoint of Clarke (2018) is that criminology should move away from the positivist school of thought and move towards theories that support the nurture debate.  </w:t>
      </w:r>
    </w:p>
    <w:p w14:paraId="0000000F" w14:textId="77777777" w:rsidR="008D6C6B" w:rsidRDefault="000540CB" w:rsidP="000540CB">
      <w:pPr>
        <w:spacing w:before="200" w:line="480" w:lineRule="auto"/>
        <w:rPr>
          <w:sz w:val="24"/>
          <w:szCs w:val="24"/>
        </w:rPr>
      </w:pPr>
      <w:r>
        <w:rPr>
          <w:sz w:val="24"/>
          <w:szCs w:val="24"/>
        </w:rPr>
        <w:t xml:space="preserve">A theory that can support the nurture debate is considered by Newburn (2017) and that is social learning theory, these are theories that believe certain behaviours are learnt </w:t>
      </w:r>
      <w:r>
        <w:rPr>
          <w:sz w:val="24"/>
          <w:szCs w:val="24"/>
        </w:rPr>
        <w:lastRenderedPageBreak/>
        <w:t xml:space="preserve">through observing and it can also be behaviour that is moulded by the nature of external influences and reinforcement that can occur. A notable theorist in this area according to Newburn (2017) is Bandura, in his experiment he had children watch an adult being violent towards a doll and then those children were then left alone with the doll, the experiment showed that the children imitated the actions that the adult had done (Cherry, 2021).   </w:t>
      </w:r>
    </w:p>
    <w:p w14:paraId="00000010" w14:textId="5135260F" w:rsidR="008D6C6B" w:rsidRDefault="000540CB" w:rsidP="000540CB">
      <w:pPr>
        <w:spacing w:before="200" w:line="480" w:lineRule="auto"/>
        <w:rPr>
          <w:sz w:val="24"/>
          <w:szCs w:val="24"/>
        </w:rPr>
      </w:pPr>
      <w:r>
        <w:rPr>
          <w:sz w:val="24"/>
          <w:szCs w:val="24"/>
        </w:rPr>
        <w:t xml:space="preserve">Currently a type of crime that could support social learning theory and the nurture debate is identified by Brown et al (2019) and that is knife crime, figures acquired by Wood (2010) said that 43 teenagers died outside the Greater London area in 2008, on the other hand in Greater London 30 teenagers were killed in 2008 this was an increase on the 26 who were killed in the year before, Wood (2010) also says that in Greater London more teenagers were killed by other teenagers. More recent figures given by Rawlinson (2021) is that in London 30 teenagers were killed by a knife in 2021, this was the highest recorded figure. Within England and Wales between the year of 2020 to 2021, 235 reported murders involving a </w:t>
      </w:r>
      <w:r w:rsidR="000E6E28">
        <w:rPr>
          <w:sz w:val="24"/>
          <w:szCs w:val="24"/>
        </w:rPr>
        <w:t>knife,</w:t>
      </w:r>
      <w:r>
        <w:rPr>
          <w:sz w:val="24"/>
          <w:szCs w:val="24"/>
        </w:rPr>
        <w:t xml:space="preserve"> or another sharp instrument happened, this was a decrease from the high 2017 to 2018 which recorded 281 murders (Clark, 2022).  </w:t>
      </w:r>
    </w:p>
    <w:p w14:paraId="00000011" w14:textId="77777777" w:rsidR="008D6C6B" w:rsidRDefault="000540CB" w:rsidP="000540CB">
      <w:pPr>
        <w:spacing w:before="200" w:line="480" w:lineRule="auto"/>
        <w:rPr>
          <w:sz w:val="24"/>
          <w:szCs w:val="24"/>
        </w:rPr>
      </w:pPr>
      <w:r>
        <w:rPr>
          <w:sz w:val="24"/>
          <w:szCs w:val="24"/>
        </w:rPr>
        <w:t xml:space="preserve">Brown et al (2019) correlate knife crime with the nurture debate by saying that initially most children and young people started carrying knives as a way to avoid themselves becoming a victim. Brown et al (2019) also add that though in the media knife crime is related to gangs and other youth violence however, the Metropolitan police disagree with this view as they were only able to identify 5% of cases between 2011 and 2016 that had a gang element (Brown et al, 2019). A medium of entertainment that could </w:t>
      </w:r>
      <w:r>
        <w:rPr>
          <w:sz w:val="24"/>
          <w:szCs w:val="24"/>
        </w:rPr>
        <w:lastRenderedPageBreak/>
        <w:t>have an influence in the opinion of Brown et al (2019) is drill music, drill music is described by Lamrhari (2021) as containing dark lyrics.</w:t>
      </w:r>
    </w:p>
    <w:p w14:paraId="00000012" w14:textId="77777777" w:rsidR="008D6C6B" w:rsidRDefault="000540CB" w:rsidP="000540CB">
      <w:pPr>
        <w:spacing w:before="200" w:line="480" w:lineRule="auto"/>
        <w:rPr>
          <w:sz w:val="24"/>
          <w:szCs w:val="24"/>
        </w:rPr>
      </w:pPr>
      <w:r>
        <w:rPr>
          <w:sz w:val="24"/>
          <w:szCs w:val="24"/>
        </w:rPr>
        <w:t xml:space="preserve">In the regards of the viewpoint that young people carry a knife to protect themselves out of fear as suggested by Brown et al (2019), Harding (2020) agrees with this view and also adds that other possible factors that could be involved is peer group pressure as a person friends could also be carrying knives, this viewpoint that Harding (2020) has is also supported by Haylock et al (2020), they refer to 7 studies that found that peer influence was an important risk factor for knife crime. Haylock et al (2020) also add that two studies found that another important factor that peer influence has is people joining gangs. Harding (2020) also adds that carrying a knife could also be seen as a fashion statement.  </w:t>
      </w:r>
    </w:p>
    <w:p w14:paraId="00000013" w14:textId="77777777" w:rsidR="008D6C6B" w:rsidRDefault="000540CB" w:rsidP="000540CB">
      <w:pPr>
        <w:spacing w:before="200" w:line="480" w:lineRule="auto"/>
        <w:rPr>
          <w:sz w:val="24"/>
          <w:szCs w:val="24"/>
        </w:rPr>
      </w:pPr>
      <w:r>
        <w:rPr>
          <w:sz w:val="24"/>
          <w:szCs w:val="24"/>
        </w:rPr>
        <w:t xml:space="preserve">Three other studies reviewed by Haylock et al (2020) suggested that economic deprivation could also be a reason why young people are involved in knife crime, he explains that economic inequalities force young men into destructive behaviour as issues in society have left these young people with minimal options to have a good behaviour. Haylock et al (2020) also suggests that young people carry weapons as a method gaining status, power and masculinity. These suggestions can support the nurture argument because as a young person if there are not a lot of opportunities than they would turn to criminal behaviour and also not having the right group of peer influence would also help contribute because they see their friends do what could be termed as bad things and that young person will also get involved.   </w:t>
      </w:r>
    </w:p>
    <w:p w14:paraId="00000014" w14:textId="50E87E6C" w:rsidR="008D6C6B" w:rsidRDefault="000540CB" w:rsidP="000540CB">
      <w:pPr>
        <w:spacing w:before="200" w:line="480" w:lineRule="auto"/>
        <w:rPr>
          <w:sz w:val="24"/>
          <w:szCs w:val="24"/>
        </w:rPr>
      </w:pPr>
      <w:r>
        <w:rPr>
          <w:sz w:val="24"/>
          <w:szCs w:val="24"/>
        </w:rPr>
        <w:lastRenderedPageBreak/>
        <w:t xml:space="preserve">Another factor that could be contributing to the rise in knife crime in the opinion of Moss (2018) is the expulsions from school, he says that there is a link between school violence and later criminal involvement. Moss (2018) also says the peak age for violent behaviour was the age of 6, this could suggest that is the age for teaching a child that violence is </w:t>
      </w:r>
      <w:r w:rsidR="000E6E28">
        <w:rPr>
          <w:sz w:val="24"/>
          <w:szCs w:val="24"/>
        </w:rPr>
        <w:t>wrong,</w:t>
      </w:r>
      <w:r>
        <w:rPr>
          <w:sz w:val="24"/>
          <w:szCs w:val="24"/>
        </w:rPr>
        <w:t xml:space="preserve"> and this is done by schooling, but if a child is expelled from school this opportunity is missed. Moss (2018) provides evidence to support his viewpoint by saying that in the UK figures show that 380,000 children were excluded from schools in 2016. He also believes that there needs to be a </w:t>
      </w:r>
      <w:r w:rsidR="000E6E28">
        <w:rPr>
          <w:sz w:val="24"/>
          <w:szCs w:val="24"/>
        </w:rPr>
        <w:t>long-term</w:t>
      </w:r>
      <w:r>
        <w:rPr>
          <w:sz w:val="24"/>
          <w:szCs w:val="24"/>
        </w:rPr>
        <w:t xml:space="preserve"> solution that is informed by evidence as the current way is not keeping schools safer and it is not producing more responsible adults.</w:t>
      </w:r>
    </w:p>
    <w:p w14:paraId="00000015" w14:textId="77777777" w:rsidR="008D6C6B" w:rsidRDefault="000540CB" w:rsidP="000540CB">
      <w:pPr>
        <w:spacing w:before="200" w:line="480" w:lineRule="auto"/>
        <w:rPr>
          <w:sz w:val="24"/>
          <w:szCs w:val="24"/>
        </w:rPr>
      </w:pPr>
      <w:r>
        <w:rPr>
          <w:sz w:val="24"/>
          <w:szCs w:val="24"/>
        </w:rPr>
        <w:t>As mentioned earlier by Beaver et al (2014) there also those who believe that it is a mixture of both nature and nurture that are the causes for a person to have criminal behaviour, this view can be in the Adverse Childhood Experiences (ACEs) study, Boullier and Blair (2018) explain that ACEs have an impact on a person's health, behaviour and life opportunities. They also say that evidence has shown that toxic stress or repeated adverse experiences could cause permanent damage to a developing brain and could also alter the function of neurological systems. An adverse childhood experience is described by Boullier and Blair (2018) as events that are potentially traumatic and could have lasting effect on well-being, these could be maltreatment, abuse or living in an environment that is harmful to their development.</w:t>
      </w:r>
    </w:p>
    <w:p w14:paraId="00000016" w14:textId="47405238" w:rsidR="008D6C6B" w:rsidRDefault="000540CB" w:rsidP="000540CB">
      <w:pPr>
        <w:spacing w:before="200" w:line="480" w:lineRule="auto"/>
        <w:rPr>
          <w:sz w:val="24"/>
          <w:szCs w:val="24"/>
        </w:rPr>
      </w:pPr>
      <w:r>
        <w:rPr>
          <w:sz w:val="24"/>
          <w:szCs w:val="24"/>
        </w:rPr>
        <w:t xml:space="preserve">ACEs in the opinion of Felitti (2009) are surprisingly common even in the earliest years but are generally not recognised, he also says that the recognition of the facts could provide a clear opportunity for early intervention. Ports et al (2019) add that ACEs have </w:t>
      </w:r>
      <w:r>
        <w:rPr>
          <w:sz w:val="24"/>
          <w:szCs w:val="24"/>
        </w:rPr>
        <w:lastRenderedPageBreak/>
        <w:t xml:space="preserve">a </w:t>
      </w:r>
      <w:r w:rsidR="000E6E28">
        <w:rPr>
          <w:sz w:val="24"/>
          <w:szCs w:val="24"/>
        </w:rPr>
        <w:t>far-reaching</w:t>
      </w:r>
      <w:r>
        <w:rPr>
          <w:sz w:val="24"/>
          <w:szCs w:val="24"/>
        </w:rPr>
        <w:t xml:space="preserve"> impact and it does not just impact one person but can also impact generations. Interestingly ACEs have been shown to be related to sexual offending especially in male offenders, a study exposed </w:t>
      </w:r>
      <w:r w:rsidR="000E6E28">
        <w:rPr>
          <w:sz w:val="24"/>
          <w:szCs w:val="24"/>
        </w:rPr>
        <w:t>a that male offender</w:t>
      </w:r>
      <w:r>
        <w:rPr>
          <w:sz w:val="24"/>
          <w:szCs w:val="24"/>
        </w:rPr>
        <w:t xml:space="preserve"> had increased odds of childhood maltreatment ACEs, such as physical or sexual and household dysfunction ACEs (Asmundson and Afifi, 2019). Household dysfunction ACEs are described by Asmundson and Afifi (2019) as parents being </w:t>
      </w:r>
      <w:r w:rsidR="000E6E28">
        <w:rPr>
          <w:sz w:val="24"/>
          <w:szCs w:val="24"/>
        </w:rPr>
        <w:t>separated</w:t>
      </w:r>
      <w:r>
        <w:rPr>
          <w:sz w:val="24"/>
          <w:szCs w:val="24"/>
        </w:rPr>
        <w:t>, substance use and household member's mental illness.</w:t>
      </w:r>
    </w:p>
    <w:p w14:paraId="00000017" w14:textId="77777777" w:rsidR="008D6C6B" w:rsidRDefault="000540CB" w:rsidP="000540CB">
      <w:pPr>
        <w:spacing w:before="200" w:line="480" w:lineRule="auto"/>
        <w:rPr>
          <w:sz w:val="24"/>
          <w:szCs w:val="24"/>
        </w:rPr>
      </w:pPr>
      <w:r>
        <w:rPr>
          <w:sz w:val="24"/>
          <w:szCs w:val="24"/>
        </w:rPr>
        <w:t xml:space="preserve">With regards to ACEs having an impact on generations as first mentioned by Ports et al (2019), Waite and Ryan (2020) endorse this viewpoint by adding that experiences by one person are bound to happen in that person’s own children, this is what is called intergenerational continuity. Recent research done by Hunt et al (2017) showed that children as young as 9 years old begin to show behaviour problems after they have been exposed to early childhood adversities. The ACEs model show that behaviour can be impacted by both nature and nurture, nature through the experiences of their parents when they were children, this goes into their genetics and nurture because as they are growing up they witness either domestic abuse towards their parents or on themselves and they may also see their parents abuse substances like alcohol or drugs, which in turn those same children may do when they get older and this cycle could happen again if prevention is not done at an early age. </w:t>
      </w:r>
    </w:p>
    <w:p w14:paraId="00000018" w14:textId="1AD081D9" w:rsidR="008D6C6B" w:rsidRDefault="000540CB" w:rsidP="000540CB">
      <w:pPr>
        <w:spacing w:before="200" w:line="480" w:lineRule="auto"/>
        <w:rPr>
          <w:sz w:val="24"/>
          <w:szCs w:val="24"/>
        </w:rPr>
      </w:pPr>
      <w:r>
        <w:rPr>
          <w:sz w:val="24"/>
          <w:szCs w:val="24"/>
        </w:rPr>
        <w:t xml:space="preserve">To conclude, the initial thesis of this work was that it was nurture that had a more of an impact on criminal behaviour rather than nature. </w:t>
      </w:r>
      <w:r w:rsidR="000E6E28">
        <w:rPr>
          <w:sz w:val="24"/>
          <w:szCs w:val="24"/>
        </w:rPr>
        <w:t>However,</w:t>
      </w:r>
      <w:r>
        <w:rPr>
          <w:sz w:val="24"/>
          <w:szCs w:val="24"/>
        </w:rPr>
        <w:t xml:space="preserve"> this initial thesis has changed with more of a focus on that it is both nature and nurture that have an influence on a person’s possible criminal behaviour, the reason for this change in thesis is </w:t>
      </w:r>
      <w:r>
        <w:rPr>
          <w:sz w:val="24"/>
          <w:szCs w:val="24"/>
        </w:rPr>
        <w:lastRenderedPageBreak/>
        <w:t xml:space="preserve">because of research in ACEs, ACEs have proven that a child who experiences a tough upbring are more likely to have bad behaviour that could become criminal but also through experiences are likely to be passed onto their own children. </w:t>
      </w:r>
    </w:p>
    <w:p w14:paraId="00000019" w14:textId="3ABDA6E3" w:rsidR="008D6C6B" w:rsidRDefault="000540CB" w:rsidP="000540CB">
      <w:pPr>
        <w:spacing w:before="200" w:line="480" w:lineRule="auto"/>
        <w:rPr>
          <w:sz w:val="24"/>
          <w:szCs w:val="24"/>
        </w:rPr>
      </w:pPr>
      <w:r>
        <w:rPr>
          <w:sz w:val="24"/>
          <w:szCs w:val="24"/>
        </w:rPr>
        <w:t xml:space="preserve">The most surprising part while examining the nature argument was that it has been used to defend a client especially in the US, it was also surprising is that in the case </w:t>
      </w:r>
      <w:r w:rsidR="000E6E28">
        <w:rPr>
          <w:sz w:val="24"/>
          <w:szCs w:val="24"/>
        </w:rPr>
        <w:t>of Bradley</w:t>
      </w:r>
      <w:r>
        <w:rPr>
          <w:sz w:val="24"/>
          <w:szCs w:val="24"/>
        </w:rPr>
        <w:t xml:space="preserve"> Waldroup this type of defence was successful in reducing a charge murder to manslaughter instead. On the other </w:t>
      </w:r>
      <w:r w:rsidR="000E6E28">
        <w:rPr>
          <w:sz w:val="24"/>
          <w:szCs w:val="24"/>
        </w:rPr>
        <w:t>hand,</w:t>
      </w:r>
      <w:r>
        <w:rPr>
          <w:sz w:val="24"/>
          <w:szCs w:val="24"/>
        </w:rPr>
        <w:t xml:space="preserve"> this defence has not been so successful in the UK. Both nurture and ACEs show that it is more about the environment that a person grows up in that means they may become a criminal, rather than a person’s genetics meaning they are going to be bad.</w:t>
      </w:r>
    </w:p>
    <w:p w14:paraId="0000001A" w14:textId="77777777" w:rsidR="008D6C6B" w:rsidRDefault="008D6C6B">
      <w:pPr>
        <w:spacing w:before="200" w:line="480" w:lineRule="auto"/>
        <w:rPr>
          <w:sz w:val="24"/>
          <w:szCs w:val="24"/>
        </w:rPr>
      </w:pPr>
    </w:p>
    <w:p w14:paraId="0000001B" w14:textId="77777777" w:rsidR="008D6C6B" w:rsidRDefault="008D6C6B">
      <w:pPr>
        <w:spacing w:before="200" w:line="480" w:lineRule="auto"/>
        <w:rPr>
          <w:sz w:val="24"/>
          <w:szCs w:val="24"/>
        </w:rPr>
      </w:pPr>
    </w:p>
    <w:p w14:paraId="0000001C" w14:textId="77777777" w:rsidR="008D6C6B" w:rsidRDefault="008D6C6B">
      <w:pPr>
        <w:spacing w:before="200" w:line="480" w:lineRule="auto"/>
        <w:rPr>
          <w:sz w:val="24"/>
          <w:szCs w:val="24"/>
        </w:rPr>
      </w:pPr>
    </w:p>
    <w:p w14:paraId="0000001D" w14:textId="77777777" w:rsidR="008D6C6B" w:rsidRDefault="008D6C6B">
      <w:pPr>
        <w:spacing w:before="200" w:line="480" w:lineRule="auto"/>
        <w:rPr>
          <w:sz w:val="24"/>
          <w:szCs w:val="24"/>
        </w:rPr>
      </w:pPr>
    </w:p>
    <w:p w14:paraId="0000001E" w14:textId="77777777" w:rsidR="008D6C6B" w:rsidRDefault="008D6C6B">
      <w:pPr>
        <w:spacing w:before="200" w:line="480" w:lineRule="auto"/>
        <w:rPr>
          <w:sz w:val="24"/>
          <w:szCs w:val="24"/>
        </w:rPr>
      </w:pPr>
    </w:p>
    <w:p w14:paraId="0000001F" w14:textId="77777777" w:rsidR="008D6C6B" w:rsidRDefault="008D6C6B">
      <w:pPr>
        <w:spacing w:before="200" w:line="480" w:lineRule="auto"/>
        <w:rPr>
          <w:sz w:val="24"/>
          <w:szCs w:val="24"/>
        </w:rPr>
      </w:pPr>
    </w:p>
    <w:p w14:paraId="00000020" w14:textId="77777777" w:rsidR="008D6C6B" w:rsidRDefault="008D6C6B">
      <w:pPr>
        <w:spacing w:before="200" w:line="480" w:lineRule="auto"/>
        <w:rPr>
          <w:sz w:val="24"/>
          <w:szCs w:val="24"/>
        </w:rPr>
      </w:pPr>
    </w:p>
    <w:p w14:paraId="00000021" w14:textId="77777777" w:rsidR="008D6C6B" w:rsidRDefault="008D6C6B">
      <w:pPr>
        <w:spacing w:before="200" w:line="480" w:lineRule="auto"/>
        <w:rPr>
          <w:sz w:val="24"/>
          <w:szCs w:val="24"/>
        </w:rPr>
      </w:pPr>
    </w:p>
    <w:p w14:paraId="00000022" w14:textId="77777777" w:rsidR="008D6C6B" w:rsidRDefault="008D6C6B">
      <w:pPr>
        <w:spacing w:before="200" w:line="480" w:lineRule="auto"/>
        <w:rPr>
          <w:sz w:val="24"/>
          <w:szCs w:val="24"/>
        </w:rPr>
      </w:pPr>
    </w:p>
    <w:p w14:paraId="00000023" w14:textId="77777777" w:rsidR="008D6C6B" w:rsidRDefault="000540CB">
      <w:pPr>
        <w:spacing w:before="200"/>
        <w:jc w:val="center"/>
        <w:rPr>
          <w:sz w:val="24"/>
          <w:szCs w:val="24"/>
          <w:u w:val="single"/>
        </w:rPr>
      </w:pPr>
      <w:r>
        <w:rPr>
          <w:sz w:val="24"/>
          <w:szCs w:val="24"/>
          <w:u w:val="single"/>
        </w:rPr>
        <w:lastRenderedPageBreak/>
        <w:t>Reference list</w:t>
      </w:r>
    </w:p>
    <w:p w14:paraId="00000024" w14:textId="779DEAC4" w:rsidR="008D6C6B" w:rsidRDefault="000540CB">
      <w:pPr>
        <w:spacing w:before="200"/>
        <w:rPr>
          <w:sz w:val="24"/>
          <w:szCs w:val="24"/>
        </w:rPr>
      </w:pPr>
      <w:r>
        <w:rPr>
          <w:sz w:val="24"/>
          <w:szCs w:val="24"/>
        </w:rPr>
        <w:t xml:space="preserve">Asmundson, G. and Afifi, T. (2019) </w:t>
      </w:r>
      <w:r>
        <w:rPr>
          <w:i/>
          <w:sz w:val="24"/>
          <w:szCs w:val="24"/>
        </w:rPr>
        <w:t>Adverse Childhood Experiences: Using Evidence to Advance Research, Practice, Policy, and Prevention</w:t>
      </w:r>
      <w:r>
        <w:rPr>
          <w:sz w:val="24"/>
          <w:szCs w:val="24"/>
        </w:rPr>
        <w:t xml:space="preserve">. </w:t>
      </w:r>
      <w:r w:rsidR="000E6E28">
        <w:rPr>
          <w:sz w:val="24"/>
          <w:szCs w:val="24"/>
        </w:rPr>
        <w:t>London</w:t>
      </w:r>
      <w:r>
        <w:rPr>
          <w:sz w:val="24"/>
          <w:szCs w:val="24"/>
        </w:rPr>
        <w:t>: Elsevier.</w:t>
      </w:r>
    </w:p>
    <w:p w14:paraId="00000025" w14:textId="77777777" w:rsidR="008D6C6B" w:rsidRDefault="008D6C6B">
      <w:pPr>
        <w:spacing w:before="200"/>
        <w:rPr>
          <w:sz w:val="24"/>
          <w:szCs w:val="24"/>
        </w:rPr>
      </w:pPr>
    </w:p>
    <w:p w14:paraId="00000026" w14:textId="77777777" w:rsidR="008D6C6B" w:rsidRDefault="000540CB">
      <w:pPr>
        <w:spacing w:before="200"/>
        <w:rPr>
          <w:sz w:val="24"/>
          <w:szCs w:val="24"/>
        </w:rPr>
      </w:pPr>
      <w:r>
        <w:rPr>
          <w:sz w:val="24"/>
          <w:szCs w:val="24"/>
        </w:rPr>
        <w:t xml:space="preserve">Barras, C. (2018) </w:t>
      </w:r>
      <w:r>
        <w:rPr>
          <w:i/>
          <w:sz w:val="24"/>
          <w:szCs w:val="24"/>
        </w:rPr>
        <w:t>The Controversial Debut of Genes in Criminal Cases</w:t>
      </w:r>
      <w:r>
        <w:rPr>
          <w:sz w:val="24"/>
          <w:szCs w:val="24"/>
        </w:rPr>
        <w:t xml:space="preserve">. Available at </w:t>
      </w:r>
      <w:hyperlink r:id="rId8">
        <w:r>
          <w:rPr>
            <w:color w:val="1155CC"/>
            <w:sz w:val="24"/>
            <w:szCs w:val="24"/>
            <w:u w:val="single"/>
          </w:rPr>
          <w:t>https://www.bbc.com/future/article/20180530-the-controversial-debut-of-genes-in-criminal-cases</w:t>
        </w:r>
      </w:hyperlink>
      <w:r>
        <w:rPr>
          <w:sz w:val="24"/>
          <w:szCs w:val="24"/>
        </w:rPr>
        <w:t xml:space="preserve"> (Accessed: Friday March 4, 2022).</w:t>
      </w:r>
    </w:p>
    <w:p w14:paraId="00000027" w14:textId="77777777" w:rsidR="008D6C6B" w:rsidRDefault="008D6C6B">
      <w:pPr>
        <w:spacing w:before="200"/>
        <w:rPr>
          <w:sz w:val="24"/>
          <w:szCs w:val="24"/>
        </w:rPr>
      </w:pPr>
    </w:p>
    <w:p w14:paraId="00000028" w14:textId="3D5C9D9C" w:rsidR="008D6C6B" w:rsidRDefault="000540CB">
      <w:pPr>
        <w:spacing w:before="200"/>
        <w:rPr>
          <w:sz w:val="24"/>
          <w:szCs w:val="24"/>
        </w:rPr>
      </w:pPr>
      <w:r>
        <w:rPr>
          <w:sz w:val="24"/>
          <w:szCs w:val="24"/>
        </w:rPr>
        <w:t xml:space="preserve">Beaver, K., Barnes, J.C. and Boutwell, B. (2014) </w:t>
      </w:r>
      <w:r>
        <w:rPr>
          <w:i/>
          <w:sz w:val="24"/>
          <w:szCs w:val="24"/>
        </w:rPr>
        <w:t xml:space="preserve">The Nurture Versus Biosocial Debate in Criminology: On the Origins of Criminal Behaviour and </w:t>
      </w:r>
      <w:r w:rsidR="000E6E28">
        <w:rPr>
          <w:i/>
          <w:sz w:val="24"/>
          <w:szCs w:val="24"/>
        </w:rPr>
        <w:t>Criminality</w:t>
      </w:r>
      <w:r w:rsidR="000E6E28">
        <w:rPr>
          <w:sz w:val="24"/>
          <w:szCs w:val="24"/>
        </w:rPr>
        <w:t>. London</w:t>
      </w:r>
      <w:r>
        <w:rPr>
          <w:sz w:val="24"/>
          <w:szCs w:val="24"/>
        </w:rPr>
        <w:t>: SAGE publications.</w:t>
      </w:r>
    </w:p>
    <w:p w14:paraId="00000029" w14:textId="77777777" w:rsidR="008D6C6B" w:rsidRDefault="008D6C6B">
      <w:pPr>
        <w:spacing w:before="200"/>
        <w:rPr>
          <w:sz w:val="24"/>
          <w:szCs w:val="24"/>
        </w:rPr>
      </w:pPr>
    </w:p>
    <w:p w14:paraId="0000002A" w14:textId="77777777" w:rsidR="008D6C6B" w:rsidRDefault="000540CB">
      <w:pPr>
        <w:spacing w:before="200"/>
        <w:rPr>
          <w:sz w:val="24"/>
          <w:szCs w:val="24"/>
        </w:rPr>
      </w:pPr>
      <w:r>
        <w:rPr>
          <w:sz w:val="24"/>
          <w:szCs w:val="24"/>
        </w:rPr>
        <w:t xml:space="preserve">Behl, J. and Steverson, L. (2021) </w:t>
      </w:r>
      <w:r>
        <w:rPr>
          <w:i/>
          <w:sz w:val="24"/>
          <w:szCs w:val="24"/>
        </w:rPr>
        <w:t>Criminal Theory Profiles: Inside the Minds of Theorists of Crime and Deviance</w:t>
      </w:r>
      <w:r>
        <w:rPr>
          <w:sz w:val="24"/>
          <w:szCs w:val="24"/>
        </w:rPr>
        <w:t>. London: Routledge.</w:t>
      </w:r>
    </w:p>
    <w:p w14:paraId="0000002B" w14:textId="77777777" w:rsidR="008D6C6B" w:rsidRDefault="008D6C6B">
      <w:pPr>
        <w:spacing w:before="200"/>
        <w:rPr>
          <w:sz w:val="24"/>
          <w:szCs w:val="24"/>
        </w:rPr>
      </w:pPr>
    </w:p>
    <w:p w14:paraId="0000002C" w14:textId="77777777" w:rsidR="008D6C6B" w:rsidRDefault="000540CB">
      <w:pPr>
        <w:spacing w:before="200"/>
        <w:rPr>
          <w:sz w:val="24"/>
          <w:szCs w:val="24"/>
        </w:rPr>
      </w:pPr>
      <w:r>
        <w:rPr>
          <w:sz w:val="24"/>
          <w:szCs w:val="24"/>
        </w:rPr>
        <w:t xml:space="preserve">Boullier, M. and Blair, M. (2018) ‘Adverse Childhood Experiences’, </w:t>
      </w:r>
      <w:r>
        <w:rPr>
          <w:i/>
          <w:sz w:val="24"/>
          <w:szCs w:val="24"/>
        </w:rPr>
        <w:t>Paediatrics and Child Health</w:t>
      </w:r>
      <w:r>
        <w:rPr>
          <w:sz w:val="24"/>
          <w:szCs w:val="24"/>
        </w:rPr>
        <w:t>, 28 (3), pp. 132-137. DOI: 10.1016/j.paed.2017.12.008.</w:t>
      </w:r>
    </w:p>
    <w:p w14:paraId="0000002D" w14:textId="77777777" w:rsidR="008D6C6B" w:rsidRDefault="008D6C6B">
      <w:pPr>
        <w:spacing w:before="200"/>
        <w:rPr>
          <w:sz w:val="24"/>
          <w:szCs w:val="24"/>
        </w:rPr>
      </w:pPr>
    </w:p>
    <w:p w14:paraId="0000002E" w14:textId="77777777" w:rsidR="008D6C6B" w:rsidRDefault="000540CB">
      <w:pPr>
        <w:spacing w:before="200"/>
        <w:rPr>
          <w:sz w:val="24"/>
          <w:szCs w:val="24"/>
        </w:rPr>
      </w:pPr>
      <w:r>
        <w:rPr>
          <w:sz w:val="24"/>
          <w:szCs w:val="24"/>
        </w:rPr>
        <w:t xml:space="preserve">Brown, E., Ware, G. and Cassimally, K. (2019) ‘Knife Crime: Causes and Solutions- Editors’ Guide to What our Academic Experts say’, </w:t>
      </w:r>
      <w:r>
        <w:rPr>
          <w:i/>
          <w:sz w:val="24"/>
          <w:szCs w:val="24"/>
        </w:rPr>
        <w:t xml:space="preserve">The Conversation, </w:t>
      </w:r>
      <w:r>
        <w:rPr>
          <w:sz w:val="24"/>
          <w:szCs w:val="24"/>
        </w:rPr>
        <w:t xml:space="preserve">11th March. Available at </w:t>
      </w:r>
      <w:hyperlink r:id="rId9">
        <w:r>
          <w:rPr>
            <w:color w:val="1155CC"/>
            <w:sz w:val="24"/>
            <w:szCs w:val="24"/>
            <w:u w:val="single"/>
          </w:rPr>
          <w:t>https://theconversation.com/knife-crime-causes-and-solutions-editors-guide-to-what-our-academic-experts-say-113318</w:t>
        </w:r>
      </w:hyperlink>
      <w:r>
        <w:rPr>
          <w:sz w:val="24"/>
          <w:szCs w:val="24"/>
        </w:rPr>
        <w:t xml:space="preserve"> (Accessed: Monday March 7, 2022). </w:t>
      </w:r>
    </w:p>
    <w:p w14:paraId="0000002F" w14:textId="77777777" w:rsidR="008D6C6B" w:rsidRDefault="008D6C6B">
      <w:pPr>
        <w:spacing w:before="200"/>
        <w:rPr>
          <w:sz w:val="24"/>
          <w:szCs w:val="24"/>
        </w:rPr>
      </w:pPr>
    </w:p>
    <w:p w14:paraId="00000030" w14:textId="77777777" w:rsidR="008D6C6B" w:rsidRDefault="000540CB">
      <w:pPr>
        <w:spacing w:before="200"/>
        <w:rPr>
          <w:sz w:val="24"/>
          <w:szCs w:val="24"/>
        </w:rPr>
      </w:pPr>
      <w:r>
        <w:rPr>
          <w:sz w:val="24"/>
          <w:szCs w:val="24"/>
        </w:rPr>
        <w:t xml:space="preserve">Catley, P. and Claydon, L. (2015) ‘The Use of Neuroscientific Evidence in the Courtroom by those Accused of Criminal Offences in England and Wales’, </w:t>
      </w:r>
      <w:r>
        <w:rPr>
          <w:i/>
          <w:sz w:val="24"/>
          <w:szCs w:val="24"/>
        </w:rPr>
        <w:t xml:space="preserve">Journal of Law and the Biosciences, </w:t>
      </w:r>
      <w:r>
        <w:rPr>
          <w:sz w:val="24"/>
          <w:szCs w:val="24"/>
        </w:rPr>
        <w:t>2 (3), pp. 510-549. DOI: 10.1093/jlb/lsv025.</w:t>
      </w:r>
    </w:p>
    <w:p w14:paraId="00000031" w14:textId="77777777" w:rsidR="008D6C6B" w:rsidRDefault="008D6C6B">
      <w:pPr>
        <w:spacing w:before="200"/>
        <w:rPr>
          <w:sz w:val="24"/>
          <w:szCs w:val="24"/>
        </w:rPr>
      </w:pPr>
    </w:p>
    <w:p w14:paraId="00000032" w14:textId="77777777" w:rsidR="008D6C6B" w:rsidRDefault="000540CB">
      <w:pPr>
        <w:spacing w:before="200"/>
        <w:rPr>
          <w:sz w:val="24"/>
          <w:szCs w:val="24"/>
        </w:rPr>
      </w:pPr>
      <w:r>
        <w:rPr>
          <w:sz w:val="24"/>
          <w:szCs w:val="24"/>
        </w:rPr>
        <w:t xml:space="preserve">Cherry, K. (2021) </w:t>
      </w:r>
      <w:r>
        <w:rPr>
          <w:i/>
          <w:sz w:val="24"/>
          <w:szCs w:val="24"/>
        </w:rPr>
        <w:t>How Social Learning Theory Works</w:t>
      </w:r>
      <w:r>
        <w:rPr>
          <w:sz w:val="24"/>
          <w:szCs w:val="24"/>
        </w:rPr>
        <w:t xml:space="preserve">. Available at </w:t>
      </w:r>
      <w:hyperlink r:id="rId10">
        <w:r>
          <w:rPr>
            <w:color w:val="1155CC"/>
            <w:sz w:val="24"/>
            <w:szCs w:val="24"/>
            <w:u w:val="single"/>
          </w:rPr>
          <w:t>https://www.verywellmind.com/social-learning-theory-2795074</w:t>
        </w:r>
      </w:hyperlink>
      <w:r>
        <w:rPr>
          <w:sz w:val="24"/>
          <w:szCs w:val="24"/>
        </w:rPr>
        <w:t xml:space="preserve"> (Accessed: Sunday March 6, 2022).</w:t>
      </w:r>
    </w:p>
    <w:p w14:paraId="00000033" w14:textId="77777777" w:rsidR="008D6C6B" w:rsidRDefault="000540CB">
      <w:pPr>
        <w:spacing w:before="200"/>
        <w:rPr>
          <w:sz w:val="24"/>
          <w:szCs w:val="24"/>
        </w:rPr>
      </w:pPr>
      <w:r>
        <w:rPr>
          <w:sz w:val="24"/>
          <w:szCs w:val="24"/>
        </w:rPr>
        <w:lastRenderedPageBreak/>
        <w:t xml:space="preserve">Clark, D. (2022) ‘Number of Homicide Offences Involving a Knife or Sharp Instrument in England and Wales from 2010/11 to 2020/21’, </w:t>
      </w:r>
      <w:r>
        <w:rPr>
          <w:i/>
          <w:sz w:val="24"/>
          <w:szCs w:val="24"/>
        </w:rPr>
        <w:t xml:space="preserve">Statista, </w:t>
      </w:r>
      <w:r>
        <w:rPr>
          <w:sz w:val="24"/>
          <w:szCs w:val="24"/>
        </w:rPr>
        <w:t xml:space="preserve">10th February. Available at </w:t>
      </w:r>
      <w:hyperlink r:id="rId11">
        <w:r>
          <w:rPr>
            <w:color w:val="1155CC"/>
            <w:sz w:val="24"/>
            <w:szCs w:val="24"/>
            <w:u w:val="single"/>
          </w:rPr>
          <w:t>https://www.statista.com/statistics/978830/knife-homicides-in-england-and-wales/</w:t>
        </w:r>
      </w:hyperlink>
      <w:r>
        <w:rPr>
          <w:sz w:val="24"/>
          <w:szCs w:val="24"/>
        </w:rPr>
        <w:t xml:space="preserve"> (Accessed: Monday March 7, 2022).  </w:t>
      </w:r>
    </w:p>
    <w:p w14:paraId="00000034" w14:textId="77777777" w:rsidR="008D6C6B" w:rsidRDefault="008D6C6B">
      <w:pPr>
        <w:spacing w:before="200"/>
        <w:rPr>
          <w:sz w:val="24"/>
          <w:szCs w:val="24"/>
        </w:rPr>
      </w:pPr>
    </w:p>
    <w:p w14:paraId="00000035" w14:textId="77777777" w:rsidR="008D6C6B" w:rsidRDefault="000540CB">
      <w:pPr>
        <w:spacing w:before="200"/>
        <w:rPr>
          <w:sz w:val="24"/>
          <w:szCs w:val="24"/>
        </w:rPr>
      </w:pPr>
      <w:r>
        <w:rPr>
          <w:sz w:val="24"/>
          <w:szCs w:val="24"/>
        </w:rPr>
        <w:t xml:space="preserve">Clarke, R. (2018) ‘Regulating Crime: The Idea, Its Nurture, and the Implications for Contemporary Criminology’, </w:t>
      </w:r>
      <w:r>
        <w:rPr>
          <w:i/>
          <w:sz w:val="24"/>
          <w:szCs w:val="24"/>
        </w:rPr>
        <w:t xml:space="preserve">The Annals of the American Academy, </w:t>
      </w:r>
      <w:r>
        <w:rPr>
          <w:sz w:val="24"/>
          <w:szCs w:val="24"/>
        </w:rPr>
        <w:t>679, pp. 20-35. DOI: 10.1177/0002716218775031.</w:t>
      </w:r>
      <w:r>
        <w:rPr>
          <w:i/>
          <w:sz w:val="24"/>
          <w:szCs w:val="24"/>
        </w:rPr>
        <w:t xml:space="preserve"> </w:t>
      </w:r>
    </w:p>
    <w:p w14:paraId="00000036" w14:textId="77777777" w:rsidR="008D6C6B" w:rsidRDefault="008D6C6B">
      <w:pPr>
        <w:spacing w:before="200"/>
        <w:rPr>
          <w:sz w:val="24"/>
          <w:szCs w:val="24"/>
        </w:rPr>
      </w:pPr>
    </w:p>
    <w:p w14:paraId="00000037" w14:textId="77777777" w:rsidR="008D6C6B" w:rsidRDefault="000540CB">
      <w:pPr>
        <w:spacing w:before="200"/>
        <w:rPr>
          <w:sz w:val="24"/>
          <w:szCs w:val="24"/>
        </w:rPr>
      </w:pPr>
      <w:r>
        <w:rPr>
          <w:sz w:val="24"/>
          <w:szCs w:val="24"/>
        </w:rPr>
        <w:t xml:space="preserve">Farahany, N. and Robinson, G. (2021) ‘Criminal Defendants still Cite a ‘Gene for Violence’. It Doesn’t Exist.’, </w:t>
      </w:r>
      <w:r>
        <w:rPr>
          <w:i/>
          <w:sz w:val="24"/>
          <w:szCs w:val="24"/>
        </w:rPr>
        <w:t xml:space="preserve">The Washington Post, </w:t>
      </w:r>
      <w:r>
        <w:rPr>
          <w:sz w:val="24"/>
          <w:szCs w:val="24"/>
        </w:rPr>
        <w:t xml:space="preserve">18th March. Available at </w:t>
      </w:r>
      <w:hyperlink r:id="rId12">
        <w:r>
          <w:rPr>
            <w:color w:val="1155CC"/>
            <w:sz w:val="24"/>
            <w:szCs w:val="24"/>
            <w:u w:val="single"/>
          </w:rPr>
          <w:t>https://www.washingtonpost.com/outlook/2021/03/18/genetics-criminal-defense-warrior-violence/</w:t>
        </w:r>
      </w:hyperlink>
      <w:r>
        <w:rPr>
          <w:sz w:val="24"/>
          <w:szCs w:val="24"/>
        </w:rPr>
        <w:t xml:space="preserve"> (Accessed: Friday March 4, 2022).</w:t>
      </w:r>
    </w:p>
    <w:p w14:paraId="00000038" w14:textId="77777777" w:rsidR="008D6C6B" w:rsidRDefault="008D6C6B">
      <w:pPr>
        <w:spacing w:before="200"/>
        <w:rPr>
          <w:sz w:val="24"/>
          <w:szCs w:val="24"/>
        </w:rPr>
      </w:pPr>
    </w:p>
    <w:p w14:paraId="00000039" w14:textId="77777777" w:rsidR="008D6C6B" w:rsidRDefault="000540CB">
      <w:pPr>
        <w:spacing w:before="200"/>
        <w:rPr>
          <w:sz w:val="24"/>
          <w:szCs w:val="24"/>
        </w:rPr>
      </w:pPr>
      <w:r>
        <w:rPr>
          <w:sz w:val="24"/>
          <w:szCs w:val="24"/>
        </w:rPr>
        <w:t xml:space="preserve">Felitti, V. (2009) ‘Adverse Childhood Experiences and Adult Health’, </w:t>
      </w:r>
      <w:r>
        <w:rPr>
          <w:i/>
          <w:sz w:val="24"/>
          <w:szCs w:val="24"/>
        </w:rPr>
        <w:t>Academic Pediatrics</w:t>
      </w:r>
      <w:r>
        <w:rPr>
          <w:sz w:val="24"/>
          <w:szCs w:val="24"/>
        </w:rPr>
        <w:t>, 9 (3), pp. 131-132. DOI: 10.1016/j.acap.2009.03.001.</w:t>
      </w:r>
    </w:p>
    <w:p w14:paraId="0000003A" w14:textId="77777777" w:rsidR="008D6C6B" w:rsidRDefault="000540CB">
      <w:pPr>
        <w:spacing w:before="200"/>
        <w:rPr>
          <w:i/>
          <w:sz w:val="24"/>
          <w:szCs w:val="24"/>
        </w:rPr>
      </w:pPr>
      <w:r>
        <w:rPr>
          <w:i/>
          <w:sz w:val="24"/>
          <w:szCs w:val="24"/>
        </w:rPr>
        <w:t xml:space="preserve"> </w:t>
      </w:r>
    </w:p>
    <w:p w14:paraId="0000003B" w14:textId="77777777" w:rsidR="008D6C6B" w:rsidRDefault="000540CB">
      <w:pPr>
        <w:spacing w:before="200"/>
        <w:rPr>
          <w:sz w:val="24"/>
          <w:szCs w:val="24"/>
        </w:rPr>
      </w:pPr>
      <w:r>
        <w:rPr>
          <w:sz w:val="24"/>
          <w:szCs w:val="24"/>
        </w:rPr>
        <w:t>Gibson, M. (2013) ‘Cesare Lombroso, Prison Science, and Penal Policy’, in Knepper, P. and Ystehede, P.J. (2013) The Cesare Lombroso Handbook. London: Routledge.</w:t>
      </w:r>
    </w:p>
    <w:p w14:paraId="0000003C" w14:textId="77777777" w:rsidR="008D6C6B" w:rsidRDefault="008D6C6B">
      <w:pPr>
        <w:spacing w:before="200"/>
        <w:rPr>
          <w:sz w:val="24"/>
          <w:szCs w:val="24"/>
        </w:rPr>
      </w:pPr>
    </w:p>
    <w:p w14:paraId="0000003D" w14:textId="77777777" w:rsidR="008D6C6B" w:rsidRDefault="000540CB">
      <w:pPr>
        <w:spacing w:before="200"/>
        <w:rPr>
          <w:sz w:val="24"/>
          <w:szCs w:val="24"/>
        </w:rPr>
      </w:pPr>
      <w:r>
        <w:rPr>
          <w:sz w:val="24"/>
          <w:szCs w:val="24"/>
        </w:rPr>
        <w:t xml:space="preserve">Gillham, N. (2011) </w:t>
      </w:r>
      <w:r>
        <w:rPr>
          <w:i/>
          <w:sz w:val="24"/>
          <w:szCs w:val="24"/>
        </w:rPr>
        <w:t xml:space="preserve">Genes, Chromosomes, and Disease: From Simple Traits, to Complex Traits, to Personalized Medicine. </w:t>
      </w:r>
      <w:r>
        <w:rPr>
          <w:sz w:val="24"/>
          <w:szCs w:val="24"/>
        </w:rPr>
        <w:t xml:space="preserve">New Jersey: FT Press. </w:t>
      </w:r>
    </w:p>
    <w:p w14:paraId="0000003E" w14:textId="77777777" w:rsidR="008D6C6B" w:rsidRDefault="008D6C6B">
      <w:pPr>
        <w:spacing w:before="200"/>
        <w:rPr>
          <w:sz w:val="24"/>
          <w:szCs w:val="24"/>
        </w:rPr>
      </w:pPr>
    </w:p>
    <w:p w14:paraId="0000003F" w14:textId="77777777" w:rsidR="008D6C6B" w:rsidRDefault="000540CB">
      <w:pPr>
        <w:spacing w:before="200"/>
        <w:rPr>
          <w:sz w:val="24"/>
          <w:szCs w:val="24"/>
        </w:rPr>
      </w:pPr>
      <w:r>
        <w:rPr>
          <w:sz w:val="24"/>
          <w:szCs w:val="24"/>
        </w:rPr>
        <w:t xml:space="preserve">Harding, S. (2020) ‘Getting to the Point? Reframing Narratives on Knife Crime’, </w:t>
      </w:r>
      <w:r>
        <w:rPr>
          <w:i/>
          <w:sz w:val="24"/>
          <w:szCs w:val="24"/>
        </w:rPr>
        <w:t xml:space="preserve">Youth Justice, </w:t>
      </w:r>
      <w:r>
        <w:rPr>
          <w:sz w:val="24"/>
          <w:szCs w:val="24"/>
        </w:rPr>
        <w:t>20 (1-2), pp. 31-49. DOI: 10.1177/1473225419893781.</w:t>
      </w:r>
    </w:p>
    <w:p w14:paraId="00000040" w14:textId="77777777" w:rsidR="008D6C6B" w:rsidRDefault="008D6C6B">
      <w:pPr>
        <w:spacing w:before="200"/>
        <w:rPr>
          <w:sz w:val="24"/>
          <w:szCs w:val="24"/>
        </w:rPr>
      </w:pPr>
    </w:p>
    <w:p w14:paraId="00000041" w14:textId="77777777" w:rsidR="008D6C6B" w:rsidRDefault="000540CB">
      <w:pPr>
        <w:spacing w:before="200"/>
        <w:rPr>
          <w:sz w:val="24"/>
          <w:szCs w:val="24"/>
        </w:rPr>
      </w:pPr>
      <w:r>
        <w:rPr>
          <w:sz w:val="24"/>
          <w:szCs w:val="24"/>
        </w:rPr>
        <w:t xml:space="preserve">Haylock, S., Boshari, T., Alexander, E., Kumar, A., Manikam, L. and Pinder, R. (2020) ‘Risk Factors Associated with Knife-Crime in United Kingdom Among Young People aged 10-24 years: A Systematic Review’, </w:t>
      </w:r>
      <w:r>
        <w:rPr>
          <w:i/>
          <w:sz w:val="24"/>
          <w:szCs w:val="24"/>
        </w:rPr>
        <w:t xml:space="preserve">BMC Public Health, </w:t>
      </w:r>
      <w:r>
        <w:rPr>
          <w:sz w:val="24"/>
          <w:szCs w:val="24"/>
        </w:rPr>
        <w:t xml:space="preserve">20 (1451), pp. 1-19. DOI: 10.1186/s12889-020-09498-4.  </w:t>
      </w:r>
    </w:p>
    <w:p w14:paraId="00000042" w14:textId="77777777" w:rsidR="008D6C6B" w:rsidRDefault="008D6C6B">
      <w:pPr>
        <w:spacing w:before="200"/>
        <w:rPr>
          <w:sz w:val="24"/>
          <w:szCs w:val="24"/>
        </w:rPr>
      </w:pPr>
    </w:p>
    <w:p w14:paraId="00000043" w14:textId="77777777" w:rsidR="008D6C6B" w:rsidRDefault="000540CB">
      <w:pPr>
        <w:spacing w:before="200"/>
        <w:rPr>
          <w:sz w:val="24"/>
          <w:szCs w:val="24"/>
        </w:rPr>
      </w:pPr>
      <w:r>
        <w:rPr>
          <w:sz w:val="24"/>
          <w:szCs w:val="24"/>
        </w:rPr>
        <w:lastRenderedPageBreak/>
        <w:t xml:space="preserve">Hogenboom, M. (2014) ‘Two Genes Linked with Violent Crime’, </w:t>
      </w:r>
      <w:r>
        <w:rPr>
          <w:i/>
          <w:sz w:val="24"/>
          <w:szCs w:val="24"/>
        </w:rPr>
        <w:t xml:space="preserve">BBC News, </w:t>
      </w:r>
      <w:r>
        <w:rPr>
          <w:sz w:val="24"/>
          <w:szCs w:val="24"/>
        </w:rPr>
        <w:t xml:space="preserve">28th October. Available at </w:t>
      </w:r>
      <w:hyperlink r:id="rId13">
        <w:r>
          <w:rPr>
            <w:color w:val="1155CC"/>
            <w:sz w:val="24"/>
            <w:szCs w:val="24"/>
            <w:u w:val="single"/>
          </w:rPr>
          <w:t>https://www.bbc.co.uk/news/science-environment-29760212</w:t>
        </w:r>
      </w:hyperlink>
      <w:r>
        <w:rPr>
          <w:sz w:val="24"/>
          <w:szCs w:val="24"/>
        </w:rPr>
        <w:t xml:space="preserve"> (Accessed: Friday March 4, 2022).</w:t>
      </w:r>
    </w:p>
    <w:p w14:paraId="00000044" w14:textId="77777777" w:rsidR="008D6C6B" w:rsidRDefault="008D6C6B">
      <w:pPr>
        <w:spacing w:before="200"/>
        <w:rPr>
          <w:sz w:val="24"/>
          <w:szCs w:val="24"/>
        </w:rPr>
      </w:pPr>
    </w:p>
    <w:p w14:paraId="00000045" w14:textId="77777777" w:rsidR="008D6C6B" w:rsidRDefault="000540CB">
      <w:pPr>
        <w:spacing w:before="200"/>
        <w:rPr>
          <w:sz w:val="24"/>
          <w:szCs w:val="24"/>
        </w:rPr>
      </w:pPr>
      <w:r>
        <w:rPr>
          <w:sz w:val="24"/>
          <w:szCs w:val="24"/>
        </w:rPr>
        <w:t xml:space="preserve">Hunt, T., Berger, L. and Slack, K. (2017) ‘Adverse Childhood Experiences and Behavioral Problems in Middle Children’, </w:t>
      </w:r>
      <w:r>
        <w:rPr>
          <w:i/>
          <w:sz w:val="24"/>
          <w:szCs w:val="24"/>
        </w:rPr>
        <w:t xml:space="preserve">Child Abuse and Neglect, </w:t>
      </w:r>
      <w:r>
        <w:rPr>
          <w:sz w:val="24"/>
          <w:szCs w:val="24"/>
        </w:rPr>
        <w:t>67, pp. 391-402. DOI: 10.1016/j.chiabu.2016.11.005.</w:t>
      </w:r>
    </w:p>
    <w:p w14:paraId="00000046" w14:textId="77777777" w:rsidR="008D6C6B" w:rsidRDefault="008D6C6B">
      <w:pPr>
        <w:spacing w:before="200"/>
        <w:rPr>
          <w:sz w:val="24"/>
          <w:szCs w:val="24"/>
        </w:rPr>
      </w:pPr>
    </w:p>
    <w:p w14:paraId="00000047" w14:textId="77777777" w:rsidR="008D6C6B" w:rsidRDefault="000540CB">
      <w:pPr>
        <w:spacing w:before="200"/>
        <w:rPr>
          <w:sz w:val="24"/>
          <w:szCs w:val="24"/>
        </w:rPr>
      </w:pPr>
      <w:r>
        <w:rPr>
          <w:sz w:val="24"/>
          <w:szCs w:val="24"/>
        </w:rPr>
        <w:t xml:space="preserve">Lamrhari, D. (2021) ‘Source or Symptom of Violence?’, </w:t>
      </w:r>
      <w:r>
        <w:rPr>
          <w:i/>
          <w:sz w:val="24"/>
          <w:szCs w:val="24"/>
        </w:rPr>
        <w:t xml:space="preserve">The Children’s Society </w:t>
      </w:r>
      <w:r>
        <w:rPr>
          <w:sz w:val="24"/>
          <w:szCs w:val="24"/>
        </w:rPr>
        <w:t xml:space="preserve">[blog]. 6th January. Available at </w:t>
      </w:r>
      <w:hyperlink r:id="rId14" w:anchor=":~:text=Drill%20music%20is%20a%20type,grow%20up%20in%20deprived%20areas">
        <w:r>
          <w:rPr>
            <w:color w:val="1155CC"/>
            <w:sz w:val="24"/>
            <w:szCs w:val="24"/>
            <w:u w:val="single"/>
          </w:rPr>
          <w:t>https://www.childrenssociety.org.uk/what-we-do/blogs/culture-of-drill-music#:~:text=Drill%20music%20is%20a%20type,grow%20up%20in%20deprived%20areas</w:t>
        </w:r>
      </w:hyperlink>
      <w:r>
        <w:rPr>
          <w:sz w:val="24"/>
          <w:szCs w:val="24"/>
        </w:rPr>
        <w:t xml:space="preserve"> (Accessed: Monday March 7, 2022). </w:t>
      </w:r>
    </w:p>
    <w:p w14:paraId="00000048" w14:textId="77777777" w:rsidR="008D6C6B" w:rsidRDefault="008D6C6B">
      <w:pPr>
        <w:spacing w:before="200"/>
        <w:rPr>
          <w:sz w:val="24"/>
          <w:szCs w:val="24"/>
        </w:rPr>
      </w:pPr>
    </w:p>
    <w:p w14:paraId="00000049" w14:textId="77777777" w:rsidR="008D6C6B" w:rsidRDefault="000540CB">
      <w:pPr>
        <w:spacing w:before="200"/>
        <w:rPr>
          <w:sz w:val="24"/>
          <w:szCs w:val="24"/>
        </w:rPr>
      </w:pPr>
      <w:r>
        <w:rPr>
          <w:sz w:val="24"/>
          <w:szCs w:val="24"/>
        </w:rPr>
        <w:t xml:space="preserve">Levitt, M. (2013) ‘Perceptions of Nature, Nurture and Behaviour’, </w:t>
      </w:r>
      <w:r>
        <w:rPr>
          <w:i/>
          <w:sz w:val="24"/>
          <w:szCs w:val="24"/>
        </w:rPr>
        <w:t xml:space="preserve">Life Sciences, Society and Policy, </w:t>
      </w:r>
      <w:r>
        <w:rPr>
          <w:sz w:val="24"/>
          <w:szCs w:val="24"/>
        </w:rPr>
        <w:t xml:space="preserve">9 (13), pp. 1-11. DOI: 10.1186/2195-7819-9-13. </w:t>
      </w:r>
    </w:p>
    <w:p w14:paraId="0000004A" w14:textId="77777777" w:rsidR="008D6C6B" w:rsidRDefault="008D6C6B">
      <w:pPr>
        <w:spacing w:before="200"/>
        <w:rPr>
          <w:sz w:val="24"/>
          <w:szCs w:val="24"/>
        </w:rPr>
      </w:pPr>
    </w:p>
    <w:p w14:paraId="0000004B" w14:textId="77777777" w:rsidR="008D6C6B" w:rsidRDefault="000540CB">
      <w:pPr>
        <w:spacing w:before="200"/>
        <w:rPr>
          <w:sz w:val="24"/>
          <w:szCs w:val="24"/>
        </w:rPr>
      </w:pPr>
      <w:r>
        <w:rPr>
          <w:sz w:val="24"/>
          <w:szCs w:val="24"/>
        </w:rPr>
        <w:t xml:space="preserve">Lewis, G., Haworth, C. and Plomin, R. (2014) ‘Identical Genetic Influences Underpin Behaviour Problems in Adolescence and Basic Traits of Personality’, </w:t>
      </w:r>
      <w:r>
        <w:rPr>
          <w:i/>
          <w:sz w:val="24"/>
          <w:szCs w:val="24"/>
        </w:rPr>
        <w:t xml:space="preserve">Journal of Child Psychology and Psychiatry, </w:t>
      </w:r>
      <w:r>
        <w:rPr>
          <w:sz w:val="24"/>
          <w:szCs w:val="24"/>
        </w:rPr>
        <w:t xml:space="preserve">55 (8), pp. 865-875. DOI: 10.1111/jcpp.12156.  </w:t>
      </w:r>
    </w:p>
    <w:p w14:paraId="0000004C" w14:textId="77777777" w:rsidR="008D6C6B" w:rsidRDefault="008D6C6B">
      <w:pPr>
        <w:spacing w:before="200"/>
        <w:rPr>
          <w:sz w:val="24"/>
          <w:szCs w:val="24"/>
        </w:rPr>
      </w:pPr>
    </w:p>
    <w:p w14:paraId="0000004D" w14:textId="77777777" w:rsidR="008D6C6B" w:rsidRDefault="000540CB">
      <w:pPr>
        <w:spacing w:before="200"/>
        <w:rPr>
          <w:sz w:val="24"/>
          <w:szCs w:val="24"/>
        </w:rPr>
      </w:pPr>
      <w:r>
        <w:rPr>
          <w:sz w:val="24"/>
          <w:szCs w:val="24"/>
        </w:rPr>
        <w:t xml:space="preserve">Moss, B. (2018) ‘How School Expulsions Could be Fuelling the Rise in Youth Violence’, </w:t>
      </w:r>
      <w:r>
        <w:rPr>
          <w:i/>
          <w:sz w:val="24"/>
          <w:szCs w:val="24"/>
        </w:rPr>
        <w:t xml:space="preserve">The Conversation, </w:t>
      </w:r>
      <w:r>
        <w:rPr>
          <w:sz w:val="24"/>
          <w:szCs w:val="24"/>
        </w:rPr>
        <w:t xml:space="preserve">17th April. Available at </w:t>
      </w:r>
      <w:hyperlink r:id="rId15">
        <w:r>
          <w:rPr>
            <w:color w:val="1155CC"/>
            <w:sz w:val="24"/>
            <w:szCs w:val="24"/>
            <w:u w:val="single"/>
          </w:rPr>
          <w:t>https://theconversation.com/how-school-expulsions-could-be-fuelling-the-rise-in-youth-violence-93613</w:t>
        </w:r>
      </w:hyperlink>
      <w:r>
        <w:rPr>
          <w:sz w:val="24"/>
          <w:szCs w:val="24"/>
        </w:rPr>
        <w:t xml:space="preserve"> (Accessed: Monday March 7, 2022). </w:t>
      </w:r>
    </w:p>
    <w:p w14:paraId="0000004E" w14:textId="77777777" w:rsidR="008D6C6B" w:rsidRDefault="008D6C6B">
      <w:pPr>
        <w:spacing w:before="200"/>
        <w:rPr>
          <w:sz w:val="24"/>
          <w:szCs w:val="24"/>
        </w:rPr>
      </w:pPr>
    </w:p>
    <w:p w14:paraId="0000004F" w14:textId="77777777" w:rsidR="008D6C6B" w:rsidRDefault="000540CB">
      <w:pPr>
        <w:spacing w:before="200"/>
        <w:rPr>
          <w:sz w:val="24"/>
          <w:szCs w:val="24"/>
        </w:rPr>
      </w:pPr>
      <w:r>
        <w:rPr>
          <w:sz w:val="24"/>
          <w:szCs w:val="24"/>
        </w:rPr>
        <w:t xml:space="preserve">Newburn, T. (2017) </w:t>
      </w:r>
      <w:r>
        <w:rPr>
          <w:i/>
          <w:sz w:val="24"/>
          <w:szCs w:val="24"/>
        </w:rPr>
        <w:t>Criminology</w:t>
      </w:r>
      <w:r>
        <w:rPr>
          <w:sz w:val="24"/>
          <w:szCs w:val="24"/>
        </w:rPr>
        <w:t>. 3rd edn. London: Routledge.</w:t>
      </w:r>
    </w:p>
    <w:p w14:paraId="00000050" w14:textId="77777777" w:rsidR="008D6C6B" w:rsidRDefault="008D6C6B">
      <w:pPr>
        <w:spacing w:before="200"/>
        <w:rPr>
          <w:sz w:val="24"/>
          <w:szCs w:val="24"/>
        </w:rPr>
      </w:pPr>
    </w:p>
    <w:p w14:paraId="00000051" w14:textId="77777777" w:rsidR="008D6C6B" w:rsidRDefault="000540CB">
      <w:pPr>
        <w:spacing w:before="200"/>
        <w:rPr>
          <w:sz w:val="24"/>
          <w:szCs w:val="24"/>
        </w:rPr>
      </w:pPr>
      <w:r>
        <w:rPr>
          <w:sz w:val="24"/>
          <w:szCs w:val="24"/>
        </w:rPr>
        <w:t xml:space="preserve">Owen, T. (2014) </w:t>
      </w:r>
      <w:r>
        <w:rPr>
          <w:i/>
          <w:sz w:val="24"/>
          <w:szCs w:val="24"/>
        </w:rPr>
        <w:t>Criminological Theory: A Genetic-Social Approach</w:t>
      </w:r>
      <w:r>
        <w:rPr>
          <w:sz w:val="24"/>
          <w:szCs w:val="24"/>
        </w:rPr>
        <w:t>. Basingstoke: Palgrave MacMillan.</w:t>
      </w:r>
    </w:p>
    <w:p w14:paraId="00000052" w14:textId="77777777" w:rsidR="008D6C6B" w:rsidRDefault="008D6C6B">
      <w:pPr>
        <w:spacing w:before="200"/>
        <w:rPr>
          <w:sz w:val="24"/>
          <w:szCs w:val="24"/>
        </w:rPr>
      </w:pPr>
    </w:p>
    <w:p w14:paraId="00000053" w14:textId="77777777" w:rsidR="008D6C6B" w:rsidRDefault="000540CB">
      <w:pPr>
        <w:spacing w:before="200"/>
        <w:rPr>
          <w:sz w:val="24"/>
          <w:szCs w:val="24"/>
        </w:rPr>
      </w:pPr>
      <w:r>
        <w:rPr>
          <w:sz w:val="24"/>
          <w:szCs w:val="24"/>
        </w:rPr>
        <w:lastRenderedPageBreak/>
        <w:t xml:space="preserve">Portnoy, J. (2020) ‘Biosocial Criminology; Moving Toward the Future’, </w:t>
      </w:r>
      <w:r>
        <w:rPr>
          <w:i/>
          <w:sz w:val="24"/>
          <w:szCs w:val="24"/>
        </w:rPr>
        <w:t xml:space="preserve">Crime and Delinquency, </w:t>
      </w:r>
      <w:r>
        <w:rPr>
          <w:sz w:val="24"/>
          <w:szCs w:val="24"/>
        </w:rPr>
        <w:t>66(10), pp. 1343-1346.DOI: 10.1177/0011128720937245.</w:t>
      </w:r>
    </w:p>
    <w:p w14:paraId="00000054" w14:textId="77777777" w:rsidR="008D6C6B" w:rsidRDefault="008D6C6B">
      <w:pPr>
        <w:spacing w:before="200"/>
        <w:rPr>
          <w:sz w:val="24"/>
          <w:szCs w:val="24"/>
        </w:rPr>
      </w:pPr>
    </w:p>
    <w:p w14:paraId="00000055" w14:textId="77777777" w:rsidR="008D6C6B" w:rsidRDefault="000540CB">
      <w:pPr>
        <w:spacing w:before="200"/>
        <w:rPr>
          <w:sz w:val="24"/>
          <w:szCs w:val="24"/>
        </w:rPr>
      </w:pPr>
      <w:r>
        <w:rPr>
          <w:sz w:val="24"/>
          <w:szCs w:val="24"/>
        </w:rPr>
        <w:t xml:space="preserve">Rawlinson, K. (2021) ‘Two more Stabbings bring London to its Worst Ever Teenage Homicide Death Toll’, </w:t>
      </w:r>
      <w:r>
        <w:rPr>
          <w:i/>
          <w:sz w:val="24"/>
          <w:szCs w:val="24"/>
        </w:rPr>
        <w:t xml:space="preserve">The Guardian, </w:t>
      </w:r>
      <w:r>
        <w:rPr>
          <w:sz w:val="24"/>
          <w:szCs w:val="24"/>
        </w:rPr>
        <w:t xml:space="preserve">31st December. Available at </w:t>
      </w:r>
      <w:hyperlink r:id="rId16">
        <w:r>
          <w:rPr>
            <w:color w:val="1155CC"/>
            <w:sz w:val="24"/>
            <w:szCs w:val="24"/>
            <w:u w:val="single"/>
          </w:rPr>
          <w:t>https://www.theguardian.com/uk-news/2021/dec/31/two-more-stabbings-bring-london-to-its-worst-ever-teenage-homicide-death-toll</w:t>
        </w:r>
      </w:hyperlink>
      <w:r>
        <w:rPr>
          <w:sz w:val="24"/>
          <w:szCs w:val="24"/>
        </w:rPr>
        <w:t xml:space="preserve"> (Accessed: Monday March 7, 2022).</w:t>
      </w:r>
    </w:p>
    <w:p w14:paraId="00000056" w14:textId="77777777" w:rsidR="008D6C6B" w:rsidRDefault="008D6C6B">
      <w:pPr>
        <w:spacing w:before="200"/>
        <w:rPr>
          <w:sz w:val="24"/>
          <w:szCs w:val="24"/>
        </w:rPr>
      </w:pPr>
    </w:p>
    <w:p w14:paraId="00000057" w14:textId="77777777" w:rsidR="008D6C6B" w:rsidRDefault="000540CB">
      <w:pPr>
        <w:spacing w:before="200"/>
        <w:rPr>
          <w:sz w:val="24"/>
          <w:szCs w:val="24"/>
        </w:rPr>
      </w:pPr>
      <w:r>
        <w:rPr>
          <w:sz w:val="24"/>
          <w:szCs w:val="24"/>
        </w:rPr>
        <w:t>Reid, S. (2017) ‘Development Pathways to Serial Homicide: A Critical Review of the Biological Literature’, Aggression and Violent Behaviour, 35, pp. 52-61. DOI: 10.1016/j.avb.2017.06.003.</w:t>
      </w:r>
    </w:p>
    <w:p w14:paraId="00000058" w14:textId="77777777" w:rsidR="008D6C6B" w:rsidRDefault="008D6C6B">
      <w:pPr>
        <w:spacing w:before="200"/>
        <w:rPr>
          <w:sz w:val="24"/>
          <w:szCs w:val="24"/>
        </w:rPr>
      </w:pPr>
    </w:p>
    <w:p w14:paraId="00000059" w14:textId="77777777" w:rsidR="008D6C6B" w:rsidRDefault="000540CB">
      <w:pPr>
        <w:spacing w:before="200"/>
        <w:rPr>
          <w:sz w:val="24"/>
          <w:szCs w:val="24"/>
        </w:rPr>
      </w:pPr>
      <w:r>
        <w:rPr>
          <w:sz w:val="24"/>
          <w:szCs w:val="24"/>
        </w:rPr>
        <w:t xml:space="preserve">Sarto-Jackson, I. (2022) </w:t>
      </w:r>
      <w:r>
        <w:rPr>
          <w:i/>
          <w:sz w:val="24"/>
          <w:szCs w:val="24"/>
        </w:rPr>
        <w:t xml:space="preserve">The Making and Breaking of Minds: How Social Interactions Shape the Human Mind. </w:t>
      </w:r>
      <w:r>
        <w:rPr>
          <w:sz w:val="24"/>
          <w:szCs w:val="24"/>
        </w:rPr>
        <w:t>Vernon Art and Science Incorporated.</w:t>
      </w:r>
    </w:p>
    <w:p w14:paraId="0000005A" w14:textId="77777777" w:rsidR="008D6C6B" w:rsidRDefault="008D6C6B">
      <w:pPr>
        <w:spacing w:before="200"/>
        <w:rPr>
          <w:sz w:val="24"/>
          <w:szCs w:val="24"/>
        </w:rPr>
      </w:pPr>
    </w:p>
    <w:p w14:paraId="0000005B" w14:textId="77777777" w:rsidR="008D6C6B" w:rsidRDefault="000540CB">
      <w:pPr>
        <w:spacing w:before="200"/>
        <w:rPr>
          <w:sz w:val="24"/>
          <w:szCs w:val="24"/>
        </w:rPr>
      </w:pPr>
      <w:r>
        <w:rPr>
          <w:sz w:val="24"/>
          <w:szCs w:val="24"/>
        </w:rPr>
        <w:t xml:space="preserve">Simon, M. (2014) </w:t>
      </w:r>
      <w:r>
        <w:rPr>
          <w:i/>
          <w:sz w:val="24"/>
          <w:szCs w:val="24"/>
        </w:rPr>
        <w:t xml:space="preserve">Fantastically Wrong: The Scientist Who Seriously Believed Criminals Were Part Ape. </w:t>
      </w:r>
      <w:r>
        <w:rPr>
          <w:sz w:val="24"/>
          <w:szCs w:val="24"/>
        </w:rPr>
        <w:t xml:space="preserve">Available at </w:t>
      </w:r>
      <w:hyperlink r:id="rId17">
        <w:r>
          <w:rPr>
            <w:color w:val="1155CC"/>
            <w:sz w:val="24"/>
            <w:szCs w:val="24"/>
            <w:u w:val="single"/>
          </w:rPr>
          <w:t>https://www.wired.com/2014/11/fantastically-wrong-criminal-anthropology/</w:t>
        </w:r>
      </w:hyperlink>
      <w:r>
        <w:rPr>
          <w:sz w:val="24"/>
          <w:szCs w:val="24"/>
        </w:rPr>
        <w:t xml:space="preserve"> (Accessed: Thursday March 3, 2022).</w:t>
      </w:r>
    </w:p>
    <w:p w14:paraId="0000005C" w14:textId="77777777" w:rsidR="008D6C6B" w:rsidRDefault="008D6C6B">
      <w:pPr>
        <w:spacing w:before="200"/>
        <w:rPr>
          <w:sz w:val="24"/>
          <w:szCs w:val="24"/>
        </w:rPr>
      </w:pPr>
    </w:p>
    <w:p w14:paraId="0000005D" w14:textId="77777777" w:rsidR="008D6C6B" w:rsidRDefault="000540CB">
      <w:pPr>
        <w:spacing w:before="200"/>
        <w:rPr>
          <w:sz w:val="24"/>
          <w:szCs w:val="24"/>
        </w:rPr>
      </w:pPr>
      <w:r>
        <w:rPr>
          <w:sz w:val="24"/>
          <w:szCs w:val="24"/>
        </w:rPr>
        <w:t xml:space="preserve">Waite, R. and Ryan, R. (2020) </w:t>
      </w:r>
      <w:r>
        <w:rPr>
          <w:i/>
          <w:sz w:val="24"/>
          <w:szCs w:val="24"/>
        </w:rPr>
        <w:t>Adverse Childhood Experiences: What Students and Health Professionals Need to Know</w:t>
      </w:r>
      <w:r>
        <w:rPr>
          <w:sz w:val="24"/>
          <w:szCs w:val="24"/>
        </w:rPr>
        <w:t>. London: Routledge.</w:t>
      </w:r>
    </w:p>
    <w:p w14:paraId="0000005E" w14:textId="77777777" w:rsidR="008D6C6B" w:rsidRDefault="008D6C6B">
      <w:pPr>
        <w:spacing w:before="200"/>
        <w:rPr>
          <w:sz w:val="24"/>
          <w:szCs w:val="24"/>
        </w:rPr>
      </w:pPr>
    </w:p>
    <w:p w14:paraId="0000005F" w14:textId="77777777" w:rsidR="008D6C6B" w:rsidRDefault="000540CB">
      <w:pPr>
        <w:spacing w:before="200"/>
        <w:rPr>
          <w:sz w:val="24"/>
          <w:szCs w:val="24"/>
        </w:rPr>
      </w:pPr>
      <w:r>
        <w:rPr>
          <w:sz w:val="24"/>
          <w:szCs w:val="24"/>
        </w:rPr>
        <w:t xml:space="preserve">Wood, R. (2010) ‘UK: The Reality Behind the ‘Knife Crime’ Debate’, </w:t>
      </w:r>
      <w:r>
        <w:rPr>
          <w:i/>
          <w:sz w:val="24"/>
          <w:szCs w:val="24"/>
        </w:rPr>
        <w:t xml:space="preserve">Race and Class, </w:t>
      </w:r>
      <w:r>
        <w:rPr>
          <w:sz w:val="24"/>
          <w:szCs w:val="24"/>
        </w:rPr>
        <w:t xml:space="preserve">52 (2), pp. 97-103. DOI: 10.1177/0306396810377012. </w:t>
      </w:r>
    </w:p>
    <w:p w14:paraId="00000060" w14:textId="77777777" w:rsidR="008D6C6B" w:rsidRDefault="008D6C6B">
      <w:pPr>
        <w:spacing w:before="200" w:line="480" w:lineRule="auto"/>
        <w:rPr>
          <w:sz w:val="24"/>
          <w:szCs w:val="24"/>
        </w:rPr>
      </w:pPr>
    </w:p>
    <w:p w14:paraId="00000061" w14:textId="77777777" w:rsidR="008D6C6B" w:rsidRDefault="008D6C6B">
      <w:pPr>
        <w:spacing w:before="200" w:line="480" w:lineRule="auto"/>
        <w:rPr>
          <w:sz w:val="24"/>
          <w:szCs w:val="24"/>
        </w:rPr>
      </w:pPr>
    </w:p>
    <w:p w14:paraId="00000062" w14:textId="77777777" w:rsidR="008D6C6B" w:rsidRDefault="008D6C6B">
      <w:pPr>
        <w:spacing w:before="200" w:line="480" w:lineRule="auto"/>
        <w:rPr>
          <w:sz w:val="24"/>
          <w:szCs w:val="24"/>
        </w:rPr>
      </w:pPr>
    </w:p>
    <w:p w14:paraId="00000063" w14:textId="77777777" w:rsidR="008D6C6B" w:rsidRDefault="008D6C6B">
      <w:pPr>
        <w:spacing w:before="200" w:line="480" w:lineRule="auto"/>
        <w:rPr>
          <w:sz w:val="24"/>
          <w:szCs w:val="24"/>
        </w:rPr>
      </w:pPr>
    </w:p>
    <w:sectPr w:rsidR="008D6C6B" w:rsidSect="00725369">
      <w:headerReference w:type="default" r:id="rId1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D05E8" w14:textId="77777777" w:rsidR="005A7DC6" w:rsidRDefault="000540CB">
      <w:pPr>
        <w:spacing w:line="240" w:lineRule="auto"/>
      </w:pPr>
      <w:r>
        <w:separator/>
      </w:r>
    </w:p>
  </w:endnote>
  <w:endnote w:type="continuationSeparator" w:id="0">
    <w:p w14:paraId="24AC4559" w14:textId="77777777" w:rsidR="005A7DC6" w:rsidRDefault="000540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D92EC" w14:textId="77777777" w:rsidR="005A7DC6" w:rsidRDefault="000540CB">
      <w:pPr>
        <w:spacing w:line="240" w:lineRule="auto"/>
      </w:pPr>
      <w:r>
        <w:separator/>
      </w:r>
    </w:p>
  </w:footnote>
  <w:footnote w:type="continuationSeparator" w:id="0">
    <w:p w14:paraId="1D16C3D3" w14:textId="77777777" w:rsidR="005A7DC6" w:rsidRDefault="000540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77777777" w:rsidR="008D6C6B" w:rsidRDefault="000540CB">
    <w:r>
      <w:t>Andrew James</w:t>
    </w:r>
    <w:r>
      <w:tab/>
    </w:r>
    <w:r>
      <w:tab/>
      <w:t>Contemporary Issues in Criminal Justice</w:t>
    </w:r>
    <w:r>
      <w:tab/>
    </w:r>
    <w:r>
      <w:tab/>
      <w:t>Jane 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C6B"/>
    <w:rsid w:val="000540CB"/>
    <w:rsid w:val="000E6E28"/>
    <w:rsid w:val="00272FEB"/>
    <w:rsid w:val="00370867"/>
    <w:rsid w:val="00422B90"/>
    <w:rsid w:val="005A7DC6"/>
    <w:rsid w:val="00725369"/>
    <w:rsid w:val="008D6C6B"/>
    <w:rsid w:val="009D7E13"/>
    <w:rsid w:val="00AA1156"/>
    <w:rsid w:val="00AB7122"/>
    <w:rsid w:val="00B02629"/>
    <w:rsid w:val="00CE24C4"/>
    <w:rsid w:val="00E27D95"/>
    <w:rsid w:val="12FB0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40E7"/>
  <w15:docId w15:val="{2307C5AB-8FFF-4E1A-873F-9202A3CA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72536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25369"/>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future/article/20180530-the-controversial-debut-of-genes-in-criminal-cases" TargetMode="External"/><Relationship Id="rId13" Type="http://schemas.openxmlformats.org/officeDocument/2006/relationships/hyperlink" Target="https://www.bbc.co.uk/news/science-environment-2976021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ashingtonpost.com/outlook/2021/03/18/genetics-criminal-defense-warrior-violence/" TargetMode="External"/><Relationship Id="rId17" Type="http://schemas.openxmlformats.org/officeDocument/2006/relationships/hyperlink" Target="https://www.wired.com/2014/11/fantastically-wrong-criminal-anthropology/" TargetMode="External"/><Relationship Id="rId2" Type="http://schemas.openxmlformats.org/officeDocument/2006/relationships/styles" Target="styles.xml"/><Relationship Id="rId16" Type="http://schemas.openxmlformats.org/officeDocument/2006/relationships/hyperlink" Target="https://www.theguardian.com/uk-news/2021/dec/31/two-more-stabbings-bring-london-to-its-worst-ever-teenage-homicide-death-to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978830/knife-homicides-in-england-and-wales/" TargetMode="External"/><Relationship Id="rId5" Type="http://schemas.openxmlformats.org/officeDocument/2006/relationships/footnotes" Target="footnotes.xml"/><Relationship Id="rId15" Type="http://schemas.openxmlformats.org/officeDocument/2006/relationships/hyperlink" Target="https://theconversation.com/how-school-expulsions-could-be-fuelling-the-rise-in-youth-violence-93613" TargetMode="External"/><Relationship Id="rId10" Type="http://schemas.openxmlformats.org/officeDocument/2006/relationships/hyperlink" Target="https://www.verywellmind.com/social-learning-theory-279507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conversation.com/knife-crime-causes-and-solutions-editors-guide-to-what-our-academic-experts-say-113318" TargetMode="External"/><Relationship Id="rId14" Type="http://schemas.openxmlformats.org/officeDocument/2006/relationships/hyperlink" Target="https://www.childrenssociety.org.uk/what-we-do/blogs/culture-of-drill-mu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Masters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3634</Words>
  <Characters>20715</Characters>
  <Application>Microsoft Office Word</Application>
  <DocSecurity>0</DocSecurity>
  <Lines>172</Lines>
  <Paragraphs>48</Paragraphs>
  <ScaleCrop>false</ScaleCrop>
  <Company/>
  <LinksUpToDate>false</LinksUpToDate>
  <CharactersWithSpaces>24301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if it is Nature or Nurture that is the Cause for Criminal Behaviour</dc:title>
  <dc:subject>Jane Thomas- 09/03/2022- Word count-2920</dc:subject>
  <dc:creator>Andrew James - 1700591</dc:creator>
  <cp:lastModifiedBy>Andrew James</cp:lastModifiedBy>
  <cp:revision>14</cp:revision>
  <dcterms:created xsi:type="dcterms:W3CDTF">2022-03-09T13:41:00Z</dcterms:created>
  <dcterms:modified xsi:type="dcterms:W3CDTF">2022-03-09T13:52:00Z</dcterms:modified>
</cp:coreProperties>
</file>