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BE242" w14:textId="77777777" w:rsidR="001606A2" w:rsidRPr="007A68F9" w:rsidRDefault="001606A2"/>
    <w:p w14:paraId="2453EBF9" w14:textId="77777777" w:rsidR="001606A2" w:rsidRPr="007A68F9" w:rsidRDefault="001606A2"/>
    <w:p w14:paraId="42907BCF" w14:textId="77777777" w:rsidR="001606A2" w:rsidRPr="007A68F9" w:rsidRDefault="001606A2"/>
    <w:p w14:paraId="3BEA918F" w14:textId="77777777" w:rsidR="007A68F9" w:rsidRPr="007A68F9" w:rsidRDefault="007A68F9" w:rsidP="007A68F9">
      <w:pPr>
        <w:jc w:val="center"/>
        <w:rPr>
          <w:b/>
          <w:bCs/>
          <w:sz w:val="32"/>
          <w:szCs w:val="28"/>
        </w:rPr>
      </w:pPr>
    </w:p>
    <w:p w14:paraId="30DF013A" w14:textId="77777777" w:rsidR="007A68F9" w:rsidRPr="007A68F9" w:rsidRDefault="007A68F9" w:rsidP="007A68F9">
      <w:pPr>
        <w:jc w:val="center"/>
        <w:rPr>
          <w:b/>
          <w:bCs/>
          <w:sz w:val="32"/>
          <w:szCs w:val="28"/>
        </w:rPr>
      </w:pPr>
    </w:p>
    <w:p w14:paraId="763EE595" w14:textId="77777777" w:rsidR="007A68F9" w:rsidRPr="007A68F9" w:rsidRDefault="007A68F9" w:rsidP="007A68F9">
      <w:pPr>
        <w:jc w:val="center"/>
        <w:rPr>
          <w:b/>
          <w:bCs/>
          <w:sz w:val="32"/>
          <w:szCs w:val="28"/>
        </w:rPr>
      </w:pPr>
    </w:p>
    <w:p w14:paraId="65FA8B53" w14:textId="77777777" w:rsidR="007A68F9" w:rsidRPr="007A68F9" w:rsidRDefault="007A68F9" w:rsidP="007A68F9">
      <w:pPr>
        <w:jc w:val="center"/>
        <w:rPr>
          <w:b/>
          <w:bCs/>
          <w:sz w:val="32"/>
          <w:szCs w:val="28"/>
        </w:rPr>
      </w:pPr>
    </w:p>
    <w:p w14:paraId="57BFD547" w14:textId="77777777" w:rsidR="007A68F9" w:rsidRPr="007A68F9" w:rsidRDefault="007A68F9" w:rsidP="007A68F9">
      <w:pPr>
        <w:jc w:val="center"/>
        <w:rPr>
          <w:b/>
          <w:bCs/>
          <w:sz w:val="32"/>
          <w:szCs w:val="28"/>
        </w:rPr>
      </w:pPr>
    </w:p>
    <w:p w14:paraId="7565F4BC" w14:textId="77777777" w:rsidR="007A68F9" w:rsidRPr="007A68F9" w:rsidRDefault="007A68F9" w:rsidP="007A68F9">
      <w:pPr>
        <w:jc w:val="center"/>
        <w:rPr>
          <w:b/>
          <w:bCs/>
          <w:sz w:val="32"/>
          <w:szCs w:val="28"/>
        </w:rPr>
      </w:pPr>
    </w:p>
    <w:p w14:paraId="636AB85F" w14:textId="77777777" w:rsidR="004529BC" w:rsidRDefault="00000000">
      <w:pPr>
        <w:spacing w:after="120"/>
        <w:jc w:val="center"/>
      </w:pPr>
      <w:r>
        <w:rPr>
          <w:b/>
          <w:sz w:val="32"/>
        </w:rPr>
        <w:t>Report</w:t>
      </w:r>
    </w:p>
    <w:p w14:paraId="102FF9E5" w14:textId="77777777" w:rsidR="001606A2" w:rsidRPr="007A68F9" w:rsidRDefault="00000000" w:rsidP="007A68F9">
      <w:pPr>
        <w:jc w:val="center"/>
        <w:rPr>
          <w:b/>
          <w:bCs/>
          <w:sz w:val="32"/>
          <w:szCs w:val="28"/>
        </w:rPr>
      </w:pPr>
      <w:r w:rsidRPr="007A68F9">
        <w:rPr>
          <w:b/>
          <w:bCs/>
          <w:sz w:val="32"/>
          <w:szCs w:val="28"/>
        </w:rPr>
        <w:t>Health, Wellbeing and Sustainable Development</w:t>
      </w:r>
    </w:p>
    <w:p w14:paraId="1B927074" w14:textId="77777777" w:rsidR="001606A2" w:rsidRPr="007A68F9" w:rsidRDefault="00000000" w:rsidP="007A68F9">
      <w:pPr>
        <w:jc w:val="center"/>
        <w:rPr>
          <w:b/>
          <w:bCs/>
          <w:sz w:val="32"/>
          <w:szCs w:val="28"/>
        </w:rPr>
      </w:pPr>
      <w:r w:rsidRPr="007A68F9">
        <w:rPr>
          <w:b/>
          <w:bCs/>
          <w:sz w:val="32"/>
          <w:szCs w:val="28"/>
        </w:rPr>
        <w:t>BMHP6030</w:t>
      </w:r>
    </w:p>
    <w:p w14:paraId="5BF0D6B3" w14:textId="77777777" w:rsidR="001606A2" w:rsidRPr="007A68F9" w:rsidRDefault="001606A2" w:rsidP="007A68F9">
      <w:pPr>
        <w:jc w:val="center"/>
        <w:rPr>
          <w:b/>
          <w:bCs/>
          <w:sz w:val="32"/>
          <w:szCs w:val="28"/>
        </w:rPr>
      </w:pPr>
    </w:p>
    <w:p w14:paraId="41697296" w14:textId="28F6D6CE" w:rsidR="001606A2" w:rsidRPr="007A68F9" w:rsidRDefault="00000000" w:rsidP="007A68F9">
      <w:pPr>
        <w:jc w:val="center"/>
        <w:rPr>
          <w:b/>
          <w:bCs/>
          <w:sz w:val="32"/>
          <w:szCs w:val="28"/>
        </w:rPr>
      </w:pPr>
      <w:r w:rsidRPr="007A68F9">
        <w:rPr>
          <w:b/>
          <w:bCs/>
          <w:sz w:val="32"/>
          <w:szCs w:val="28"/>
        </w:rPr>
        <w:t>Student Name:</w:t>
      </w:r>
      <w:r w:rsidR="001B2D0D">
        <w:rPr>
          <w:b/>
          <w:bCs/>
          <w:sz w:val="32"/>
          <w:szCs w:val="28"/>
        </w:rPr>
        <w:t xml:space="preserve"> Shafeena </w:t>
      </w:r>
      <w:proofErr w:type="spellStart"/>
      <w:r w:rsidR="001B2D0D">
        <w:rPr>
          <w:b/>
          <w:bCs/>
          <w:sz w:val="32"/>
          <w:szCs w:val="28"/>
        </w:rPr>
        <w:t>Husssain</w:t>
      </w:r>
      <w:proofErr w:type="spellEnd"/>
      <w:r w:rsidR="001B2D0D">
        <w:rPr>
          <w:b/>
          <w:bCs/>
          <w:sz w:val="32"/>
          <w:szCs w:val="28"/>
        </w:rPr>
        <w:t xml:space="preserve"> Mushtaq</w:t>
      </w:r>
    </w:p>
    <w:p w14:paraId="055DAB01" w14:textId="3240DEF0" w:rsidR="001606A2" w:rsidRPr="007A68F9" w:rsidRDefault="001B2D0D" w:rsidP="007A68F9">
      <w:pPr>
        <w:jc w:val="center"/>
        <w:rPr>
          <w:b/>
          <w:bCs/>
          <w:sz w:val="32"/>
          <w:szCs w:val="28"/>
        </w:rPr>
      </w:pPr>
      <w:r>
        <w:rPr>
          <w:b/>
          <w:bCs/>
          <w:sz w:val="32"/>
          <w:szCs w:val="28"/>
        </w:rPr>
        <w:t>Student ID: 2314453</w:t>
      </w:r>
    </w:p>
    <w:p w14:paraId="7575F5EA" w14:textId="4D80C430" w:rsidR="007A68F9" w:rsidRPr="007A68F9" w:rsidRDefault="007A68F9" w:rsidP="007A68F9">
      <w:pPr>
        <w:jc w:val="center"/>
        <w:rPr>
          <w:b/>
          <w:bCs/>
          <w:sz w:val="32"/>
          <w:szCs w:val="28"/>
        </w:rPr>
      </w:pPr>
    </w:p>
    <w:p w14:paraId="496806D2" w14:textId="77777777" w:rsidR="007A68F9" w:rsidRPr="007A68F9" w:rsidRDefault="007A68F9">
      <w:pPr>
        <w:spacing w:line="240" w:lineRule="auto"/>
        <w:jc w:val="left"/>
        <w:rPr>
          <w:rFonts w:ascii="Arial" w:hAnsi="Arial"/>
          <w:sz w:val="22"/>
        </w:rPr>
      </w:pPr>
      <w:r w:rsidRPr="007A68F9">
        <w:rPr>
          <w:rFonts w:ascii="Arial" w:hAnsi="Arial"/>
          <w:sz w:val="22"/>
        </w:rPr>
        <w:br w:type="page"/>
      </w:r>
    </w:p>
    <w:sdt>
      <w:sdtPr>
        <w:rPr>
          <w:rFonts w:ascii="Times New Roman" w:eastAsia="Arial" w:hAnsi="Times New Roman" w:cs="Arial"/>
          <w:color w:val="auto"/>
          <w:sz w:val="24"/>
          <w:szCs w:val="22"/>
          <w:lang w:val="en-GB"/>
        </w:rPr>
        <w:id w:val="27855039"/>
        <w:docPartObj>
          <w:docPartGallery w:val="Table of Contents"/>
          <w:docPartUnique/>
        </w:docPartObj>
      </w:sdtPr>
      <w:sdtEndPr>
        <w:rPr>
          <w:b/>
          <w:bCs/>
        </w:rPr>
      </w:sdtEndPr>
      <w:sdtContent>
        <w:p w14:paraId="36DA8706" w14:textId="77777777" w:rsidR="007A68F9" w:rsidRPr="007A68F9" w:rsidRDefault="007A68F9" w:rsidP="007A68F9">
          <w:pPr>
            <w:pStyle w:val="TOCHeading"/>
            <w:jc w:val="center"/>
            <w:rPr>
              <w:color w:val="000000" w:themeColor="text1"/>
              <w:lang w:val="en-GB"/>
            </w:rPr>
          </w:pPr>
          <w:r w:rsidRPr="007A68F9">
            <w:rPr>
              <w:color w:val="000000" w:themeColor="text1"/>
              <w:lang w:val="en-GB"/>
            </w:rPr>
            <w:t>Table of Contents</w:t>
          </w:r>
        </w:p>
        <w:p w14:paraId="787AB7C2" w14:textId="77777777" w:rsidR="007A68F9" w:rsidRDefault="007A68F9">
          <w:pPr>
            <w:pStyle w:val="TOC1"/>
            <w:tabs>
              <w:tab w:val="right" w:leader="dot" w:pos="9016"/>
            </w:tabs>
            <w:rPr>
              <w:rFonts w:asciiTheme="minorHAnsi" w:eastAsiaTheme="minorEastAsia" w:hAnsiTheme="minorHAnsi" w:cstheme="minorBidi"/>
              <w:noProof/>
              <w:kern w:val="2"/>
              <w:szCs w:val="24"/>
              <w:lang w:val="en-US"/>
              <w14:ligatures w14:val="standardContextual"/>
            </w:rPr>
          </w:pPr>
          <w:r w:rsidRPr="007A68F9">
            <w:fldChar w:fldCharType="begin"/>
          </w:r>
          <w:r w:rsidRPr="007A68F9">
            <w:instrText xml:space="preserve"> TOC \o "1-3" \h \z \u </w:instrText>
          </w:r>
          <w:r w:rsidRPr="007A68F9">
            <w:fldChar w:fldCharType="separate"/>
          </w:r>
          <w:hyperlink w:anchor="_Toc231707029" w:history="1">
            <w:r w:rsidRPr="00B817C6">
              <w:rPr>
                <w:rStyle w:val="Hyperlink"/>
                <w:noProof/>
              </w:rPr>
              <w:t>Introduction</w:t>
            </w:r>
            <w:r>
              <w:rPr>
                <w:noProof/>
                <w:webHidden/>
              </w:rPr>
              <w:tab/>
            </w:r>
            <w:r>
              <w:rPr>
                <w:noProof/>
                <w:webHidden/>
              </w:rPr>
              <w:fldChar w:fldCharType="begin"/>
            </w:r>
            <w:r>
              <w:rPr>
                <w:noProof/>
                <w:webHidden/>
              </w:rPr>
              <w:instrText xml:space="preserve"> PAGEREF _Toc231707029 \h </w:instrText>
            </w:r>
            <w:r>
              <w:rPr>
                <w:noProof/>
                <w:webHidden/>
              </w:rPr>
            </w:r>
            <w:r>
              <w:rPr>
                <w:noProof/>
                <w:webHidden/>
              </w:rPr>
              <w:fldChar w:fldCharType="separate"/>
            </w:r>
            <w:r w:rsidR="00D36A06">
              <w:rPr>
                <w:noProof/>
                <w:webHidden/>
              </w:rPr>
              <w:t>1</w:t>
            </w:r>
            <w:r>
              <w:rPr>
                <w:noProof/>
                <w:webHidden/>
              </w:rPr>
              <w:fldChar w:fldCharType="end"/>
            </w:r>
          </w:hyperlink>
        </w:p>
        <w:p w14:paraId="16E891BA" w14:textId="77777777" w:rsidR="007A68F9" w:rsidRDefault="007A68F9">
          <w:pPr>
            <w:pStyle w:val="TOC1"/>
            <w:tabs>
              <w:tab w:val="right" w:leader="dot" w:pos="9016"/>
            </w:tabs>
            <w:rPr>
              <w:rFonts w:asciiTheme="minorHAnsi" w:eastAsiaTheme="minorEastAsia" w:hAnsiTheme="minorHAnsi" w:cstheme="minorBidi"/>
              <w:noProof/>
              <w:kern w:val="2"/>
              <w:szCs w:val="24"/>
              <w:lang w:val="en-US"/>
              <w14:ligatures w14:val="standardContextual"/>
            </w:rPr>
          </w:pPr>
          <w:hyperlink w:anchor="_Toc231707030" w:history="1">
            <w:r w:rsidRPr="00B817C6">
              <w:rPr>
                <w:rStyle w:val="Hyperlink"/>
                <w:noProof/>
              </w:rPr>
              <w:t>Section 1: SDG 3 Good Health and Wellbeing</w:t>
            </w:r>
            <w:r>
              <w:rPr>
                <w:noProof/>
                <w:webHidden/>
              </w:rPr>
              <w:tab/>
            </w:r>
            <w:r>
              <w:rPr>
                <w:noProof/>
                <w:webHidden/>
              </w:rPr>
              <w:fldChar w:fldCharType="begin"/>
            </w:r>
            <w:r>
              <w:rPr>
                <w:noProof/>
                <w:webHidden/>
              </w:rPr>
              <w:instrText xml:space="preserve"> PAGEREF _Toc231707030 \h </w:instrText>
            </w:r>
            <w:r>
              <w:rPr>
                <w:noProof/>
                <w:webHidden/>
              </w:rPr>
            </w:r>
            <w:r>
              <w:rPr>
                <w:noProof/>
                <w:webHidden/>
              </w:rPr>
              <w:fldChar w:fldCharType="separate"/>
            </w:r>
            <w:r w:rsidR="00D36A06">
              <w:rPr>
                <w:noProof/>
                <w:webHidden/>
              </w:rPr>
              <w:t>1</w:t>
            </w:r>
            <w:r>
              <w:rPr>
                <w:noProof/>
                <w:webHidden/>
              </w:rPr>
              <w:fldChar w:fldCharType="end"/>
            </w:r>
          </w:hyperlink>
        </w:p>
        <w:p w14:paraId="732B56F9" w14:textId="77777777" w:rsidR="007A68F9" w:rsidRDefault="007A68F9">
          <w:pPr>
            <w:pStyle w:val="TOC2"/>
            <w:tabs>
              <w:tab w:val="right" w:leader="dot" w:pos="9016"/>
            </w:tabs>
            <w:rPr>
              <w:rFonts w:asciiTheme="minorHAnsi" w:eastAsiaTheme="minorEastAsia" w:hAnsiTheme="minorHAnsi" w:cstheme="minorBidi"/>
              <w:noProof/>
              <w:kern w:val="2"/>
              <w:szCs w:val="24"/>
              <w:lang w:val="en-US"/>
              <w14:ligatures w14:val="standardContextual"/>
            </w:rPr>
          </w:pPr>
          <w:hyperlink w:anchor="_Toc231707031" w:history="1">
            <w:r w:rsidRPr="00B817C6">
              <w:rPr>
                <w:rStyle w:val="Hyperlink"/>
                <w:noProof/>
              </w:rPr>
              <w:t>National and Local Policies and Initiatives</w:t>
            </w:r>
            <w:r>
              <w:rPr>
                <w:noProof/>
                <w:webHidden/>
              </w:rPr>
              <w:tab/>
            </w:r>
            <w:r>
              <w:rPr>
                <w:noProof/>
                <w:webHidden/>
              </w:rPr>
              <w:fldChar w:fldCharType="begin"/>
            </w:r>
            <w:r>
              <w:rPr>
                <w:noProof/>
                <w:webHidden/>
              </w:rPr>
              <w:instrText xml:space="preserve"> PAGEREF _Toc231707031 \h </w:instrText>
            </w:r>
            <w:r>
              <w:rPr>
                <w:noProof/>
                <w:webHidden/>
              </w:rPr>
            </w:r>
            <w:r>
              <w:rPr>
                <w:noProof/>
                <w:webHidden/>
              </w:rPr>
              <w:fldChar w:fldCharType="separate"/>
            </w:r>
            <w:r w:rsidR="00D36A06">
              <w:rPr>
                <w:noProof/>
                <w:webHidden/>
              </w:rPr>
              <w:t>1</w:t>
            </w:r>
            <w:r>
              <w:rPr>
                <w:noProof/>
                <w:webHidden/>
              </w:rPr>
              <w:fldChar w:fldCharType="end"/>
            </w:r>
          </w:hyperlink>
        </w:p>
        <w:p w14:paraId="60B47675" w14:textId="77777777" w:rsidR="007A68F9" w:rsidRDefault="007A68F9">
          <w:pPr>
            <w:pStyle w:val="TOC2"/>
            <w:tabs>
              <w:tab w:val="right" w:leader="dot" w:pos="9016"/>
            </w:tabs>
            <w:rPr>
              <w:rFonts w:asciiTheme="minorHAnsi" w:eastAsiaTheme="minorEastAsia" w:hAnsiTheme="minorHAnsi" w:cstheme="minorBidi"/>
              <w:noProof/>
              <w:kern w:val="2"/>
              <w:szCs w:val="24"/>
              <w:lang w:val="en-US"/>
              <w14:ligatures w14:val="standardContextual"/>
            </w:rPr>
          </w:pPr>
          <w:hyperlink w:anchor="_Toc231707032" w:history="1">
            <w:r w:rsidRPr="00B817C6">
              <w:rPr>
                <w:rStyle w:val="Hyperlink"/>
                <w:noProof/>
              </w:rPr>
              <w:t>Theoretical Application</w:t>
            </w:r>
            <w:r>
              <w:rPr>
                <w:noProof/>
                <w:webHidden/>
              </w:rPr>
              <w:tab/>
            </w:r>
            <w:r>
              <w:rPr>
                <w:noProof/>
                <w:webHidden/>
              </w:rPr>
              <w:fldChar w:fldCharType="begin"/>
            </w:r>
            <w:r>
              <w:rPr>
                <w:noProof/>
                <w:webHidden/>
              </w:rPr>
              <w:instrText xml:space="preserve"> PAGEREF _Toc231707032 \h </w:instrText>
            </w:r>
            <w:r>
              <w:rPr>
                <w:noProof/>
                <w:webHidden/>
              </w:rPr>
            </w:r>
            <w:r>
              <w:rPr>
                <w:noProof/>
                <w:webHidden/>
              </w:rPr>
              <w:fldChar w:fldCharType="separate"/>
            </w:r>
            <w:r w:rsidR="00D36A06">
              <w:rPr>
                <w:noProof/>
                <w:webHidden/>
              </w:rPr>
              <w:t>1</w:t>
            </w:r>
            <w:r>
              <w:rPr>
                <w:noProof/>
                <w:webHidden/>
              </w:rPr>
              <w:fldChar w:fldCharType="end"/>
            </w:r>
          </w:hyperlink>
        </w:p>
        <w:p w14:paraId="063144D8" w14:textId="77777777" w:rsidR="007A68F9" w:rsidRDefault="007A68F9">
          <w:pPr>
            <w:pStyle w:val="TOC2"/>
            <w:tabs>
              <w:tab w:val="right" w:leader="dot" w:pos="9016"/>
            </w:tabs>
            <w:rPr>
              <w:rFonts w:asciiTheme="minorHAnsi" w:eastAsiaTheme="minorEastAsia" w:hAnsiTheme="minorHAnsi" w:cstheme="minorBidi"/>
              <w:noProof/>
              <w:kern w:val="2"/>
              <w:szCs w:val="24"/>
              <w:lang w:val="en-US"/>
              <w14:ligatures w14:val="standardContextual"/>
            </w:rPr>
          </w:pPr>
          <w:hyperlink w:anchor="_Toc231707033" w:history="1">
            <w:r w:rsidRPr="00B817C6">
              <w:rPr>
                <w:rStyle w:val="Hyperlink"/>
                <w:noProof/>
              </w:rPr>
              <w:t>Critical Evaluation and Recommendations</w:t>
            </w:r>
            <w:r>
              <w:rPr>
                <w:noProof/>
                <w:webHidden/>
              </w:rPr>
              <w:tab/>
            </w:r>
            <w:r>
              <w:rPr>
                <w:noProof/>
                <w:webHidden/>
              </w:rPr>
              <w:fldChar w:fldCharType="begin"/>
            </w:r>
            <w:r>
              <w:rPr>
                <w:noProof/>
                <w:webHidden/>
              </w:rPr>
              <w:instrText xml:space="preserve"> PAGEREF _Toc231707033 \h </w:instrText>
            </w:r>
            <w:r>
              <w:rPr>
                <w:noProof/>
                <w:webHidden/>
              </w:rPr>
            </w:r>
            <w:r>
              <w:rPr>
                <w:noProof/>
                <w:webHidden/>
              </w:rPr>
              <w:fldChar w:fldCharType="separate"/>
            </w:r>
            <w:r w:rsidR="00D36A06">
              <w:rPr>
                <w:noProof/>
                <w:webHidden/>
              </w:rPr>
              <w:t>1</w:t>
            </w:r>
            <w:r>
              <w:rPr>
                <w:noProof/>
                <w:webHidden/>
              </w:rPr>
              <w:fldChar w:fldCharType="end"/>
            </w:r>
          </w:hyperlink>
        </w:p>
        <w:p w14:paraId="2B2AB9E2" w14:textId="77777777" w:rsidR="007A68F9" w:rsidRDefault="007A68F9">
          <w:pPr>
            <w:pStyle w:val="TOC1"/>
            <w:tabs>
              <w:tab w:val="right" w:leader="dot" w:pos="9016"/>
            </w:tabs>
            <w:rPr>
              <w:rFonts w:asciiTheme="minorHAnsi" w:eastAsiaTheme="minorEastAsia" w:hAnsiTheme="minorHAnsi" w:cstheme="minorBidi"/>
              <w:noProof/>
              <w:kern w:val="2"/>
              <w:szCs w:val="24"/>
              <w:lang w:val="en-US"/>
              <w14:ligatures w14:val="standardContextual"/>
            </w:rPr>
          </w:pPr>
          <w:hyperlink w:anchor="_Toc231707034" w:history="1">
            <w:r w:rsidRPr="00B817C6">
              <w:rPr>
                <w:rStyle w:val="Hyperlink"/>
                <w:noProof/>
              </w:rPr>
              <w:t>Section 2: SDG 10 Reduced Inequalities</w:t>
            </w:r>
            <w:r>
              <w:rPr>
                <w:noProof/>
                <w:webHidden/>
              </w:rPr>
              <w:tab/>
            </w:r>
            <w:r>
              <w:rPr>
                <w:noProof/>
                <w:webHidden/>
              </w:rPr>
              <w:fldChar w:fldCharType="begin"/>
            </w:r>
            <w:r>
              <w:rPr>
                <w:noProof/>
                <w:webHidden/>
              </w:rPr>
              <w:instrText xml:space="preserve"> PAGEREF _Toc231707034 \h </w:instrText>
            </w:r>
            <w:r>
              <w:rPr>
                <w:noProof/>
                <w:webHidden/>
              </w:rPr>
            </w:r>
            <w:r>
              <w:rPr>
                <w:noProof/>
                <w:webHidden/>
              </w:rPr>
              <w:fldChar w:fldCharType="separate"/>
            </w:r>
            <w:r w:rsidR="00D36A06">
              <w:rPr>
                <w:noProof/>
                <w:webHidden/>
              </w:rPr>
              <w:t>1</w:t>
            </w:r>
            <w:r>
              <w:rPr>
                <w:noProof/>
                <w:webHidden/>
              </w:rPr>
              <w:fldChar w:fldCharType="end"/>
            </w:r>
          </w:hyperlink>
        </w:p>
        <w:p w14:paraId="2129DB69" w14:textId="77777777" w:rsidR="007A68F9" w:rsidRDefault="007A68F9">
          <w:pPr>
            <w:pStyle w:val="TOC2"/>
            <w:tabs>
              <w:tab w:val="right" w:leader="dot" w:pos="9016"/>
            </w:tabs>
            <w:rPr>
              <w:rFonts w:asciiTheme="minorHAnsi" w:eastAsiaTheme="minorEastAsia" w:hAnsiTheme="minorHAnsi" w:cstheme="minorBidi"/>
              <w:noProof/>
              <w:kern w:val="2"/>
              <w:szCs w:val="24"/>
              <w:lang w:val="en-US"/>
              <w14:ligatures w14:val="standardContextual"/>
            </w:rPr>
          </w:pPr>
          <w:hyperlink w:anchor="_Toc231707035" w:history="1">
            <w:r w:rsidRPr="00B817C6">
              <w:rPr>
                <w:rStyle w:val="Hyperlink"/>
                <w:noProof/>
              </w:rPr>
              <w:t>National and Local Policies and Initiatives</w:t>
            </w:r>
            <w:r>
              <w:rPr>
                <w:noProof/>
                <w:webHidden/>
              </w:rPr>
              <w:tab/>
            </w:r>
            <w:r>
              <w:rPr>
                <w:noProof/>
                <w:webHidden/>
              </w:rPr>
              <w:fldChar w:fldCharType="begin"/>
            </w:r>
            <w:r>
              <w:rPr>
                <w:noProof/>
                <w:webHidden/>
              </w:rPr>
              <w:instrText xml:space="preserve"> PAGEREF _Toc231707035 \h </w:instrText>
            </w:r>
            <w:r>
              <w:rPr>
                <w:noProof/>
                <w:webHidden/>
              </w:rPr>
            </w:r>
            <w:r>
              <w:rPr>
                <w:noProof/>
                <w:webHidden/>
              </w:rPr>
              <w:fldChar w:fldCharType="separate"/>
            </w:r>
            <w:r w:rsidR="00D36A06">
              <w:rPr>
                <w:noProof/>
                <w:webHidden/>
              </w:rPr>
              <w:t>1</w:t>
            </w:r>
            <w:r>
              <w:rPr>
                <w:noProof/>
                <w:webHidden/>
              </w:rPr>
              <w:fldChar w:fldCharType="end"/>
            </w:r>
          </w:hyperlink>
        </w:p>
        <w:p w14:paraId="5DD3097C" w14:textId="77777777" w:rsidR="007A68F9" w:rsidRDefault="007A68F9">
          <w:pPr>
            <w:pStyle w:val="TOC2"/>
            <w:tabs>
              <w:tab w:val="right" w:leader="dot" w:pos="9016"/>
            </w:tabs>
            <w:rPr>
              <w:rFonts w:asciiTheme="minorHAnsi" w:eastAsiaTheme="minorEastAsia" w:hAnsiTheme="minorHAnsi" w:cstheme="minorBidi"/>
              <w:noProof/>
              <w:kern w:val="2"/>
              <w:szCs w:val="24"/>
              <w:lang w:val="en-US"/>
              <w14:ligatures w14:val="standardContextual"/>
            </w:rPr>
          </w:pPr>
          <w:hyperlink w:anchor="_Toc231707036" w:history="1">
            <w:r w:rsidRPr="00B817C6">
              <w:rPr>
                <w:rStyle w:val="Hyperlink"/>
                <w:noProof/>
              </w:rPr>
              <w:t>Theoretical Application</w:t>
            </w:r>
            <w:r>
              <w:rPr>
                <w:noProof/>
                <w:webHidden/>
              </w:rPr>
              <w:tab/>
            </w:r>
            <w:r>
              <w:rPr>
                <w:noProof/>
                <w:webHidden/>
              </w:rPr>
              <w:fldChar w:fldCharType="begin"/>
            </w:r>
            <w:r>
              <w:rPr>
                <w:noProof/>
                <w:webHidden/>
              </w:rPr>
              <w:instrText xml:space="preserve"> PAGEREF _Toc231707036 \h </w:instrText>
            </w:r>
            <w:r>
              <w:rPr>
                <w:noProof/>
                <w:webHidden/>
              </w:rPr>
            </w:r>
            <w:r>
              <w:rPr>
                <w:noProof/>
                <w:webHidden/>
              </w:rPr>
              <w:fldChar w:fldCharType="separate"/>
            </w:r>
            <w:r w:rsidR="00D36A06">
              <w:rPr>
                <w:noProof/>
                <w:webHidden/>
              </w:rPr>
              <w:t>1</w:t>
            </w:r>
            <w:r>
              <w:rPr>
                <w:noProof/>
                <w:webHidden/>
              </w:rPr>
              <w:fldChar w:fldCharType="end"/>
            </w:r>
          </w:hyperlink>
        </w:p>
        <w:p w14:paraId="041FB8AF" w14:textId="77777777" w:rsidR="007A68F9" w:rsidRDefault="007A68F9">
          <w:pPr>
            <w:pStyle w:val="TOC2"/>
            <w:tabs>
              <w:tab w:val="right" w:leader="dot" w:pos="9016"/>
            </w:tabs>
            <w:rPr>
              <w:rFonts w:asciiTheme="minorHAnsi" w:eastAsiaTheme="minorEastAsia" w:hAnsiTheme="minorHAnsi" w:cstheme="minorBidi"/>
              <w:noProof/>
              <w:kern w:val="2"/>
              <w:szCs w:val="24"/>
              <w:lang w:val="en-US"/>
              <w14:ligatures w14:val="standardContextual"/>
            </w:rPr>
          </w:pPr>
          <w:hyperlink w:anchor="_Toc231707037" w:history="1">
            <w:r w:rsidRPr="00B817C6">
              <w:rPr>
                <w:rStyle w:val="Hyperlink"/>
                <w:noProof/>
              </w:rPr>
              <w:t>Critical Evaluation and Recommendations</w:t>
            </w:r>
            <w:r>
              <w:rPr>
                <w:noProof/>
                <w:webHidden/>
              </w:rPr>
              <w:tab/>
            </w:r>
            <w:r>
              <w:rPr>
                <w:noProof/>
                <w:webHidden/>
              </w:rPr>
              <w:fldChar w:fldCharType="begin"/>
            </w:r>
            <w:r>
              <w:rPr>
                <w:noProof/>
                <w:webHidden/>
              </w:rPr>
              <w:instrText xml:space="preserve"> PAGEREF _Toc231707037 \h </w:instrText>
            </w:r>
            <w:r>
              <w:rPr>
                <w:noProof/>
                <w:webHidden/>
              </w:rPr>
            </w:r>
            <w:r>
              <w:rPr>
                <w:noProof/>
                <w:webHidden/>
              </w:rPr>
              <w:fldChar w:fldCharType="separate"/>
            </w:r>
            <w:r w:rsidR="00D36A06">
              <w:rPr>
                <w:noProof/>
                <w:webHidden/>
              </w:rPr>
              <w:t>1</w:t>
            </w:r>
            <w:r>
              <w:rPr>
                <w:noProof/>
                <w:webHidden/>
              </w:rPr>
              <w:fldChar w:fldCharType="end"/>
            </w:r>
          </w:hyperlink>
        </w:p>
        <w:p w14:paraId="4FFCD4DC" w14:textId="77777777" w:rsidR="007A68F9" w:rsidRDefault="007A68F9">
          <w:pPr>
            <w:pStyle w:val="TOC1"/>
            <w:tabs>
              <w:tab w:val="right" w:leader="dot" w:pos="9016"/>
            </w:tabs>
            <w:rPr>
              <w:rFonts w:asciiTheme="minorHAnsi" w:eastAsiaTheme="minorEastAsia" w:hAnsiTheme="minorHAnsi" w:cstheme="minorBidi"/>
              <w:noProof/>
              <w:kern w:val="2"/>
              <w:szCs w:val="24"/>
              <w:lang w:val="en-US"/>
              <w14:ligatures w14:val="standardContextual"/>
            </w:rPr>
          </w:pPr>
          <w:hyperlink w:anchor="_Toc231707038" w:history="1">
            <w:r w:rsidRPr="00B817C6">
              <w:rPr>
                <w:rStyle w:val="Hyperlink"/>
                <w:noProof/>
              </w:rPr>
              <w:t>Conclusion</w:t>
            </w:r>
            <w:r>
              <w:rPr>
                <w:noProof/>
                <w:webHidden/>
              </w:rPr>
              <w:tab/>
            </w:r>
            <w:r>
              <w:rPr>
                <w:noProof/>
                <w:webHidden/>
              </w:rPr>
              <w:fldChar w:fldCharType="begin"/>
            </w:r>
            <w:r>
              <w:rPr>
                <w:noProof/>
                <w:webHidden/>
              </w:rPr>
              <w:instrText xml:space="preserve"> PAGEREF _Toc231707038 \h </w:instrText>
            </w:r>
            <w:r>
              <w:rPr>
                <w:noProof/>
                <w:webHidden/>
              </w:rPr>
            </w:r>
            <w:r>
              <w:rPr>
                <w:noProof/>
                <w:webHidden/>
              </w:rPr>
              <w:fldChar w:fldCharType="separate"/>
            </w:r>
            <w:r w:rsidR="00D36A06">
              <w:rPr>
                <w:noProof/>
                <w:webHidden/>
              </w:rPr>
              <w:t>1</w:t>
            </w:r>
            <w:r>
              <w:rPr>
                <w:noProof/>
                <w:webHidden/>
              </w:rPr>
              <w:fldChar w:fldCharType="end"/>
            </w:r>
          </w:hyperlink>
        </w:p>
        <w:p w14:paraId="317EDA1C" w14:textId="77777777" w:rsidR="007A68F9" w:rsidRDefault="007A68F9">
          <w:pPr>
            <w:pStyle w:val="TOC1"/>
            <w:tabs>
              <w:tab w:val="right" w:leader="dot" w:pos="9016"/>
            </w:tabs>
            <w:rPr>
              <w:rFonts w:asciiTheme="minorHAnsi" w:eastAsiaTheme="minorEastAsia" w:hAnsiTheme="minorHAnsi" w:cstheme="minorBidi"/>
              <w:noProof/>
              <w:kern w:val="2"/>
              <w:szCs w:val="24"/>
              <w:lang w:val="en-US"/>
              <w14:ligatures w14:val="standardContextual"/>
            </w:rPr>
          </w:pPr>
          <w:hyperlink w:anchor="_Toc231707039" w:history="1">
            <w:r w:rsidRPr="00B817C6">
              <w:rPr>
                <w:rStyle w:val="Hyperlink"/>
                <w:noProof/>
              </w:rPr>
              <w:t>‌References</w:t>
            </w:r>
            <w:r>
              <w:rPr>
                <w:noProof/>
                <w:webHidden/>
              </w:rPr>
              <w:tab/>
            </w:r>
            <w:r>
              <w:rPr>
                <w:noProof/>
                <w:webHidden/>
              </w:rPr>
              <w:fldChar w:fldCharType="begin"/>
            </w:r>
            <w:r>
              <w:rPr>
                <w:noProof/>
                <w:webHidden/>
              </w:rPr>
              <w:instrText xml:space="preserve"> PAGEREF _Toc231707039 \h </w:instrText>
            </w:r>
            <w:r>
              <w:rPr>
                <w:noProof/>
                <w:webHidden/>
              </w:rPr>
            </w:r>
            <w:r>
              <w:rPr>
                <w:noProof/>
                <w:webHidden/>
              </w:rPr>
              <w:fldChar w:fldCharType="separate"/>
            </w:r>
            <w:r w:rsidR="00D36A06">
              <w:rPr>
                <w:noProof/>
                <w:webHidden/>
              </w:rPr>
              <w:t>1</w:t>
            </w:r>
            <w:r>
              <w:rPr>
                <w:noProof/>
                <w:webHidden/>
              </w:rPr>
              <w:fldChar w:fldCharType="end"/>
            </w:r>
          </w:hyperlink>
        </w:p>
        <w:p w14:paraId="6A822402" w14:textId="77777777" w:rsidR="007A68F9" w:rsidRPr="007A68F9" w:rsidRDefault="007A68F9">
          <w:r w:rsidRPr="007A68F9">
            <w:rPr>
              <w:b/>
              <w:bCs/>
            </w:rPr>
            <w:fldChar w:fldCharType="end"/>
          </w:r>
        </w:p>
      </w:sdtContent>
    </w:sdt>
    <w:p w14:paraId="1DAC57A4" w14:textId="77777777" w:rsidR="007A68F9" w:rsidRPr="007A68F9" w:rsidRDefault="007A68F9">
      <w:pPr>
        <w:spacing w:line="240" w:lineRule="auto"/>
        <w:jc w:val="left"/>
        <w:rPr>
          <w:b/>
          <w:color w:val="000000" w:themeColor="text1"/>
          <w:sz w:val="32"/>
          <w:szCs w:val="32"/>
        </w:rPr>
      </w:pPr>
      <w:r w:rsidRPr="007A68F9">
        <w:br w:type="page"/>
      </w:r>
    </w:p>
    <w:p w14:paraId="77AAEC2B" w14:textId="77777777" w:rsidR="001606A2" w:rsidRPr="007A68F9" w:rsidRDefault="00000000" w:rsidP="00135DB7">
      <w:pPr>
        <w:pStyle w:val="Heading1"/>
        <w:rPr>
          <w:lang w:val="en-GB"/>
        </w:rPr>
      </w:pPr>
      <w:bookmarkStart w:id="0" w:name="_Toc231707029"/>
      <w:r w:rsidRPr="007A68F9">
        <w:rPr>
          <w:lang w:val="en-GB"/>
        </w:rPr>
        <w:lastRenderedPageBreak/>
        <w:t>Introduction</w:t>
      </w:r>
      <w:bookmarkEnd w:id="0"/>
    </w:p>
    <w:p w14:paraId="7333134C" w14:textId="77777777" w:rsidR="001606A2" w:rsidRPr="007A68F9" w:rsidRDefault="00135DB7" w:rsidP="00135DB7">
      <w:r w:rsidRPr="007A68F9">
        <w:t xml:space="preserve">Health, wellbeing and sustainable development-the nexus between them remains the central concept that health and social care policy and practice </w:t>
      </w:r>
      <w:r w:rsidR="007A68F9" w:rsidRPr="007A68F9">
        <w:t>must</w:t>
      </w:r>
      <w:r w:rsidRPr="007A68F9">
        <w:t xml:space="preserve"> focus on now and in the future. United Nations Sustainable Development Goals have become a universally recognized approach for addressing the world's major challenges, having been adopted by countries around the world in September 2015, as part of the global agenda for 2030</w:t>
      </w:r>
      <w:r w:rsidR="008947BC" w:rsidRPr="007A68F9">
        <w:t xml:space="preserve"> (Fet, 2024)</w:t>
      </w:r>
      <w:r w:rsidRPr="007A68F9">
        <w:t xml:space="preserve">. The Health Belief Model and Biopsychosocial Model have been used in relation to health and social care professionals and their work at various levels. Two goals that seem especially relevant are SDG 3 – ensure healthy lives and promote well-being for all at all ages, and SDG 10 – reduce inequality within and among countries; these have particularly strong relevance for health and social care professionals in the UK. This report critically analyses the effect of SDG 3 and 10 on citizen's health and wellbeing in local context-Birmingham, and in national level-United Kingdom, as one of the most ethnically and socioeconomically diverse cities in England, is a helpful case study of analysis health inequalities and effectiveness of sustainable development measures. This report firstly looks at global and national policy </w:t>
      </w:r>
      <w:r w:rsidR="007A68F9" w:rsidRPr="007A68F9">
        <w:t>frameworks and</w:t>
      </w:r>
      <w:r w:rsidRPr="007A68F9">
        <w:t xml:space="preserve"> then examines the extent to which these concepts are applied at the local level before </w:t>
      </w:r>
      <w:r w:rsidR="007A68F9" w:rsidRPr="007A68F9">
        <w:t>providing</w:t>
      </w:r>
      <w:r w:rsidRPr="007A68F9">
        <w:t xml:space="preserve"> evidence-based recommendations on how this can be improved</w:t>
      </w:r>
      <w:r w:rsidR="008947BC" w:rsidRPr="007A68F9">
        <w:t xml:space="preserve"> (Shabbir and Salman, 2025)</w:t>
      </w:r>
      <w:r w:rsidRPr="007A68F9">
        <w:t>.</w:t>
      </w:r>
    </w:p>
    <w:p w14:paraId="0978372F" w14:textId="77777777" w:rsidR="001606A2" w:rsidRPr="007A68F9" w:rsidRDefault="00000000" w:rsidP="008947BC">
      <w:pPr>
        <w:pStyle w:val="Heading1"/>
        <w:rPr>
          <w:lang w:val="en-GB"/>
        </w:rPr>
      </w:pPr>
      <w:bookmarkStart w:id="1" w:name="_Toc231707030"/>
      <w:r w:rsidRPr="007A68F9">
        <w:rPr>
          <w:lang w:val="en-GB"/>
        </w:rPr>
        <w:t xml:space="preserve">Section 1: SDG </w:t>
      </w:r>
      <w:r w:rsidR="007A68F9" w:rsidRPr="007A68F9">
        <w:rPr>
          <w:lang w:val="en-GB"/>
        </w:rPr>
        <w:t>3 Good</w:t>
      </w:r>
      <w:r w:rsidRPr="007A68F9">
        <w:rPr>
          <w:lang w:val="en-GB"/>
        </w:rPr>
        <w:t xml:space="preserve"> Health and Wellbeing</w:t>
      </w:r>
      <w:bookmarkEnd w:id="1"/>
    </w:p>
    <w:p w14:paraId="63E9C131" w14:textId="77777777" w:rsidR="001606A2" w:rsidRPr="007A68F9" w:rsidRDefault="00000000">
      <w:pPr>
        <w:spacing w:before="180" w:after="80"/>
      </w:pPr>
      <w:r w:rsidRPr="007A68F9">
        <w:rPr>
          <w:rFonts w:ascii="Arial" w:hAnsi="Arial"/>
          <w:b/>
          <w:bCs/>
          <w:szCs w:val="24"/>
        </w:rPr>
        <w:t>Overview</w:t>
      </w:r>
    </w:p>
    <w:p w14:paraId="19A55AB5" w14:textId="77777777" w:rsidR="00135DB7" w:rsidRPr="007A68F9" w:rsidRDefault="00135DB7" w:rsidP="00135DB7">
      <w:r w:rsidRPr="007A68F9">
        <w:t>There are 13 health- related targets encompassed within the SDG 3, they range from the reduction of mortality among mothers and children to eradicating large- scale communicable diseases, including HIV, TB and malaria, as well as strengthening the access to universal healthcare and promoting well-being and mental health</w:t>
      </w:r>
      <w:r w:rsidR="008947BC" w:rsidRPr="007A68F9">
        <w:t xml:space="preserve"> (Demir and Guzel, 2024)</w:t>
      </w:r>
      <w:r w:rsidRPr="007A68F9">
        <w:t>. The target recognizes that health is much more than the lack of diseases but that it is 'a state of complete physical, mental and social well-being and not merely the absence of disease and infirmity' a description which originated from WHO's fundamental principles. SDG 3 is particularly relevant for the United Kingdom because it sets up an internationally comparable basis against which domestic health policies can be measured and held accountable</w:t>
      </w:r>
      <w:r w:rsidR="008947BC" w:rsidRPr="007A68F9">
        <w:t xml:space="preserve"> (Mazzi, 2025)</w:t>
      </w:r>
      <w:r w:rsidRPr="007A68F9">
        <w:t>.</w:t>
      </w:r>
    </w:p>
    <w:p w14:paraId="7795866D" w14:textId="77777777" w:rsidR="001606A2" w:rsidRPr="007A68F9" w:rsidRDefault="00135DB7" w:rsidP="00135DB7">
      <w:r w:rsidRPr="007A68F9">
        <w:t xml:space="preserve">On the global front, achievements towards the </w:t>
      </w:r>
      <w:r w:rsidR="007A68F9" w:rsidRPr="007A68F9">
        <w:t>fulfilment</w:t>
      </w:r>
      <w:r w:rsidRPr="007A68F9">
        <w:t xml:space="preserve"> of SDG 3 have not been uniform. Considerable progress was made in reducing child mortality, as well as improving maternal health indicators for many parts of the world thanks to several international campaigns such as </w:t>
      </w:r>
      <w:r w:rsidR="007A68F9" w:rsidRPr="007A68F9">
        <w:t>Every</w:t>
      </w:r>
      <w:r w:rsidRPr="007A68F9">
        <w:t xml:space="preserve"> Woman Every Child campaign which collected more than thirty billion pounds worth of </w:t>
      </w:r>
      <w:r w:rsidRPr="007A68F9">
        <w:lastRenderedPageBreak/>
        <w:t xml:space="preserve">commitments for health that resulted in a real drop in the number of deaths preventable. But The COVID-19 pandemic hampered the progress toward several targets related to SDG 3 </w:t>
      </w:r>
      <w:r w:rsidR="007A68F9" w:rsidRPr="007A68F9">
        <w:t>since</w:t>
      </w:r>
      <w:r w:rsidRPr="007A68F9">
        <w:t xml:space="preserve"> it was overwhelming for the health systems, causing the increase of mental health issues, while the gap in access to healthcare became more pronounced</w:t>
      </w:r>
      <w:r w:rsidR="008947BC" w:rsidRPr="007A68F9">
        <w:t xml:space="preserve"> (Lepenies et al., 2023)</w:t>
      </w:r>
      <w:r w:rsidRPr="007A68F9">
        <w:t>.</w:t>
      </w:r>
    </w:p>
    <w:p w14:paraId="3E52F809" w14:textId="77777777" w:rsidR="001606A2" w:rsidRPr="007A68F9" w:rsidRDefault="00000000" w:rsidP="008947BC">
      <w:pPr>
        <w:pStyle w:val="Heading2"/>
        <w:rPr>
          <w:lang w:val="en-GB"/>
        </w:rPr>
      </w:pPr>
      <w:bookmarkStart w:id="2" w:name="_Toc231707031"/>
      <w:r w:rsidRPr="007A68F9">
        <w:rPr>
          <w:lang w:val="en-GB"/>
        </w:rPr>
        <w:t>National and Local Policies and Initiatives</w:t>
      </w:r>
      <w:bookmarkEnd w:id="2"/>
    </w:p>
    <w:p w14:paraId="1002559A" w14:textId="76B01034" w:rsidR="001606A2" w:rsidRPr="007A68F9" w:rsidRDefault="00135DB7" w:rsidP="00135DB7">
      <w:r>
        <w:t>The NHS Long Term Plan for England, released in 2019, is the overarching policy instrument at a national level that implements SDG 3 goals. The plan includes pledges regarding the emphasis placed on prevention, increasing access to mental health services and improving management of chronic non-communicable diseases as well as targeting health inequalities (Regmi, 2022). Crucially, the plan recognises that health in England remains inequitably distributed in terms of differences in life expectancy, disease prevalence, and access to services across various communities. Furthermore, the abolishment of Public Health England in 2021, to be replaced by the UK Health Security Agency and the Office for Health Improvement and Disparities, solidified health protection and reducing disparities as a national commitment. In Birmingham specifically, the national implementation of SDG 3 is most visible through the local NHS mental health provision, as well as public health campaigns focused on non-communicable diseases (Smith and Sinkford, 2022). With some of the highest diabetes prevalence rates in England, caused by a number of factors including diet and levels of deprivation, as well as unequal access to preventative services across certain communities in the city, the Birmingham and Solihull Integrated Care System has been involved in trying to combat this through diabetes prevention programmes and outreach schemes, mirroring the commitment made in the NHS Long Term plan in regard to preventative care (Foroudi et al., 2022</w:t>
      </w:r>
      <w:r w:rsidRPr="001B2D0D">
        <w:t xml:space="preserve">). </w:t>
      </w:r>
      <w:r w:rsidR="00D36A06" w:rsidRPr="001B2D0D">
        <w:t>Evidence based on numbers illustrates the extent of the problem in this area: in the year 2020/21, 9.3% of people in the age group of 17 and above, living in Birmingham, were found on the diabetes register, compared to 7.1% of the entire England (Birmingham City Council, 2022).</w:t>
      </w:r>
    </w:p>
    <w:p w14:paraId="449AB0BD" w14:textId="77777777" w:rsidR="001606A2" w:rsidRPr="007A68F9" w:rsidRDefault="00000000" w:rsidP="008947BC">
      <w:pPr>
        <w:pStyle w:val="Heading2"/>
        <w:rPr>
          <w:lang w:val="en-GB"/>
        </w:rPr>
      </w:pPr>
      <w:bookmarkStart w:id="3" w:name="_Toc231707032"/>
      <w:r w:rsidRPr="007A68F9">
        <w:rPr>
          <w:lang w:val="en-GB"/>
        </w:rPr>
        <w:t>Theoretical Application</w:t>
      </w:r>
      <w:bookmarkEnd w:id="3"/>
    </w:p>
    <w:p w14:paraId="7D7B1A8C" w14:textId="77777777" w:rsidR="001606A2" w:rsidRPr="007A68F9" w:rsidRDefault="008947BC" w:rsidP="00135DB7">
      <w:r w:rsidRPr="007A68F9">
        <w:t xml:space="preserve">The Health Belief Model offers valuable insight into the effectiveness of health promotion efforts relevant to SDG 3 (Raikes et al., 2023). The model suggests that people will engage in a health-protective </w:t>
      </w:r>
      <w:r w:rsidR="007A68F9" w:rsidRPr="007A68F9">
        <w:t>behaviour</w:t>
      </w:r>
      <w:r w:rsidRPr="007A68F9">
        <w:t xml:space="preserve"> when they feel that they are susceptible to the disease or condition in question, that the disease or condition is sufficiently severe, that there is a benefit to </w:t>
      </w:r>
      <w:r w:rsidR="007A68F9" w:rsidRPr="007A68F9">
        <w:t>acting</w:t>
      </w:r>
      <w:r w:rsidRPr="007A68F9">
        <w:t xml:space="preserve">, and that they will overcome barriers to </w:t>
      </w:r>
      <w:r w:rsidR="007A68F9" w:rsidRPr="007A68F9">
        <w:t>acting</w:t>
      </w:r>
      <w:r w:rsidRPr="007A68F9">
        <w:t xml:space="preserve">. When applied to diabetes prevention in Birmingham, the model reveals that the health campaigns must not just educate communities </w:t>
      </w:r>
      <w:r w:rsidRPr="007A68F9">
        <w:lastRenderedPageBreak/>
        <w:t xml:space="preserve">on health risks but also tackle cultural food norms, insufficient time in busy lives for exercise, and suspicion of the health sector. This perspective is then reinforced </w:t>
      </w:r>
      <w:r w:rsidR="007A68F9" w:rsidRPr="007A68F9">
        <w:t>using</w:t>
      </w:r>
      <w:r w:rsidRPr="007A68F9">
        <w:t xml:space="preserve"> the Biopsychosocial Model which shows that, rather than just biology determining health, psychological and social factors, many of which exist in exacerbated forms in a deprived urban setting, also determine health outcomes (Gan et al., 2023).</w:t>
      </w:r>
    </w:p>
    <w:p w14:paraId="76B66F88" w14:textId="77777777" w:rsidR="001606A2" w:rsidRPr="007A68F9" w:rsidRDefault="00000000" w:rsidP="008947BC">
      <w:pPr>
        <w:pStyle w:val="Heading2"/>
        <w:rPr>
          <w:lang w:val="en-GB"/>
        </w:rPr>
      </w:pPr>
      <w:bookmarkStart w:id="4" w:name="_Toc231707033"/>
      <w:r w:rsidRPr="007A68F9">
        <w:rPr>
          <w:lang w:val="en-GB"/>
        </w:rPr>
        <w:t>Critical Evaluation and Recommendations</w:t>
      </w:r>
      <w:bookmarkEnd w:id="4"/>
    </w:p>
    <w:p w14:paraId="4FE1AC37" w14:textId="74563390" w:rsidR="008947BC" w:rsidRPr="007A68F9" w:rsidRDefault="008947BC" w:rsidP="008947BC">
      <w:r>
        <w:t>The NHS Long Term Plan and local integrated care initiatives represent a positive move towards achieving SDG 3 but there are numerous and serious limitations in the current context which mean they are unlikely to succeed. Mental health services throughout England including in Birmingham are facing crisis capacity issues and waiting lists for specialist treatment are unacceptably long (Sambrook et al., 2025</w:t>
      </w:r>
      <w:r w:rsidRPr="001B2D0D">
        <w:t xml:space="preserve">). </w:t>
      </w:r>
      <w:r w:rsidR="00D36A06" w:rsidRPr="001B2D0D">
        <w:t>The national figures support the gravity of this situation: according to NHS England (2024), in April 2024, the average waiting time for 10% of adults waiting for their second appointment with community mental health services was at least 116 weeks (or 812 days), down from 100 weeks in December 2023. The regional situation is not much better either: a 2024 investigation by Healthwatch conducted among almost 100 users of community mental health services in South and East Birmingham revealed that 22% of patients waited for three to six months for the first appointment, and 49% described the quality of the services as poor or very poor.</w:t>
      </w:r>
      <w:r>
        <w:t xml:space="preserve"> This has been acknowledged since the Five Year Forward View for Mental Health in 2016 yet in 2026 provision is still failing people due to continued chronic under-investment and workforce gaps. In addition health promotion messages based on individual behavioural models such as the Health Belief Model are problematic in so far as they lay emphasis on individual behavioural change and may serve to disproportionately place the onus for good health on the individual where in reality poor health is being generated by structural conditions (Johnson et al., 2022).</w:t>
      </w:r>
    </w:p>
    <w:p w14:paraId="1F98A4E8" w14:textId="77777777" w:rsidR="001606A2" w:rsidRPr="007A68F9" w:rsidRDefault="008947BC" w:rsidP="008947BC">
      <w:r w:rsidRPr="007A68F9">
        <w:t>A more appropriate route towards SDG 3 in Birmingham would consist in embedding health promotion in the community along the lines of the Kirklees Community Champions programme whereby local people are trained to deliver context-appropriate health messages in language that is readily understandable by local people and is also delivered within cultural contexts known to their community. Secondly, proactive rather than patient-initiated primary and community care, targeted at people in deprived areas, would provide a stronger means to achieve a biopsychosocial view of health and working towards real universal health coverage as outlined by SDG 3 (Sambrook et al., 2025).</w:t>
      </w:r>
    </w:p>
    <w:p w14:paraId="3DFB137A" w14:textId="77777777" w:rsidR="001606A2" w:rsidRPr="007A68F9" w:rsidRDefault="00000000" w:rsidP="008947BC">
      <w:pPr>
        <w:pStyle w:val="Heading1"/>
        <w:rPr>
          <w:lang w:val="en-GB"/>
        </w:rPr>
      </w:pPr>
      <w:bookmarkStart w:id="5" w:name="_Toc231707034"/>
      <w:r w:rsidRPr="007A68F9">
        <w:rPr>
          <w:lang w:val="en-GB"/>
        </w:rPr>
        <w:t xml:space="preserve">Section 2: SDG </w:t>
      </w:r>
      <w:r w:rsidR="007A68F9" w:rsidRPr="007A68F9">
        <w:rPr>
          <w:lang w:val="en-GB"/>
        </w:rPr>
        <w:t>10 Reduced</w:t>
      </w:r>
      <w:r w:rsidRPr="007A68F9">
        <w:rPr>
          <w:lang w:val="en-GB"/>
        </w:rPr>
        <w:t xml:space="preserve"> Inequalities</w:t>
      </w:r>
      <w:bookmarkEnd w:id="5"/>
    </w:p>
    <w:p w14:paraId="6426F5D3" w14:textId="77777777" w:rsidR="001606A2" w:rsidRPr="007A68F9" w:rsidRDefault="00000000">
      <w:pPr>
        <w:spacing w:before="180" w:after="80"/>
      </w:pPr>
      <w:r w:rsidRPr="007A68F9">
        <w:rPr>
          <w:rFonts w:ascii="Arial" w:hAnsi="Arial"/>
          <w:b/>
          <w:bCs/>
          <w:szCs w:val="24"/>
        </w:rPr>
        <w:lastRenderedPageBreak/>
        <w:t>Overview</w:t>
      </w:r>
    </w:p>
    <w:p w14:paraId="45B19CEF" w14:textId="77777777" w:rsidR="008947BC" w:rsidRPr="007A68F9" w:rsidRDefault="008947BC" w:rsidP="008947BC">
      <w:r w:rsidRPr="007A68F9">
        <w:t>SDG 10 is about reducing inequality both between and within countries. This is about disparities in income, opportunity and outcomes in terms of various characteristics of the population, such as age, gender, disability, race, ethnicity and socio-economic status. SDG 10 is strongly linked with SDG 3 in the field of health and social care, since health inequality is one of the most visible and damaging examples of structural inequality in present day societies. Health inequalities are prominent even in the UK, a wealthy country with a comprehensive health care service (Salisbury et al., 2023).</w:t>
      </w:r>
    </w:p>
    <w:p w14:paraId="49DE4B46" w14:textId="77777777" w:rsidR="001606A2" w:rsidRPr="007A68F9" w:rsidRDefault="008947BC" w:rsidP="008947BC">
      <w:r w:rsidRPr="007A68F9">
        <w:t>At the global level, SDG 10 has been placed on a new footing in the light of the coronavirus pandemic which has starkly exposed how inequalities in income, employment, housing, health and access to health care determine very different experiences of illness and death. Poorer, marginalized communities were infected, admitted to hospital and died at far higher rates, illustrating vividly that health inequalities are not determined by biology or choice but are social and policy driven, and thus subject to remediation (Khan et al., 2025).</w:t>
      </w:r>
    </w:p>
    <w:p w14:paraId="6FFA9D16" w14:textId="77777777" w:rsidR="001606A2" w:rsidRPr="007A68F9" w:rsidRDefault="00000000" w:rsidP="008947BC">
      <w:pPr>
        <w:pStyle w:val="Heading2"/>
        <w:rPr>
          <w:lang w:val="en-GB"/>
        </w:rPr>
      </w:pPr>
      <w:bookmarkStart w:id="6" w:name="_Toc231707035"/>
      <w:r w:rsidRPr="007A68F9">
        <w:rPr>
          <w:lang w:val="en-GB"/>
        </w:rPr>
        <w:t>National and Local Policies and Initiatives</w:t>
      </w:r>
      <w:bookmarkEnd w:id="6"/>
    </w:p>
    <w:p w14:paraId="7C693AF7" w14:textId="5147959B" w:rsidR="001606A2" w:rsidRPr="001B2D0D" w:rsidRDefault="008947BC" w:rsidP="00135DB7">
      <w:r>
        <w:t>At the national level, both the Marmot Review and its follow up indicated that health inequalities in England are increasing rather than decreasing. This shows clear social gradients for health based on income, education, employment, housing and place, indicating that broader social factors play a role in poor health (Evans et al., 2023). Following this, the Core20PLUS5 was established by the NHS as a way of reducing inequalities by identifying the most deprived 20% of the population and focusing on the most significant clinical areas-cardiovascular disease, mental health, cancer, maternity care and respiratory disease-indicating a significant shift to incorporate equity into planning and service provision in the NHS. At a local level, this is illustrated through Birmingham. The city incorporates areas of high deprivation, interspersed with wealthier areas, generating health inequalities through inequitable health opportunities and outcomes (Arndtz et al., 2025</w:t>
      </w:r>
      <w:r w:rsidR="00D36A06" w:rsidRPr="001B2D0D">
        <w:t>). The disparities have been measured by local data: the infant mortality rate in Birmingham was 7.0 per 1,000 live births against 3.9 per 1,000 in England, and in 2022/23 the proportion of adults meeting recommended moderate physical activity standards on a weekly basis stood at 60.4% against 67.1% in England. In 2016-2020 life expectancy was lower than in England among women (81.9 years compared to 83.2) and men (77.2 years compared to 79.5), while the gap among Birmingham wards was 10.9 and 8.2 years, respectively.</w:t>
      </w:r>
      <w:r w:rsidRPr="001B2D0D">
        <w:t xml:space="preserve"> The disproportionate Black maternal mortality also indicates social inequalities at the national level, in that the clinical aspects alone</w:t>
      </w:r>
      <w:r>
        <w:t xml:space="preserve"> can't be the explanation for the worse </w:t>
      </w:r>
      <w:r>
        <w:lastRenderedPageBreak/>
        <w:t xml:space="preserve">outcomes of these patients and reflect social and cultural barriers within health </w:t>
      </w:r>
      <w:r w:rsidRPr="001B2D0D">
        <w:t>services</w:t>
      </w:r>
      <w:r w:rsidR="00D36A06" w:rsidRPr="001B2D0D">
        <w:t xml:space="preserve"> Latest surveillance data from 2022-24 shows that Black women were at 2.72 times the risk of maternal deaths than White women, and women residing in the 20% of the most deprived areas of England experienced approximately twice the level of maternal mortality as women living in the 20% least deprived areas (NPEU, 2026).</w:t>
      </w:r>
      <w:r w:rsidRPr="001B2D0D">
        <w:t xml:space="preserve"> It can be seen in terms of digital inclusion, which disproportionately impacts on the elderly and low-income communities who are denied fair access to health information and services with increasing uptake of the Internet (Proquest.com, 2025). </w:t>
      </w:r>
      <w:r w:rsidR="00D36A06" w:rsidRPr="001B2D0D">
        <w:t>The problem of digital exclusion is also socially structured since 6% of UK citizens did not have any internet connection at home in 2024, 21% of which were aged 65 and older, and 15% belonged to DE social groups, in contrast to 2% for AB social groups (Ofcom, 2025).</w:t>
      </w:r>
    </w:p>
    <w:p w14:paraId="6C081E2C" w14:textId="77777777" w:rsidR="001606A2" w:rsidRPr="001B2D0D" w:rsidRDefault="00000000" w:rsidP="008947BC">
      <w:pPr>
        <w:pStyle w:val="Heading2"/>
        <w:rPr>
          <w:lang w:val="en-GB"/>
        </w:rPr>
      </w:pPr>
      <w:bookmarkStart w:id="7" w:name="_Toc231707036"/>
      <w:r w:rsidRPr="001B2D0D">
        <w:rPr>
          <w:lang w:val="en-GB"/>
        </w:rPr>
        <w:t>Theoretical Application</w:t>
      </w:r>
      <w:bookmarkEnd w:id="7"/>
    </w:p>
    <w:p w14:paraId="0E7A7559" w14:textId="77777777" w:rsidR="001606A2" w:rsidRPr="007A68F9" w:rsidRDefault="008947BC" w:rsidP="00135DB7">
      <w:r w:rsidRPr="001B2D0D">
        <w:t xml:space="preserve">It is Social Cognitive Theory which is the most </w:t>
      </w:r>
      <w:r w:rsidR="007A68F9" w:rsidRPr="001B2D0D">
        <w:t>opposite</w:t>
      </w:r>
      <w:r w:rsidRPr="001B2D0D">
        <w:t xml:space="preserve"> approach to applying SDG 10 within the context of health and social care interventions. In its highlighting of the influence of observational learning, </w:t>
      </w:r>
      <w:r w:rsidR="007A68F9" w:rsidRPr="001B2D0D">
        <w:t>self-efficacy</w:t>
      </w:r>
      <w:r w:rsidRPr="001B2D0D">
        <w:t xml:space="preserve"> and social reinforcement and in raising awareness of the importance of social environment on</w:t>
      </w:r>
      <w:r w:rsidRPr="007A68F9">
        <w:t xml:space="preserve"> what </w:t>
      </w:r>
      <w:r w:rsidR="007A68F9" w:rsidRPr="007A68F9">
        <w:t>behaviours</w:t>
      </w:r>
      <w:r w:rsidRPr="007A68F9">
        <w:t xml:space="preserve"> people consider themselves capable of and desirable of, it helps to explain why health interventions which rely on providing information can only partially compensate for the lack of visible health role models and for the normality of poor health outcomes that may exist in the socially deprived and socially excluded environment</w:t>
      </w:r>
      <w:r w:rsidR="007A68F9" w:rsidRPr="007A68F9">
        <w:t xml:space="preserve"> (York, 2022)</w:t>
      </w:r>
      <w:r w:rsidRPr="007A68F9">
        <w:t xml:space="preserve">. Consequently, health inequalities are not likely to be eradicated through purely informative health interventions but require structural and culturally appropriate community interventions to address it. It is the Social Determinants of Health, where Income, Housing, Employment, Education and other </w:t>
      </w:r>
      <w:r w:rsidR="007A68F9" w:rsidRPr="007A68F9">
        <w:t>socio-economic</w:t>
      </w:r>
      <w:r w:rsidRPr="007A68F9">
        <w:t xml:space="preserve"> variables were identified as having the most importance in influencing health, that also lends itself to application to the discussion of SDG 10. In Birmingham, the inhabitants of the most deprived wards face multiple disadvantages that reinforce each other, creating what researchers refer to as a clustering of risks. These cluster disadvantages cannot be targeted or managed without the coordinated efforts of health, housing, employment and education</w:t>
      </w:r>
      <w:r w:rsidR="007A68F9" w:rsidRPr="007A68F9">
        <w:t xml:space="preserve"> (Peoples, 2024)</w:t>
      </w:r>
      <w:r w:rsidRPr="007A68F9">
        <w:t>.</w:t>
      </w:r>
    </w:p>
    <w:p w14:paraId="0AF49873" w14:textId="77777777" w:rsidR="001606A2" w:rsidRPr="007A68F9" w:rsidRDefault="00000000" w:rsidP="008947BC">
      <w:pPr>
        <w:pStyle w:val="Heading2"/>
        <w:rPr>
          <w:lang w:val="en-GB"/>
        </w:rPr>
      </w:pPr>
      <w:bookmarkStart w:id="8" w:name="_Toc231707037"/>
      <w:r w:rsidRPr="007A68F9">
        <w:rPr>
          <w:lang w:val="en-GB"/>
        </w:rPr>
        <w:t>Critical Evaluation and Recommendations</w:t>
      </w:r>
      <w:bookmarkEnd w:id="8"/>
    </w:p>
    <w:p w14:paraId="64892155" w14:textId="77777777" w:rsidR="001606A2" w:rsidRPr="007A68F9" w:rsidRDefault="008947BC" w:rsidP="00135DB7">
      <w:r>
        <w:t xml:space="preserve">A Key policy development has been the introduction of Core20PLUS5, which puts health equity at the heart of NHS planning, and ultimately, may or may not be successful. Its success relies on consistency in implementation, funding over the long-term, and a clear commitment to it by politicians. If not delivered, or sustained, its aspirational intentions may be reduced to the bare minimum and may not bring about the substantial changes required. Acute services </w:t>
      </w:r>
      <w:r>
        <w:lastRenderedPageBreak/>
        <w:t>are typically prioritised over prevention and community-based interventions in a cash-strapped NHS, potentially worsening the disadvantage to the Core20PLUS5 target populations. For SDG10 in Birmingham, two interventions may be used to support its implementation. First, increasing the number of social prescribing link workers will help improve social, emotional, financial and social wellbeing by connecting people to services in their local community. This method also helps to relieve the pressure placed on primary care. Second, health services must be developed in collaboration with local people, and particularly with those from BME communities, so that culturally and structurally significant barriers to access can be eliminated. Both social prescribing and co-production can be effectively applied to address health inequalities in Birmingham, whilst also increasing the perceived trustworthiness, receptivity and equity of the whole health and social care service</w:t>
      </w:r>
      <w:r w:rsidRPr="001B2D0D">
        <w:t>. Accordingly, digital-first services should retain adequately resourced telephone and face-to-face routes and provide assisted-digital support, particularly for older and low-income residents who face the highest exclusion rates (Ofcom, 2025).</w:t>
      </w:r>
    </w:p>
    <w:p w14:paraId="7BD0A480" w14:textId="77777777" w:rsidR="001606A2" w:rsidRPr="007A68F9" w:rsidRDefault="00000000" w:rsidP="008947BC">
      <w:pPr>
        <w:pStyle w:val="Heading1"/>
        <w:rPr>
          <w:lang w:val="en-GB"/>
        </w:rPr>
      </w:pPr>
      <w:bookmarkStart w:id="9" w:name="_Toc231707038"/>
      <w:r w:rsidRPr="007A68F9">
        <w:rPr>
          <w:lang w:val="en-GB"/>
        </w:rPr>
        <w:t>Conclusion</w:t>
      </w:r>
      <w:bookmarkEnd w:id="9"/>
    </w:p>
    <w:p w14:paraId="0E43AE8D" w14:textId="77777777" w:rsidR="007A68F9" w:rsidRPr="007A68F9" w:rsidRDefault="008947BC" w:rsidP="00135DB7">
      <w:r w:rsidRPr="007A68F9">
        <w:t>In this paper, we have reviewed SDG3 and SDG10, and their impact upon health and wellbeing in Birmingham, and across the United Kingdom. This document reveals the importance of addressing health inequalities which drive both illness and recovery and affect the utilisation of and equitable access to health care services. Strategies developed by national bodies like the NHS Long Term Plan and Core20PLUS5 confirm an intent to increase the equity of health; yet the potential of these measures remains constrained by chronic underinvestment, staff shortfalls and the broader social determinants of health. While Birmingham can illustrate the severity of these issues; it can also exemplify how tailored, community-orientated programmes are effective. Existing health promotion theoretical frameworks such as the Health Belief Model, Biopsychosocial Model and the Social Cognitive Model can help to illuminate causes of inequality and inform meaningful solutions. Health promotion at community level, along with Social Prescribing and Coproduction in Care represent feasible pathways to success. Working toward achieving the goals set out within both SDG3 and SDG10 can only be successful through consistent political will, equitable resourcing, and focus on deprived communities.</w:t>
      </w:r>
    </w:p>
    <w:p w14:paraId="558C0800" w14:textId="77777777" w:rsidR="007A68F9" w:rsidRPr="007A68F9" w:rsidRDefault="007A68F9" w:rsidP="007A68F9">
      <w:pPr>
        <w:ind w:left="720" w:hanging="720"/>
      </w:pPr>
      <w:r w:rsidRPr="007A68F9">
        <w:br w:type="page"/>
      </w:r>
    </w:p>
    <w:p w14:paraId="781BCB5A" w14:textId="77777777" w:rsidR="007A68F9" w:rsidRPr="007A68F9" w:rsidRDefault="007A68F9" w:rsidP="007A68F9">
      <w:pPr>
        <w:pStyle w:val="Heading1"/>
        <w:rPr>
          <w:lang w:val="en-GB"/>
        </w:rPr>
      </w:pPr>
      <w:bookmarkStart w:id="10" w:name="_Toc231707039"/>
      <w:r w:rsidRPr="007A68F9">
        <w:rPr>
          <w:lang w:val="en-GB"/>
        </w:rPr>
        <w:lastRenderedPageBreak/>
        <w:t>‌References</w:t>
      </w:r>
      <w:bookmarkEnd w:id="10"/>
      <w:r w:rsidRPr="007A68F9">
        <w:rPr>
          <w:lang w:val="en-GB"/>
        </w:rPr>
        <w:t xml:space="preserve"> </w:t>
      </w:r>
    </w:p>
    <w:p w14:paraId="5D55365A" w14:textId="77777777" w:rsidR="007A68F9" w:rsidRPr="007A68F9" w:rsidRDefault="007A68F9" w:rsidP="007A68F9">
      <w:pPr>
        <w:ind w:left="720" w:hanging="720"/>
      </w:pPr>
      <w:r w:rsidRPr="007A68F9">
        <w:t xml:space="preserve">Arndtz, K., Cameron, M., Hirschfield, G., Parry, J. and Greenfield, S. (2025). What are the lived healthcare experiences of patients with primary sclerosing cholangitis? A community-based qualitative interview study. BMJ Open, [online] 15(2), pp. e082498-e082498. </w:t>
      </w:r>
      <w:hyperlink r:id="rId7" w:history="1">
        <w:r w:rsidRPr="007A68F9">
          <w:rPr>
            <w:rStyle w:val="Hyperlink"/>
          </w:rPr>
          <w:t>HTTPs://doi:10.1136/bmjopen-2023-082498</w:t>
        </w:r>
      </w:hyperlink>
      <w:r w:rsidRPr="007A68F9">
        <w:t xml:space="preserve">. </w:t>
      </w:r>
    </w:p>
    <w:p w14:paraId="291301E0" w14:textId="3337E7E9" w:rsidR="006E3DA5" w:rsidRPr="001B2D0D" w:rsidRDefault="00D36A06">
      <w:pPr>
        <w:ind w:left="720" w:hanging="720"/>
      </w:pPr>
      <w:hyperlink r:id="rId8" w:history="1">
        <w:r w:rsidRPr="001B2D0D">
          <w:rPr>
            <w:rStyle w:val="Hyperlink"/>
          </w:rPr>
          <w:t>https://www.birmingham.gov.uk/download/downloads/id/23638/east_locality_profile_2022.pdf</w:t>
        </w:r>
      </w:hyperlink>
      <w:r w:rsidRPr="001B2D0D">
        <w:t xml:space="preserve">  </w:t>
      </w:r>
    </w:p>
    <w:p w14:paraId="593BA66C" w14:textId="2096D9BB" w:rsidR="006E3DA5" w:rsidRDefault="00000000">
      <w:pPr>
        <w:ind w:left="720" w:hanging="720"/>
      </w:pPr>
      <w:r w:rsidRPr="001B2D0D">
        <w:t xml:space="preserve">Birmingham City Council (2024). Inequalities in Birmingham: Headline Statistics. [online] Available at: </w:t>
      </w:r>
      <w:hyperlink r:id="rId9" w:history="1">
        <w:r w:rsidR="00D36A06" w:rsidRPr="001B2D0D">
          <w:rPr>
            <w:rStyle w:val="Hyperlink"/>
          </w:rPr>
          <w:t>https://cityobservatory.birmingham.gov.uk/explore/dataset/insight-fact-sheets/files/12b29b2e1d0505ad4085a707ac7024f3/download/</w:t>
        </w:r>
      </w:hyperlink>
      <w:r w:rsidR="00D36A06">
        <w:rPr>
          <w:highlight w:val="yellow"/>
        </w:rPr>
        <w:t xml:space="preserve"> </w:t>
      </w:r>
      <w:r>
        <w:rPr>
          <w:highlight w:val="yellow"/>
        </w:rPr>
        <w:t xml:space="preserve"> </w:t>
      </w:r>
    </w:p>
    <w:p w14:paraId="606C51FA" w14:textId="77777777" w:rsidR="007A68F9" w:rsidRPr="007A68F9" w:rsidRDefault="007A68F9" w:rsidP="007A68F9">
      <w:pPr>
        <w:ind w:left="720" w:hanging="720"/>
      </w:pPr>
      <w:r w:rsidRPr="007A68F9">
        <w:t xml:space="preserve">‌Demir, S. and Guzel, A. (2024). Revisiting policy and practices of sustainable development in Turkey. Environment Development and Sustainability, [online] 28(4), pp.9115–9137. </w:t>
      </w:r>
      <w:hyperlink r:id="rId10" w:history="1">
        <w:r w:rsidRPr="007A68F9">
          <w:rPr>
            <w:rStyle w:val="Hyperlink"/>
          </w:rPr>
          <w:t>HTTPs://doi:10.1007/s10668-024-05346-2</w:t>
        </w:r>
      </w:hyperlink>
      <w:r w:rsidRPr="007A68F9">
        <w:t xml:space="preserve">. </w:t>
      </w:r>
    </w:p>
    <w:p w14:paraId="3691CE5F" w14:textId="77777777" w:rsidR="007A68F9" w:rsidRPr="007A68F9" w:rsidRDefault="007A68F9" w:rsidP="007A68F9">
      <w:pPr>
        <w:ind w:left="720" w:hanging="720"/>
      </w:pPr>
      <w:r w:rsidRPr="007A68F9">
        <w:t xml:space="preserve">‌Evans, N., Edwards, D., Carrier, J., Elliot, M., Gillen, E., Hannigan, M., Lane, R. and Williams, L. (2023). Mental health crisis cares for children and young people aged 5 to 25 years: the CAMH-Crisis evidence synthesis -ORCA. Cardiff.ac.uk. [online] Doi: </w:t>
      </w:r>
      <w:hyperlink r:id="rId11" w:history="1">
        <w:r w:rsidRPr="007A68F9">
          <w:rPr>
            <w:rStyle w:val="Hyperlink"/>
          </w:rPr>
          <w:t>HTTPs://orca.cardiff.ac.uk/id/eprint/148205/8/3042259.pdf</w:t>
        </w:r>
      </w:hyperlink>
      <w:r w:rsidRPr="007A68F9">
        <w:t xml:space="preserve">. </w:t>
      </w:r>
    </w:p>
    <w:p w14:paraId="12A6D13B" w14:textId="77777777" w:rsidR="007A68F9" w:rsidRPr="007A68F9" w:rsidRDefault="007A68F9" w:rsidP="007A68F9">
      <w:pPr>
        <w:ind w:left="720" w:hanging="720"/>
      </w:pPr>
      <w:r w:rsidRPr="007A68F9">
        <w:t xml:space="preserve">Fet, A.M. (2024). Linking Sustainable Good Health and Well-Being to the Sustainable Development Goals: An Historical Perspective. Towards Sustainable Good Health and Well-being, [online] pp.3–20. </w:t>
      </w:r>
      <w:hyperlink r:id="rId12" w:history="1">
        <w:r w:rsidRPr="007A68F9">
          <w:rPr>
            <w:rStyle w:val="Hyperlink"/>
          </w:rPr>
          <w:t>HTTPs://doi:10.1007/978-3-031-61810-9_1</w:t>
        </w:r>
      </w:hyperlink>
      <w:r w:rsidRPr="007A68F9">
        <w:t xml:space="preserve">.  </w:t>
      </w:r>
    </w:p>
    <w:p w14:paraId="24B5792F" w14:textId="77777777" w:rsidR="007A68F9" w:rsidRPr="007A68F9" w:rsidRDefault="007A68F9" w:rsidP="007A68F9">
      <w:pPr>
        <w:ind w:left="720" w:hanging="720"/>
      </w:pPr>
      <w:r w:rsidRPr="007A68F9">
        <w:t xml:space="preserve">‌Foroudi, P., Marvi, R., Cuomo, M.T., Bagozzi, R., Dennis, C. and Jannelli, R. (2022). Consumer Perceptions of Sustainable Development Goals: Conceptualization, Measurement and Contingent Effects. British Journal of Management, [online] 34(3), pp.1157–1183. </w:t>
      </w:r>
      <w:hyperlink r:id="rId13" w:history="1">
        <w:r w:rsidRPr="007A68F9">
          <w:rPr>
            <w:rStyle w:val="Hyperlink"/>
          </w:rPr>
          <w:t>HTTPs://doi:10.1111/1467-8551.12637</w:t>
        </w:r>
      </w:hyperlink>
      <w:r w:rsidRPr="007A68F9">
        <w:t xml:space="preserve">. </w:t>
      </w:r>
    </w:p>
    <w:p w14:paraId="60F6D51E" w14:textId="77777777" w:rsidR="007A68F9" w:rsidRPr="007A68F9" w:rsidRDefault="007A68F9" w:rsidP="007A68F9">
      <w:pPr>
        <w:ind w:left="720" w:hanging="720"/>
      </w:pPr>
      <w:r w:rsidRPr="007A68F9">
        <w:t xml:space="preserve">‌Gan, K.E., Oki Taikan, Gan, T.Y., Weis, T., Yamazaki, D. and Holger Schüttrumpf (2023). Enhancing Renewable Energy Systems, Contributing to Sustainable Development Goals of United Nation and Building Resilience Against Climate Change Impacts. Energy Technology, [online] 11(11). </w:t>
      </w:r>
      <w:hyperlink r:id="rId14" w:history="1">
        <w:r w:rsidRPr="007A68F9">
          <w:rPr>
            <w:rStyle w:val="Hyperlink"/>
          </w:rPr>
          <w:t>HTTPs://doi:10.1002/ente.202300275</w:t>
        </w:r>
      </w:hyperlink>
      <w:r w:rsidRPr="007A68F9">
        <w:t xml:space="preserve">. </w:t>
      </w:r>
    </w:p>
    <w:p w14:paraId="785ABFF4" w14:textId="534C2BC1" w:rsidR="006E3DA5" w:rsidRDefault="00000000">
      <w:pPr>
        <w:ind w:left="720" w:hanging="720"/>
      </w:pPr>
      <w:r w:rsidRPr="001B2D0D">
        <w:t xml:space="preserve">Healthwatch Birmingham (2024). Experiences of NHS Community Mental Health Services in South and East Birmingham. [online] Available at: </w:t>
      </w:r>
      <w:hyperlink r:id="rId15" w:history="1">
        <w:r w:rsidR="00D36A06" w:rsidRPr="001B2D0D">
          <w:rPr>
            <w:rStyle w:val="Hyperlink"/>
          </w:rPr>
          <w:t>https://healthwatchbsol.org.uk/report/community-mental-health/</w:t>
        </w:r>
      </w:hyperlink>
      <w:r w:rsidR="00D36A06">
        <w:t xml:space="preserve"> </w:t>
      </w:r>
    </w:p>
    <w:p w14:paraId="4C82EE99" w14:textId="77777777" w:rsidR="007A68F9" w:rsidRPr="007A68F9" w:rsidRDefault="007A68F9" w:rsidP="007A68F9">
      <w:pPr>
        <w:ind w:left="720" w:hanging="720"/>
      </w:pPr>
      <w:r w:rsidRPr="007A68F9">
        <w:t xml:space="preserve">‌Johnson, S., Dalton‐Locke, C., Baker, J., Hanlon, C., Salisbury, T.T., Fossey, M., Newbigging, K., Carr, S.E., Hensel, J., Carrà, G., Hepp, U., Caneo, C., Needle, J.J. and Lloyd‐Evans, </w:t>
      </w:r>
      <w:r w:rsidRPr="007A68F9">
        <w:lastRenderedPageBreak/>
        <w:t xml:space="preserve">B. (2022). Acute psychiatric care: approaches to increasing the range of services and improving access and quality of care. World Psychiatry, [online] 21(2), pp.220–236. </w:t>
      </w:r>
      <w:hyperlink r:id="rId16" w:history="1">
        <w:r w:rsidRPr="007A68F9">
          <w:rPr>
            <w:rStyle w:val="Hyperlink"/>
          </w:rPr>
          <w:t>HTTPs://doi:10.1002/wps.20962</w:t>
        </w:r>
      </w:hyperlink>
      <w:r w:rsidRPr="007A68F9">
        <w:t xml:space="preserve">. </w:t>
      </w:r>
    </w:p>
    <w:p w14:paraId="56084044" w14:textId="77777777" w:rsidR="007A68F9" w:rsidRPr="007A68F9" w:rsidRDefault="007A68F9" w:rsidP="007A68F9">
      <w:pPr>
        <w:ind w:left="720" w:hanging="720"/>
      </w:pPr>
      <w:r w:rsidRPr="007A68F9">
        <w:t xml:space="preserve">‌Khan, Y.S., Dave, S., Al-Uzri, M., Javed Latoo and Ovais Wadoo (2025). Specialist mental health crisis centres in England: a step forward or a stumble in the dark? BJPsych Open, [online] 11(5), pp. e187-e187. </w:t>
      </w:r>
      <w:hyperlink r:id="rId17" w:history="1">
        <w:r w:rsidRPr="007A68F9">
          <w:rPr>
            <w:rStyle w:val="Hyperlink"/>
          </w:rPr>
          <w:t>HTTPs://doi:10.1192/bjo.2025.10820</w:t>
        </w:r>
      </w:hyperlink>
      <w:r w:rsidRPr="007A68F9">
        <w:t xml:space="preserve">. </w:t>
      </w:r>
    </w:p>
    <w:p w14:paraId="159664FF" w14:textId="77777777" w:rsidR="007A68F9" w:rsidRPr="007A68F9" w:rsidRDefault="007A68F9" w:rsidP="007A68F9">
      <w:pPr>
        <w:ind w:left="720" w:hanging="720"/>
      </w:pPr>
      <w:r w:rsidRPr="007A68F9">
        <w:t xml:space="preserve">‌Lepenies, R., Büttner, L., Bärlund, I., Jax, K., Jari Lyytimäki, Pedersen, A.B., Nielsen, H.Ø., Mosoni, C., Mille, R., Payen, G. and Richard, D. (2023). The politics of national SDG indicator systems: A comparison of four European countries. AMBIO, [online] 52(4), pp.743–756. </w:t>
      </w:r>
      <w:hyperlink r:id="rId18" w:history="1">
        <w:r w:rsidRPr="007A68F9">
          <w:rPr>
            <w:rStyle w:val="Hyperlink"/>
          </w:rPr>
          <w:t>HTTPs://doi:10.1007/s13280-022-01809-w</w:t>
        </w:r>
      </w:hyperlink>
      <w:r w:rsidRPr="007A68F9">
        <w:t xml:space="preserve">. </w:t>
      </w:r>
    </w:p>
    <w:p w14:paraId="45AD3A84" w14:textId="77777777" w:rsidR="007A68F9" w:rsidRPr="007A68F9" w:rsidRDefault="007A68F9" w:rsidP="007A68F9">
      <w:pPr>
        <w:ind w:left="720" w:hanging="720"/>
      </w:pPr>
      <w:r w:rsidRPr="007A68F9">
        <w:t xml:space="preserve">‌Mazzi, F. (2025). Evaluating the normative implications of national and international AI policies for SDG 3: good health and wellbeing. Health Affairs Scholar. </w:t>
      </w:r>
      <w:hyperlink r:id="rId19" w:history="1">
        <w:r w:rsidRPr="007A68F9">
          <w:rPr>
            <w:rStyle w:val="Hyperlink"/>
          </w:rPr>
          <w:t>HTTPs://doi:10.1093/haschl/qxaf108</w:t>
        </w:r>
      </w:hyperlink>
      <w:r w:rsidRPr="007A68F9">
        <w:t xml:space="preserve">. </w:t>
      </w:r>
    </w:p>
    <w:p w14:paraId="21AAB66B" w14:textId="08A7276D" w:rsidR="006E3DA5" w:rsidRPr="001B2D0D" w:rsidRDefault="00000000">
      <w:pPr>
        <w:ind w:left="720" w:hanging="720"/>
      </w:pPr>
      <w:r w:rsidRPr="001B2D0D">
        <w:t xml:space="preserve">NHS England (2024). Monthly Operational Statistics - July 2024. [online] Available at: </w:t>
      </w:r>
      <w:hyperlink r:id="rId20" w:history="1">
        <w:r w:rsidR="00D36A06" w:rsidRPr="001B2D0D">
          <w:rPr>
            <w:rStyle w:val="Hyperlink"/>
          </w:rPr>
          <w:t>https://www.england.nhs.uk/long-read/monthly-operational-statistics-july-2024/</w:t>
        </w:r>
      </w:hyperlink>
      <w:r w:rsidR="00D36A06" w:rsidRPr="001B2D0D">
        <w:t xml:space="preserve"> </w:t>
      </w:r>
      <w:r w:rsidRPr="001B2D0D">
        <w:t xml:space="preserve"> </w:t>
      </w:r>
      <w:r w:rsidR="00D36A06" w:rsidRPr="001B2D0D">
        <w:t xml:space="preserve"> </w:t>
      </w:r>
    </w:p>
    <w:p w14:paraId="2D24DFE5" w14:textId="42282C0E" w:rsidR="006E3DA5" w:rsidRPr="001B2D0D" w:rsidRDefault="00000000">
      <w:pPr>
        <w:ind w:left="720" w:hanging="720"/>
      </w:pPr>
      <w:r w:rsidRPr="001B2D0D">
        <w:t xml:space="preserve">NPEU (2026). Maternal Mortality 2022-2024. MBRRACE-UK. [online] Available at: </w:t>
      </w:r>
      <w:hyperlink r:id="rId21" w:history="1">
        <w:r w:rsidR="00D36A06" w:rsidRPr="001B2D0D">
          <w:rPr>
            <w:rStyle w:val="Hyperlink"/>
          </w:rPr>
          <w:t>https://www.npeu.ox.ac.uk/mbrrace-uk/data-brief/maternal-mortality-2022-2024</w:t>
        </w:r>
      </w:hyperlink>
      <w:r w:rsidR="00D36A06" w:rsidRPr="001B2D0D">
        <w:t xml:space="preserve"> </w:t>
      </w:r>
      <w:r w:rsidRPr="001B2D0D">
        <w:t xml:space="preserve"> </w:t>
      </w:r>
    </w:p>
    <w:p w14:paraId="7AAE106E" w14:textId="72F3BA0C" w:rsidR="006E3DA5" w:rsidRDefault="00000000">
      <w:pPr>
        <w:ind w:left="720" w:hanging="720"/>
      </w:pPr>
      <w:r w:rsidRPr="001B2D0D">
        <w:t xml:space="preserve">Ofcom (2025). Adults' Media Use and Attitudes 2025. [online] Available at: </w:t>
      </w:r>
      <w:hyperlink r:id="rId22" w:history="1">
        <w:r w:rsidR="00D36A06" w:rsidRPr="001B2D0D">
          <w:rPr>
            <w:rStyle w:val="Hyperlink"/>
          </w:rPr>
          <w:t>https://www.ofcom.org.uk/siteassets/resources/documents/research-and-data/media-literacy-research/adults/adults-media-use-and-attitudes-2025/adults-media-use-and-attitudes-report-2025.pdf</w:t>
        </w:r>
      </w:hyperlink>
      <w:r w:rsidR="00D36A06">
        <w:rPr>
          <w:highlight w:val="yellow"/>
        </w:rPr>
        <w:t xml:space="preserve"> </w:t>
      </w:r>
      <w:r>
        <w:rPr>
          <w:highlight w:val="yellow"/>
        </w:rPr>
        <w:t xml:space="preserve"> </w:t>
      </w:r>
      <w:r w:rsidR="00D36A06">
        <w:t xml:space="preserve"> </w:t>
      </w:r>
    </w:p>
    <w:p w14:paraId="02B94DAA" w14:textId="77777777" w:rsidR="007A68F9" w:rsidRPr="007A68F9" w:rsidRDefault="007A68F9" w:rsidP="007A68F9">
      <w:pPr>
        <w:ind w:left="720" w:hanging="720"/>
      </w:pPr>
      <w:r w:rsidRPr="007A68F9">
        <w:t xml:space="preserve">‌Peoples, D.A. (2024). Embodied truths and racialized inequities: The phenomenology of maternal near-miss experiences among Black women. [online] Tdl.org. Available at: </w:t>
      </w:r>
      <w:hyperlink r:id="rId23" w:history="1">
        <w:r w:rsidRPr="007A68F9">
          <w:rPr>
            <w:rStyle w:val="Hyperlink"/>
          </w:rPr>
          <w:t>https://twu-ir.tdl.org/items/b46f313e-85d8-4a1a-b2b7-4caede46a2b3</w:t>
        </w:r>
      </w:hyperlink>
      <w:r w:rsidRPr="007A68F9">
        <w:t xml:space="preserve"> </w:t>
      </w:r>
    </w:p>
    <w:p w14:paraId="19E5366C" w14:textId="77777777" w:rsidR="007A68F9" w:rsidRPr="007A68F9" w:rsidRDefault="007A68F9" w:rsidP="007A68F9">
      <w:pPr>
        <w:ind w:left="720" w:hanging="720"/>
      </w:pPr>
      <w:r w:rsidRPr="007A68F9">
        <w:t xml:space="preserve">‌Proquest.com. (2025). Black Obstetric Providers” Perspectives on the Maternal Mortality Crisis and Their Approach to the Patient-Provider Relationship: A Qualitative Exploration - ProQuest. [online] Available at: </w:t>
      </w:r>
      <w:hyperlink r:id="rId24" w:history="1">
        <w:r w:rsidRPr="007A68F9">
          <w:rPr>
            <w:rStyle w:val="Hyperlink"/>
          </w:rPr>
          <w:t>https://www.proquest.com/openview/2cd698e19a3d88264f21699b7fd7a146/1?pq-origsite=gscholar&amp;cbl=18750&amp;diss=y</w:t>
        </w:r>
      </w:hyperlink>
      <w:r w:rsidRPr="007A68F9">
        <w:t xml:space="preserve"> </w:t>
      </w:r>
    </w:p>
    <w:p w14:paraId="0965818A" w14:textId="77777777" w:rsidR="007A68F9" w:rsidRPr="007A68F9" w:rsidRDefault="007A68F9" w:rsidP="007A68F9">
      <w:pPr>
        <w:ind w:left="720" w:hanging="720"/>
      </w:pPr>
      <w:r w:rsidRPr="007A68F9">
        <w:t xml:space="preserve">‌Raikes, A., Rao, N., Yoshikawa, H., Cohrssen, C., Behrman, J., Cappa, C., Devercelli, A., Boo, F.L., McCoy, D. and Richter, L. (2023). Global tracking of access and quality in early childhood care and education. International journal of childcare and education policy/International journal of childcare and education, [online] 17(1), pp.14–14. </w:t>
      </w:r>
      <w:hyperlink r:id="rId25" w:history="1">
        <w:r w:rsidRPr="007A68F9">
          <w:rPr>
            <w:rStyle w:val="Hyperlink"/>
          </w:rPr>
          <w:t>HTTPs://doi:10.1186/s40723-023-00116-5</w:t>
        </w:r>
      </w:hyperlink>
      <w:r w:rsidRPr="007A68F9">
        <w:t xml:space="preserve">. </w:t>
      </w:r>
    </w:p>
    <w:p w14:paraId="16274D5F" w14:textId="77777777" w:rsidR="007A68F9" w:rsidRPr="007A68F9" w:rsidRDefault="007A68F9" w:rsidP="007A68F9">
      <w:pPr>
        <w:ind w:left="720" w:hanging="720"/>
      </w:pPr>
      <w:r w:rsidRPr="007A68F9">
        <w:lastRenderedPageBreak/>
        <w:t xml:space="preserve">‌Regmi, K.D. (2022). The COVID-19 pandemic, the Sustainable Development Goals on health and education and “least developed countries” such as Nepal. International Review of Education, [online] 68(4), pp.511–538. </w:t>
      </w:r>
      <w:hyperlink r:id="rId26" w:history="1">
        <w:r w:rsidRPr="007A68F9">
          <w:rPr>
            <w:rStyle w:val="Hyperlink"/>
          </w:rPr>
          <w:t>HTTPs://doi:10.1007/s11159-022-09966-6</w:t>
        </w:r>
      </w:hyperlink>
      <w:r w:rsidRPr="007A68F9">
        <w:t xml:space="preserve">. </w:t>
      </w:r>
    </w:p>
    <w:p w14:paraId="7CCFFEDD" w14:textId="77777777" w:rsidR="007A68F9" w:rsidRPr="007A68F9" w:rsidRDefault="007A68F9" w:rsidP="007A68F9">
      <w:pPr>
        <w:ind w:left="720" w:hanging="720"/>
      </w:pPr>
      <w:r w:rsidRPr="007A68F9">
        <w:t xml:space="preserve">‌Salisbury, L., Baraitser, L., Catty, J., Anucha, K., Davies, S., Flexer, M.J., Moore, M. D and Osserman, J. (2023). A waiting crisis? The Lancet, [online] 401(10375), pp.428–429. </w:t>
      </w:r>
      <w:hyperlink r:id="rId27" w:history="1">
        <w:r w:rsidRPr="007A68F9">
          <w:rPr>
            <w:rStyle w:val="Hyperlink"/>
          </w:rPr>
          <w:t>HTTPs://doi:10.1016/s0140-6736(23)00238-6</w:t>
        </w:r>
      </w:hyperlink>
      <w:r w:rsidRPr="007A68F9">
        <w:t xml:space="preserve">. </w:t>
      </w:r>
    </w:p>
    <w:p w14:paraId="52715DD1" w14:textId="77777777" w:rsidR="007A68F9" w:rsidRPr="007A68F9" w:rsidRDefault="007A68F9" w:rsidP="007A68F9">
      <w:pPr>
        <w:ind w:left="720" w:hanging="720"/>
      </w:pPr>
      <w:r w:rsidRPr="007A68F9">
        <w:t xml:space="preserve">‌Sambrook, L., Balmer, A., Tait, J., Ashley-Mudie, P., McIntyre, J.C., Shetty, A., Nathan, R. and Saini, P. (2025). ‘I would have killed myself had it not been for this service’: qualitative experiences of NHS and third sector crisis care in the UK. BJPsych Open, [online] 11(3). </w:t>
      </w:r>
      <w:hyperlink r:id="rId28" w:history="1">
        <w:r w:rsidRPr="007A68F9">
          <w:rPr>
            <w:rStyle w:val="Hyperlink"/>
          </w:rPr>
          <w:t>HTTPs://doi:10.1192/bjo.2025.30</w:t>
        </w:r>
      </w:hyperlink>
      <w:r w:rsidRPr="007A68F9">
        <w:t xml:space="preserve">. </w:t>
      </w:r>
    </w:p>
    <w:p w14:paraId="62290CBD" w14:textId="77777777" w:rsidR="007A68F9" w:rsidRPr="007A68F9" w:rsidRDefault="007A68F9" w:rsidP="007A68F9">
      <w:pPr>
        <w:ind w:left="720" w:hanging="720"/>
      </w:pPr>
      <w:r w:rsidRPr="007A68F9">
        <w:t xml:space="preserve">‌Sambrook, L., McIntyre, J.C., Nathan, R., Tait, J., Ashley-Mudie, P., Humphreys, M., Wilson, P. and Saini, P. (2025). ‘A community in crisis’: staff qualitative experiences of NHS and third sector mental healthcare in England. BJPsych Open, [online] 11(5). </w:t>
      </w:r>
      <w:hyperlink r:id="rId29" w:history="1">
        <w:r w:rsidRPr="007A68F9">
          <w:rPr>
            <w:rStyle w:val="Hyperlink"/>
          </w:rPr>
          <w:t>HTTPs://doi:10.1192/bjo.2025.10826</w:t>
        </w:r>
      </w:hyperlink>
      <w:r w:rsidRPr="007A68F9">
        <w:t xml:space="preserve">. </w:t>
      </w:r>
    </w:p>
    <w:p w14:paraId="5BDAAB7D" w14:textId="77777777" w:rsidR="007A68F9" w:rsidRPr="007A68F9" w:rsidRDefault="007A68F9" w:rsidP="007A68F9">
      <w:pPr>
        <w:ind w:left="720" w:hanging="720"/>
      </w:pPr>
      <w:r w:rsidRPr="007A68F9">
        <w:t xml:space="preserve">‌Shabbir, M.S. and Salman, R. (2025). Sustainable Development Policy Interventions: Stakeholder Engagement and Environmental Policy in Practice. Business Strategy and the Environment, [online] 35(2), pp.1997–2013. </w:t>
      </w:r>
      <w:hyperlink r:id="rId30" w:history="1">
        <w:r w:rsidRPr="007A68F9">
          <w:rPr>
            <w:rStyle w:val="Hyperlink"/>
          </w:rPr>
          <w:t>HTTPs://doi:10.1002/bse.70274</w:t>
        </w:r>
      </w:hyperlink>
      <w:r w:rsidRPr="007A68F9">
        <w:t xml:space="preserve">. </w:t>
      </w:r>
    </w:p>
    <w:p w14:paraId="6EF1CBC6" w14:textId="77777777" w:rsidR="007A68F9" w:rsidRPr="007A68F9" w:rsidRDefault="007A68F9" w:rsidP="007A68F9">
      <w:pPr>
        <w:ind w:left="720" w:hanging="720"/>
      </w:pPr>
      <w:r w:rsidRPr="007A68F9">
        <w:t xml:space="preserve">‌Smith, S.G. and Sinkford, J.C. (2022). Gender equality in the 21st century: Overcoming barriers to women’s leadership in global health. Journal of Dental Education, [online] 86(9), pp.1144–1173. </w:t>
      </w:r>
      <w:hyperlink r:id="rId31" w:history="1">
        <w:r w:rsidRPr="007A68F9">
          <w:rPr>
            <w:rStyle w:val="Hyperlink"/>
          </w:rPr>
          <w:t>HTTPs://doi:10.1002/jdd.13059</w:t>
        </w:r>
      </w:hyperlink>
      <w:r w:rsidRPr="007A68F9">
        <w:t xml:space="preserve">. </w:t>
      </w:r>
    </w:p>
    <w:p w14:paraId="4D236450" w14:textId="77777777" w:rsidR="007A68F9" w:rsidRPr="007A68F9" w:rsidRDefault="007A68F9" w:rsidP="007A68F9">
      <w:pPr>
        <w:ind w:left="720" w:hanging="720"/>
      </w:pPr>
      <w:r w:rsidRPr="007A68F9">
        <w:t xml:space="preserve">‌York, F.N. (2022). Capturing Black Maternal Voices: A Culture-Centered Approach to Understanding the Health Care Communicative Experiences of African American Mothers. [online] Tamu.edu. Available at: </w:t>
      </w:r>
      <w:hyperlink r:id="rId32" w:history="1">
        <w:r w:rsidRPr="007A68F9">
          <w:rPr>
            <w:rStyle w:val="Hyperlink"/>
          </w:rPr>
          <w:t>https://oaktrust.library.tamu.edu/items/5dce5f0f-4213-4432-87e9-de0b78431ba7</w:t>
        </w:r>
      </w:hyperlink>
      <w:r w:rsidRPr="007A68F9">
        <w:t xml:space="preserve"> </w:t>
      </w:r>
    </w:p>
    <w:sectPr w:rsidR="007A68F9" w:rsidRPr="007A68F9">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01972" w14:textId="77777777" w:rsidR="00606055" w:rsidRPr="007A68F9" w:rsidRDefault="00606055">
      <w:pPr>
        <w:spacing w:line="240" w:lineRule="auto"/>
      </w:pPr>
      <w:r w:rsidRPr="007A68F9">
        <w:separator/>
      </w:r>
    </w:p>
  </w:endnote>
  <w:endnote w:type="continuationSeparator" w:id="0">
    <w:p w14:paraId="14B41D19" w14:textId="77777777" w:rsidR="00606055" w:rsidRPr="007A68F9" w:rsidRDefault="00606055">
      <w:pPr>
        <w:spacing w:line="240" w:lineRule="auto"/>
      </w:pPr>
      <w:r w:rsidRPr="007A68F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CA924" w14:textId="77777777" w:rsidR="00606055" w:rsidRPr="007A68F9" w:rsidRDefault="00606055">
      <w:pPr>
        <w:spacing w:line="240" w:lineRule="auto"/>
      </w:pPr>
      <w:r w:rsidRPr="007A68F9">
        <w:separator/>
      </w:r>
    </w:p>
  </w:footnote>
  <w:footnote w:type="continuationSeparator" w:id="0">
    <w:p w14:paraId="1532AE26" w14:textId="77777777" w:rsidR="00606055" w:rsidRPr="007A68F9" w:rsidRDefault="00606055">
      <w:pPr>
        <w:spacing w:line="240" w:lineRule="auto"/>
      </w:pPr>
      <w:r w:rsidRPr="007A68F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C40583"/>
    <w:multiLevelType w:val="hybridMultilevel"/>
    <w:tmpl w:val="4918813A"/>
    <w:lvl w:ilvl="0" w:tplc="05C00886">
      <w:start w:val="1"/>
      <w:numFmt w:val="bullet"/>
      <w:lvlText w:val="●"/>
      <w:lvlJc w:val="left"/>
      <w:pPr>
        <w:ind w:left="720" w:hanging="360"/>
      </w:pPr>
    </w:lvl>
    <w:lvl w:ilvl="1" w:tplc="5A5A86F8">
      <w:start w:val="1"/>
      <w:numFmt w:val="bullet"/>
      <w:lvlText w:val="○"/>
      <w:lvlJc w:val="left"/>
      <w:pPr>
        <w:ind w:left="1440" w:hanging="360"/>
      </w:pPr>
    </w:lvl>
    <w:lvl w:ilvl="2" w:tplc="49163AE4">
      <w:start w:val="1"/>
      <w:numFmt w:val="bullet"/>
      <w:lvlText w:val="■"/>
      <w:lvlJc w:val="left"/>
      <w:pPr>
        <w:ind w:left="2160" w:hanging="360"/>
      </w:pPr>
    </w:lvl>
    <w:lvl w:ilvl="3" w:tplc="A936E5F2">
      <w:start w:val="1"/>
      <w:numFmt w:val="bullet"/>
      <w:lvlText w:val="●"/>
      <w:lvlJc w:val="left"/>
      <w:pPr>
        <w:ind w:left="2880" w:hanging="360"/>
      </w:pPr>
    </w:lvl>
    <w:lvl w:ilvl="4" w:tplc="F756679C">
      <w:start w:val="1"/>
      <w:numFmt w:val="bullet"/>
      <w:lvlText w:val="○"/>
      <w:lvlJc w:val="left"/>
      <w:pPr>
        <w:ind w:left="3600" w:hanging="360"/>
      </w:pPr>
    </w:lvl>
    <w:lvl w:ilvl="5" w:tplc="2C202F7E">
      <w:start w:val="1"/>
      <w:numFmt w:val="bullet"/>
      <w:lvlText w:val="■"/>
      <w:lvlJc w:val="left"/>
      <w:pPr>
        <w:ind w:left="4320" w:hanging="360"/>
      </w:pPr>
    </w:lvl>
    <w:lvl w:ilvl="6" w:tplc="47782364">
      <w:start w:val="1"/>
      <w:numFmt w:val="bullet"/>
      <w:lvlText w:val="●"/>
      <w:lvlJc w:val="left"/>
      <w:pPr>
        <w:ind w:left="5040" w:hanging="360"/>
      </w:pPr>
    </w:lvl>
    <w:lvl w:ilvl="7" w:tplc="2A9A98DA">
      <w:start w:val="1"/>
      <w:numFmt w:val="bullet"/>
      <w:lvlText w:val="●"/>
      <w:lvlJc w:val="left"/>
      <w:pPr>
        <w:ind w:left="5760" w:hanging="360"/>
      </w:pPr>
    </w:lvl>
    <w:lvl w:ilvl="8" w:tplc="6B864EBE">
      <w:start w:val="1"/>
      <w:numFmt w:val="bullet"/>
      <w:lvlText w:val="●"/>
      <w:lvlJc w:val="left"/>
      <w:pPr>
        <w:ind w:left="6480" w:hanging="360"/>
      </w:pPr>
    </w:lvl>
  </w:abstractNum>
  <w:num w:numId="1" w16cid:durableId="40989057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06A2"/>
    <w:rsid w:val="00135DB7"/>
    <w:rsid w:val="001606A2"/>
    <w:rsid w:val="0017252E"/>
    <w:rsid w:val="001B2D0D"/>
    <w:rsid w:val="002A29B9"/>
    <w:rsid w:val="003575BD"/>
    <w:rsid w:val="003B1A27"/>
    <w:rsid w:val="004529BC"/>
    <w:rsid w:val="004E5BF4"/>
    <w:rsid w:val="00553D8C"/>
    <w:rsid w:val="00597DFC"/>
    <w:rsid w:val="006010AA"/>
    <w:rsid w:val="00606055"/>
    <w:rsid w:val="00631479"/>
    <w:rsid w:val="006E3DA5"/>
    <w:rsid w:val="00730C18"/>
    <w:rsid w:val="007A68F9"/>
    <w:rsid w:val="00810E3B"/>
    <w:rsid w:val="008947BC"/>
    <w:rsid w:val="00B47539"/>
    <w:rsid w:val="00CD1979"/>
    <w:rsid w:val="00D36A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6A717"/>
  <w15:docId w15:val="{687696B0-744D-49B5-B741-A238C8093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5DB7"/>
    <w:pPr>
      <w:spacing w:line="360" w:lineRule="auto"/>
      <w:jc w:val="both"/>
    </w:pPr>
    <w:rPr>
      <w:rFonts w:ascii="Times New Roman" w:hAnsi="Times New Roman"/>
      <w:sz w:val="24"/>
      <w:lang w:val="en-GB"/>
    </w:rPr>
  </w:style>
  <w:style w:type="paragraph" w:styleId="Heading1">
    <w:name w:val="heading 1"/>
    <w:uiPriority w:val="9"/>
    <w:qFormat/>
    <w:rsid w:val="00135DB7"/>
    <w:pPr>
      <w:spacing w:line="360" w:lineRule="auto"/>
      <w:jc w:val="both"/>
      <w:outlineLvl w:val="0"/>
    </w:pPr>
    <w:rPr>
      <w:rFonts w:ascii="Times New Roman" w:hAnsi="Times New Roman"/>
      <w:b/>
      <w:color w:val="000000" w:themeColor="text1"/>
      <w:sz w:val="32"/>
      <w:szCs w:val="32"/>
    </w:rPr>
  </w:style>
  <w:style w:type="paragraph" w:styleId="Heading2">
    <w:name w:val="heading 2"/>
    <w:uiPriority w:val="9"/>
    <w:unhideWhenUsed/>
    <w:qFormat/>
    <w:rsid w:val="00135DB7"/>
    <w:pPr>
      <w:spacing w:line="360" w:lineRule="auto"/>
      <w:jc w:val="both"/>
      <w:outlineLvl w:val="1"/>
    </w:pPr>
    <w:rPr>
      <w:rFonts w:ascii="Times New Roman" w:hAnsi="Times New Roman"/>
      <w:b/>
      <w:color w:val="000000" w:themeColor="text1"/>
      <w:sz w:val="28"/>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7A68F9"/>
    <w:rPr>
      <w:color w:val="605E5C"/>
      <w:shd w:val="clear" w:color="auto" w:fill="E1DFDD"/>
    </w:rPr>
  </w:style>
  <w:style w:type="paragraph" w:styleId="Header">
    <w:name w:val="header"/>
    <w:basedOn w:val="Normal"/>
    <w:link w:val="HeaderChar"/>
    <w:uiPriority w:val="99"/>
    <w:unhideWhenUsed/>
    <w:rsid w:val="007A68F9"/>
    <w:pPr>
      <w:tabs>
        <w:tab w:val="center" w:pos="4680"/>
        <w:tab w:val="right" w:pos="9360"/>
      </w:tabs>
      <w:spacing w:line="240" w:lineRule="auto"/>
    </w:pPr>
  </w:style>
  <w:style w:type="character" w:customStyle="1" w:styleId="HeaderChar">
    <w:name w:val="Header Char"/>
    <w:basedOn w:val="DefaultParagraphFont"/>
    <w:link w:val="Header"/>
    <w:uiPriority w:val="99"/>
    <w:rsid w:val="007A68F9"/>
    <w:rPr>
      <w:rFonts w:ascii="Times New Roman" w:hAnsi="Times New Roman"/>
      <w:sz w:val="24"/>
    </w:rPr>
  </w:style>
  <w:style w:type="paragraph" w:styleId="Footer">
    <w:name w:val="footer"/>
    <w:basedOn w:val="Normal"/>
    <w:link w:val="FooterChar"/>
    <w:uiPriority w:val="99"/>
    <w:unhideWhenUsed/>
    <w:rsid w:val="007A68F9"/>
    <w:pPr>
      <w:tabs>
        <w:tab w:val="center" w:pos="4680"/>
        <w:tab w:val="right" w:pos="9360"/>
      </w:tabs>
      <w:spacing w:line="240" w:lineRule="auto"/>
    </w:pPr>
  </w:style>
  <w:style w:type="character" w:customStyle="1" w:styleId="FooterChar">
    <w:name w:val="Footer Char"/>
    <w:basedOn w:val="DefaultParagraphFont"/>
    <w:link w:val="Footer"/>
    <w:uiPriority w:val="99"/>
    <w:rsid w:val="007A68F9"/>
    <w:rPr>
      <w:rFonts w:ascii="Times New Roman" w:hAnsi="Times New Roman"/>
      <w:sz w:val="24"/>
    </w:rPr>
  </w:style>
  <w:style w:type="paragraph" w:styleId="TOCHeading">
    <w:name w:val="TOC Heading"/>
    <w:basedOn w:val="Heading1"/>
    <w:next w:val="Normal"/>
    <w:uiPriority w:val="39"/>
    <w:unhideWhenUsed/>
    <w:qFormat/>
    <w:rsid w:val="007A68F9"/>
    <w:pPr>
      <w:keepNext/>
      <w:keepLines/>
      <w:spacing w:before="240" w:line="259" w:lineRule="auto"/>
      <w:jc w:val="left"/>
      <w:outlineLvl w:val="9"/>
    </w:pPr>
    <w:rPr>
      <w:rFonts w:asciiTheme="majorHAnsi" w:eastAsiaTheme="majorEastAsia" w:hAnsiTheme="majorHAnsi" w:cstheme="majorBidi"/>
      <w:b w:val="0"/>
      <w:color w:val="0F4761" w:themeColor="accent1" w:themeShade="BF"/>
    </w:rPr>
  </w:style>
  <w:style w:type="paragraph" w:styleId="TOC1">
    <w:name w:val="toc 1"/>
    <w:basedOn w:val="Normal"/>
    <w:next w:val="Normal"/>
    <w:autoRedefine/>
    <w:uiPriority w:val="39"/>
    <w:unhideWhenUsed/>
    <w:rsid w:val="007A68F9"/>
    <w:pPr>
      <w:spacing w:after="100"/>
    </w:pPr>
  </w:style>
  <w:style w:type="paragraph" w:styleId="TOC2">
    <w:name w:val="toc 2"/>
    <w:basedOn w:val="Normal"/>
    <w:next w:val="Normal"/>
    <w:autoRedefine/>
    <w:uiPriority w:val="39"/>
    <w:unhideWhenUsed/>
    <w:rsid w:val="007A68F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10.1111/1467-8551.12637" TargetMode="External"/><Relationship Id="rId18" Type="http://schemas.openxmlformats.org/officeDocument/2006/relationships/hyperlink" Target="HTTPs://doi:10.1007/s13280-022-01809-w" TargetMode="External"/><Relationship Id="rId26" Type="http://schemas.openxmlformats.org/officeDocument/2006/relationships/hyperlink" Target="HTTPs://doi:10.1007/s11159-022-09966-6" TargetMode="External"/><Relationship Id="rId3" Type="http://schemas.openxmlformats.org/officeDocument/2006/relationships/settings" Target="settings.xml"/><Relationship Id="rId21" Type="http://schemas.openxmlformats.org/officeDocument/2006/relationships/hyperlink" Target="https://www.npeu.ox.ac.uk/mbrrace-uk/data-brief/maternal-mortality-2022-2024" TargetMode="External"/><Relationship Id="rId34" Type="http://schemas.openxmlformats.org/officeDocument/2006/relationships/theme" Target="theme/theme1.xml"/><Relationship Id="rId7" Type="http://schemas.openxmlformats.org/officeDocument/2006/relationships/hyperlink" Target="HTTPs://doi:10.1136/bmjopen-2023-082498" TargetMode="External"/><Relationship Id="rId12" Type="http://schemas.openxmlformats.org/officeDocument/2006/relationships/hyperlink" Target="HTTPs://doi:10.1007/978-3-031-61810-9_1" TargetMode="External"/><Relationship Id="rId17" Type="http://schemas.openxmlformats.org/officeDocument/2006/relationships/hyperlink" Target="HTTPs://doi:10.1192/bjo.2025.10820" TargetMode="External"/><Relationship Id="rId25" Type="http://schemas.openxmlformats.org/officeDocument/2006/relationships/hyperlink" Target="HTTPs://doi:10.1186/s40723-023-00116-5"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10.1002/wps.20962" TargetMode="External"/><Relationship Id="rId20" Type="http://schemas.openxmlformats.org/officeDocument/2006/relationships/hyperlink" Target="https://www.england.nhs.uk/long-read/monthly-operational-statistics-july-2024/" TargetMode="External"/><Relationship Id="rId29" Type="http://schemas.openxmlformats.org/officeDocument/2006/relationships/hyperlink" Target="HTTPs://doi:10.1192/bjo.2025.1082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rca.cardiff.ac.uk/id/eprint/148205/8/3042259.pdf" TargetMode="External"/><Relationship Id="rId24" Type="http://schemas.openxmlformats.org/officeDocument/2006/relationships/hyperlink" Target="https://www.proquest.com/openview/2cd698e19a3d88264f21699b7fd7a146/1?pq-origsite=gscholar&amp;cbl=18750&amp;diss=y" TargetMode="External"/><Relationship Id="rId32" Type="http://schemas.openxmlformats.org/officeDocument/2006/relationships/hyperlink" Target="https://oaktrust.library.tamu.edu/items/5dce5f0f-4213-4432-87e9-de0b78431ba7" TargetMode="External"/><Relationship Id="rId5" Type="http://schemas.openxmlformats.org/officeDocument/2006/relationships/footnotes" Target="footnotes.xml"/><Relationship Id="rId15" Type="http://schemas.openxmlformats.org/officeDocument/2006/relationships/hyperlink" Target="https://healthwatchbsol.org.uk/report/community-mental-health/" TargetMode="External"/><Relationship Id="rId23" Type="http://schemas.openxmlformats.org/officeDocument/2006/relationships/hyperlink" Target="https://twu-ir.tdl.org/items/b46f313e-85d8-4a1a-b2b7-4caede46a2b3" TargetMode="External"/><Relationship Id="rId28" Type="http://schemas.openxmlformats.org/officeDocument/2006/relationships/hyperlink" Target="HTTPs://doi:10.1192/bjo.2025.30" TargetMode="External"/><Relationship Id="rId10" Type="http://schemas.openxmlformats.org/officeDocument/2006/relationships/hyperlink" Target="HTTPs://doi:10.1007/s10668-024-05346-2" TargetMode="External"/><Relationship Id="rId19" Type="http://schemas.openxmlformats.org/officeDocument/2006/relationships/hyperlink" Target="HTTPs://doi:10.1093/haschl/qxaf108" TargetMode="External"/><Relationship Id="rId31" Type="http://schemas.openxmlformats.org/officeDocument/2006/relationships/hyperlink" Target="HTTPs://doi:10.1002/jdd.13059" TargetMode="External"/><Relationship Id="rId4" Type="http://schemas.openxmlformats.org/officeDocument/2006/relationships/webSettings" Target="webSettings.xml"/><Relationship Id="rId9" Type="http://schemas.openxmlformats.org/officeDocument/2006/relationships/hyperlink" Target="https://cityobservatory.birmingham.gov.uk/explore/dataset/insight-fact-sheets/files/12b29b2e1d0505ad4085a707ac7024f3/download/" TargetMode="External"/><Relationship Id="rId14" Type="http://schemas.openxmlformats.org/officeDocument/2006/relationships/hyperlink" Target="HTTPs://doi:10.1002/ente.202300275" TargetMode="External"/><Relationship Id="rId22" Type="http://schemas.openxmlformats.org/officeDocument/2006/relationships/hyperlink" Target="https://www.ofcom.org.uk/siteassets/resources/documents/research-and-data/media-literacy-research/adults/adults-media-use-and-attitudes-2025/adults-media-use-and-attitudes-report-2025.pdf" TargetMode="External"/><Relationship Id="rId27" Type="http://schemas.openxmlformats.org/officeDocument/2006/relationships/hyperlink" Target="HTTPs://doi:10.1016/s0140-6736(23)00238-6" TargetMode="External"/><Relationship Id="rId30" Type="http://schemas.openxmlformats.org/officeDocument/2006/relationships/hyperlink" Target="HTTPs://doi:10.1002/bse.70274" TargetMode="External"/><Relationship Id="rId8" Type="http://schemas.openxmlformats.org/officeDocument/2006/relationships/hyperlink" Target="https://www.birmingham.gov.uk/download/downloads/id/23638/east_locality_profile_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3952</Words>
  <Characters>22533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Shafeena Hussain Mushtaq (2314453)</cp:lastModifiedBy>
  <cp:revision>2</cp:revision>
  <dcterms:created xsi:type="dcterms:W3CDTF">2026-07-11T18:33:00Z</dcterms:created>
  <dcterms:modified xsi:type="dcterms:W3CDTF">2026-07-11T18:33:00Z</dcterms:modified>
</cp:coreProperties>
</file>