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45566913"/>
        <w:docPartObj>
          <w:docPartGallery w:val="Cover Pages"/>
          <w:docPartUnique/>
        </w:docPartObj>
      </w:sdtPr>
      <w:sdtContent>
        <w:p w14:paraId="775B69DC" w14:textId="69984AD3" w:rsidR="00646E1F" w:rsidRDefault="00646E1F">
          <w:r>
            <w:rPr>
              <w:noProof/>
            </w:rPr>
            <mc:AlternateContent>
              <mc:Choice Requires="wps">
                <w:drawing>
                  <wp:anchor distT="0" distB="0" distL="114300" distR="114300" simplePos="0" relativeHeight="251664384" behindDoc="0" locked="0" layoutInCell="1" allowOverlap="1" wp14:anchorId="08F904A0" wp14:editId="5433309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B97C081" w14:textId="7E4794D4" w:rsidR="00646E1F" w:rsidRPr="00314DCE" w:rsidRDefault="00000000">
                                <w:pPr>
                                  <w:pStyle w:val="NoSpacing"/>
                                  <w:rPr>
                                    <w:rFonts w:cstheme="minorHAnsi"/>
                                    <w:noProof/>
                                    <w:color w:val="44546A" w:themeColor="text2"/>
                                    <w:sz w:val="24"/>
                                    <w:szCs w:val="24"/>
                                  </w:rPr>
                                </w:pPr>
                                <w:sdt>
                                  <w:sdtPr>
                                    <w:rPr>
                                      <w:rFonts w:cstheme="minorHAnsi"/>
                                      <w:noProof/>
                                      <w:color w:val="44546A" w:themeColor="text2"/>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646E1F" w:rsidRPr="00314DCE">
                                      <w:rPr>
                                        <w:rFonts w:cstheme="minorHAnsi"/>
                                        <w:noProof/>
                                        <w:color w:val="44546A" w:themeColor="text2"/>
                                        <w:sz w:val="24"/>
                                        <w:szCs w:val="24"/>
                                      </w:rPr>
                                      <w:t>Cerys Bowen (2203320)</w:t>
                                    </w:r>
                                  </w:sdtContent>
                                </w:sdt>
                              </w:p>
                              <w:p w14:paraId="1B258CD1" w14:textId="4B69EF4A" w:rsidR="008224C0" w:rsidRPr="00314DCE" w:rsidRDefault="008224C0">
                                <w:pPr>
                                  <w:pStyle w:val="NoSpacing"/>
                                  <w:rPr>
                                    <w:rFonts w:cstheme="minorHAnsi"/>
                                    <w:noProof/>
                                    <w:color w:val="44546A" w:themeColor="text2"/>
                                    <w:sz w:val="24"/>
                                    <w:szCs w:val="24"/>
                                  </w:rPr>
                                </w:pPr>
                                <w:r w:rsidRPr="00314DCE">
                                  <w:rPr>
                                    <w:rFonts w:cstheme="minorHAnsi"/>
                                    <w:noProof/>
                                    <w:color w:val="44546A" w:themeColor="text2"/>
                                    <w:sz w:val="24"/>
                                    <w:szCs w:val="24"/>
                                  </w:rPr>
                                  <w:t>BMPL4009.</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8F904A0"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0B97C081" w14:textId="7E4794D4" w:rsidR="00646E1F" w:rsidRPr="00314DCE" w:rsidRDefault="00000000">
                          <w:pPr>
                            <w:pStyle w:val="NoSpacing"/>
                            <w:rPr>
                              <w:rFonts w:cstheme="minorHAnsi"/>
                              <w:noProof/>
                              <w:color w:val="44546A" w:themeColor="text2"/>
                              <w:sz w:val="24"/>
                              <w:szCs w:val="24"/>
                            </w:rPr>
                          </w:pPr>
                          <w:sdt>
                            <w:sdtPr>
                              <w:rPr>
                                <w:rFonts w:cstheme="minorHAnsi"/>
                                <w:noProof/>
                                <w:color w:val="44546A" w:themeColor="text2"/>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646E1F" w:rsidRPr="00314DCE">
                                <w:rPr>
                                  <w:rFonts w:cstheme="minorHAnsi"/>
                                  <w:noProof/>
                                  <w:color w:val="44546A" w:themeColor="text2"/>
                                  <w:sz w:val="24"/>
                                  <w:szCs w:val="24"/>
                                </w:rPr>
                                <w:t>Cerys Bowen (2203320)</w:t>
                              </w:r>
                            </w:sdtContent>
                          </w:sdt>
                        </w:p>
                        <w:p w14:paraId="1B258CD1" w14:textId="4B69EF4A" w:rsidR="008224C0" w:rsidRPr="00314DCE" w:rsidRDefault="008224C0">
                          <w:pPr>
                            <w:pStyle w:val="NoSpacing"/>
                            <w:rPr>
                              <w:rFonts w:cstheme="minorHAnsi"/>
                              <w:noProof/>
                              <w:color w:val="44546A" w:themeColor="text2"/>
                              <w:sz w:val="24"/>
                              <w:szCs w:val="24"/>
                            </w:rPr>
                          </w:pPr>
                          <w:r w:rsidRPr="00314DCE">
                            <w:rPr>
                              <w:rFonts w:cstheme="minorHAnsi"/>
                              <w:noProof/>
                              <w:color w:val="44546A" w:themeColor="text2"/>
                              <w:sz w:val="24"/>
                              <w:szCs w:val="24"/>
                            </w:rPr>
                            <w:t>BMPL4009.</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4ADBC8C0" wp14:editId="6CB15AE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B791045" w14:textId="77777777" w:rsidR="00646E1F" w:rsidRDefault="00646E1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ADBC8C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1B791045" w14:textId="77777777" w:rsidR="00646E1F" w:rsidRDefault="00646E1F"/>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AF9DC29" wp14:editId="0E7FF53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FC2B1B" w14:textId="1931C456" w:rsidR="00646E1F" w:rsidRPr="00314DCE" w:rsidRDefault="00000000">
                                <w:pPr>
                                  <w:spacing w:before="240"/>
                                  <w:jc w:val="center"/>
                                  <w:rPr>
                                    <w:rFonts w:asciiTheme="minorHAnsi" w:hAnsiTheme="minorHAnsi" w:cstheme="minorHAnsi"/>
                                    <w:color w:val="FFFFFF" w:themeColor="background1"/>
                                    <w:sz w:val="32"/>
                                    <w:szCs w:val="32"/>
                                  </w:rPr>
                                </w:pPr>
                                <w:sdt>
                                  <w:sdtPr>
                                    <w:rPr>
                                      <w:rFonts w:asciiTheme="minorHAnsi" w:hAnsiTheme="minorHAnsi" w:cstheme="minorHAnsi"/>
                                      <w:color w:val="FFFFFF" w:themeColor="background1"/>
                                      <w:sz w:val="32"/>
                                      <w:szCs w:val="32"/>
                                    </w:rPr>
                                    <w:alias w:val="Abstract"/>
                                    <w:id w:val="8276291"/>
                                    <w:dataBinding w:prefixMappings="xmlns:ns0='http://schemas.microsoft.com/office/2006/coverPageProps'" w:xpath="/ns0:CoverPageProperties[1]/ns0:Abstract[1]" w:storeItemID="{55AF091B-3C7A-41E3-B477-F2FDAA23CFDA}"/>
                                    <w:text/>
                                  </w:sdtPr>
                                  <w:sdtContent>
                                    <w:r w:rsidR="00646E1F" w:rsidRPr="00314DCE">
                                      <w:rPr>
                                        <w:rFonts w:asciiTheme="minorHAnsi" w:hAnsiTheme="minorHAnsi" w:cstheme="minorHAnsi"/>
                                        <w:color w:val="FFFFFF" w:themeColor="background1"/>
                                        <w:sz w:val="32"/>
                                        <w:szCs w:val="32"/>
                                      </w:rPr>
                                      <w:t>Criminal Law.</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AF9DC29"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44546a [3215]" stroked="f" strokeweight="1pt">
                    <v:textbox inset="14.4pt,14.4pt,14.4pt,28.8pt">
                      <w:txbxContent>
                        <w:p w14:paraId="41FC2B1B" w14:textId="1931C456" w:rsidR="00646E1F" w:rsidRPr="00314DCE" w:rsidRDefault="00000000">
                          <w:pPr>
                            <w:spacing w:before="240"/>
                            <w:jc w:val="center"/>
                            <w:rPr>
                              <w:rFonts w:asciiTheme="minorHAnsi" w:hAnsiTheme="minorHAnsi" w:cstheme="minorHAnsi"/>
                              <w:color w:val="FFFFFF" w:themeColor="background1"/>
                              <w:sz w:val="32"/>
                              <w:szCs w:val="32"/>
                            </w:rPr>
                          </w:pPr>
                          <w:sdt>
                            <w:sdtPr>
                              <w:rPr>
                                <w:rFonts w:asciiTheme="minorHAnsi" w:hAnsiTheme="minorHAnsi" w:cstheme="minorHAnsi"/>
                                <w:color w:val="FFFFFF" w:themeColor="background1"/>
                                <w:sz w:val="32"/>
                                <w:szCs w:val="32"/>
                              </w:rPr>
                              <w:alias w:val="Abstract"/>
                              <w:id w:val="8276291"/>
                              <w:dataBinding w:prefixMappings="xmlns:ns0='http://schemas.microsoft.com/office/2006/coverPageProps'" w:xpath="/ns0:CoverPageProperties[1]/ns0:Abstract[1]" w:storeItemID="{55AF091B-3C7A-41E3-B477-F2FDAA23CFDA}"/>
                              <w:text/>
                            </w:sdtPr>
                            <w:sdtContent>
                              <w:r w:rsidR="00646E1F" w:rsidRPr="00314DCE">
                                <w:rPr>
                                  <w:rFonts w:asciiTheme="minorHAnsi" w:hAnsiTheme="minorHAnsi" w:cstheme="minorHAnsi"/>
                                  <w:color w:val="FFFFFF" w:themeColor="background1"/>
                                  <w:sz w:val="32"/>
                                  <w:szCs w:val="32"/>
                                </w:rPr>
                                <w:t>Criminal Law.</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DEF6DF0" wp14:editId="551A6D47">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33DCF37"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305F78E" wp14:editId="66F6AE0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A04AA83"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07FC353" wp14:editId="60750D2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inorHAnsi" w:eastAsiaTheme="majorEastAsia" w:hAnsiTheme="minorHAnsi" w:cstheme="minorHAnsi"/>
                                    <w:noProof/>
                                    <w:color w:val="000000" w:themeColor="text1"/>
                                    <w:sz w:val="40"/>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2CFBCCC" w14:textId="5F34769C" w:rsidR="00646E1F" w:rsidRPr="00314DCE" w:rsidRDefault="008224C0" w:rsidP="00646E1F">
                                    <w:pPr>
                                      <w:jc w:val="center"/>
                                      <w:rPr>
                                        <w:rFonts w:asciiTheme="minorHAnsi" w:eastAsiaTheme="majorEastAsia" w:hAnsiTheme="minorHAnsi" w:cstheme="minorHAnsi"/>
                                        <w:noProof/>
                                        <w:color w:val="000000" w:themeColor="text1"/>
                                        <w:sz w:val="40"/>
                                        <w:szCs w:val="48"/>
                                      </w:rPr>
                                    </w:pPr>
                                    <w:r w:rsidRPr="00314DCE">
                                      <w:rPr>
                                        <w:rFonts w:asciiTheme="minorHAnsi" w:eastAsiaTheme="majorEastAsia" w:hAnsiTheme="minorHAnsi" w:cstheme="minorHAnsi"/>
                                        <w:noProof/>
                                        <w:color w:val="000000" w:themeColor="text1"/>
                                        <w:sz w:val="40"/>
                                        <w:szCs w:val="48"/>
                                      </w:rPr>
                                      <w:t xml:space="preserve">What changes did the </w:t>
                                    </w:r>
                                    <w:r w:rsidR="00FA1E2E" w:rsidRPr="00314DCE">
                                      <w:rPr>
                                        <w:rFonts w:asciiTheme="minorHAnsi" w:eastAsiaTheme="majorEastAsia" w:hAnsiTheme="minorHAnsi" w:cstheme="minorHAnsi"/>
                                        <w:noProof/>
                                        <w:color w:val="000000" w:themeColor="text1"/>
                                        <w:sz w:val="40"/>
                                        <w:szCs w:val="48"/>
                                      </w:rPr>
                                      <w:t>C</w:t>
                                    </w:r>
                                    <w:r w:rsidRPr="00314DCE">
                                      <w:rPr>
                                        <w:rFonts w:asciiTheme="minorHAnsi" w:eastAsiaTheme="majorEastAsia" w:hAnsiTheme="minorHAnsi" w:cstheme="minorHAnsi"/>
                                        <w:noProof/>
                                        <w:color w:val="000000" w:themeColor="text1"/>
                                        <w:sz w:val="40"/>
                                        <w:szCs w:val="48"/>
                                      </w:rPr>
                                      <w:t xml:space="preserve">oroners and </w:t>
                                    </w:r>
                                    <w:r w:rsidR="00FA1E2E" w:rsidRPr="00314DCE">
                                      <w:rPr>
                                        <w:rFonts w:asciiTheme="minorHAnsi" w:eastAsiaTheme="majorEastAsia" w:hAnsiTheme="minorHAnsi" w:cstheme="minorHAnsi"/>
                                        <w:noProof/>
                                        <w:color w:val="000000" w:themeColor="text1"/>
                                        <w:sz w:val="40"/>
                                        <w:szCs w:val="48"/>
                                      </w:rPr>
                                      <w:t>J</w:t>
                                    </w:r>
                                    <w:r w:rsidRPr="00314DCE">
                                      <w:rPr>
                                        <w:rFonts w:asciiTheme="minorHAnsi" w:eastAsiaTheme="majorEastAsia" w:hAnsiTheme="minorHAnsi" w:cstheme="minorHAnsi"/>
                                        <w:noProof/>
                                        <w:color w:val="000000" w:themeColor="text1"/>
                                        <w:sz w:val="40"/>
                                        <w:szCs w:val="48"/>
                                      </w:rPr>
                                      <w:t>ustice Act (2009) make to the defence of diminished responsibil</w:t>
                                    </w:r>
                                    <w:r w:rsidR="00FA1E2E" w:rsidRPr="00314DCE">
                                      <w:rPr>
                                        <w:rFonts w:asciiTheme="minorHAnsi" w:eastAsiaTheme="majorEastAsia" w:hAnsiTheme="minorHAnsi" w:cstheme="minorHAnsi"/>
                                        <w:noProof/>
                                        <w:color w:val="000000" w:themeColor="text1"/>
                                        <w:sz w:val="40"/>
                                        <w:szCs w:val="48"/>
                                      </w:rPr>
                                      <w:t>i</w:t>
                                    </w:r>
                                    <w:r w:rsidRPr="00314DCE">
                                      <w:rPr>
                                        <w:rFonts w:asciiTheme="minorHAnsi" w:eastAsiaTheme="majorEastAsia" w:hAnsiTheme="minorHAnsi" w:cstheme="minorHAnsi"/>
                                        <w:noProof/>
                                        <w:color w:val="000000" w:themeColor="text1"/>
                                        <w:sz w:val="40"/>
                                        <w:szCs w:val="48"/>
                                      </w:rPr>
                                      <w:t xml:space="preserve">ty? Did these amendments change the </w:t>
                                    </w:r>
                                    <w:r w:rsidR="00FA1E2E" w:rsidRPr="00314DCE">
                                      <w:rPr>
                                        <w:rFonts w:asciiTheme="minorHAnsi" w:eastAsiaTheme="majorEastAsia" w:hAnsiTheme="minorHAnsi" w:cstheme="minorHAnsi"/>
                                        <w:noProof/>
                                        <w:color w:val="000000" w:themeColor="text1"/>
                                        <w:sz w:val="40"/>
                                        <w:szCs w:val="48"/>
                                      </w:rPr>
                                      <w:t>l</w:t>
                                    </w:r>
                                    <w:r w:rsidRPr="00314DCE">
                                      <w:rPr>
                                        <w:rFonts w:asciiTheme="minorHAnsi" w:eastAsiaTheme="majorEastAsia" w:hAnsiTheme="minorHAnsi" w:cstheme="minorHAnsi"/>
                                        <w:noProof/>
                                        <w:color w:val="000000" w:themeColor="text1"/>
                                        <w:sz w:val="40"/>
                                        <w:szCs w:val="48"/>
                                      </w:rPr>
                                      <w:t>aw in this area for the better?</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768A9F72" w14:textId="7ED4317C" w:rsidR="00646E1F" w:rsidRDefault="00646E1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07FC353"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sdt>
                          <w:sdtPr>
                            <w:rPr>
                              <w:rFonts w:asciiTheme="minorHAnsi" w:eastAsiaTheme="majorEastAsia" w:hAnsiTheme="minorHAnsi" w:cstheme="minorHAnsi"/>
                              <w:noProof/>
                              <w:color w:val="000000" w:themeColor="text1"/>
                              <w:sz w:val="40"/>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2CFBCCC" w14:textId="5F34769C" w:rsidR="00646E1F" w:rsidRPr="00314DCE" w:rsidRDefault="008224C0" w:rsidP="00646E1F">
                              <w:pPr>
                                <w:jc w:val="center"/>
                                <w:rPr>
                                  <w:rFonts w:asciiTheme="minorHAnsi" w:eastAsiaTheme="majorEastAsia" w:hAnsiTheme="minorHAnsi" w:cstheme="minorHAnsi"/>
                                  <w:noProof/>
                                  <w:color w:val="000000" w:themeColor="text1"/>
                                  <w:sz w:val="40"/>
                                  <w:szCs w:val="48"/>
                                </w:rPr>
                              </w:pPr>
                              <w:r w:rsidRPr="00314DCE">
                                <w:rPr>
                                  <w:rFonts w:asciiTheme="minorHAnsi" w:eastAsiaTheme="majorEastAsia" w:hAnsiTheme="minorHAnsi" w:cstheme="minorHAnsi"/>
                                  <w:noProof/>
                                  <w:color w:val="000000" w:themeColor="text1"/>
                                  <w:sz w:val="40"/>
                                  <w:szCs w:val="48"/>
                                </w:rPr>
                                <w:t xml:space="preserve">What changes did the </w:t>
                              </w:r>
                              <w:r w:rsidR="00FA1E2E" w:rsidRPr="00314DCE">
                                <w:rPr>
                                  <w:rFonts w:asciiTheme="minorHAnsi" w:eastAsiaTheme="majorEastAsia" w:hAnsiTheme="minorHAnsi" w:cstheme="minorHAnsi"/>
                                  <w:noProof/>
                                  <w:color w:val="000000" w:themeColor="text1"/>
                                  <w:sz w:val="40"/>
                                  <w:szCs w:val="48"/>
                                </w:rPr>
                                <w:t>C</w:t>
                              </w:r>
                              <w:r w:rsidRPr="00314DCE">
                                <w:rPr>
                                  <w:rFonts w:asciiTheme="minorHAnsi" w:eastAsiaTheme="majorEastAsia" w:hAnsiTheme="minorHAnsi" w:cstheme="minorHAnsi"/>
                                  <w:noProof/>
                                  <w:color w:val="000000" w:themeColor="text1"/>
                                  <w:sz w:val="40"/>
                                  <w:szCs w:val="48"/>
                                </w:rPr>
                                <w:t xml:space="preserve">oroners and </w:t>
                              </w:r>
                              <w:r w:rsidR="00FA1E2E" w:rsidRPr="00314DCE">
                                <w:rPr>
                                  <w:rFonts w:asciiTheme="minorHAnsi" w:eastAsiaTheme="majorEastAsia" w:hAnsiTheme="minorHAnsi" w:cstheme="minorHAnsi"/>
                                  <w:noProof/>
                                  <w:color w:val="000000" w:themeColor="text1"/>
                                  <w:sz w:val="40"/>
                                  <w:szCs w:val="48"/>
                                </w:rPr>
                                <w:t>J</w:t>
                              </w:r>
                              <w:r w:rsidRPr="00314DCE">
                                <w:rPr>
                                  <w:rFonts w:asciiTheme="minorHAnsi" w:eastAsiaTheme="majorEastAsia" w:hAnsiTheme="minorHAnsi" w:cstheme="minorHAnsi"/>
                                  <w:noProof/>
                                  <w:color w:val="000000" w:themeColor="text1"/>
                                  <w:sz w:val="40"/>
                                  <w:szCs w:val="48"/>
                                </w:rPr>
                                <w:t>ustice Act (2009) make to the defence of diminished responsibil</w:t>
                              </w:r>
                              <w:r w:rsidR="00FA1E2E" w:rsidRPr="00314DCE">
                                <w:rPr>
                                  <w:rFonts w:asciiTheme="minorHAnsi" w:eastAsiaTheme="majorEastAsia" w:hAnsiTheme="minorHAnsi" w:cstheme="minorHAnsi"/>
                                  <w:noProof/>
                                  <w:color w:val="000000" w:themeColor="text1"/>
                                  <w:sz w:val="40"/>
                                  <w:szCs w:val="48"/>
                                </w:rPr>
                                <w:t>i</w:t>
                              </w:r>
                              <w:r w:rsidRPr="00314DCE">
                                <w:rPr>
                                  <w:rFonts w:asciiTheme="minorHAnsi" w:eastAsiaTheme="majorEastAsia" w:hAnsiTheme="minorHAnsi" w:cstheme="minorHAnsi"/>
                                  <w:noProof/>
                                  <w:color w:val="000000" w:themeColor="text1"/>
                                  <w:sz w:val="40"/>
                                  <w:szCs w:val="48"/>
                                </w:rPr>
                                <w:t xml:space="preserve">ty? Did these amendments change the </w:t>
                              </w:r>
                              <w:r w:rsidR="00FA1E2E" w:rsidRPr="00314DCE">
                                <w:rPr>
                                  <w:rFonts w:asciiTheme="minorHAnsi" w:eastAsiaTheme="majorEastAsia" w:hAnsiTheme="minorHAnsi" w:cstheme="minorHAnsi"/>
                                  <w:noProof/>
                                  <w:color w:val="000000" w:themeColor="text1"/>
                                  <w:sz w:val="40"/>
                                  <w:szCs w:val="48"/>
                                </w:rPr>
                                <w:t>l</w:t>
                              </w:r>
                              <w:r w:rsidRPr="00314DCE">
                                <w:rPr>
                                  <w:rFonts w:asciiTheme="minorHAnsi" w:eastAsiaTheme="majorEastAsia" w:hAnsiTheme="minorHAnsi" w:cstheme="minorHAnsi"/>
                                  <w:noProof/>
                                  <w:color w:val="000000" w:themeColor="text1"/>
                                  <w:sz w:val="40"/>
                                  <w:szCs w:val="48"/>
                                </w:rPr>
                                <w:t>aw in this area for the better?</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768A9F72" w14:textId="7ED4317C" w:rsidR="00646E1F" w:rsidRDefault="00646E1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7A37E63C" w14:textId="68CC0B09" w:rsidR="00A43652" w:rsidRDefault="00646E1F">
          <w:r>
            <w:br w:type="page"/>
          </w:r>
        </w:p>
      </w:sdtContent>
    </w:sdt>
    <w:p w14:paraId="2246AF38" w14:textId="583D8591" w:rsidR="00467A3D" w:rsidRPr="00314DCE" w:rsidRDefault="00467A3D" w:rsidP="00314DCE">
      <w:pPr>
        <w:spacing w:line="360" w:lineRule="auto"/>
        <w:ind w:firstLine="720"/>
        <w:rPr>
          <w:rFonts w:asciiTheme="minorHAnsi" w:hAnsiTheme="minorHAnsi" w:cstheme="minorHAnsi"/>
        </w:rPr>
      </w:pPr>
      <w:r w:rsidRPr="00314DCE">
        <w:rPr>
          <w:rFonts w:asciiTheme="minorHAnsi" w:hAnsiTheme="minorHAnsi" w:cstheme="minorHAnsi"/>
        </w:rPr>
        <w:lastRenderedPageBreak/>
        <w:t xml:space="preserve">The Coroners and Justice Act (2009) is associated with </w:t>
      </w:r>
      <w:r w:rsidR="00E76975" w:rsidRPr="00314DCE">
        <w:rPr>
          <w:rFonts w:asciiTheme="minorHAnsi" w:hAnsiTheme="minorHAnsi" w:cstheme="minorHAnsi"/>
        </w:rPr>
        <w:t xml:space="preserve">outlining </w:t>
      </w:r>
      <w:r w:rsidRPr="00314DCE">
        <w:rPr>
          <w:rFonts w:asciiTheme="minorHAnsi" w:hAnsiTheme="minorHAnsi" w:cstheme="minorHAnsi"/>
        </w:rPr>
        <w:t>partial defence</w:t>
      </w:r>
      <w:r w:rsidR="00E76975" w:rsidRPr="00314DCE">
        <w:rPr>
          <w:rFonts w:asciiTheme="minorHAnsi" w:hAnsiTheme="minorHAnsi" w:cstheme="minorHAnsi"/>
        </w:rPr>
        <w:t>s</w:t>
      </w:r>
      <w:r w:rsidRPr="00314DCE">
        <w:rPr>
          <w:rFonts w:asciiTheme="minorHAnsi" w:hAnsiTheme="minorHAnsi" w:cstheme="minorHAnsi"/>
        </w:rPr>
        <w:t xml:space="preserve"> for the needs of individuals that are seen as not fully responsible for their own acts</w:t>
      </w:r>
      <w:r w:rsidR="00A62462" w:rsidRPr="00314DCE">
        <w:rPr>
          <w:rFonts w:asciiTheme="minorHAnsi" w:hAnsiTheme="minorHAnsi" w:cstheme="minorHAnsi"/>
        </w:rPr>
        <w:t xml:space="preserve"> that enabled Section 2 of the Homicide Act 1957 to be modified</w:t>
      </w:r>
      <w:r w:rsidRPr="00314DCE">
        <w:rPr>
          <w:rFonts w:asciiTheme="minorHAnsi" w:hAnsiTheme="minorHAnsi" w:cstheme="minorHAnsi"/>
        </w:rPr>
        <w:t>. According to</w:t>
      </w:r>
      <w:r w:rsidR="00441322" w:rsidRPr="00314DCE">
        <w:rPr>
          <w:rFonts w:asciiTheme="minorHAnsi" w:hAnsiTheme="minorHAnsi" w:cstheme="minorHAnsi"/>
        </w:rPr>
        <w:t xml:space="preserve"> </w:t>
      </w:r>
      <w:r w:rsidR="00E76975" w:rsidRPr="00314DCE">
        <w:rPr>
          <w:rFonts w:asciiTheme="minorHAnsi" w:hAnsiTheme="minorHAnsi" w:cstheme="minorHAnsi"/>
        </w:rPr>
        <w:t xml:space="preserve">s.2 (1) </w:t>
      </w:r>
      <w:r w:rsidR="00E76975" w:rsidRPr="00314DCE">
        <w:rPr>
          <w:rFonts w:asciiTheme="minorHAnsi" w:hAnsiTheme="minorHAnsi" w:cstheme="minorHAnsi"/>
          <w:noProof/>
        </w:rPr>
        <w:t>Homicide Act [1957]</w:t>
      </w:r>
      <w:r w:rsidR="000C2888" w:rsidRPr="00314DCE">
        <w:rPr>
          <w:rFonts w:asciiTheme="minorHAnsi" w:hAnsiTheme="minorHAnsi" w:cstheme="minorHAnsi"/>
          <w:noProof/>
        </w:rPr>
        <w:t xml:space="preserve"> </w:t>
      </w:r>
      <w:r w:rsidRPr="00314DCE">
        <w:rPr>
          <w:rFonts w:asciiTheme="minorHAnsi" w:hAnsiTheme="minorHAnsi" w:cstheme="minorHAnsi"/>
        </w:rPr>
        <w:t xml:space="preserve">an individual who is responsible for murder </w:t>
      </w:r>
      <w:r w:rsidR="00A42683" w:rsidRPr="00314DCE">
        <w:rPr>
          <w:rFonts w:asciiTheme="minorHAnsi" w:hAnsiTheme="minorHAnsi" w:cstheme="minorHAnsi"/>
        </w:rPr>
        <w:t>shall not be convicted if the individual is suffering from an illness known as a</w:t>
      </w:r>
      <w:r w:rsidR="000C2888" w:rsidRPr="00314DCE">
        <w:rPr>
          <w:rFonts w:asciiTheme="minorHAnsi" w:hAnsiTheme="minorHAnsi" w:cstheme="minorHAnsi"/>
        </w:rPr>
        <w:t>n</w:t>
      </w:r>
      <w:r w:rsidR="00A42683" w:rsidRPr="00314DCE">
        <w:rPr>
          <w:rFonts w:asciiTheme="minorHAnsi" w:hAnsiTheme="minorHAnsi" w:cstheme="minorHAnsi"/>
        </w:rPr>
        <w:t xml:space="preserve"> abnormality of mental functioning. The defendant may use this as a defence if for the given reason it</w:t>
      </w:r>
      <w:r w:rsidR="00E76975" w:rsidRPr="00314DCE">
        <w:rPr>
          <w:rFonts w:asciiTheme="minorHAnsi" w:hAnsiTheme="minorHAnsi" w:cstheme="minorHAnsi"/>
        </w:rPr>
        <w:t xml:space="preserve"> i</w:t>
      </w:r>
      <w:r w:rsidR="00A42683" w:rsidRPr="00314DCE">
        <w:rPr>
          <w:rFonts w:asciiTheme="minorHAnsi" w:hAnsiTheme="minorHAnsi" w:cstheme="minorHAnsi"/>
        </w:rPr>
        <w:t>s shown in a medical condition they may have. As well as effecting the defendant</w:t>
      </w:r>
      <w:r w:rsidR="005B4E99" w:rsidRPr="00314DCE">
        <w:rPr>
          <w:rFonts w:asciiTheme="minorHAnsi" w:hAnsiTheme="minorHAnsi" w:cstheme="minorHAnsi"/>
        </w:rPr>
        <w:t>’</w:t>
      </w:r>
      <w:r w:rsidR="00A42683" w:rsidRPr="00314DCE">
        <w:rPr>
          <w:rFonts w:asciiTheme="minorHAnsi" w:hAnsiTheme="minorHAnsi" w:cstheme="minorHAnsi"/>
        </w:rPr>
        <w:t xml:space="preserve">s capability to understand the nature of their action, to form a sensible judgment while also maintaining a form of control over themselves. The defendant should also be able to explain the acts or failure to act if associated with the murder. Therefore, </w:t>
      </w:r>
      <w:r w:rsidR="00A62462" w:rsidRPr="00314DCE">
        <w:rPr>
          <w:rFonts w:asciiTheme="minorHAnsi" w:hAnsiTheme="minorHAnsi" w:cstheme="minorHAnsi"/>
        </w:rPr>
        <w:t xml:space="preserve">the defendant should not be found liable </w:t>
      </w:r>
      <w:r w:rsidR="00385D9C" w:rsidRPr="00314DCE">
        <w:rPr>
          <w:rFonts w:asciiTheme="minorHAnsi" w:hAnsiTheme="minorHAnsi" w:cstheme="minorHAnsi"/>
        </w:rPr>
        <w:t>to the offence as a result of not intending to kill the individual.</w:t>
      </w:r>
    </w:p>
    <w:p w14:paraId="0D532F6F" w14:textId="2D59A4E7" w:rsidR="008A54F7" w:rsidRPr="00314DCE" w:rsidRDefault="00926DAC" w:rsidP="00314DCE">
      <w:pPr>
        <w:spacing w:line="360" w:lineRule="auto"/>
        <w:ind w:firstLine="720"/>
        <w:rPr>
          <w:rFonts w:asciiTheme="minorHAnsi" w:hAnsiTheme="minorHAnsi" w:cstheme="minorHAnsi"/>
        </w:rPr>
      </w:pPr>
      <w:r w:rsidRPr="00314DCE">
        <w:rPr>
          <w:rFonts w:asciiTheme="minorHAnsi" w:hAnsiTheme="minorHAnsi" w:cstheme="minorHAnsi"/>
        </w:rPr>
        <w:t xml:space="preserve">There was a large amount of debate </w:t>
      </w:r>
      <w:r w:rsidR="00E0004F" w:rsidRPr="00314DCE">
        <w:rPr>
          <w:rFonts w:asciiTheme="minorHAnsi" w:hAnsiTheme="minorHAnsi" w:cstheme="minorHAnsi"/>
        </w:rPr>
        <w:t xml:space="preserve">for the need </w:t>
      </w:r>
      <w:r w:rsidR="00E76975" w:rsidRPr="00314DCE">
        <w:rPr>
          <w:rFonts w:asciiTheme="minorHAnsi" w:hAnsiTheme="minorHAnsi" w:cstheme="minorHAnsi"/>
        </w:rPr>
        <w:t>to</w:t>
      </w:r>
      <w:r w:rsidR="00E0004F" w:rsidRPr="00314DCE">
        <w:rPr>
          <w:rFonts w:asciiTheme="minorHAnsi" w:hAnsiTheme="minorHAnsi" w:cstheme="minorHAnsi"/>
        </w:rPr>
        <w:t xml:space="preserve"> </w:t>
      </w:r>
      <w:r w:rsidRPr="00314DCE">
        <w:rPr>
          <w:rFonts w:asciiTheme="minorHAnsi" w:hAnsiTheme="minorHAnsi" w:cstheme="minorHAnsi"/>
        </w:rPr>
        <w:t>change</w:t>
      </w:r>
      <w:r w:rsidR="00E76975" w:rsidRPr="00314DCE">
        <w:rPr>
          <w:rFonts w:asciiTheme="minorHAnsi" w:hAnsiTheme="minorHAnsi" w:cstheme="minorHAnsi"/>
        </w:rPr>
        <w:t xml:space="preserve"> the partial defence of diminished responsibility. T</w:t>
      </w:r>
      <w:r w:rsidRPr="00314DCE">
        <w:rPr>
          <w:rFonts w:asciiTheme="minorHAnsi" w:hAnsiTheme="minorHAnsi" w:cstheme="minorHAnsi"/>
        </w:rPr>
        <w:t>here was concern towards the individuals convicted. According to</w:t>
      </w:r>
      <w:r w:rsidR="00A34CFA" w:rsidRPr="00314DCE">
        <w:rPr>
          <w:rFonts w:asciiTheme="minorHAnsi" w:hAnsiTheme="minorHAnsi" w:cstheme="minorHAnsi"/>
          <w:noProof/>
        </w:rPr>
        <w:t xml:space="preserve"> Kennefick, (2011)</w:t>
      </w:r>
      <w:r w:rsidRPr="00314DCE">
        <w:rPr>
          <w:rFonts w:asciiTheme="minorHAnsi" w:hAnsiTheme="minorHAnsi" w:cstheme="minorHAnsi"/>
        </w:rPr>
        <w:t xml:space="preserve"> </w:t>
      </w:r>
      <w:r w:rsidR="00CD0F98" w:rsidRPr="00314DCE">
        <w:rPr>
          <w:rFonts w:asciiTheme="minorHAnsi" w:hAnsiTheme="minorHAnsi" w:cstheme="minorHAnsi"/>
        </w:rPr>
        <w:t>it</w:t>
      </w:r>
      <w:r w:rsidR="00E76975" w:rsidRPr="00314DCE">
        <w:rPr>
          <w:rFonts w:asciiTheme="minorHAnsi" w:hAnsiTheme="minorHAnsi" w:cstheme="minorHAnsi"/>
        </w:rPr>
        <w:t xml:space="preserve"> i</w:t>
      </w:r>
      <w:r w:rsidR="00CD0F98" w:rsidRPr="00314DCE">
        <w:rPr>
          <w:rFonts w:asciiTheme="minorHAnsi" w:hAnsiTheme="minorHAnsi" w:cstheme="minorHAnsi"/>
        </w:rPr>
        <w:t>s the law’s responsibility to ensure factors such as equity and considerations towards individuals. The change between the old and new diminished responsibility highlight</w:t>
      </w:r>
      <w:r w:rsidR="005B4E99" w:rsidRPr="00314DCE">
        <w:rPr>
          <w:rFonts w:asciiTheme="minorHAnsi" w:hAnsiTheme="minorHAnsi" w:cstheme="minorHAnsi"/>
        </w:rPr>
        <w:t>s</w:t>
      </w:r>
      <w:r w:rsidR="00CD0F98" w:rsidRPr="00314DCE">
        <w:rPr>
          <w:rFonts w:asciiTheme="minorHAnsi" w:hAnsiTheme="minorHAnsi" w:cstheme="minorHAnsi"/>
        </w:rPr>
        <w:t xml:space="preserve"> that fairness is key when having to realise the act of the defendant. Another reason for the need of change was th</w:t>
      </w:r>
      <w:r w:rsidR="005B4E99" w:rsidRPr="00314DCE">
        <w:rPr>
          <w:rFonts w:asciiTheme="minorHAnsi" w:hAnsiTheme="minorHAnsi" w:cstheme="minorHAnsi"/>
        </w:rPr>
        <w:t>at</w:t>
      </w:r>
      <w:r w:rsidR="00CD0F98" w:rsidRPr="00314DCE">
        <w:rPr>
          <w:rFonts w:asciiTheme="minorHAnsi" w:hAnsiTheme="minorHAnsi" w:cstheme="minorHAnsi"/>
        </w:rPr>
        <w:t xml:space="preserve"> </w:t>
      </w:r>
      <w:r w:rsidR="00A34CFA" w:rsidRPr="00314DCE">
        <w:rPr>
          <w:rFonts w:asciiTheme="minorHAnsi" w:hAnsiTheme="minorHAnsi" w:cstheme="minorHAnsi"/>
          <w:noProof/>
        </w:rPr>
        <w:t>Rogers, (2015)</w:t>
      </w:r>
      <w:r w:rsidR="00A34CFA" w:rsidRPr="00314DCE">
        <w:rPr>
          <w:rFonts w:asciiTheme="minorHAnsi" w:hAnsiTheme="minorHAnsi" w:cstheme="minorHAnsi"/>
        </w:rPr>
        <w:t xml:space="preserve"> states that </w:t>
      </w:r>
      <w:r w:rsidR="00D35E0B" w:rsidRPr="00314DCE">
        <w:rPr>
          <w:rFonts w:asciiTheme="minorHAnsi" w:hAnsiTheme="minorHAnsi" w:cstheme="minorHAnsi"/>
        </w:rPr>
        <w:t xml:space="preserve">low impairment </w:t>
      </w:r>
      <w:r w:rsidR="00A34CFA" w:rsidRPr="00314DCE">
        <w:rPr>
          <w:rFonts w:asciiTheme="minorHAnsi" w:hAnsiTheme="minorHAnsi" w:cstheme="minorHAnsi"/>
        </w:rPr>
        <w:t xml:space="preserve">cases were left </w:t>
      </w:r>
      <w:r w:rsidR="002D0546" w:rsidRPr="00314DCE">
        <w:rPr>
          <w:rFonts w:asciiTheme="minorHAnsi" w:hAnsiTheme="minorHAnsi" w:cstheme="minorHAnsi"/>
        </w:rPr>
        <w:t xml:space="preserve">without the use of the defence of diminished responsibility.  </w:t>
      </w:r>
      <w:r w:rsidR="00A34CFA" w:rsidRPr="00314DCE">
        <w:rPr>
          <w:rFonts w:asciiTheme="minorHAnsi" w:hAnsiTheme="minorHAnsi" w:cstheme="minorHAnsi"/>
        </w:rPr>
        <w:t>Th</w:t>
      </w:r>
      <w:r w:rsidR="002D0546" w:rsidRPr="00314DCE">
        <w:rPr>
          <w:rFonts w:asciiTheme="minorHAnsi" w:hAnsiTheme="minorHAnsi" w:cstheme="minorHAnsi"/>
        </w:rPr>
        <w:t xml:space="preserve">e defence </w:t>
      </w:r>
      <w:r w:rsidR="00A34CFA" w:rsidRPr="00314DCE">
        <w:rPr>
          <w:rFonts w:asciiTheme="minorHAnsi" w:hAnsiTheme="minorHAnsi" w:cstheme="minorHAnsi"/>
        </w:rPr>
        <w:t xml:space="preserve">enables </w:t>
      </w:r>
      <w:r w:rsidR="00D2544A" w:rsidRPr="00314DCE">
        <w:rPr>
          <w:rFonts w:asciiTheme="minorHAnsi" w:hAnsiTheme="minorHAnsi" w:cstheme="minorHAnsi"/>
        </w:rPr>
        <w:t>individuals</w:t>
      </w:r>
      <w:r w:rsidR="00A34CFA" w:rsidRPr="00314DCE">
        <w:rPr>
          <w:rFonts w:asciiTheme="minorHAnsi" w:hAnsiTheme="minorHAnsi" w:cstheme="minorHAnsi"/>
        </w:rPr>
        <w:t xml:space="preserve"> to be </w:t>
      </w:r>
      <w:r w:rsidR="00D2544A" w:rsidRPr="00314DCE">
        <w:rPr>
          <w:rFonts w:asciiTheme="minorHAnsi" w:hAnsiTheme="minorHAnsi" w:cstheme="minorHAnsi"/>
        </w:rPr>
        <w:t>convicted</w:t>
      </w:r>
      <w:r w:rsidR="00A34CFA" w:rsidRPr="00314DCE">
        <w:rPr>
          <w:rFonts w:asciiTheme="minorHAnsi" w:hAnsiTheme="minorHAnsi" w:cstheme="minorHAnsi"/>
        </w:rPr>
        <w:t xml:space="preserve"> of manslaughter rather than murder for the given reason that they weren’t able to understand the nature of their act.</w:t>
      </w:r>
      <w:r w:rsidR="008A54F7" w:rsidRPr="00314DCE">
        <w:rPr>
          <w:rFonts w:asciiTheme="minorHAnsi" w:hAnsiTheme="minorHAnsi" w:cstheme="minorHAnsi"/>
        </w:rPr>
        <w:t xml:space="preserve"> An example of </w:t>
      </w:r>
      <w:r w:rsidR="005B4E99" w:rsidRPr="00314DCE">
        <w:rPr>
          <w:rFonts w:asciiTheme="minorHAnsi" w:hAnsiTheme="minorHAnsi" w:cstheme="minorHAnsi"/>
        </w:rPr>
        <w:t xml:space="preserve">a </w:t>
      </w:r>
      <w:r w:rsidR="008A54F7" w:rsidRPr="00314DCE">
        <w:rPr>
          <w:rFonts w:asciiTheme="minorHAnsi" w:hAnsiTheme="minorHAnsi" w:cstheme="minorHAnsi"/>
        </w:rPr>
        <w:t xml:space="preserve">diminished responsibility case is R v Golds (2026) where Mark Golds was found guilty </w:t>
      </w:r>
      <w:r w:rsidR="005B4E99" w:rsidRPr="00314DCE">
        <w:rPr>
          <w:rFonts w:asciiTheme="minorHAnsi" w:hAnsiTheme="minorHAnsi" w:cstheme="minorHAnsi"/>
        </w:rPr>
        <w:t>of</w:t>
      </w:r>
      <w:r w:rsidR="008A54F7" w:rsidRPr="00314DCE">
        <w:rPr>
          <w:rFonts w:asciiTheme="minorHAnsi" w:hAnsiTheme="minorHAnsi" w:cstheme="minorHAnsi"/>
        </w:rPr>
        <w:t xml:space="preserve"> the murder of his partner. He admitted to the killing and the court </w:t>
      </w:r>
      <w:r w:rsidR="000C2888" w:rsidRPr="00314DCE">
        <w:rPr>
          <w:rFonts w:asciiTheme="minorHAnsi" w:hAnsiTheme="minorHAnsi" w:cstheme="minorHAnsi"/>
        </w:rPr>
        <w:t>convicted him of manslaughter rather than murder based on the defence.</w:t>
      </w:r>
    </w:p>
    <w:p w14:paraId="29C4EB43" w14:textId="132D50ED" w:rsidR="002D0546" w:rsidRPr="00314DCE" w:rsidRDefault="002D0546" w:rsidP="00314DCE">
      <w:pPr>
        <w:spacing w:line="360" w:lineRule="auto"/>
        <w:ind w:firstLine="720"/>
        <w:rPr>
          <w:rStyle w:val="eop"/>
          <w:rFonts w:asciiTheme="minorHAnsi" w:hAnsiTheme="minorHAnsi" w:cstheme="minorHAnsi"/>
          <w:color w:val="000000"/>
          <w:shd w:val="clear" w:color="auto" w:fill="FFFFFF"/>
        </w:rPr>
      </w:pPr>
      <w:r w:rsidRPr="00314DCE">
        <w:rPr>
          <w:rStyle w:val="normaltextrun"/>
          <w:rFonts w:asciiTheme="minorHAnsi" w:hAnsiTheme="minorHAnsi" w:cstheme="minorHAnsi"/>
          <w:color w:val="000000"/>
          <w:shd w:val="clear" w:color="auto" w:fill="FFFFFF"/>
        </w:rPr>
        <w:t>Section 52 of the Coroners and Justice Act (2009) has changed the law by now having diminished responsibility as a defence for murder only. According to Taylor, (2018) it is stated that diminished responsibility has changed in the way that the recognised medical condition is what determines the abnormality of mental functioning. The reason for this change is to recognize the aspect of mental ill</w:t>
      </w:r>
      <w:r w:rsidR="0062295F" w:rsidRPr="00314DCE">
        <w:rPr>
          <w:rStyle w:val="normaltextrun"/>
          <w:rFonts w:asciiTheme="minorHAnsi" w:hAnsiTheme="minorHAnsi" w:cstheme="minorHAnsi"/>
          <w:color w:val="000000"/>
          <w:shd w:val="clear" w:color="auto" w:fill="FFFFFF"/>
        </w:rPr>
        <w:t>ness</w:t>
      </w:r>
      <w:r w:rsidRPr="00314DCE">
        <w:rPr>
          <w:rStyle w:val="normaltextrun"/>
          <w:rFonts w:asciiTheme="minorHAnsi" w:hAnsiTheme="minorHAnsi" w:cstheme="minorHAnsi"/>
          <w:color w:val="000000"/>
          <w:shd w:val="clear" w:color="auto" w:fill="FFFFFF"/>
        </w:rPr>
        <w:t xml:space="preserve">. Even though recognised medical condition is not an essential part of the defence it is an aspect that must come from within the accused. Another change to the law that was made </w:t>
      </w:r>
      <w:r w:rsidR="00217F2A" w:rsidRPr="00314DCE">
        <w:rPr>
          <w:rStyle w:val="normaltextrun"/>
          <w:rFonts w:asciiTheme="minorHAnsi" w:hAnsiTheme="minorHAnsi" w:cstheme="minorHAnsi"/>
          <w:color w:val="000000"/>
          <w:shd w:val="clear" w:color="auto" w:fill="FFFFFF"/>
        </w:rPr>
        <w:t>was that</w:t>
      </w:r>
      <w:r w:rsidRPr="00314DCE">
        <w:rPr>
          <w:rStyle w:val="normaltextrun"/>
          <w:rFonts w:asciiTheme="minorHAnsi" w:hAnsiTheme="minorHAnsi" w:cstheme="minorHAnsi"/>
          <w:color w:val="000000"/>
          <w:shd w:val="clear" w:color="auto" w:fill="FFFFFF"/>
        </w:rPr>
        <w:t xml:space="preserve"> the defendant can avoid the mandatory sentence when it comes to punishment as long as there is a clear mental </w:t>
      </w:r>
      <w:r w:rsidRPr="00314DCE">
        <w:rPr>
          <w:rStyle w:val="normaltextrun"/>
          <w:rFonts w:asciiTheme="minorHAnsi" w:hAnsiTheme="minorHAnsi" w:cstheme="minorHAnsi"/>
          <w:color w:val="000000"/>
          <w:shd w:val="clear" w:color="auto" w:fill="FFFFFF"/>
        </w:rPr>
        <w:lastRenderedPageBreak/>
        <w:t xml:space="preserve">element to be seen. Within diminished responsibility there has been a change in the law to where it is essential to question the subjective and objective element. </w:t>
      </w:r>
    </w:p>
    <w:p w14:paraId="35EF136B" w14:textId="2D91A775" w:rsidR="002D0546" w:rsidRPr="00314DCE" w:rsidRDefault="00EF5D1E" w:rsidP="00314DCE">
      <w:pPr>
        <w:spacing w:line="360" w:lineRule="auto"/>
        <w:rPr>
          <w:rStyle w:val="eop"/>
          <w:rFonts w:asciiTheme="minorHAnsi" w:hAnsiTheme="minorHAnsi" w:cstheme="minorHAnsi"/>
          <w:color w:val="000000"/>
          <w:shd w:val="clear" w:color="auto" w:fill="FFFFFF"/>
        </w:rPr>
      </w:pPr>
      <w:r w:rsidRPr="00314DCE">
        <w:rPr>
          <w:rFonts w:asciiTheme="minorHAnsi" w:hAnsiTheme="minorHAnsi" w:cstheme="minorHAnsi"/>
        </w:rPr>
        <w:tab/>
      </w:r>
      <w:r w:rsidR="002D0546" w:rsidRPr="00314DCE">
        <w:rPr>
          <w:rStyle w:val="normaltextrun"/>
          <w:rFonts w:asciiTheme="minorHAnsi" w:hAnsiTheme="minorHAnsi" w:cstheme="minorHAnsi"/>
          <w:color w:val="000000"/>
          <w:shd w:val="clear" w:color="auto" w:fill="FFFFFF"/>
        </w:rPr>
        <w:t xml:space="preserve">A disadvantage to the changes that S52 of the Coroners and Justice Act 2009 is that there have been clear issues associated with confusion of </w:t>
      </w:r>
      <w:r w:rsidR="0062295F" w:rsidRPr="00314DCE">
        <w:rPr>
          <w:rStyle w:val="normaltextrun"/>
          <w:rFonts w:asciiTheme="minorHAnsi" w:hAnsiTheme="minorHAnsi" w:cstheme="minorHAnsi"/>
          <w:color w:val="000000"/>
          <w:shd w:val="clear" w:color="auto" w:fill="FFFFFF"/>
        </w:rPr>
        <w:t xml:space="preserve">the </w:t>
      </w:r>
      <w:r w:rsidR="002D0546" w:rsidRPr="00314DCE">
        <w:rPr>
          <w:rStyle w:val="normaltextrun"/>
          <w:rFonts w:asciiTheme="minorHAnsi" w:hAnsiTheme="minorHAnsi" w:cstheme="minorHAnsi"/>
          <w:color w:val="000000"/>
          <w:shd w:val="clear" w:color="auto" w:fill="FFFFFF"/>
        </w:rPr>
        <w:t xml:space="preserve">partial defence. As a result of this there have been massive risks when considering defendants punishments that leaves individuals with variable outcomes. This is reinforced by Hallett (2018) when mentioning that the obligation for the medical experts to provide evidence may cause an issue when considering ‘moral responsibility.’ Macdonald, (2018) states that this defence was changed to the defendant suffering from an abnormality of mental functioning rather than abnormality of the mind. This came from R v Byrne [1960] where the term abnormal was explained as different to </w:t>
      </w:r>
      <w:r w:rsidR="0062295F" w:rsidRPr="00314DCE">
        <w:rPr>
          <w:rStyle w:val="normaltextrun"/>
          <w:rFonts w:asciiTheme="minorHAnsi" w:hAnsiTheme="minorHAnsi" w:cstheme="minorHAnsi"/>
          <w:color w:val="000000"/>
          <w:shd w:val="clear" w:color="auto" w:fill="FFFFFF"/>
        </w:rPr>
        <w:t xml:space="preserve">the </w:t>
      </w:r>
      <w:r w:rsidR="002D0546" w:rsidRPr="00314DCE">
        <w:rPr>
          <w:rStyle w:val="normaltextrun"/>
          <w:rFonts w:asciiTheme="minorHAnsi" w:hAnsiTheme="minorHAnsi" w:cstheme="minorHAnsi"/>
          <w:color w:val="000000"/>
          <w:shd w:val="clear" w:color="auto" w:fill="FFFFFF"/>
        </w:rPr>
        <w:t>usual individual. This caused confusion that is similar to the above point where criticism came from a few parties. One of th</w:t>
      </w:r>
      <w:r w:rsidR="0062295F" w:rsidRPr="00314DCE">
        <w:rPr>
          <w:rStyle w:val="normaltextrun"/>
          <w:rFonts w:asciiTheme="minorHAnsi" w:hAnsiTheme="minorHAnsi" w:cstheme="minorHAnsi"/>
          <w:color w:val="000000"/>
          <w:shd w:val="clear" w:color="auto" w:fill="FFFFFF"/>
        </w:rPr>
        <w:t>o</w:t>
      </w:r>
      <w:r w:rsidR="002D0546" w:rsidRPr="00314DCE">
        <w:rPr>
          <w:rStyle w:val="normaltextrun"/>
          <w:rFonts w:asciiTheme="minorHAnsi" w:hAnsiTheme="minorHAnsi" w:cstheme="minorHAnsi"/>
          <w:color w:val="000000"/>
          <w:shd w:val="clear" w:color="auto" w:fill="FFFFFF"/>
        </w:rPr>
        <w:t>se parties were The Law Commission arguing that the old term used was not seen as a psychiatric term therefore was changed to abnormality of mental functioning.</w:t>
      </w:r>
      <w:r w:rsidR="002D0546" w:rsidRPr="00314DCE">
        <w:rPr>
          <w:rStyle w:val="eop"/>
          <w:rFonts w:asciiTheme="minorHAnsi" w:hAnsiTheme="minorHAnsi" w:cstheme="minorHAnsi"/>
          <w:color w:val="000000"/>
          <w:shd w:val="clear" w:color="auto" w:fill="FFFFFF"/>
        </w:rPr>
        <w:t> </w:t>
      </w:r>
    </w:p>
    <w:p w14:paraId="38992CDF" w14:textId="47D20DDE" w:rsidR="008C3D12" w:rsidRPr="00314DCE" w:rsidRDefault="009827EE" w:rsidP="00314DCE">
      <w:pPr>
        <w:spacing w:line="360" w:lineRule="auto"/>
        <w:rPr>
          <w:rFonts w:asciiTheme="minorHAnsi" w:hAnsiTheme="minorHAnsi" w:cstheme="minorHAnsi"/>
          <w:noProof/>
        </w:rPr>
      </w:pPr>
      <w:r w:rsidRPr="00314DCE">
        <w:rPr>
          <w:rFonts w:asciiTheme="minorHAnsi" w:hAnsiTheme="minorHAnsi" w:cstheme="minorHAnsi"/>
          <w:noProof/>
        </w:rPr>
        <w:tab/>
      </w:r>
      <w:r w:rsidR="00154714" w:rsidRPr="00314DCE">
        <w:rPr>
          <w:rStyle w:val="normaltextrun"/>
          <w:rFonts w:asciiTheme="minorHAnsi" w:hAnsiTheme="minorHAnsi" w:cstheme="minorHAnsi"/>
          <w:color w:val="000000"/>
          <w:shd w:val="clear" w:color="auto" w:fill="FFFFFF"/>
        </w:rPr>
        <w:t>On the other hand, an advantage to the changes is that according to Steinberg, et al., (2003) individual</w:t>
      </w:r>
      <w:r w:rsidR="0062295F" w:rsidRPr="00314DCE">
        <w:rPr>
          <w:rStyle w:val="normaltextrun"/>
          <w:rFonts w:asciiTheme="minorHAnsi" w:hAnsiTheme="minorHAnsi" w:cstheme="minorHAnsi"/>
          <w:color w:val="000000"/>
          <w:shd w:val="clear" w:color="auto" w:fill="FFFFFF"/>
        </w:rPr>
        <w:t>s</w:t>
      </w:r>
      <w:r w:rsidR="00154714" w:rsidRPr="00314DCE">
        <w:rPr>
          <w:rStyle w:val="normaltextrun"/>
          <w:rFonts w:asciiTheme="minorHAnsi" w:hAnsiTheme="minorHAnsi" w:cstheme="minorHAnsi"/>
          <w:color w:val="000000"/>
          <w:shd w:val="clear" w:color="auto" w:fill="FFFFFF"/>
        </w:rPr>
        <w:t xml:space="preserve"> committing the act that is suffering from an abnormality of mental functioning, should not be held accountable to the same level of responsibility as a reasonable individual committing the crime. Also, these individuals are not able to withhold many factors such as coercive behaviour from other individual’s that take them for granted knowing they are unaware of their actions. To withhold the defence, it is vital according to Trott, (1992) the individual committing the act must be within the ‘provisions of the Act.’ Therefore, it is an advantage that these individuals have this support behind them because of changes still being made to their characters. An example of a case associated with diminished responsibility is R v Brennan (2014) where the victim was killed from an attack and the defendant was able to use the defence to be convicted of manslaughter rather than murder. Davis LJ stated, ‘where diminished responsibility supported by uncontradicted expert evidence, the trial judge should withdrawal the charge of murder from the jury at the close of evidence if he finds that no properly directed jury would convict [66].’</w:t>
      </w:r>
      <w:r w:rsidR="00154714" w:rsidRPr="00314DCE">
        <w:rPr>
          <w:rStyle w:val="eop"/>
          <w:rFonts w:asciiTheme="minorHAnsi" w:hAnsiTheme="minorHAnsi" w:cstheme="minorHAnsi"/>
          <w:color w:val="000000"/>
          <w:shd w:val="clear" w:color="auto" w:fill="FFFFFF"/>
        </w:rPr>
        <w:t> </w:t>
      </w:r>
    </w:p>
    <w:p w14:paraId="1CABD4FB" w14:textId="77777777" w:rsidR="00FA1E2E" w:rsidRPr="00314DCE" w:rsidRDefault="00154714" w:rsidP="00314DCE">
      <w:pPr>
        <w:spacing w:line="360" w:lineRule="auto"/>
        <w:ind w:firstLine="720"/>
        <w:rPr>
          <w:rFonts w:asciiTheme="minorHAnsi" w:hAnsiTheme="minorHAnsi" w:cstheme="minorHAnsi"/>
          <w:noProof/>
        </w:rPr>
      </w:pPr>
      <w:r w:rsidRPr="00314DCE">
        <w:rPr>
          <w:rStyle w:val="normaltextrun"/>
          <w:rFonts w:asciiTheme="minorHAnsi" w:hAnsiTheme="minorHAnsi" w:cstheme="minorHAnsi"/>
          <w:color w:val="000000"/>
          <w:shd w:val="clear" w:color="auto" w:fill="FFFFFF"/>
        </w:rPr>
        <w:t xml:space="preserve">Another disadvantage is that by using the diminished responsibility defence for individuals they argue that it does not give the victim’s family members the justice they want. Many people see the defence as </w:t>
      </w:r>
      <w:r w:rsidR="0062295F" w:rsidRPr="00314DCE">
        <w:rPr>
          <w:rStyle w:val="normaltextrun"/>
          <w:rFonts w:asciiTheme="minorHAnsi" w:hAnsiTheme="minorHAnsi" w:cstheme="minorHAnsi"/>
          <w:color w:val="000000"/>
          <w:shd w:val="clear" w:color="auto" w:fill="FFFFFF"/>
        </w:rPr>
        <w:t xml:space="preserve">a </w:t>
      </w:r>
      <w:r w:rsidRPr="00314DCE">
        <w:rPr>
          <w:rStyle w:val="normaltextrun"/>
          <w:rFonts w:asciiTheme="minorHAnsi" w:hAnsiTheme="minorHAnsi" w:cstheme="minorHAnsi"/>
          <w:color w:val="000000"/>
          <w:shd w:val="clear" w:color="auto" w:fill="FFFFFF"/>
        </w:rPr>
        <w:t xml:space="preserve">principle that enables them a shorter sentence that is unfair in their eyes as they still committed the exact same act as murder. Therefore, the </w:t>
      </w:r>
      <w:r w:rsidRPr="00314DCE">
        <w:rPr>
          <w:rStyle w:val="normaltextrun"/>
          <w:rFonts w:asciiTheme="minorHAnsi" w:hAnsiTheme="minorHAnsi" w:cstheme="minorHAnsi"/>
          <w:color w:val="000000"/>
          <w:shd w:val="clear" w:color="auto" w:fill="FFFFFF"/>
        </w:rPr>
        <w:lastRenderedPageBreak/>
        <w:t>danger that has been evoked should be considered. An issue that is highlighted by Philips, (2012) is the “adequate judicial direction to the jury” which are the directions set by the judges and will state the actions to progress the case trial. The upcoming difficulties appear to not have been resolved therefore, when considering factors such as the defendant being intoxicated it is not as straight forward to consider. The defendant being intoxicated adds additional factors that increases problems because the defendant also has the abnormality of mind. This leaves the jury having to consider if this was the abnormality of mind or the intoxication that is responsible for the actus rea for this offence, as they do not have the legal knowledge to know whether the defendants defence is satisfied. This is reinforced by Kenny, (1986) by mentioning that there is not enough guidance for the jury to decide. When considering this to a ‘reasonable individual’ it causes uncertainty as this is not appliable to any person that is seen as ‘reasonable.</w:t>
      </w:r>
      <w:r w:rsidR="0062295F" w:rsidRPr="00314DCE">
        <w:rPr>
          <w:rStyle w:val="normaltextrun"/>
          <w:rFonts w:asciiTheme="minorHAnsi" w:hAnsiTheme="minorHAnsi" w:cstheme="minorHAnsi"/>
          <w:color w:val="000000"/>
          <w:shd w:val="clear" w:color="auto" w:fill="FFFFFF"/>
        </w:rPr>
        <w:t>’</w:t>
      </w:r>
      <w:r w:rsidRPr="00314DCE">
        <w:rPr>
          <w:rStyle w:val="eop"/>
          <w:rFonts w:asciiTheme="minorHAnsi" w:hAnsiTheme="minorHAnsi" w:cstheme="minorHAnsi"/>
          <w:color w:val="000000"/>
          <w:shd w:val="clear" w:color="auto" w:fill="FFFFFF"/>
        </w:rPr>
        <w:t> </w:t>
      </w:r>
      <w:r w:rsidR="00164B60" w:rsidRPr="00314DCE">
        <w:rPr>
          <w:rFonts w:asciiTheme="minorHAnsi" w:hAnsiTheme="minorHAnsi" w:cstheme="minorHAnsi"/>
          <w:noProof/>
        </w:rPr>
        <w:tab/>
      </w:r>
    </w:p>
    <w:p w14:paraId="25564132" w14:textId="71F69B2C" w:rsidR="007324B7" w:rsidRPr="00314DCE" w:rsidRDefault="00154714" w:rsidP="00314DCE">
      <w:pPr>
        <w:spacing w:line="360" w:lineRule="auto"/>
        <w:ind w:firstLine="720"/>
        <w:rPr>
          <w:rFonts w:asciiTheme="minorHAnsi" w:hAnsiTheme="minorHAnsi" w:cstheme="minorHAnsi"/>
          <w:noProof/>
        </w:rPr>
      </w:pPr>
      <w:r w:rsidRPr="00314DCE">
        <w:rPr>
          <w:rStyle w:val="normaltextrun"/>
          <w:rFonts w:asciiTheme="minorHAnsi" w:hAnsiTheme="minorHAnsi" w:cstheme="minorHAnsi"/>
          <w:color w:val="000000"/>
          <w:shd w:val="clear" w:color="auto" w:fill="FFFFFF"/>
        </w:rPr>
        <w:t xml:space="preserve">Differently an advantage to this is that according to Mackay, (2021) diminished responsibility is seen as an accepted aspect with the given morals outlined as principles. Reasoning for this is that when the defence compare the defendant’s circumstances compared to a reasonable individual’s circumstance it is certain that the defence will not be successful that justifies it is not an excuse used to avoid the full sentence. This is reinforced by Armitage, (1957) the changes are important to avoid the concept of the death penalty or imprisonment for life. The principles associated with clarity therefore the defence is considered fair and must be amendable and liable. Therefore, having to have the medical proof showing why they conducted themselves in that way is to a certain extent justifiable. An example of a case associated with this is R v </w:t>
      </w:r>
      <w:proofErr w:type="spellStart"/>
      <w:r w:rsidRPr="00314DCE">
        <w:rPr>
          <w:rStyle w:val="normaltextrun"/>
          <w:rFonts w:asciiTheme="minorHAnsi" w:hAnsiTheme="minorHAnsi" w:cstheme="minorHAnsi"/>
          <w:color w:val="000000"/>
          <w:shd w:val="clear" w:color="auto" w:fill="FFFFFF"/>
        </w:rPr>
        <w:t>Dietschmann</w:t>
      </w:r>
      <w:proofErr w:type="spellEnd"/>
      <w:r w:rsidRPr="00314DCE">
        <w:rPr>
          <w:rStyle w:val="normaltextrun"/>
          <w:rFonts w:asciiTheme="minorHAnsi" w:hAnsiTheme="minorHAnsi" w:cstheme="minorHAnsi"/>
          <w:color w:val="000000"/>
          <w:shd w:val="clear" w:color="auto" w:fill="FFFFFF"/>
        </w:rPr>
        <w:t xml:space="preserve"> (2003) where he beat an individual to death while drunk and was accused of murder. After appealing this it was found that the defence was still substantial and was convicted of manslaughter. Finch &amp; </w:t>
      </w:r>
      <w:proofErr w:type="spellStart"/>
      <w:r w:rsidRPr="00314DCE">
        <w:rPr>
          <w:rStyle w:val="normaltextrun"/>
          <w:rFonts w:asciiTheme="minorHAnsi" w:hAnsiTheme="minorHAnsi" w:cstheme="minorHAnsi"/>
          <w:color w:val="000000"/>
          <w:shd w:val="clear" w:color="auto" w:fill="FFFFFF"/>
        </w:rPr>
        <w:t>Fafinski</w:t>
      </w:r>
      <w:proofErr w:type="spellEnd"/>
      <w:r w:rsidRPr="00314DCE">
        <w:rPr>
          <w:rStyle w:val="normaltextrun"/>
          <w:rFonts w:asciiTheme="minorHAnsi" w:hAnsiTheme="minorHAnsi" w:cstheme="minorHAnsi"/>
          <w:color w:val="000000"/>
          <w:shd w:val="clear" w:color="auto" w:fill="FFFFFF"/>
        </w:rPr>
        <w:t xml:space="preserve">, (2021) state that from the case R v Golds the defendant had two psychiatrists to testify that he had a condition that substantially impaired to judge if his actions where right from wrong. Therefore, the defendant is unable to make rational decisions meaning they are unable to make informed choices. </w:t>
      </w:r>
      <w:r w:rsidRPr="00314DCE">
        <w:rPr>
          <w:rStyle w:val="eop"/>
          <w:rFonts w:asciiTheme="minorHAnsi" w:hAnsiTheme="minorHAnsi" w:cstheme="minorHAnsi"/>
          <w:color w:val="000000"/>
          <w:shd w:val="clear" w:color="auto" w:fill="FFFFFF"/>
        </w:rPr>
        <w:t> </w:t>
      </w:r>
    </w:p>
    <w:p w14:paraId="0EC9BD7F" w14:textId="1C0DEB12" w:rsidR="00154714" w:rsidRPr="00314DCE" w:rsidRDefault="00154714" w:rsidP="00314DCE">
      <w:pPr>
        <w:pStyle w:val="paragraph"/>
        <w:spacing w:before="0" w:beforeAutospacing="0" w:after="0" w:afterAutospacing="0" w:line="360" w:lineRule="auto"/>
        <w:ind w:firstLine="720"/>
        <w:textAlignment w:val="baseline"/>
        <w:rPr>
          <w:rFonts w:asciiTheme="minorHAnsi" w:hAnsiTheme="minorHAnsi" w:cstheme="minorHAnsi"/>
        </w:rPr>
      </w:pPr>
      <w:r w:rsidRPr="00314DCE">
        <w:rPr>
          <w:rStyle w:val="normaltextrun"/>
          <w:rFonts w:asciiTheme="minorHAnsi" w:hAnsiTheme="minorHAnsi" w:cstheme="minorHAnsi"/>
        </w:rPr>
        <w:t>Another disadvantage according to Edwards &amp; Allen, (2021) is that by allowing a reduction in the liability to murder to manslaughter</w:t>
      </w:r>
      <w:r w:rsidR="00314DCE" w:rsidRPr="00314DCE">
        <w:rPr>
          <w:rStyle w:val="normaltextrun"/>
          <w:rFonts w:asciiTheme="minorHAnsi" w:hAnsiTheme="minorHAnsi" w:cstheme="minorHAnsi"/>
        </w:rPr>
        <w:t>,</w:t>
      </w:r>
      <w:r w:rsidRPr="00314DCE">
        <w:rPr>
          <w:rStyle w:val="normaltextrun"/>
          <w:rFonts w:asciiTheme="minorHAnsi" w:hAnsiTheme="minorHAnsi" w:cstheme="minorHAnsi"/>
        </w:rPr>
        <w:t xml:space="preserve"> there’s questioning about the requirement between the mental disorder that the individual is suffering from and the act of murder. The uncertainty is that to what degree is the abnormality to the mind for this </w:t>
      </w:r>
      <w:r w:rsidR="00A93984" w:rsidRPr="00314DCE">
        <w:rPr>
          <w:rStyle w:val="normaltextrun"/>
          <w:rFonts w:asciiTheme="minorHAnsi" w:hAnsiTheme="minorHAnsi" w:cstheme="minorHAnsi"/>
        </w:rPr>
        <w:t xml:space="preserve">to </w:t>
      </w:r>
      <w:r w:rsidRPr="00314DCE">
        <w:rPr>
          <w:rStyle w:val="normaltextrun"/>
          <w:rFonts w:asciiTheme="minorHAnsi" w:hAnsiTheme="minorHAnsi" w:cstheme="minorHAnsi"/>
        </w:rPr>
        <w:lastRenderedPageBreak/>
        <w:t xml:space="preserve">cause an individual to carry out the act of murder. Examples of medical conditions that effect the capability of functional mental illness are clinical depression, schizophrenia, and battered women’s syndrome. It is mentioned </w:t>
      </w:r>
      <w:r w:rsidR="00A93984" w:rsidRPr="00314DCE">
        <w:rPr>
          <w:rStyle w:val="normaltextrun"/>
          <w:rFonts w:asciiTheme="minorHAnsi" w:hAnsiTheme="minorHAnsi" w:cstheme="minorHAnsi"/>
        </w:rPr>
        <w:t xml:space="preserve">it </w:t>
      </w:r>
      <w:r w:rsidRPr="00314DCE">
        <w:rPr>
          <w:rStyle w:val="normaltextrun"/>
          <w:rFonts w:asciiTheme="minorHAnsi" w:hAnsiTheme="minorHAnsi" w:cstheme="minorHAnsi"/>
        </w:rPr>
        <w:t>should be clear from the Court of Criminal Appeal to outline exact details that gives the public view no room for questioning. It is argued that the low amount of detail leaving the decision in the hands of medical experts that may not have the exact requirements that we ought to see. There should be a recommendation that may further reform within this area of law is that according to Yeo, (2010) even though the ‘reasonable individual’ aspect that is included in the wording. There needs to be a more identifiable factor to what is known or seen as a ‘reasonable individual.’ The reasoning for this is that this factor ca</w:t>
      </w:r>
      <w:r w:rsidR="00A93984" w:rsidRPr="00314DCE">
        <w:rPr>
          <w:rStyle w:val="normaltextrun"/>
          <w:rFonts w:asciiTheme="minorHAnsi" w:hAnsiTheme="minorHAnsi" w:cstheme="minorHAnsi"/>
        </w:rPr>
        <w:t>u</w:t>
      </w:r>
      <w:r w:rsidRPr="00314DCE">
        <w:rPr>
          <w:rStyle w:val="normaltextrun"/>
          <w:rFonts w:asciiTheme="minorHAnsi" w:hAnsiTheme="minorHAnsi" w:cstheme="minorHAnsi"/>
        </w:rPr>
        <w:t xml:space="preserve">ses confusion for the jury and medical experts to compare the defendant to. </w:t>
      </w:r>
      <w:r w:rsidRPr="00314DCE">
        <w:rPr>
          <w:rStyle w:val="eop"/>
          <w:rFonts w:asciiTheme="minorHAnsi" w:hAnsiTheme="minorHAnsi" w:cstheme="minorHAnsi"/>
        </w:rPr>
        <w:t> </w:t>
      </w:r>
    </w:p>
    <w:p w14:paraId="6C77747F" w14:textId="77777777" w:rsidR="00154714" w:rsidRPr="00314DCE" w:rsidRDefault="00154714" w:rsidP="00314DCE">
      <w:pPr>
        <w:pStyle w:val="paragraph"/>
        <w:spacing w:before="0" w:beforeAutospacing="0" w:after="0" w:afterAutospacing="0" w:line="360" w:lineRule="auto"/>
        <w:ind w:firstLine="720"/>
        <w:textAlignment w:val="baseline"/>
        <w:rPr>
          <w:rFonts w:asciiTheme="minorHAnsi" w:hAnsiTheme="minorHAnsi" w:cstheme="minorHAnsi"/>
        </w:rPr>
      </w:pPr>
      <w:r w:rsidRPr="00314DCE">
        <w:rPr>
          <w:rStyle w:val="normaltextrun"/>
          <w:rFonts w:asciiTheme="minorHAnsi" w:hAnsiTheme="minorHAnsi" w:cstheme="minorHAnsi"/>
        </w:rPr>
        <w:t>To conclude, after looking at the changes that the Coroners and Justice Act (2009) made to the defence of diminished responsibility it is clear to see that there are factors that support and go against these. The amendments that have changed the law support the targeted individuals in society. As well as the issues that follow diminished responsibility and the room for improvement.</w:t>
      </w:r>
      <w:r w:rsidRPr="00314DCE">
        <w:rPr>
          <w:rStyle w:val="eop"/>
          <w:rFonts w:asciiTheme="minorHAnsi" w:hAnsiTheme="minorHAnsi" w:cstheme="minorHAnsi"/>
        </w:rPr>
        <w:t> </w:t>
      </w:r>
    </w:p>
    <w:p w14:paraId="5A723F55" w14:textId="77777777" w:rsidR="00324598" w:rsidRPr="00314DCE" w:rsidRDefault="00324598" w:rsidP="000F5A5F">
      <w:pPr>
        <w:ind w:firstLine="720"/>
        <w:rPr>
          <w:rFonts w:asciiTheme="minorHAnsi" w:hAnsiTheme="minorHAnsi" w:cstheme="minorHAnsi"/>
          <w:noProof/>
        </w:rPr>
      </w:pPr>
    </w:p>
    <w:p w14:paraId="135779ED" w14:textId="5ED95239" w:rsidR="000F5A5F" w:rsidRPr="00314DCE" w:rsidRDefault="00EC3CA4" w:rsidP="00324598">
      <w:pPr>
        <w:rPr>
          <w:rFonts w:asciiTheme="minorHAnsi" w:hAnsiTheme="minorHAnsi" w:cstheme="minorHAnsi"/>
          <w:noProof/>
        </w:rPr>
      </w:pPr>
      <w:r w:rsidRPr="00314DCE">
        <w:rPr>
          <w:rFonts w:asciiTheme="minorHAnsi" w:hAnsiTheme="minorHAnsi" w:cstheme="minorHAnsi"/>
          <w:noProof/>
        </w:rPr>
        <w:t>Word count=</w:t>
      </w:r>
      <w:r w:rsidR="00881713" w:rsidRPr="00314DCE">
        <w:rPr>
          <w:rFonts w:asciiTheme="minorHAnsi" w:hAnsiTheme="minorHAnsi" w:cstheme="minorHAnsi"/>
          <w:noProof/>
        </w:rPr>
        <w:t>1</w:t>
      </w:r>
      <w:r w:rsidR="00932A53" w:rsidRPr="00314DCE">
        <w:rPr>
          <w:rFonts w:asciiTheme="minorHAnsi" w:hAnsiTheme="minorHAnsi" w:cstheme="minorHAnsi"/>
          <w:noProof/>
        </w:rPr>
        <w:t>5</w:t>
      </w:r>
      <w:r w:rsidR="00A93984" w:rsidRPr="00314DCE">
        <w:rPr>
          <w:rFonts w:asciiTheme="minorHAnsi" w:hAnsiTheme="minorHAnsi" w:cstheme="minorHAnsi"/>
          <w:noProof/>
        </w:rPr>
        <w:t>7</w:t>
      </w:r>
      <w:r w:rsidR="00314DCE" w:rsidRPr="00314DCE">
        <w:rPr>
          <w:rFonts w:asciiTheme="minorHAnsi" w:hAnsiTheme="minorHAnsi" w:cstheme="minorHAnsi"/>
          <w:noProof/>
        </w:rPr>
        <w:t>1</w:t>
      </w:r>
    </w:p>
    <w:p w14:paraId="7F2026E2" w14:textId="60F1A045" w:rsidR="00EC3CA4" w:rsidRDefault="00EC3CA4" w:rsidP="00154714">
      <w:pPr>
        <w:rPr>
          <w:rFonts w:asciiTheme="minorHAnsi" w:hAnsiTheme="minorHAnsi" w:cstheme="minorHAnsi"/>
          <w:noProof/>
        </w:rPr>
      </w:pPr>
    </w:p>
    <w:sdt>
      <w:sdtPr>
        <w:rPr>
          <w:rFonts w:asciiTheme="minorHAnsi" w:eastAsia="Times New Roman" w:hAnsiTheme="minorHAnsi" w:cstheme="minorHAnsi"/>
          <w:b w:val="0"/>
          <w:bCs w:val="0"/>
          <w:color w:val="auto"/>
          <w:sz w:val="24"/>
          <w:szCs w:val="24"/>
          <w:lang w:val="en-GB" w:eastAsia="en-GB" w:bidi="ar-SA"/>
        </w:rPr>
        <w:id w:val="-1425489013"/>
        <w:docPartObj>
          <w:docPartGallery w:val="Bibliographies"/>
          <w:docPartUnique/>
        </w:docPartObj>
      </w:sdtPr>
      <w:sdtEndPr>
        <w:rPr>
          <w:color w:val="000000" w:themeColor="text1"/>
        </w:rPr>
      </w:sdtEndPr>
      <w:sdtContent>
        <w:p w14:paraId="2F3793C6" w14:textId="3FE28F97" w:rsidR="00217F2A" w:rsidRPr="00314DCE" w:rsidRDefault="00217F2A">
          <w:pPr>
            <w:pStyle w:val="Heading1"/>
            <w:rPr>
              <w:rFonts w:asciiTheme="minorHAnsi" w:hAnsiTheme="minorHAnsi" w:cstheme="minorHAnsi"/>
              <w:color w:val="000000" w:themeColor="text1"/>
              <w:sz w:val="24"/>
              <w:szCs w:val="24"/>
            </w:rPr>
          </w:pPr>
          <w:r w:rsidRPr="00314DCE">
            <w:rPr>
              <w:rFonts w:asciiTheme="minorHAnsi" w:hAnsiTheme="minorHAnsi" w:cstheme="minorHAnsi"/>
              <w:color w:val="000000" w:themeColor="text1"/>
              <w:sz w:val="24"/>
              <w:szCs w:val="24"/>
            </w:rPr>
            <w:t>Reference list:</w:t>
          </w:r>
        </w:p>
        <w:p w14:paraId="134E15D1" w14:textId="50D7CF4C"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color w:val="000000" w:themeColor="text1"/>
            </w:rPr>
            <w:fldChar w:fldCharType="begin"/>
          </w:r>
          <w:r w:rsidRPr="00314DCE">
            <w:rPr>
              <w:rFonts w:asciiTheme="minorHAnsi" w:hAnsiTheme="minorHAnsi" w:cstheme="minorHAnsi"/>
              <w:color w:val="000000" w:themeColor="text1"/>
            </w:rPr>
            <w:instrText xml:space="preserve"> BIBLIOGRAPHY </w:instrText>
          </w:r>
          <w:r w:rsidRPr="00314DCE">
            <w:rPr>
              <w:rFonts w:asciiTheme="minorHAnsi" w:hAnsiTheme="minorHAnsi" w:cstheme="minorHAnsi"/>
              <w:color w:val="000000" w:themeColor="text1"/>
            </w:rPr>
            <w:fldChar w:fldCharType="separate"/>
          </w:r>
        </w:p>
        <w:p w14:paraId="35A7AFFE" w14:textId="02386729"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noProof/>
              <w:color w:val="000000" w:themeColor="text1"/>
              <w:lang w:val="en-US"/>
            </w:rPr>
            <w:t xml:space="preserve">Armitage, A., 1957. The Homicide Act 1957. </w:t>
          </w:r>
          <w:r w:rsidRPr="00314DCE">
            <w:rPr>
              <w:rFonts w:asciiTheme="minorHAnsi" w:hAnsiTheme="minorHAnsi" w:cstheme="minorHAnsi"/>
              <w:i/>
              <w:iCs/>
              <w:noProof/>
              <w:color w:val="000000" w:themeColor="text1"/>
              <w:lang w:val="en-US"/>
            </w:rPr>
            <w:t xml:space="preserve">Cambridge law journal, </w:t>
          </w:r>
          <w:r w:rsidRPr="00314DCE">
            <w:rPr>
              <w:rFonts w:asciiTheme="minorHAnsi" w:hAnsiTheme="minorHAnsi" w:cstheme="minorHAnsi"/>
              <w:noProof/>
              <w:color w:val="000000" w:themeColor="text1"/>
              <w:lang w:val="en-US"/>
            </w:rPr>
            <w:t>15(2), pp. 183-193.</w:t>
          </w:r>
        </w:p>
        <w:p w14:paraId="48DA4D7C" w14:textId="77777777" w:rsidR="00217F2A" w:rsidRPr="00314DCE" w:rsidRDefault="00217F2A" w:rsidP="00217F2A">
          <w:pPr>
            <w:rPr>
              <w:rFonts w:asciiTheme="minorHAnsi" w:hAnsiTheme="minorHAnsi" w:cstheme="minorHAnsi"/>
              <w:color w:val="000000" w:themeColor="text1"/>
              <w:lang w:val="en-US"/>
            </w:rPr>
          </w:pPr>
        </w:p>
        <w:p w14:paraId="7D177E88" w14:textId="79DB73B9"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noProof/>
              <w:color w:val="000000" w:themeColor="text1"/>
              <w:lang w:val="en-US"/>
            </w:rPr>
            <w:t xml:space="preserve">Edwards, I. &amp; Allen, M. J., 2021. </w:t>
          </w:r>
          <w:r w:rsidRPr="00314DCE">
            <w:rPr>
              <w:rFonts w:asciiTheme="minorHAnsi" w:hAnsiTheme="minorHAnsi" w:cstheme="minorHAnsi"/>
              <w:i/>
              <w:iCs/>
              <w:noProof/>
              <w:color w:val="000000" w:themeColor="text1"/>
              <w:lang w:val="en-US"/>
            </w:rPr>
            <w:t xml:space="preserve">Criminal law. </w:t>
          </w:r>
          <w:r w:rsidRPr="00314DCE">
            <w:rPr>
              <w:rFonts w:asciiTheme="minorHAnsi" w:hAnsiTheme="minorHAnsi" w:cstheme="minorHAnsi"/>
              <w:noProof/>
              <w:color w:val="000000" w:themeColor="text1"/>
              <w:lang w:val="en-US"/>
            </w:rPr>
            <w:t>16 ed. Oxford: Oxford University Press.</w:t>
          </w:r>
        </w:p>
        <w:p w14:paraId="72F383B4" w14:textId="77777777" w:rsidR="00217F2A" w:rsidRPr="00314DCE" w:rsidRDefault="00217F2A" w:rsidP="00217F2A">
          <w:pPr>
            <w:rPr>
              <w:rFonts w:asciiTheme="minorHAnsi" w:hAnsiTheme="minorHAnsi" w:cstheme="minorHAnsi"/>
              <w:color w:val="000000" w:themeColor="text1"/>
              <w:lang w:val="en-US"/>
            </w:rPr>
          </w:pPr>
        </w:p>
        <w:p w14:paraId="095E30C1" w14:textId="03108834"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noProof/>
              <w:color w:val="000000" w:themeColor="text1"/>
              <w:lang w:val="en-US"/>
            </w:rPr>
            <w:t xml:space="preserve">Finch, E. &amp; Fafinski, S., 2021. </w:t>
          </w:r>
          <w:r w:rsidRPr="00314DCE">
            <w:rPr>
              <w:rFonts w:asciiTheme="minorHAnsi" w:hAnsiTheme="minorHAnsi" w:cstheme="minorHAnsi"/>
              <w:i/>
              <w:iCs/>
              <w:noProof/>
              <w:color w:val="000000" w:themeColor="text1"/>
              <w:lang w:val="en-US"/>
            </w:rPr>
            <w:t xml:space="preserve">Criminal law. </w:t>
          </w:r>
          <w:r w:rsidRPr="00314DCE">
            <w:rPr>
              <w:rFonts w:asciiTheme="minorHAnsi" w:hAnsiTheme="minorHAnsi" w:cstheme="minorHAnsi"/>
              <w:noProof/>
              <w:color w:val="000000" w:themeColor="text1"/>
              <w:lang w:val="en-US"/>
            </w:rPr>
            <w:t>8 ed. London: Pearson.</w:t>
          </w:r>
        </w:p>
        <w:p w14:paraId="2C45F774" w14:textId="77777777" w:rsidR="00217F2A" w:rsidRPr="00314DCE" w:rsidRDefault="00217F2A" w:rsidP="00217F2A">
          <w:pPr>
            <w:rPr>
              <w:rFonts w:asciiTheme="minorHAnsi" w:hAnsiTheme="minorHAnsi" w:cstheme="minorHAnsi"/>
              <w:color w:val="000000" w:themeColor="text1"/>
              <w:lang w:val="en-US"/>
            </w:rPr>
          </w:pPr>
        </w:p>
        <w:p w14:paraId="7D810DA3" w14:textId="1332D857"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noProof/>
              <w:color w:val="000000" w:themeColor="text1"/>
              <w:lang w:val="en-US"/>
            </w:rPr>
            <w:t xml:space="preserve">Hallett, N., 2018. Psychiatric evidence in Diminished Responsibility. </w:t>
          </w:r>
          <w:r w:rsidRPr="00314DCE">
            <w:rPr>
              <w:rFonts w:asciiTheme="minorHAnsi" w:hAnsiTheme="minorHAnsi" w:cstheme="minorHAnsi"/>
              <w:i/>
              <w:iCs/>
              <w:noProof/>
              <w:color w:val="000000" w:themeColor="text1"/>
              <w:lang w:val="en-US"/>
            </w:rPr>
            <w:t xml:space="preserve">Journal of criminal law (Hertford), </w:t>
          </w:r>
          <w:r w:rsidRPr="00314DCE">
            <w:rPr>
              <w:rFonts w:asciiTheme="minorHAnsi" w:hAnsiTheme="minorHAnsi" w:cstheme="minorHAnsi"/>
              <w:noProof/>
              <w:color w:val="000000" w:themeColor="text1"/>
              <w:lang w:val="en-US"/>
            </w:rPr>
            <w:t>82(6), pp. 442-456.</w:t>
          </w:r>
        </w:p>
        <w:p w14:paraId="20A238C1" w14:textId="77777777" w:rsidR="00217F2A" w:rsidRPr="00314DCE" w:rsidRDefault="00217F2A" w:rsidP="00217F2A">
          <w:pPr>
            <w:rPr>
              <w:rFonts w:asciiTheme="minorHAnsi" w:hAnsiTheme="minorHAnsi" w:cstheme="minorHAnsi"/>
              <w:color w:val="000000" w:themeColor="text1"/>
              <w:lang w:val="en-US"/>
            </w:rPr>
          </w:pPr>
        </w:p>
        <w:p w14:paraId="5AF528E3" w14:textId="0A6811F8"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noProof/>
              <w:color w:val="000000" w:themeColor="text1"/>
              <w:lang w:val="en-US"/>
            </w:rPr>
            <w:t xml:space="preserve">Kennefick, L., 2011. Introducing a New Diminished Responsibility Defence for England and Wales.. </w:t>
          </w:r>
          <w:r w:rsidRPr="00314DCE">
            <w:rPr>
              <w:rFonts w:asciiTheme="minorHAnsi" w:hAnsiTheme="minorHAnsi" w:cstheme="minorHAnsi"/>
              <w:i/>
              <w:iCs/>
              <w:noProof/>
              <w:color w:val="000000" w:themeColor="text1"/>
              <w:lang w:val="en-US"/>
            </w:rPr>
            <w:t xml:space="preserve">Modern law review, </w:t>
          </w:r>
          <w:r w:rsidRPr="00314DCE">
            <w:rPr>
              <w:rFonts w:asciiTheme="minorHAnsi" w:hAnsiTheme="minorHAnsi" w:cstheme="minorHAnsi"/>
              <w:noProof/>
              <w:color w:val="000000" w:themeColor="text1"/>
              <w:lang w:val="en-US"/>
            </w:rPr>
            <w:t>pp. 750-766.</w:t>
          </w:r>
        </w:p>
        <w:p w14:paraId="55860001" w14:textId="77777777" w:rsidR="00217F2A" w:rsidRPr="00314DCE" w:rsidRDefault="00217F2A" w:rsidP="00217F2A">
          <w:pPr>
            <w:rPr>
              <w:rFonts w:asciiTheme="minorHAnsi" w:hAnsiTheme="minorHAnsi" w:cstheme="minorHAnsi"/>
              <w:color w:val="000000" w:themeColor="text1"/>
              <w:lang w:val="en-US"/>
            </w:rPr>
          </w:pPr>
        </w:p>
        <w:p w14:paraId="0A2E8447" w14:textId="10BB06F3"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noProof/>
              <w:color w:val="000000" w:themeColor="text1"/>
              <w:lang w:val="en-US"/>
            </w:rPr>
            <w:t xml:space="preserve">Kenny, A., 1986. Forensic psychiatry symposium: Anomalies of Section 2 of the Homicide Act 1957. </w:t>
          </w:r>
          <w:r w:rsidRPr="00314DCE">
            <w:rPr>
              <w:rFonts w:asciiTheme="minorHAnsi" w:hAnsiTheme="minorHAnsi" w:cstheme="minorHAnsi"/>
              <w:i/>
              <w:iCs/>
              <w:noProof/>
              <w:color w:val="000000" w:themeColor="text1"/>
              <w:lang w:val="en-US"/>
            </w:rPr>
            <w:t xml:space="preserve">Journal of medical ethics, </w:t>
          </w:r>
          <w:r w:rsidRPr="00314DCE">
            <w:rPr>
              <w:rFonts w:asciiTheme="minorHAnsi" w:hAnsiTheme="minorHAnsi" w:cstheme="minorHAnsi"/>
              <w:noProof/>
              <w:color w:val="000000" w:themeColor="text1"/>
              <w:lang w:val="en-US"/>
            </w:rPr>
            <w:t>12(1), p. 24.</w:t>
          </w:r>
        </w:p>
        <w:p w14:paraId="720650EC" w14:textId="77777777" w:rsidR="00217F2A" w:rsidRPr="00314DCE" w:rsidRDefault="00217F2A" w:rsidP="00217F2A">
          <w:pPr>
            <w:rPr>
              <w:rFonts w:asciiTheme="minorHAnsi" w:hAnsiTheme="minorHAnsi" w:cstheme="minorHAnsi"/>
              <w:color w:val="000000" w:themeColor="text1"/>
              <w:lang w:val="en-US"/>
            </w:rPr>
          </w:pPr>
        </w:p>
        <w:p w14:paraId="35955C47" w14:textId="1DC07FE1" w:rsidR="00217F2A" w:rsidRDefault="00217F2A" w:rsidP="00217F2A">
          <w:pPr>
            <w:pStyle w:val="Bibliography"/>
            <w:rPr>
              <w:rFonts w:asciiTheme="minorHAnsi" w:hAnsiTheme="minorHAnsi" w:cstheme="minorHAnsi"/>
              <w:noProof/>
              <w:color w:val="000000" w:themeColor="text1"/>
              <w:u w:val="single"/>
              <w:lang w:val="en-US"/>
            </w:rPr>
          </w:pPr>
          <w:r w:rsidRPr="00314DCE">
            <w:rPr>
              <w:rFonts w:asciiTheme="minorHAnsi" w:hAnsiTheme="minorHAnsi" w:cstheme="minorHAnsi"/>
              <w:noProof/>
              <w:color w:val="000000" w:themeColor="text1"/>
              <w:lang w:val="en-US"/>
            </w:rPr>
            <w:lastRenderedPageBreak/>
            <w:t xml:space="preserve">legislation.gov.uk, 2023. </w:t>
          </w:r>
          <w:r w:rsidRPr="00314DCE">
            <w:rPr>
              <w:rFonts w:asciiTheme="minorHAnsi" w:hAnsiTheme="minorHAnsi" w:cstheme="minorHAnsi"/>
              <w:i/>
              <w:iCs/>
              <w:noProof/>
              <w:color w:val="000000" w:themeColor="text1"/>
              <w:lang w:val="en-US"/>
            </w:rPr>
            <w:t xml:space="preserve">Homicide Act 1975. </w:t>
          </w:r>
          <w:r w:rsidRPr="00314DCE">
            <w:rPr>
              <w:rFonts w:asciiTheme="minorHAnsi" w:hAnsiTheme="minorHAnsi" w:cstheme="minorHAnsi"/>
              <w:noProof/>
              <w:color w:val="000000" w:themeColor="text1"/>
              <w:lang w:val="en-US"/>
            </w:rPr>
            <w:t xml:space="preserve">[Online] </w:t>
          </w:r>
          <w:r w:rsidRPr="00314DCE">
            <w:rPr>
              <w:rFonts w:asciiTheme="minorHAnsi" w:hAnsiTheme="minorHAnsi" w:cstheme="minorHAnsi"/>
              <w:noProof/>
              <w:color w:val="000000" w:themeColor="text1"/>
              <w:lang w:val="en-US"/>
            </w:rPr>
            <w:br/>
            <w:t xml:space="preserve">Available at: </w:t>
          </w:r>
          <w:r w:rsidRPr="00314DCE">
            <w:rPr>
              <w:rFonts w:asciiTheme="minorHAnsi" w:hAnsiTheme="minorHAnsi" w:cstheme="minorHAnsi"/>
              <w:noProof/>
              <w:color w:val="000000" w:themeColor="text1"/>
              <w:u w:val="single"/>
              <w:lang w:val="en-US"/>
            </w:rPr>
            <w:t>https://www.legislation.gov.uk/ukpga/Eliz2/5-6/11/section/2</w:t>
          </w:r>
        </w:p>
        <w:p w14:paraId="7CF6A9A2" w14:textId="77777777" w:rsidR="00314DCE" w:rsidRPr="00314DCE" w:rsidRDefault="00314DCE" w:rsidP="00314DCE">
          <w:pPr>
            <w:rPr>
              <w:lang w:val="en-US"/>
            </w:rPr>
          </w:pPr>
        </w:p>
        <w:p w14:paraId="3E01EA62" w14:textId="775B53DC"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noProof/>
              <w:color w:val="000000" w:themeColor="text1"/>
              <w:lang w:val="en-US"/>
            </w:rPr>
            <w:t xml:space="preserve">Macdonald, S., 2018. </w:t>
          </w:r>
          <w:r w:rsidRPr="00314DCE">
            <w:rPr>
              <w:rFonts w:asciiTheme="minorHAnsi" w:hAnsiTheme="minorHAnsi" w:cstheme="minorHAnsi"/>
              <w:i/>
              <w:iCs/>
              <w:noProof/>
              <w:color w:val="000000" w:themeColor="text1"/>
              <w:lang w:val="en-US"/>
            </w:rPr>
            <w:t xml:space="preserve">Text, cases, and materials on criminal law. </w:t>
          </w:r>
          <w:r w:rsidRPr="00314DCE">
            <w:rPr>
              <w:rFonts w:asciiTheme="minorHAnsi" w:hAnsiTheme="minorHAnsi" w:cstheme="minorHAnsi"/>
              <w:noProof/>
              <w:color w:val="000000" w:themeColor="text1"/>
              <w:lang w:val="en-US"/>
            </w:rPr>
            <w:t>2 ed. London: Pearson Education Limited .</w:t>
          </w:r>
        </w:p>
        <w:p w14:paraId="05AD0EF2" w14:textId="77777777" w:rsidR="00217F2A" w:rsidRPr="00314DCE" w:rsidRDefault="00217F2A" w:rsidP="00217F2A">
          <w:pPr>
            <w:rPr>
              <w:rFonts w:asciiTheme="minorHAnsi" w:hAnsiTheme="minorHAnsi" w:cstheme="minorHAnsi"/>
              <w:color w:val="000000" w:themeColor="text1"/>
              <w:lang w:val="en-US"/>
            </w:rPr>
          </w:pPr>
        </w:p>
        <w:p w14:paraId="6A897C3A" w14:textId="5B22FC4E"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noProof/>
              <w:color w:val="000000" w:themeColor="text1"/>
              <w:lang w:val="en-US"/>
            </w:rPr>
            <w:t xml:space="preserve">Mackay, R., 2021. What's happening with the reformed diminished responsibility plea?. </w:t>
          </w:r>
          <w:r w:rsidRPr="00314DCE">
            <w:rPr>
              <w:rFonts w:asciiTheme="minorHAnsi" w:hAnsiTheme="minorHAnsi" w:cstheme="minorHAnsi"/>
              <w:i/>
              <w:iCs/>
              <w:noProof/>
              <w:color w:val="000000" w:themeColor="text1"/>
              <w:lang w:val="en-US"/>
            </w:rPr>
            <w:t xml:space="preserve">Northen Ireland legal quarterly, </w:t>
          </w:r>
          <w:r w:rsidRPr="00314DCE">
            <w:rPr>
              <w:rFonts w:asciiTheme="minorHAnsi" w:hAnsiTheme="minorHAnsi" w:cstheme="minorHAnsi"/>
              <w:noProof/>
              <w:color w:val="000000" w:themeColor="text1"/>
              <w:lang w:val="en-US"/>
            </w:rPr>
            <w:t>72(2), p. 224.</w:t>
          </w:r>
        </w:p>
        <w:p w14:paraId="6836247C" w14:textId="77777777" w:rsidR="00217F2A" w:rsidRPr="00314DCE" w:rsidRDefault="00217F2A" w:rsidP="00217F2A">
          <w:pPr>
            <w:rPr>
              <w:rFonts w:asciiTheme="minorHAnsi" w:hAnsiTheme="minorHAnsi" w:cstheme="minorHAnsi"/>
              <w:color w:val="000000" w:themeColor="text1"/>
              <w:lang w:val="en-US"/>
            </w:rPr>
          </w:pPr>
        </w:p>
        <w:p w14:paraId="376FB9FA" w14:textId="00229553"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noProof/>
              <w:color w:val="000000" w:themeColor="text1"/>
              <w:lang w:val="en-US"/>
            </w:rPr>
            <w:t xml:space="preserve">Philips, E., 2012. DIMINISHED RESPONSIBILITY AND INTOXICATION: INTERPRETATION, POLICY AND AUTHORITY IN R v DIETSCHMANN. </w:t>
          </w:r>
          <w:r w:rsidRPr="00314DCE">
            <w:rPr>
              <w:rFonts w:asciiTheme="minorHAnsi" w:hAnsiTheme="minorHAnsi" w:cstheme="minorHAnsi"/>
              <w:i/>
              <w:iCs/>
              <w:noProof/>
              <w:color w:val="000000" w:themeColor="text1"/>
              <w:lang w:val="en-US"/>
            </w:rPr>
            <w:t xml:space="preserve">Denning law journal, </w:t>
          </w:r>
          <w:r w:rsidRPr="00314DCE">
            <w:rPr>
              <w:rFonts w:asciiTheme="minorHAnsi" w:hAnsiTheme="minorHAnsi" w:cstheme="minorHAnsi"/>
              <w:noProof/>
              <w:color w:val="000000" w:themeColor="text1"/>
              <w:lang w:val="en-US"/>
            </w:rPr>
            <w:t>17(1), pp. 19-41.</w:t>
          </w:r>
        </w:p>
        <w:p w14:paraId="49C73052" w14:textId="77777777" w:rsidR="00217F2A" w:rsidRPr="00314DCE" w:rsidRDefault="00217F2A" w:rsidP="00217F2A">
          <w:pPr>
            <w:rPr>
              <w:rFonts w:asciiTheme="minorHAnsi" w:hAnsiTheme="minorHAnsi" w:cstheme="minorHAnsi"/>
              <w:color w:val="000000" w:themeColor="text1"/>
              <w:lang w:val="en-US"/>
            </w:rPr>
          </w:pPr>
        </w:p>
        <w:p w14:paraId="7C6CA3A4" w14:textId="7995A935"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noProof/>
              <w:color w:val="000000" w:themeColor="text1"/>
              <w:lang w:val="en-US"/>
            </w:rPr>
            <w:t xml:space="preserve">Rogers, J., 2015. THE AMENDED DIMINISHED RESPONSIBILITY PLEA. </w:t>
          </w:r>
          <w:r w:rsidRPr="00314DCE">
            <w:rPr>
              <w:rFonts w:asciiTheme="minorHAnsi" w:hAnsiTheme="minorHAnsi" w:cstheme="minorHAnsi"/>
              <w:i/>
              <w:iCs/>
              <w:noProof/>
              <w:color w:val="000000" w:themeColor="text1"/>
              <w:lang w:val="en-US"/>
            </w:rPr>
            <w:t xml:space="preserve">Cambridge law journal, </w:t>
          </w:r>
          <w:r w:rsidRPr="00314DCE">
            <w:rPr>
              <w:rFonts w:asciiTheme="minorHAnsi" w:hAnsiTheme="minorHAnsi" w:cstheme="minorHAnsi"/>
              <w:noProof/>
              <w:color w:val="000000" w:themeColor="text1"/>
              <w:lang w:val="en-US"/>
            </w:rPr>
            <w:t>pp. 201-205.</w:t>
          </w:r>
        </w:p>
        <w:p w14:paraId="7D89424C" w14:textId="77777777" w:rsidR="00217F2A" w:rsidRPr="00314DCE" w:rsidRDefault="00217F2A" w:rsidP="00217F2A">
          <w:pPr>
            <w:rPr>
              <w:rFonts w:asciiTheme="minorHAnsi" w:hAnsiTheme="minorHAnsi" w:cstheme="minorHAnsi"/>
              <w:color w:val="000000" w:themeColor="text1"/>
              <w:lang w:val="en-US"/>
            </w:rPr>
          </w:pPr>
        </w:p>
        <w:p w14:paraId="6ECED50B" w14:textId="75B30622"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noProof/>
              <w:color w:val="000000" w:themeColor="text1"/>
              <w:lang w:val="en-US"/>
            </w:rPr>
            <w:t xml:space="preserve">Steinberg, L., Scott, E. &amp; Anderson, N., 2003. Less Guilty by Reason of Adolescence: Developmental Immaturity, Diminished Responsibility, and the Juvenile Death Penalty. </w:t>
          </w:r>
          <w:r w:rsidRPr="00314DCE">
            <w:rPr>
              <w:rFonts w:asciiTheme="minorHAnsi" w:hAnsiTheme="minorHAnsi" w:cstheme="minorHAnsi"/>
              <w:i/>
              <w:iCs/>
              <w:noProof/>
              <w:color w:val="000000" w:themeColor="text1"/>
              <w:lang w:val="en-US"/>
            </w:rPr>
            <w:t xml:space="preserve">American Psychological Association, </w:t>
          </w:r>
          <w:r w:rsidRPr="00314DCE">
            <w:rPr>
              <w:rFonts w:asciiTheme="minorHAnsi" w:hAnsiTheme="minorHAnsi" w:cstheme="minorHAnsi"/>
              <w:noProof/>
              <w:color w:val="000000" w:themeColor="text1"/>
              <w:lang w:val="en-US"/>
            </w:rPr>
            <w:t>58(12), pp. 1009-1018.</w:t>
          </w:r>
        </w:p>
        <w:p w14:paraId="35D14AF7" w14:textId="77777777" w:rsidR="00217F2A" w:rsidRPr="00314DCE" w:rsidRDefault="00217F2A" w:rsidP="00217F2A">
          <w:pPr>
            <w:rPr>
              <w:rFonts w:asciiTheme="minorHAnsi" w:hAnsiTheme="minorHAnsi" w:cstheme="minorHAnsi"/>
              <w:color w:val="000000" w:themeColor="text1"/>
              <w:lang w:val="en-US"/>
            </w:rPr>
          </w:pPr>
        </w:p>
        <w:p w14:paraId="0FCFFA9D" w14:textId="3935C0FE"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noProof/>
              <w:color w:val="000000" w:themeColor="text1"/>
              <w:lang w:val="en-US"/>
            </w:rPr>
            <w:t xml:space="preserve">Taylor, L., 2018. </w:t>
          </w:r>
          <w:r w:rsidRPr="00314DCE">
            <w:rPr>
              <w:rFonts w:asciiTheme="minorHAnsi" w:hAnsiTheme="minorHAnsi" w:cstheme="minorHAnsi"/>
              <w:i/>
              <w:iCs/>
              <w:noProof/>
              <w:color w:val="000000" w:themeColor="text1"/>
              <w:lang w:val="en-US"/>
            </w:rPr>
            <w:t xml:space="preserve">Elliott and Quinn's criminal law. </w:t>
          </w:r>
          <w:r w:rsidRPr="00314DCE">
            <w:rPr>
              <w:rFonts w:asciiTheme="minorHAnsi" w:hAnsiTheme="minorHAnsi" w:cstheme="minorHAnsi"/>
              <w:noProof/>
              <w:color w:val="000000" w:themeColor="text1"/>
              <w:lang w:val="en-US"/>
            </w:rPr>
            <w:t>12 ed. London: Pearson Educational Limited.</w:t>
          </w:r>
        </w:p>
        <w:p w14:paraId="5E39B341" w14:textId="77777777" w:rsidR="00217F2A" w:rsidRPr="00314DCE" w:rsidRDefault="00217F2A" w:rsidP="00217F2A">
          <w:pPr>
            <w:rPr>
              <w:rFonts w:asciiTheme="minorHAnsi" w:hAnsiTheme="minorHAnsi" w:cstheme="minorHAnsi"/>
              <w:color w:val="000000" w:themeColor="text1"/>
              <w:lang w:val="en-US"/>
            </w:rPr>
          </w:pPr>
        </w:p>
        <w:p w14:paraId="38CE1700" w14:textId="669E9C6D"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noProof/>
              <w:color w:val="000000" w:themeColor="text1"/>
              <w:lang w:val="en-US"/>
            </w:rPr>
            <w:t xml:space="preserve">Trott, R. J., 1992. Diminished responsibility and the drug scene. </w:t>
          </w:r>
          <w:r w:rsidRPr="00314DCE">
            <w:rPr>
              <w:rFonts w:asciiTheme="minorHAnsi" w:hAnsiTheme="minorHAnsi" w:cstheme="minorHAnsi"/>
              <w:i/>
              <w:iCs/>
              <w:noProof/>
              <w:color w:val="000000" w:themeColor="text1"/>
              <w:lang w:val="en-US"/>
            </w:rPr>
            <w:t xml:space="preserve">British Journal of addiction, </w:t>
          </w:r>
          <w:r w:rsidRPr="00314DCE">
            <w:rPr>
              <w:rFonts w:asciiTheme="minorHAnsi" w:hAnsiTheme="minorHAnsi" w:cstheme="minorHAnsi"/>
              <w:noProof/>
              <w:color w:val="000000" w:themeColor="text1"/>
              <w:lang w:val="en-US"/>
            </w:rPr>
            <w:t>87(92), pp. 189-192.</w:t>
          </w:r>
        </w:p>
        <w:p w14:paraId="6DE3FD4D" w14:textId="77777777" w:rsidR="00217F2A" w:rsidRPr="00314DCE" w:rsidRDefault="00217F2A" w:rsidP="00217F2A">
          <w:pPr>
            <w:rPr>
              <w:rFonts w:asciiTheme="minorHAnsi" w:hAnsiTheme="minorHAnsi" w:cstheme="minorHAnsi"/>
              <w:color w:val="000000" w:themeColor="text1"/>
              <w:lang w:val="en-US"/>
            </w:rPr>
          </w:pPr>
        </w:p>
        <w:p w14:paraId="55553D28" w14:textId="166BAD22" w:rsidR="00217F2A" w:rsidRPr="00314DCE" w:rsidRDefault="00217F2A" w:rsidP="00217F2A">
          <w:pPr>
            <w:pStyle w:val="Bibliography"/>
            <w:rPr>
              <w:rFonts w:asciiTheme="minorHAnsi" w:hAnsiTheme="minorHAnsi" w:cstheme="minorHAnsi"/>
              <w:noProof/>
              <w:color w:val="000000" w:themeColor="text1"/>
              <w:lang w:val="en-US"/>
            </w:rPr>
          </w:pPr>
          <w:r w:rsidRPr="00314DCE">
            <w:rPr>
              <w:rFonts w:asciiTheme="minorHAnsi" w:hAnsiTheme="minorHAnsi" w:cstheme="minorHAnsi"/>
              <w:noProof/>
              <w:color w:val="000000" w:themeColor="text1"/>
              <w:lang w:val="en-US"/>
            </w:rPr>
            <w:t xml:space="preserve">Yeo, S., 2010. ENGLISH REFORM OF PROVOCATION AND DIMINISHED RESPONSIBILITY: WHITHER SINGAPORE?. </w:t>
          </w:r>
          <w:r w:rsidR="00F24429" w:rsidRPr="00314DCE">
            <w:rPr>
              <w:rFonts w:asciiTheme="minorHAnsi" w:hAnsiTheme="minorHAnsi" w:cstheme="minorHAnsi"/>
              <w:i/>
              <w:iCs/>
              <w:noProof/>
              <w:color w:val="000000" w:themeColor="text1"/>
              <w:lang w:val="en-US"/>
            </w:rPr>
            <w:t>J</w:t>
          </w:r>
          <w:r w:rsidRPr="00314DCE">
            <w:rPr>
              <w:rFonts w:asciiTheme="minorHAnsi" w:hAnsiTheme="minorHAnsi" w:cstheme="minorHAnsi"/>
              <w:i/>
              <w:iCs/>
              <w:noProof/>
              <w:color w:val="000000" w:themeColor="text1"/>
              <w:lang w:val="en-US"/>
            </w:rPr>
            <w:t xml:space="preserve">ournal of legal studies, </w:t>
          </w:r>
          <w:r w:rsidRPr="00314DCE">
            <w:rPr>
              <w:rFonts w:asciiTheme="minorHAnsi" w:hAnsiTheme="minorHAnsi" w:cstheme="minorHAnsi"/>
              <w:noProof/>
              <w:color w:val="000000" w:themeColor="text1"/>
              <w:lang w:val="en-US"/>
            </w:rPr>
            <w:t>pp. 177-191.</w:t>
          </w:r>
        </w:p>
        <w:p w14:paraId="022CE3C8" w14:textId="216B024F" w:rsidR="00217F2A" w:rsidRPr="00314DCE" w:rsidRDefault="00217F2A" w:rsidP="00217F2A">
          <w:pPr>
            <w:rPr>
              <w:rFonts w:asciiTheme="minorHAnsi" w:hAnsiTheme="minorHAnsi" w:cstheme="minorHAnsi"/>
              <w:color w:val="000000" w:themeColor="text1"/>
            </w:rPr>
          </w:pPr>
          <w:r w:rsidRPr="00314DCE">
            <w:rPr>
              <w:rFonts w:asciiTheme="minorHAnsi" w:hAnsiTheme="minorHAnsi" w:cstheme="minorHAnsi"/>
              <w:b/>
              <w:bCs/>
              <w:color w:val="000000" w:themeColor="text1"/>
            </w:rPr>
            <w:fldChar w:fldCharType="end"/>
          </w:r>
        </w:p>
      </w:sdtContent>
    </w:sdt>
    <w:p w14:paraId="309E6955" w14:textId="77777777" w:rsidR="00217F2A" w:rsidRPr="00314DCE" w:rsidRDefault="00217F2A" w:rsidP="00154714">
      <w:pPr>
        <w:rPr>
          <w:rFonts w:asciiTheme="minorHAnsi" w:hAnsiTheme="minorHAnsi" w:cstheme="minorHAnsi"/>
          <w:color w:val="000000" w:themeColor="text1"/>
        </w:rPr>
      </w:pPr>
    </w:p>
    <w:p w14:paraId="432F892F" w14:textId="7F3471EB" w:rsidR="0038675D" w:rsidRPr="00314DCE" w:rsidRDefault="00881713" w:rsidP="000C1BF0">
      <w:pPr>
        <w:rPr>
          <w:rFonts w:asciiTheme="minorHAnsi" w:hAnsiTheme="minorHAnsi" w:cstheme="minorHAnsi"/>
          <w:b/>
          <w:bCs/>
          <w:noProof/>
          <w:color w:val="000000" w:themeColor="text1"/>
          <w:u w:val="single"/>
        </w:rPr>
      </w:pPr>
      <w:r w:rsidRPr="00314DCE">
        <w:rPr>
          <w:rFonts w:asciiTheme="minorHAnsi" w:hAnsiTheme="minorHAnsi" w:cstheme="minorHAnsi"/>
          <w:b/>
          <w:bCs/>
          <w:noProof/>
          <w:color w:val="000000" w:themeColor="text1"/>
          <w:u w:val="single"/>
        </w:rPr>
        <w:t>Case law references:</w:t>
      </w:r>
    </w:p>
    <w:p w14:paraId="003FF3DC" w14:textId="307ADED8" w:rsidR="00881713" w:rsidRPr="00314DCE" w:rsidRDefault="00881713" w:rsidP="000C1BF0">
      <w:pPr>
        <w:rPr>
          <w:rFonts w:asciiTheme="minorHAnsi" w:hAnsiTheme="minorHAnsi" w:cstheme="minorHAnsi"/>
          <w:b/>
          <w:bCs/>
          <w:noProof/>
          <w:color w:val="000000" w:themeColor="text1"/>
          <w:u w:val="single"/>
        </w:rPr>
      </w:pPr>
    </w:p>
    <w:p w14:paraId="15A245E3" w14:textId="2C04B958" w:rsidR="00881713" w:rsidRPr="00314DCE" w:rsidRDefault="00881713" w:rsidP="00881713">
      <w:pPr>
        <w:pStyle w:val="ng-star-inserted"/>
        <w:shd w:val="clear" w:color="auto" w:fill="FFFFFF"/>
        <w:spacing w:before="0" w:beforeAutospacing="0" w:after="0" w:afterAutospacing="0" w:line="288" w:lineRule="atLeast"/>
        <w:ind w:right="48"/>
        <w:textAlignment w:val="baseline"/>
        <w:rPr>
          <w:rFonts w:asciiTheme="minorHAnsi" w:hAnsiTheme="minorHAnsi" w:cstheme="minorHAnsi"/>
          <w:color w:val="000000" w:themeColor="text1"/>
        </w:rPr>
      </w:pPr>
      <w:r w:rsidRPr="00314DCE">
        <w:rPr>
          <w:rFonts w:asciiTheme="minorHAnsi" w:hAnsiTheme="minorHAnsi" w:cstheme="minorHAnsi"/>
          <w:noProof/>
          <w:color w:val="000000" w:themeColor="text1"/>
        </w:rPr>
        <w:t xml:space="preserve">‘R v Brennan’ (2014) </w:t>
      </w:r>
      <w:r w:rsidRPr="00314DCE">
        <w:rPr>
          <w:rFonts w:asciiTheme="minorHAnsi" w:hAnsiTheme="minorHAnsi" w:cstheme="minorHAnsi"/>
          <w:i/>
          <w:iCs/>
          <w:color w:val="000000" w:themeColor="text1"/>
        </w:rPr>
        <w:t xml:space="preserve">Blackstone's Criminal Practice 2023, </w:t>
      </w:r>
      <w:r w:rsidRPr="00314DCE">
        <w:rPr>
          <w:rFonts w:asciiTheme="minorHAnsi" w:hAnsiTheme="minorHAnsi" w:cstheme="minorHAnsi"/>
          <w:color w:val="000000" w:themeColor="text1"/>
        </w:rPr>
        <w:t>1, pp. 310.</w:t>
      </w:r>
    </w:p>
    <w:p w14:paraId="67ECB820" w14:textId="7F1A5967" w:rsidR="00881713" w:rsidRPr="00314DCE" w:rsidRDefault="00881713" w:rsidP="00881713">
      <w:pPr>
        <w:rPr>
          <w:rFonts w:asciiTheme="minorHAnsi" w:hAnsiTheme="minorHAnsi" w:cstheme="minorHAnsi"/>
          <w:noProof/>
          <w:color w:val="000000" w:themeColor="text1"/>
        </w:rPr>
      </w:pPr>
    </w:p>
    <w:p w14:paraId="7F6081BB" w14:textId="77777777" w:rsidR="00881713" w:rsidRPr="00314DCE" w:rsidRDefault="00881713" w:rsidP="00881713">
      <w:pPr>
        <w:rPr>
          <w:rFonts w:asciiTheme="minorHAnsi" w:hAnsiTheme="minorHAnsi" w:cstheme="minorHAnsi"/>
          <w:color w:val="000000" w:themeColor="text1"/>
          <w:lang w:val="en-US" w:eastAsia="en-US" w:bidi="en-US"/>
        </w:rPr>
      </w:pPr>
      <w:r w:rsidRPr="00314DCE">
        <w:rPr>
          <w:rFonts w:asciiTheme="minorHAnsi" w:hAnsiTheme="minorHAnsi" w:cstheme="minorHAnsi"/>
          <w:color w:val="000000" w:themeColor="text1"/>
          <w:lang w:val="en-US" w:eastAsia="en-US" w:bidi="en-US"/>
        </w:rPr>
        <w:t>‘</w:t>
      </w:r>
      <w:r w:rsidRPr="00314DCE">
        <w:rPr>
          <w:rFonts w:asciiTheme="minorHAnsi" w:hAnsiTheme="minorHAnsi" w:cstheme="minorHAnsi"/>
          <w:i/>
          <w:iCs/>
          <w:color w:val="000000" w:themeColor="text1"/>
          <w:lang w:val="en-US" w:eastAsia="en-US" w:bidi="en-US"/>
        </w:rPr>
        <w:t xml:space="preserve">R v </w:t>
      </w:r>
      <w:proofErr w:type="spellStart"/>
      <w:r w:rsidRPr="00314DCE">
        <w:rPr>
          <w:rFonts w:asciiTheme="minorHAnsi" w:hAnsiTheme="minorHAnsi" w:cstheme="minorHAnsi"/>
          <w:i/>
          <w:iCs/>
          <w:color w:val="000000" w:themeColor="text1"/>
          <w:lang w:val="en-US" w:eastAsia="en-US" w:bidi="en-US"/>
        </w:rPr>
        <w:t>Dietschmann</w:t>
      </w:r>
      <w:proofErr w:type="spellEnd"/>
      <w:r w:rsidRPr="00314DCE">
        <w:rPr>
          <w:rFonts w:asciiTheme="minorHAnsi" w:hAnsiTheme="minorHAnsi" w:cstheme="minorHAnsi"/>
          <w:i/>
          <w:iCs/>
          <w:color w:val="000000" w:themeColor="text1"/>
          <w:lang w:val="en-US" w:eastAsia="en-US" w:bidi="en-US"/>
        </w:rPr>
        <w:t xml:space="preserve">’ </w:t>
      </w:r>
      <w:r w:rsidRPr="00314DCE">
        <w:rPr>
          <w:rFonts w:asciiTheme="minorHAnsi" w:hAnsiTheme="minorHAnsi" w:cstheme="minorHAnsi"/>
          <w:color w:val="000000" w:themeColor="text1"/>
          <w:lang w:val="en-US" w:eastAsia="en-US" w:bidi="en-US"/>
        </w:rPr>
        <w:t xml:space="preserve">(2003) United Kingdom Court of Appeal, case 52. United Kingdom House of Lords Decisions [Online] Available at: </w:t>
      </w:r>
      <w:hyperlink r:id="rId9" w:history="1">
        <w:r w:rsidRPr="00314DCE">
          <w:rPr>
            <w:rStyle w:val="Hyperlink"/>
            <w:rFonts w:asciiTheme="minorHAnsi" w:hAnsiTheme="minorHAnsi" w:cstheme="minorHAnsi"/>
            <w:color w:val="000000" w:themeColor="text1"/>
            <w:lang w:val="en-US" w:eastAsia="en-US" w:bidi="en-US"/>
          </w:rPr>
          <w:t>https</w:t>
        </w:r>
        <w:r w:rsidRPr="00314DCE">
          <w:rPr>
            <w:rStyle w:val="Hyperlink"/>
            <w:rFonts w:asciiTheme="minorHAnsi" w:hAnsiTheme="minorHAnsi" w:cstheme="minorHAnsi"/>
            <w:color w:val="000000" w:themeColor="text1"/>
            <w:lang w:val="en-US" w:eastAsia="en-US" w:bidi="en-US"/>
          </w:rPr>
          <w:t>:</w:t>
        </w:r>
        <w:r w:rsidRPr="00314DCE">
          <w:rPr>
            <w:rStyle w:val="Hyperlink"/>
            <w:rFonts w:asciiTheme="minorHAnsi" w:hAnsiTheme="minorHAnsi" w:cstheme="minorHAnsi"/>
            <w:color w:val="000000" w:themeColor="text1"/>
            <w:lang w:val="en-US" w:eastAsia="en-US" w:bidi="en-US"/>
          </w:rPr>
          <w:t>//www.bailii.org/uk/cases /UKHL/2003/ 10.html</w:t>
        </w:r>
      </w:hyperlink>
      <w:r w:rsidRPr="00314DCE">
        <w:rPr>
          <w:rFonts w:asciiTheme="minorHAnsi" w:hAnsiTheme="minorHAnsi" w:cstheme="minorHAnsi"/>
          <w:color w:val="000000" w:themeColor="text1"/>
          <w:lang w:val="en-US" w:eastAsia="en-US" w:bidi="en-US"/>
        </w:rPr>
        <w:t>. (Accessed: 28 February 2023)</w:t>
      </w:r>
    </w:p>
    <w:p w14:paraId="6488F6DE" w14:textId="75739DC1" w:rsidR="00D91217" w:rsidRPr="00314DCE" w:rsidRDefault="00D91217" w:rsidP="000C1BF0">
      <w:pPr>
        <w:rPr>
          <w:rFonts w:asciiTheme="minorHAnsi" w:hAnsiTheme="minorHAnsi" w:cstheme="minorHAnsi"/>
          <w:noProof/>
          <w:color w:val="000000" w:themeColor="text1"/>
        </w:rPr>
      </w:pPr>
    </w:p>
    <w:p w14:paraId="674C8ECA" w14:textId="4953E9CD" w:rsidR="00581A8C" w:rsidRPr="00314DCE" w:rsidRDefault="00881713" w:rsidP="000C1BF0">
      <w:pPr>
        <w:rPr>
          <w:rFonts w:asciiTheme="minorHAnsi" w:hAnsiTheme="minorHAnsi" w:cstheme="minorHAnsi"/>
          <w:noProof/>
          <w:color w:val="000000" w:themeColor="text1"/>
        </w:rPr>
      </w:pPr>
      <w:r w:rsidRPr="00314DCE">
        <w:rPr>
          <w:rFonts w:asciiTheme="minorHAnsi" w:hAnsiTheme="minorHAnsi" w:cstheme="minorHAnsi"/>
          <w:color w:val="000000" w:themeColor="text1"/>
        </w:rPr>
        <w:t>‘</w:t>
      </w:r>
      <w:r w:rsidRPr="00314DCE">
        <w:rPr>
          <w:rFonts w:asciiTheme="minorHAnsi" w:hAnsiTheme="minorHAnsi" w:cstheme="minorHAnsi"/>
          <w:i/>
          <w:iCs/>
          <w:color w:val="000000" w:themeColor="text1"/>
        </w:rPr>
        <w:t>R v Golds’</w:t>
      </w:r>
      <w:r w:rsidRPr="00314DCE">
        <w:rPr>
          <w:rFonts w:asciiTheme="minorHAnsi" w:hAnsiTheme="minorHAnsi" w:cstheme="minorHAnsi"/>
          <w:color w:val="000000" w:themeColor="text1"/>
        </w:rPr>
        <w:t xml:space="preserve"> (2016) United Kingdom Supreme Court, case 61. United Kingdom Supreme Court [Online] Available at: </w:t>
      </w:r>
      <w:hyperlink r:id="rId10" w:history="1">
        <w:r w:rsidRPr="00314DCE">
          <w:rPr>
            <w:rStyle w:val="Hyperlink"/>
            <w:rFonts w:asciiTheme="minorHAnsi" w:hAnsiTheme="minorHAnsi" w:cstheme="minorHAnsi"/>
            <w:color w:val="000000" w:themeColor="text1"/>
          </w:rPr>
          <w:t>https://www.supremecourt.uk/cases/docs/uksc-2015-0053-judgment.pdf</w:t>
        </w:r>
      </w:hyperlink>
      <w:r w:rsidRPr="00314DCE">
        <w:rPr>
          <w:rFonts w:asciiTheme="minorHAnsi" w:hAnsiTheme="minorHAnsi" w:cstheme="minorHAnsi"/>
          <w:color w:val="000000" w:themeColor="text1"/>
        </w:rPr>
        <w:t>. (Accessed: 28 February 2023)</w:t>
      </w:r>
    </w:p>
    <w:sectPr w:rsidR="00581A8C" w:rsidRPr="00314DCE" w:rsidSect="00646E1F">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2CAF9" w14:textId="77777777" w:rsidR="000528C8" w:rsidRDefault="000528C8" w:rsidP="00FC7CB3">
      <w:r>
        <w:separator/>
      </w:r>
    </w:p>
  </w:endnote>
  <w:endnote w:type="continuationSeparator" w:id="0">
    <w:p w14:paraId="71B8154E" w14:textId="77777777" w:rsidR="000528C8" w:rsidRDefault="000528C8" w:rsidP="00FC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3276195"/>
      <w:docPartObj>
        <w:docPartGallery w:val="Page Numbers (Bottom of Page)"/>
        <w:docPartUnique/>
      </w:docPartObj>
    </w:sdtPr>
    <w:sdtContent>
      <w:p w14:paraId="36016619" w14:textId="6CADA5C1" w:rsidR="00FC7CB3" w:rsidRDefault="00FC7CB3" w:rsidP="00DA21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DF27AA" w14:textId="77777777" w:rsidR="00FC7CB3" w:rsidRDefault="00FC7CB3" w:rsidP="00FC7C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6162007"/>
      <w:docPartObj>
        <w:docPartGallery w:val="Page Numbers (Bottom of Page)"/>
        <w:docPartUnique/>
      </w:docPartObj>
    </w:sdtPr>
    <w:sdtContent>
      <w:p w14:paraId="3B28E40B" w14:textId="089622FE" w:rsidR="00FC7CB3" w:rsidRDefault="00FC7CB3" w:rsidP="00DA21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AF4CFA" w14:textId="77777777" w:rsidR="00FC7CB3" w:rsidRDefault="00FC7CB3" w:rsidP="00FC7C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9AC5D" w14:textId="77777777" w:rsidR="000528C8" w:rsidRDefault="000528C8" w:rsidP="00FC7CB3">
      <w:r>
        <w:separator/>
      </w:r>
    </w:p>
  </w:footnote>
  <w:footnote w:type="continuationSeparator" w:id="0">
    <w:p w14:paraId="4C1E6377" w14:textId="77777777" w:rsidR="000528C8" w:rsidRDefault="000528C8" w:rsidP="00FC7C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96C4B"/>
    <w:multiLevelType w:val="hybridMultilevel"/>
    <w:tmpl w:val="B560A16A"/>
    <w:lvl w:ilvl="0" w:tplc="DE1EA638">
      <w:start w:val="1"/>
      <w:numFmt w:val="bullet"/>
      <w:lvlText w:val="u"/>
      <w:lvlJc w:val="left"/>
      <w:pPr>
        <w:tabs>
          <w:tab w:val="num" w:pos="720"/>
        </w:tabs>
        <w:ind w:left="720" w:hanging="360"/>
      </w:pPr>
      <w:rPr>
        <w:rFonts w:ascii="Wingdings 3" w:hAnsi="Wingdings 3" w:hint="default"/>
      </w:rPr>
    </w:lvl>
    <w:lvl w:ilvl="1" w:tplc="3B8AA876" w:tentative="1">
      <w:start w:val="1"/>
      <w:numFmt w:val="bullet"/>
      <w:lvlText w:val="u"/>
      <w:lvlJc w:val="left"/>
      <w:pPr>
        <w:tabs>
          <w:tab w:val="num" w:pos="1440"/>
        </w:tabs>
        <w:ind w:left="1440" w:hanging="360"/>
      </w:pPr>
      <w:rPr>
        <w:rFonts w:ascii="Wingdings 3" w:hAnsi="Wingdings 3" w:hint="default"/>
      </w:rPr>
    </w:lvl>
    <w:lvl w:ilvl="2" w:tplc="273A4F1C" w:tentative="1">
      <w:start w:val="1"/>
      <w:numFmt w:val="bullet"/>
      <w:lvlText w:val="u"/>
      <w:lvlJc w:val="left"/>
      <w:pPr>
        <w:tabs>
          <w:tab w:val="num" w:pos="2160"/>
        </w:tabs>
        <w:ind w:left="2160" w:hanging="360"/>
      </w:pPr>
      <w:rPr>
        <w:rFonts w:ascii="Wingdings 3" w:hAnsi="Wingdings 3" w:hint="default"/>
      </w:rPr>
    </w:lvl>
    <w:lvl w:ilvl="3" w:tplc="6798C8C8" w:tentative="1">
      <w:start w:val="1"/>
      <w:numFmt w:val="bullet"/>
      <w:lvlText w:val="u"/>
      <w:lvlJc w:val="left"/>
      <w:pPr>
        <w:tabs>
          <w:tab w:val="num" w:pos="2880"/>
        </w:tabs>
        <w:ind w:left="2880" w:hanging="360"/>
      </w:pPr>
      <w:rPr>
        <w:rFonts w:ascii="Wingdings 3" w:hAnsi="Wingdings 3" w:hint="default"/>
      </w:rPr>
    </w:lvl>
    <w:lvl w:ilvl="4" w:tplc="4594CB9A" w:tentative="1">
      <w:start w:val="1"/>
      <w:numFmt w:val="bullet"/>
      <w:lvlText w:val="u"/>
      <w:lvlJc w:val="left"/>
      <w:pPr>
        <w:tabs>
          <w:tab w:val="num" w:pos="3600"/>
        </w:tabs>
        <w:ind w:left="3600" w:hanging="360"/>
      </w:pPr>
      <w:rPr>
        <w:rFonts w:ascii="Wingdings 3" w:hAnsi="Wingdings 3" w:hint="default"/>
      </w:rPr>
    </w:lvl>
    <w:lvl w:ilvl="5" w:tplc="75D6057E" w:tentative="1">
      <w:start w:val="1"/>
      <w:numFmt w:val="bullet"/>
      <w:lvlText w:val="u"/>
      <w:lvlJc w:val="left"/>
      <w:pPr>
        <w:tabs>
          <w:tab w:val="num" w:pos="4320"/>
        </w:tabs>
        <w:ind w:left="4320" w:hanging="360"/>
      </w:pPr>
      <w:rPr>
        <w:rFonts w:ascii="Wingdings 3" w:hAnsi="Wingdings 3" w:hint="default"/>
      </w:rPr>
    </w:lvl>
    <w:lvl w:ilvl="6" w:tplc="104A2C4A" w:tentative="1">
      <w:start w:val="1"/>
      <w:numFmt w:val="bullet"/>
      <w:lvlText w:val="u"/>
      <w:lvlJc w:val="left"/>
      <w:pPr>
        <w:tabs>
          <w:tab w:val="num" w:pos="5040"/>
        </w:tabs>
        <w:ind w:left="5040" w:hanging="360"/>
      </w:pPr>
      <w:rPr>
        <w:rFonts w:ascii="Wingdings 3" w:hAnsi="Wingdings 3" w:hint="default"/>
      </w:rPr>
    </w:lvl>
    <w:lvl w:ilvl="7" w:tplc="9F12DEC0" w:tentative="1">
      <w:start w:val="1"/>
      <w:numFmt w:val="bullet"/>
      <w:lvlText w:val="u"/>
      <w:lvlJc w:val="left"/>
      <w:pPr>
        <w:tabs>
          <w:tab w:val="num" w:pos="5760"/>
        </w:tabs>
        <w:ind w:left="5760" w:hanging="360"/>
      </w:pPr>
      <w:rPr>
        <w:rFonts w:ascii="Wingdings 3" w:hAnsi="Wingdings 3" w:hint="default"/>
      </w:rPr>
    </w:lvl>
    <w:lvl w:ilvl="8" w:tplc="00B22C0C"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12CC628F"/>
    <w:multiLevelType w:val="hybridMultilevel"/>
    <w:tmpl w:val="8CA4D2FE"/>
    <w:lvl w:ilvl="0" w:tplc="0E7CEAF8">
      <w:start w:val="1"/>
      <w:numFmt w:val="bullet"/>
      <w:lvlText w:val="u"/>
      <w:lvlJc w:val="left"/>
      <w:pPr>
        <w:tabs>
          <w:tab w:val="num" w:pos="720"/>
        </w:tabs>
        <w:ind w:left="720" w:hanging="360"/>
      </w:pPr>
      <w:rPr>
        <w:rFonts w:ascii="Wingdings 3" w:hAnsi="Wingdings 3" w:hint="default"/>
      </w:rPr>
    </w:lvl>
    <w:lvl w:ilvl="1" w:tplc="DEE45BD2" w:tentative="1">
      <w:start w:val="1"/>
      <w:numFmt w:val="bullet"/>
      <w:lvlText w:val="u"/>
      <w:lvlJc w:val="left"/>
      <w:pPr>
        <w:tabs>
          <w:tab w:val="num" w:pos="1440"/>
        </w:tabs>
        <w:ind w:left="1440" w:hanging="360"/>
      </w:pPr>
      <w:rPr>
        <w:rFonts w:ascii="Wingdings 3" w:hAnsi="Wingdings 3" w:hint="default"/>
      </w:rPr>
    </w:lvl>
    <w:lvl w:ilvl="2" w:tplc="112E7302" w:tentative="1">
      <w:start w:val="1"/>
      <w:numFmt w:val="bullet"/>
      <w:lvlText w:val="u"/>
      <w:lvlJc w:val="left"/>
      <w:pPr>
        <w:tabs>
          <w:tab w:val="num" w:pos="2160"/>
        </w:tabs>
        <w:ind w:left="2160" w:hanging="360"/>
      </w:pPr>
      <w:rPr>
        <w:rFonts w:ascii="Wingdings 3" w:hAnsi="Wingdings 3" w:hint="default"/>
      </w:rPr>
    </w:lvl>
    <w:lvl w:ilvl="3" w:tplc="B0BA4A54" w:tentative="1">
      <w:start w:val="1"/>
      <w:numFmt w:val="bullet"/>
      <w:lvlText w:val="u"/>
      <w:lvlJc w:val="left"/>
      <w:pPr>
        <w:tabs>
          <w:tab w:val="num" w:pos="2880"/>
        </w:tabs>
        <w:ind w:left="2880" w:hanging="360"/>
      </w:pPr>
      <w:rPr>
        <w:rFonts w:ascii="Wingdings 3" w:hAnsi="Wingdings 3" w:hint="default"/>
      </w:rPr>
    </w:lvl>
    <w:lvl w:ilvl="4" w:tplc="E6ECA248" w:tentative="1">
      <w:start w:val="1"/>
      <w:numFmt w:val="bullet"/>
      <w:lvlText w:val="u"/>
      <w:lvlJc w:val="left"/>
      <w:pPr>
        <w:tabs>
          <w:tab w:val="num" w:pos="3600"/>
        </w:tabs>
        <w:ind w:left="3600" w:hanging="360"/>
      </w:pPr>
      <w:rPr>
        <w:rFonts w:ascii="Wingdings 3" w:hAnsi="Wingdings 3" w:hint="default"/>
      </w:rPr>
    </w:lvl>
    <w:lvl w:ilvl="5" w:tplc="25105712" w:tentative="1">
      <w:start w:val="1"/>
      <w:numFmt w:val="bullet"/>
      <w:lvlText w:val="u"/>
      <w:lvlJc w:val="left"/>
      <w:pPr>
        <w:tabs>
          <w:tab w:val="num" w:pos="4320"/>
        </w:tabs>
        <w:ind w:left="4320" w:hanging="360"/>
      </w:pPr>
      <w:rPr>
        <w:rFonts w:ascii="Wingdings 3" w:hAnsi="Wingdings 3" w:hint="default"/>
      </w:rPr>
    </w:lvl>
    <w:lvl w:ilvl="6" w:tplc="AD064E38" w:tentative="1">
      <w:start w:val="1"/>
      <w:numFmt w:val="bullet"/>
      <w:lvlText w:val="u"/>
      <w:lvlJc w:val="left"/>
      <w:pPr>
        <w:tabs>
          <w:tab w:val="num" w:pos="5040"/>
        </w:tabs>
        <w:ind w:left="5040" w:hanging="360"/>
      </w:pPr>
      <w:rPr>
        <w:rFonts w:ascii="Wingdings 3" w:hAnsi="Wingdings 3" w:hint="default"/>
      </w:rPr>
    </w:lvl>
    <w:lvl w:ilvl="7" w:tplc="2B20E89C" w:tentative="1">
      <w:start w:val="1"/>
      <w:numFmt w:val="bullet"/>
      <w:lvlText w:val="u"/>
      <w:lvlJc w:val="left"/>
      <w:pPr>
        <w:tabs>
          <w:tab w:val="num" w:pos="5760"/>
        </w:tabs>
        <w:ind w:left="5760" w:hanging="360"/>
      </w:pPr>
      <w:rPr>
        <w:rFonts w:ascii="Wingdings 3" w:hAnsi="Wingdings 3" w:hint="default"/>
      </w:rPr>
    </w:lvl>
    <w:lvl w:ilvl="8" w:tplc="554A892E" w:tentative="1">
      <w:start w:val="1"/>
      <w:numFmt w:val="bullet"/>
      <w:lvlText w:val="u"/>
      <w:lvlJc w:val="left"/>
      <w:pPr>
        <w:tabs>
          <w:tab w:val="num" w:pos="6480"/>
        </w:tabs>
        <w:ind w:left="6480" w:hanging="360"/>
      </w:pPr>
      <w:rPr>
        <w:rFonts w:ascii="Wingdings 3" w:hAnsi="Wingdings 3" w:hint="default"/>
      </w:rPr>
    </w:lvl>
  </w:abstractNum>
  <w:abstractNum w:abstractNumId="2" w15:restartNumberingAfterBreak="0">
    <w:nsid w:val="463D4BFE"/>
    <w:multiLevelType w:val="hybridMultilevel"/>
    <w:tmpl w:val="0F244DC4"/>
    <w:lvl w:ilvl="0" w:tplc="E6F04A98">
      <w:start w:val="1"/>
      <w:numFmt w:val="bullet"/>
      <w:lvlText w:val="u"/>
      <w:lvlJc w:val="left"/>
      <w:pPr>
        <w:tabs>
          <w:tab w:val="num" w:pos="720"/>
        </w:tabs>
        <w:ind w:left="720" w:hanging="360"/>
      </w:pPr>
      <w:rPr>
        <w:rFonts w:ascii="Wingdings 3" w:hAnsi="Wingdings 3" w:hint="default"/>
      </w:rPr>
    </w:lvl>
    <w:lvl w:ilvl="1" w:tplc="3D16CD56">
      <w:start w:val="1"/>
      <w:numFmt w:val="bullet"/>
      <w:lvlText w:val="u"/>
      <w:lvlJc w:val="left"/>
      <w:pPr>
        <w:tabs>
          <w:tab w:val="num" w:pos="1440"/>
        </w:tabs>
        <w:ind w:left="1440" w:hanging="360"/>
      </w:pPr>
      <w:rPr>
        <w:rFonts w:ascii="Wingdings 3" w:hAnsi="Wingdings 3" w:hint="default"/>
      </w:rPr>
    </w:lvl>
    <w:lvl w:ilvl="2" w:tplc="01545F9A" w:tentative="1">
      <w:start w:val="1"/>
      <w:numFmt w:val="bullet"/>
      <w:lvlText w:val="u"/>
      <w:lvlJc w:val="left"/>
      <w:pPr>
        <w:tabs>
          <w:tab w:val="num" w:pos="2160"/>
        </w:tabs>
        <w:ind w:left="2160" w:hanging="360"/>
      </w:pPr>
      <w:rPr>
        <w:rFonts w:ascii="Wingdings 3" w:hAnsi="Wingdings 3" w:hint="default"/>
      </w:rPr>
    </w:lvl>
    <w:lvl w:ilvl="3" w:tplc="FF98FE24" w:tentative="1">
      <w:start w:val="1"/>
      <w:numFmt w:val="bullet"/>
      <w:lvlText w:val="u"/>
      <w:lvlJc w:val="left"/>
      <w:pPr>
        <w:tabs>
          <w:tab w:val="num" w:pos="2880"/>
        </w:tabs>
        <w:ind w:left="2880" w:hanging="360"/>
      </w:pPr>
      <w:rPr>
        <w:rFonts w:ascii="Wingdings 3" w:hAnsi="Wingdings 3" w:hint="default"/>
      </w:rPr>
    </w:lvl>
    <w:lvl w:ilvl="4" w:tplc="6FACB878" w:tentative="1">
      <w:start w:val="1"/>
      <w:numFmt w:val="bullet"/>
      <w:lvlText w:val="u"/>
      <w:lvlJc w:val="left"/>
      <w:pPr>
        <w:tabs>
          <w:tab w:val="num" w:pos="3600"/>
        </w:tabs>
        <w:ind w:left="3600" w:hanging="360"/>
      </w:pPr>
      <w:rPr>
        <w:rFonts w:ascii="Wingdings 3" w:hAnsi="Wingdings 3" w:hint="default"/>
      </w:rPr>
    </w:lvl>
    <w:lvl w:ilvl="5" w:tplc="828803F2" w:tentative="1">
      <w:start w:val="1"/>
      <w:numFmt w:val="bullet"/>
      <w:lvlText w:val="u"/>
      <w:lvlJc w:val="left"/>
      <w:pPr>
        <w:tabs>
          <w:tab w:val="num" w:pos="4320"/>
        </w:tabs>
        <w:ind w:left="4320" w:hanging="360"/>
      </w:pPr>
      <w:rPr>
        <w:rFonts w:ascii="Wingdings 3" w:hAnsi="Wingdings 3" w:hint="default"/>
      </w:rPr>
    </w:lvl>
    <w:lvl w:ilvl="6" w:tplc="AE72C87A" w:tentative="1">
      <w:start w:val="1"/>
      <w:numFmt w:val="bullet"/>
      <w:lvlText w:val="u"/>
      <w:lvlJc w:val="left"/>
      <w:pPr>
        <w:tabs>
          <w:tab w:val="num" w:pos="5040"/>
        </w:tabs>
        <w:ind w:left="5040" w:hanging="360"/>
      </w:pPr>
      <w:rPr>
        <w:rFonts w:ascii="Wingdings 3" w:hAnsi="Wingdings 3" w:hint="default"/>
      </w:rPr>
    </w:lvl>
    <w:lvl w:ilvl="7" w:tplc="651C58B8" w:tentative="1">
      <w:start w:val="1"/>
      <w:numFmt w:val="bullet"/>
      <w:lvlText w:val="u"/>
      <w:lvlJc w:val="left"/>
      <w:pPr>
        <w:tabs>
          <w:tab w:val="num" w:pos="5760"/>
        </w:tabs>
        <w:ind w:left="5760" w:hanging="360"/>
      </w:pPr>
      <w:rPr>
        <w:rFonts w:ascii="Wingdings 3" w:hAnsi="Wingdings 3" w:hint="default"/>
      </w:rPr>
    </w:lvl>
    <w:lvl w:ilvl="8" w:tplc="FE4063F6" w:tentative="1">
      <w:start w:val="1"/>
      <w:numFmt w:val="bullet"/>
      <w:lvlText w:val="u"/>
      <w:lvlJc w:val="left"/>
      <w:pPr>
        <w:tabs>
          <w:tab w:val="num" w:pos="6480"/>
        </w:tabs>
        <w:ind w:left="6480" w:hanging="360"/>
      </w:pPr>
      <w:rPr>
        <w:rFonts w:ascii="Wingdings 3" w:hAnsi="Wingdings 3" w:hint="default"/>
      </w:rPr>
    </w:lvl>
  </w:abstractNum>
  <w:abstractNum w:abstractNumId="3" w15:restartNumberingAfterBreak="0">
    <w:nsid w:val="4B90170D"/>
    <w:multiLevelType w:val="multilevel"/>
    <w:tmpl w:val="E194A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794CE6"/>
    <w:multiLevelType w:val="hybridMultilevel"/>
    <w:tmpl w:val="EBF47CE0"/>
    <w:lvl w:ilvl="0" w:tplc="C42EBAC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38714001">
    <w:abstractNumId w:val="4"/>
  </w:num>
  <w:num w:numId="2" w16cid:durableId="1101798952">
    <w:abstractNumId w:val="0"/>
  </w:num>
  <w:num w:numId="3" w16cid:durableId="1888686672">
    <w:abstractNumId w:val="2"/>
  </w:num>
  <w:num w:numId="4" w16cid:durableId="2136870340">
    <w:abstractNumId w:val="1"/>
  </w:num>
  <w:num w:numId="5" w16cid:durableId="9928301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E1F"/>
    <w:rsid w:val="00043C64"/>
    <w:rsid w:val="000528C8"/>
    <w:rsid w:val="00081651"/>
    <w:rsid w:val="000963B1"/>
    <w:rsid w:val="000C1BF0"/>
    <w:rsid w:val="000C2888"/>
    <w:rsid w:val="000F5A5F"/>
    <w:rsid w:val="001075F0"/>
    <w:rsid w:val="00146F8F"/>
    <w:rsid w:val="00154714"/>
    <w:rsid w:val="00164B60"/>
    <w:rsid w:val="0016743D"/>
    <w:rsid w:val="001A12E8"/>
    <w:rsid w:val="001C51C2"/>
    <w:rsid w:val="00217F2A"/>
    <w:rsid w:val="00264DAE"/>
    <w:rsid w:val="00281C75"/>
    <w:rsid w:val="002822B7"/>
    <w:rsid w:val="002D0546"/>
    <w:rsid w:val="002D1A70"/>
    <w:rsid w:val="002F7683"/>
    <w:rsid w:val="00301F25"/>
    <w:rsid w:val="00314DCE"/>
    <w:rsid w:val="0031583A"/>
    <w:rsid w:val="00324598"/>
    <w:rsid w:val="0037140C"/>
    <w:rsid w:val="00385D9C"/>
    <w:rsid w:val="0038675D"/>
    <w:rsid w:val="0039239B"/>
    <w:rsid w:val="003959D7"/>
    <w:rsid w:val="003A069E"/>
    <w:rsid w:val="00441322"/>
    <w:rsid w:val="00453F3E"/>
    <w:rsid w:val="00467A3D"/>
    <w:rsid w:val="00480852"/>
    <w:rsid w:val="004959AE"/>
    <w:rsid w:val="004B76DF"/>
    <w:rsid w:val="00581A8C"/>
    <w:rsid w:val="005B13D3"/>
    <w:rsid w:val="005B4E99"/>
    <w:rsid w:val="005B5A9F"/>
    <w:rsid w:val="005B67C9"/>
    <w:rsid w:val="006126F9"/>
    <w:rsid w:val="0062295F"/>
    <w:rsid w:val="00646E1F"/>
    <w:rsid w:val="006674AC"/>
    <w:rsid w:val="006A031A"/>
    <w:rsid w:val="007324B7"/>
    <w:rsid w:val="007671E1"/>
    <w:rsid w:val="007B141D"/>
    <w:rsid w:val="007B2E6A"/>
    <w:rsid w:val="007B40A6"/>
    <w:rsid w:val="008224C0"/>
    <w:rsid w:val="00854913"/>
    <w:rsid w:val="00865C33"/>
    <w:rsid w:val="00881713"/>
    <w:rsid w:val="00892434"/>
    <w:rsid w:val="008943F4"/>
    <w:rsid w:val="008A54F7"/>
    <w:rsid w:val="008C3CA4"/>
    <w:rsid w:val="008C3D12"/>
    <w:rsid w:val="00926DAC"/>
    <w:rsid w:val="00932A53"/>
    <w:rsid w:val="00952BD9"/>
    <w:rsid w:val="009827EE"/>
    <w:rsid w:val="009B4CE5"/>
    <w:rsid w:val="009D5095"/>
    <w:rsid w:val="00A34CFA"/>
    <w:rsid w:val="00A42683"/>
    <w:rsid w:val="00A43652"/>
    <w:rsid w:val="00A62462"/>
    <w:rsid w:val="00A909BE"/>
    <w:rsid w:val="00A93984"/>
    <w:rsid w:val="00B05608"/>
    <w:rsid w:val="00B32BD4"/>
    <w:rsid w:val="00B37D88"/>
    <w:rsid w:val="00BD2B3B"/>
    <w:rsid w:val="00BE7E37"/>
    <w:rsid w:val="00C83CBC"/>
    <w:rsid w:val="00CD0F98"/>
    <w:rsid w:val="00CD6BBB"/>
    <w:rsid w:val="00D16189"/>
    <w:rsid w:val="00D24081"/>
    <w:rsid w:val="00D2544A"/>
    <w:rsid w:val="00D27EAB"/>
    <w:rsid w:val="00D35E0B"/>
    <w:rsid w:val="00D91217"/>
    <w:rsid w:val="00DD36DB"/>
    <w:rsid w:val="00E0004F"/>
    <w:rsid w:val="00E76975"/>
    <w:rsid w:val="00EC3CA4"/>
    <w:rsid w:val="00ED69E5"/>
    <w:rsid w:val="00EF5D1E"/>
    <w:rsid w:val="00F24429"/>
    <w:rsid w:val="00F71C49"/>
    <w:rsid w:val="00F7726A"/>
    <w:rsid w:val="00FA1E2E"/>
    <w:rsid w:val="00FC7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F3994"/>
  <w15:chartTrackingRefBased/>
  <w15:docId w15:val="{68A2EF09-D451-B741-8E4D-448637403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CB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C3CA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6E1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46E1F"/>
    <w:rPr>
      <w:rFonts w:eastAsiaTheme="minorEastAsia"/>
      <w:kern w:val="0"/>
      <w:sz w:val="22"/>
      <w:szCs w:val="22"/>
      <w:lang w:val="en-US" w:eastAsia="zh-CN"/>
      <w14:ligatures w14:val="none"/>
    </w:rPr>
  </w:style>
  <w:style w:type="paragraph" w:styleId="ListParagraph">
    <w:name w:val="List Paragraph"/>
    <w:basedOn w:val="Normal"/>
    <w:uiPriority w:val="34"/>
    <w:qFormat/>
    <w:rsid w:val="005B67C9"/>
    <w:pPr>
      <w:ind w:left="720"/>
      <w:contextualSpacing/>
    </w:pPr>
    <w:rPr>
      <w:sz w:val="20"/>
      <w:szCs w:val="20"/>
    </w:rPr>
  </w:style>
  <w:style w:type="paragraph" w:customStyle="1" w:styleId="legclearfix">
    <w:name w:val="legclearfix"/>
    <w:basedOn w:val="Normal"/>
    <w:rsid w:val="00467A3D"/>
    <w:pPr>
      <w:spacing w:before="100" w:beforeAutospacing="1" w:after="100" w:afterAutospacing="1"/>
    </w:pPr>
  </w:style>
  <w:style w:type="character" w:customStyle="1" w:styleId="legds">
    <w:name w:val="legds"/>
    <w:basedOn w:val="DefaultParagraphFont"/>
    <w:rsid w:val="00467A3D"/>
  </w:style>
  <w:style w:type="character" w:customStyle="1" w:styleId="legsubstitution">
    <w:name w:val="legsubstitution"/>
    <w:basedOn w:val="DefaultParagraphFont"/>
    <w:rsid w:val="00467A3D"/>
  </w:style>
  <w:style w:type="character" w:customStyle="1" w:styleId="legchangedelimiter">
    <w:name w:val="legchangedelimiter"/>
    <w:basedOn w:val="DefaultParagraphFont"/>
    <w:rsid w:val="00467A3D"/>
  </w:style>
  <w:style w:type="paragraph" w:customStyle="1" w:styleId="p">
    <w:name w:val="p"/>
    <w:basedOn w:val="Normal"/>
    <w:rsid w:val="00A34CFA"/>
    <w:pPr>
      <w:spacing w:before="100" w:beforeAutospacing="1" w:after="100" w:afterAutospacing="1"/>
    </w:pPr>
  </w:style>
  <w:style w:type="character" w:styleId="Hyperlink">
    <w:name w:val="Hyperlink"/>
    <w:basedOn w:val="DefaultParagraphFont"/>
    <w:uiPriority w:val="99"/>
    <w:unhideWhenUsed/>
    <w:rsid w:val="00081651"/>
    <w:rPr>
      <w:color w:val="0000FF"/>
      <w:u w:val="single"/>
    </w:rPr>
  </w:style>
  <w:style w:type="character" w:customStyle="1" w:styleId="Heading1Char">
    <w:name w:val="Heading 1 Char"/>
    <w:basedOn w:val="DefaultParagraphFont"/>
    <w:link w:val="Heading1"/>
    <w:uiPriority w:val="9"/>
    <w:rsid w:val="00EC3CA4"/>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EC3CA4"/>
  </w:style>
  <w:style w:type="character" w:customStyle="1" w:styleId="sscatchwords">
    <w:name w:val="ss_catchwords"/>
    <w:basedOn w:val="DefaultParagraphFont"/>
    <w:rsid w:val="00146F8F"/>
  </w:style>
  <w:style w:type="character" w:customStyle="1" w:styleId="sssh">
    <w:name w:val="ss_sh"/>
    <w:basedOn w:val="DefaultParagraphFont"/>
    <w:rsid w:val="00146F8F"/>
  </w:style>
  <w:style w:type="paragraph" w:styleId="NormalWeb">
    <w:name w:val="Normal (Web)"/>
    <w:basedOn w:val="Normal"/>
    <w:uiPriority w:val="99"/>
    <w:semiHidden/>
    <w:unhideWhenUsed/>
    <w:rsid w:val="00146F8F"/>
    <w:pPr>
      <w:spacing w:before="100" w:beforeAutospacing="1" w:after="100" w:afterAutospacing="1"/>
    </w:pPr>
  </w:style>
  <w:style w:type="character" w:styleId="UnresolvedMention">
    <w:name w:val="Unresolved Mention"/>
    <w:basedOn w:val="DefaultParagraphFont"/>
    <w:uiPriority w:val="99"/>
    <w:semiHidden/>
    <w:unhideWhenUsed/>
    <w:rsid w:val="00146F8F"/>
    <w:rPr>
      <w:color w:val="605E5C"/>
      <w:shd w:val="clear" w:color="auto" w:fill="E1DFDD"/>
    </w:rPr>
  </w:style>
  <w:style w:type="paragraph" w:customStyle="1" w:styleId="ng-star-inserted">
    <w:name w:val="ng-star-inserted"/>
    <w:basedOn w:val="Normal"/>
    <w:rsid w:val="008A54F7"/>
    <w:pPr>
      <w:spacing w:before="100" w:beforeAutospacing="1" w:after="100" w:afterAutospacing="1"/>
    </w:pPr>
  </w:style>
  <w:style w:type="paragraph" w:styleId="Footer">
    <w:name w:val="footer"/>
    <w:basedOn w:val="Normal"/>
    <w:link w:val="FooterChar"/>
    <w:uiPriority w:val="99"/>
    <w:unhideWhenUsed/>
    <w:rsid w:val="00FC7CB3"/>
    <w:pPr>
      <w:tabs>
        <w:tab w:val="center" w:pos="4513"/>
        <w:tab w:val="right" w:pos="9026"/>
      </w:tabs>
    </w:pPr>
  </w:style>
  <w:style w:type="character" w:customStyle="1" w:styleId="FooterChar">
    <w:name w:val="Footer Char"/>
    <w:basedOn w:val="DefaultParagraphFont"/>
    <w:link w:val="Footer"/>
    <w:uiPriority w:val="99"/>
    <w:rsid w:val="00FC7CB3"/>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FC7CB3"/>
  </w:style>
  <w:style w:type="character" w:customStyle="1" w:styleId="normaltextrun">
    <w:name w:val="normaltextrun"/>
    <w:basedOn w:val="DefaultParagraphFont"/>
    <w:rsid w:val="002D0546"/>
  </w:style>
  <w:style w:type="character" w:customStyle="1" w:styleId="eop">
    <w:name w:val="eop"/>
    <w:basedOn w:val="DefaultParagraphFont"/>
    <w:rsid w:val="002D0546"/>
  </w:style>
  <w:style w:type="paragraph" w:customStyle="1" w:styleId="paragraph">
    <w:name w:val="paragraph"/>
    <w:basedOn w:val="Normal"/>
    <w:rsid w:val="00154714"/>
    <w:pPr>
      <w:spacing w:before="100" w:beforeAutospacing="1" w:after="100" w:afterAutospacing="1"/>
    </w:pPr>
  </w:style>
  <w:style w:type="character" w:styleId="FollowedHyperlink">
    <w:name w:val="FollowedHyperlink"/>
    <w:basedOn w:val="DefaultParagraphFont"/>
    <w:uiPriority w:val="99"/>
    <w:semiHidden/>
    <w:unhideWhenUsed/>
    <w:rsid w:val="00314D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68834">
      <w:bodyDiv w:val="1"/>
      <w:marLeft w:val="0"/>
      <w:marRight w:val="0"/>
      <w:marTop w:val="0"/>
      <w:marBottom w:val="0"/>
      <w:divBdr>
        <w:top w:val="none" w:sz="0" w:space="0" w:color="auto"/>
        <w:left w:val="none" w:sz="0" w:space="0" w:color="auto"/>
        <w:bottom w:val="none" w:sz="0" w:space="0" w:color="auto"/>
        <w:right w:val="none" w:sz="0" w:space="0" w:color="auto"/>
      </w:divBdr>
    </w:div>
    <w:div w:id="116603880">
      <w:bodyDiv w:val="1"/>
      <w:marLeft w:val="0"/>
      <w:marRight w:val="0"/>
      <w:marTop w:val="0"/>
      <w:marBottom w:val="0"/>
      <w:divBdr>
        <w:top w:val="none" w:sz="0" w:space="0" w:color="auto"/>
        <w:left w:val="none" w:sz="0" w:space="0" w:color="auto"/>
        <w:bottom w:val="none" w:sz="0" w:space="0" w:color="auto"/>
        <w:right w:val="none" w:sz="0" w:space="0" w:color="auto"/>
      </w:divBdr>
    </w:div>
    <w:div w:id="125590550">
      <w:bodyDiv w:val="1"/>
      <w:marLeft w:val="0"/>
      <w:marRight w:val="0"/>
      <w:marTop w:val="0"/>
      <w:marBottom w:val="0"/>
      <w:divBdr>
        <w:top w:val="none" w:sz="0" w:space="0" w:color="auto"/>
        <w:left w:val="none" w:sz="0" w:space="0" w:color="auto"/>
        <w:bottom w:val="none" w:sz="0" w:space="0" w:color="auto"/>
        <w:right w:val="none" w:sz="0" w:space="0" w:color="auto"/>
      </w:divBdr>
    </w:div>
    <w:div w:id="217938706">
      <w:bodyDiv w:val="1"/>
      <w:marLeft w:val="0"/>
      <w:marRight w:val="0"/>
      <w:marTop w:val="0"/>
      <w:marBottom w:val="0"/>
      <w:divBdr>
        <w:top w:val="none" w:sz="0" w:space="0" w:color="auto"/>
        <w:left w:val="none" w:sz="0" w:space="0" w:color="auto"/>
        <w:bottom w:val="none" w:sz="0" w:space="0" w:color="auto"/>
        <w:right w:val="none" w:sz="0" w:space="0" w:color="auto"/>
      </w:divBdr>
    </w:div>
    <w:div w:id="219634104">
      <w:bodyDiv w:val="1"/>
      <w:marLeft w:val="0"/>
      <w:marRight w:val="0"/>
      <w:marTop w:val="0"/>
      <w:marBottom w:val="0"/>
      <w:divBdr>
        <w:top w:val="none" w:sz="0" w:space="0" w:color="auto"/>
        <w:left w:val="none" w:sz="0" w:space="0" w:color="auto"/>
        <w:bottom w:val="none" w:sz="0" w:space="0" w:color="auto"/>
        <w:right w:val="none" w:sz="0" w:space="0" w:color="auto"/>
      </w:divBdr>
      <w:divsChild>
        <w:div w:id="1335886595">
          <w:marLeft w:val="547"/>
          <w:marRight w:val="0"/>
          <w:marTop w:val="200"/>
          <w:marBottom w:val="0"/>
          <w:divBdr>
            <w:top w:val="none" w:sz="0" w:space="0" w:color="auto"/>
            <w:left w:val="none" w:sz="0" w:space="0" w:color="auto"/>
            <w:bottom w:val="none" w:sz="0" w:space="0" w:color="auto"/>
            <w:right w:val="none" w:sz="0" w:space="0" w:color="auto"/>
          </w:divBdr>
        </w:div>
      </w:divsChild>
    </w:div>
    <w:div w:id="284898183">
      <w:bodyDiv w:val="1"/>
      <w:marLeft w:val="0"/>
      <w:marRight w:val="0"/>
      <w:marTop w:val="0"/>
      <w:marBottom w:val="0"/>
      <w:divBdr>
        <w:top w:val="none" w:sz="0" w:space="0" w:color="auto"/>
        <w:left w:val="none" w:sz="0" w:space="0" w:color="auto"/>
        <w:bottom w:val="none" w:sz="0" w:space="0" w:color="auto"/>
        <w:right w:val="none" w:sz="0" w:space="0" w:color="auto"/>
      </w:divBdr>
    </w:div>
    <w:div w:id="300186329">
      <w:bodyDiv w:val="1"/>
      <w:marLeft w:val="0"/>
      <w:marRight w:val="0"/>
      <w:marTop w:val="0"/>
      <w:marBottom w:val="0"/>
      <w:divBdr>
        <w:top w:val="none" w:sz="0" w:space="0" w:color="auto"/>
        <w:left w:val="none" w:sz="0" w:space="0" w:color="auto"/>
        <w:bottom w:val="none" w:sz="0" w:space="0" w:color="auto"/>
        <w:right w:val="none" w:sz="0" w:space="0" w:color="auto"/>
      </w:divBdr>
    </w:div>
    <w:div w:id="302084985">
      <w:bodyDiv w:val="1"/>
      <w:marLeft w:val="0"/>
      <w:marRight w:val="0"/>
      <w:marTop w:val="0"/>
      <w:marBottom w:val="0"/>
      <w:divBdr>
        <w:top w:val="none" w:sz="0" w:space="0" w:color="auto"/>
        <w:left w:val="none" w:sz="0" w:space="0" w:color="auto"/>
        <w:bottom w:val="none" w:sz="0" w:space="0" w:color="auto"/>
        <w:right w:val="none" w:sz="0" w:space="0" w:color="auto"/>
      </w:divBdr>
    </w:div>
    <w:div w:id="376777115">
      <w:bodyDiv w:val="1"/>
      <w:marLeft w:val="0"/>
      <w:marRight w:val="0"/>
      <w:marTop w:val="0"/>
      <w:marBottom w:val="0"/>
      <w:divBdr>
        <w:top w:val="none" w:sz="0" w:space="0" w:color="auto"/>
        <w:left w:val="none" w:sz="0" w:space="0" w:color="auto"/>
        <w:bottom w:val="none" w:sz="0" w:space="0" w:color="auto"/>
        <w:right w:val="none" w:sz="0" w:space="0" w:color="auto"/>
      </w:divBdr>
    </w:div>
    <w:div w:id="454255908">
      <w:bodyDiv w:val="1"/>
      <w:marLeft w:val="0"/>
      <w:marRight w:val="0"/>
      <w:marTop w:val="0"/>
      <w:marBottom w:val="0"/>
      <w:divBdr>
        <w:top w:val="none" w:sz="0" w:space="0" w:color="auto"/>
        <w:left w:val="none" w:sz="0" w:space="0" w:color="auto"/>
        <w:bottom w:val="none" w:sz="0" w:space="0" w:color="auto"/>
        <w:right w:val="none" w:sz="0" w:space="0" w:color="auto"/>
      </w:divBdr>
    </w:div>
    <w:div w:id="509101515">
      <w:bodyDiv w:val="1"/>
      <w:marLeft w:val="0"/>
      <w:marRight w:val="0"/>
      <w:marTop w:val="0"/>
      <w:marBottom w:val="0"/>
      <w:divBdr>
        <w:top w:val="none" w:sz="0" w:space="0" w:color="auto"/>
        <w:left w:val="none" w:sz="0" w:space="0" w:color="auto"/>
        <w:bottom w:val="none" w:sz="0" w:space="0" w:color="auto"/>
        <w:right w:val="none" w:sz="0" w:space="0" w:color="auto"/>
      </w:divBdr>
    </w:div>
    <w:div w:id="591013203">
      <w:bodyDiv w:val="1"/>
      <w:marLeft w:val="0"/>
      <w:marRight w:val="0"/>
      <w:marTop w:val="0"/>
      <w:marBottom w:val="0"/>
      <w:divBdr>
        <w:top w:val="none" w:sz="0" w:space="0" w:color="auto"/>
        <w:left w:val="none" w:sz="0" w:space="0" w:color="auto"/>
        <w:bottom w:val="none" w:sz="0" w:space="0" w:color="auto"/>
        <w:right w:val="none" w:sz="0" w:space="0" w:color="auto"/>
      </w:divBdr>
    </w:div>
    <w:div w:id="625236998">
      <w:bodyDiv w:val="1"/>
      <w:marLeft w:val="0"/>
      <w:marRight w:val="0"/>
      <w:marTop w:val="0"/>
      <w:marBottom w:val="0"/>
      <w:divBdr>
        <w:top w:val="none" w:sz="0" w:space="0" w:color="auto"/>
        <w:left w:val="none" w:sz="0" w:space="0" w:color="auto"/>
        <w:bottom w:val="none" w:sz="0" w:space="0" w:color="auto"/>
        <w:right w:val="none" w:sz="0" w:space="0" w:color="auto"/>
      </w:divBdr>
    </w:div>
    <w:div w:id="634875467">
      <w:bodyDiv w:val="1"/>
      <w:marLeft w:val="0"/>
      <w:marRight w:val="0"/>
      <w:marTop w:val="0"/>
      <w:marBottom w:val="0"/>
      <w:divBdr>
        <w:top w:val="none" w:sz="0" w:space="0" w:color="auto"/>
        <w:left w:val="none" w:sz="0" w:space="0" w:color="auto"/>
        <w:bottom w:val="none" w:sz="0" w:space="0" w:color="auto"/>
        <w:right w:val="none" w:sz="0" w:space="0" w:color="auto"/>
      </w:divBdr>
      <w:divsChild>
        <w:div w:id="189799911">
          <w:marLeft w:val="547"/>
          <w:marRight w:val="0"/>
          <w:marTop w:val="200"/>
          <w:marBottom w:val="0"/>
          <w:divBdr>
            <w:top w:val="none" w:sz="0" w:space="0" w:color="auto"/>
            <w:left w:val="none" w:sz="0" w:space="0" w:color="auto"/>
            <w:bottom w:val="none" w:sz="0" w:space="0" w:color="auto"/>
            <w:right w:val="none" w:sz="0" w:space="0" w:color="auto"/>
          </w:divBdr>
        </w:div>
      </w:divsChild>
    </w:div>
    <w:div w:id="648873190">
      <w:bodyDiv w:val="1"/>
      <w:marLeft w:val="0"/>
      <w:marRight w:val="0"/>
      <w:marTop w:val="0"/>
      <w:marBottom w:val="0"/>
      <w:divBdr>
        <w:top w:val="none" w:sz="0" w:space="0" w:color="auto"/>
        <w:left w:val="none" w:sz="0" w:space="0" w:color="auto"/>
        <w:bottom w:val="none" w:sz="0" w:space="0" w:color="auto"/>
        <w:right w:val="none" w:sz="0" w:space="0" w:color="auto"/>
      </w:divBdr>
    </w:div>
    <w:div w:id="674964360">
      <w:bodyDiv w:val="1"/>
      <w:marLeft w:val="0"/>
      <w:marRight w:val="0"/>
      <w:marTop w:val="0"/>
      <w:marBottom w:val="0"/>
      <w:divBdr>
        <w:top w:val="none" w:sz="0" w:space="0" w:color="auto"/>
        <w:left w:val="none" w:sz="0" w:space="0" w:color="auto"/>
        <w:bottom w:val="none" w:sz="0" w:space="0" w:color="auto"/>
        <w:right w:val="none" w:sz="0" w:space="0" w:color="auto"/>
      </w:divBdr>
    </w:div>
    <w:div w:id="758062113">
      <w:bodyDiv w:val="1"/>
      <w:marLeft w:val="0"/>
      <w:marRight w:val="0"/>
      <w:marTop w:val="0"/>
      <w:marBottom w:val="0"/>
      <w:divBdr>
        <w:top w:val="none" w:sz="0" w:space="0" w:color="auto"/>
        <w:left w:val="none" w:sz="0" w:space="0" w:color="auto"/>
        <w:bottom w:val="none" w:sz="0" w:space="0" w:color="auto"/>
        <w:right w:val="none" w:sz="0" w:space="0" w:color="auto"/>
      </w:divBdr>
    </w:div>
    <w:div w:id="778257870">
      <w:bodyDiv w:val="1"/>
      <w:marLeft w:val="0"/>
      <w:marRight w:val="0"/>
      <w:marTop w:val="0"/>
      <w:marBottom w:val="0"/>
      <w:divBdr>
        <w:top w:val="none" w:sz="0" w:space="0" w:color="auto"/>
        <w:left w:val="none" w:sz="0" w:space="0" w:color="auto"/>
        <w:bottom w:val="none" w:sz="0" w:space="0" w:color="auto"/>
        <w:right w:val="none" w:sz="0" w:space="0" w:color="auto"/>
      </w:divBdr>
    </w:div>
    <w:div w:id="818813498">
      <w:bodyDiv w:val="1"/>
      <w:marLeft w:val="0"/>
      <w:marRight w:val="0"/>
      <w:marTop w:val="0"/>
      <w:marBottom w:val="0"/>
      <w:divBdr>
        <w:top w:val="none" w:sz="0" w:space="0" w:color="auto"/>
        <w:left w:val="none" w:sz="0" w:space="0" w:color="auto"/>
        <w:bottom w:val="none" w:sz="0" w:space="0" w:color="auto"/>
        <w:right w:val="none" w:sz="0" w:space="0" w:color="auto"/>
      </w:divBdr>
      <w:divsChild>
        <w:div w:id="1342706323">
          <w:marLeft w:val="0"/>
          <w:marRight w:val="0"/>
          <w:marTop w:val="0"/>
          <w:marBottom w:val="240"/>
          <w:divBdr>
            <w:top w:val="single" w:sz="6" w:space="5" w:color="C2C2C2"/>
            <w:left w:val="single" w:sz="6" w:space="5" w:color="C2C2C2"/>
            <w:bottom w:val="single" w:sz="24" w:space="5" w:color="C2C2C2"/>
            <w:right w:val="single" w:sz="6" w:space="5" w:color="C2C2C2"/>
          </w:divBdr>
        </w:div>
      </w:divsChild>
    </w:div>
    <w:div w:id="837578443">
      <w:bodyDiv w:val="1"/>
      <w:marLeft w:val="0"/>
      <w:marRight w:val="0"/>
      <w:marTop w:val="0"/>
      <w:marBottom w:val="0"/>
      <w:divBdr>
        <w:top w:val="none" w:sz="0" w:space="0" w:color="auto"/>
        <w:left w:val="none" w:sz="0" w:space="0" w:color="auto"/>
        <w:bottom w:val="none" w:sz="0" w:space="0" w:color="auto"/>
        <w:right w:val="none" w:sz="0" w:space="0" w:color="auto"/>
      </w:divBdr>
      <w:divsChild>
        <w:div w:id="65880965">
          <w:marLeft w:val="1166"/>
          <w:marRight w:val="0"/>
          <w:marTop w:val="200"/>
          <w:marBottom w:val="0"/>
          <w:divBdr>
            <w:top w:val="none" w:sz="0" w:space="0" w:color="auto"/>
            <w:left w:val="none" w:sz="0" w:space="0" w:color="auto"/>
            <w:bottom w:val="none" w:sz="0" w:space="0" w:color="auto"/>
            <w:right w:val="none" w:sz="0" w:space="0" w:color="auto"/>
          </w:divBdr>
        </w:div>
        <w:div w:id="673648909">
          <w:marLeft w:val="1166"/>
          <w:marRight w:val="0"/>
          <w:marTop w:val="200"/>
          <w:marBottom w:val="0"/>
          <w:divBdr>
            <w:top w:val="none" w:sz="0" w:space="0" w:color="auto"/>
            <w:left w:val="none" w:sz="0" w:space="0" w:color="auto"/>
            <w:bottom w:val="none" w:sz="0" w:space="0" w:color="auto"/>
            <w:right w:val="none" w:sz="0" w:space="0" w:color="auto"/>
          </w:divBdr>
        </w:div>
        <w:div w:id="301427423">
          <w:marLeft w:val="1166"/>
          <w:marRight w:val="0"/>
          <w:marTop w:val="200"/>
          <w:marBottom w:val="0"/>
          <w:divBdr>
            <w:top w:val="none" w:sz="0" w:space="0" w:color="auto"/>
            <w:left w:val="none" w:sz="0" w:space="0" w:color="auto"/>
            <w:bottom w:val="none" w:sz="0" w:space="0" w:color="auto"/>
            <w:right w:val="none" w:sz="0" w:space="0" w:color="auto"/>
          </w:divBdr>
        </w:div>
        <w:div w:id="2009864353">
          <w:marLeft w:val="1166"/>
          <w:marRight w:val="0"/>
          <w:marTop w:val="200"/>
          <w:marBottom w:val="0"/>
          <w:divBdr>
            <w:top w:val="none" w:sz="0" w:space="0" w:color="auto"/>
            <w:left w:val="none" w:sz="0" w:space="0" w:color="auto"/>
            <w:bottom w:val="none" w:sz="0" w:space="0" w:color="auto"/>
            <w:right w:val="none" w:sz="0" w:space="0" w:color="auto"/>
          </w:divBdr>
        </w:div>
        <w:div w:id="654532939">
          <w:marLeft w:val="1166"/>
          <w:marRight w:val="0"/>
          <w:marTop w:val="200"/>
          <w:marBottom w:val="0"/>
          <w:divBdr>
            <w:top w:val="none" w:sz="0" w:space="0" w:color="auto"/>
            <w:left w:val="none" w:sz="0" w:space="0" w:color="auto"/>
            <w:bottom w:val="none" w:sz="0" w:space="0" w:color="auto"/>
            <w:right w:val="none" w:sz="0" w:space="0" w:color="auto"/>
          </w:divBdr>
        </w:div>
      </w:divsChild>
    </w:div>
    <w:div w:id="849444365">
      <w:bodyDiv w:val="1"/>
      <w:marLeft w:val="0"/>
      <w:marRight w:val="0"/>
      <w:marTop w:val="0"/>
      <w:marBottom w:val="0"/>
      <w:divBdr>
        <w:top w:val="none" w:sz="0" w:space="0" w:color="auto"/>
        <w:left w:val="none" w:sz="0" w:space="0" w:color="auto"/>
        <w:bottom w:val="none" w:sz="0" w:space="0" w:color="auto"/>
        <w:right w:val="none" w:sz="0" w:space="0" w:color="auto"/>
      </w:divBdr>
    </w:div>
    <w:div w:id="864169528">
      <w:bodyDiv w:val="1"/>
      <w:marLeft w:val="0"/>
      <w:marRight w:val="0"/>
      <w:marTop w:val="0"/>
      <w:marBottom w:val="0"/>
      <w:divBdr>
        <w:top w:val="none" w:sz="0" w:space="0" w:color="auto"/>
        <w:left w:val="none" w:sz="0" w:space="0" w:color="auto"/>
        <w:bottom w:val="none" w:sz="0" w:space="0" w:color="auto"/>
        <w:right w:val="none" w:sz="0" w:space="0" w:color="auto"/>
      </w:divBdr>
    </w:div>
    <w:div w:id="926499259">
      <w:bodyDiv w:val="1"/>
      <w:marLeft w:val="0"/>
      <w:marRight w:val="0"/>
      <w:marTop w:val="0"/>
      <w:marBottom w:val="0"/>
      <w:divBdr>
        <w:top w:val="none" w:sz="0" w:space="0" w:color="auto"/>
        <w:left w:val="none" w:sz="0" w:space="0" w:color="auto"/>
        <w:bottom w:val="none" w:sz="0" w:space="0" w:color="auto"/>
        <w:right w:val="none" w:sz="0" w:space="0" w:color="auto"/>
      </w:divBdr>
    </w:div>
    <w:div w:id="975449798">
      <w:bodyDiv w:val="1"/>
      <w:marLeft w:val="0"/>
      <w:marRight w:val="0"/>
      <w:marTop w:val="0"/>
      <w:marBottom w:val="0"/>
      <w:divBdr>
        <w:top w:val="none" w:sz="0" w:space="0" w:color="auto"/>
        <w:left w:val="none" w:sz="0" w:space="0" w:color="auto"/>
        <w:bottom w:val="none" w:sz="0" w:space="0" w:color="auto"/>
        <w:right w:val="none" w:sz="0" w:space="0" w:color="auto"/>
      </w:divBdr>
    </w:div>
    <w:div w:id="986930858">
      <w:bodyDiv w:val="1"/>
      <w:marLeft w:val="0"/>
      <w:marRight w:val="0"/>
      <w:marTop w:val="0"/>
      <w:marBottom w:val="0"/>
      <w:divBdr>
        <w:top w:val="none" w:sz="0" w:space="0" w:color="auto"/>
        <w:left w:val="none" w:sz="0" w:space="0" w:color="auto"/>
        <w:bottom w:val="none" w:sz="0" w:space="0" w:color="auto"/>
        <w:right w:val="none" w:sz="0" w:space="0" w:color="auto"/>
      </w:divBdr>
    </w:div>
    <w:div w:id="1032192736">
      <w:bodyDiv w:val="1"/>
      <w:marLeft w:val="0"/>
      <w:marRight w:val="0"/>
      <w:marTop w:val="0"/>
      <w:marBottom w:val="0"/>
      <w:divBdr>
        <w:top w:val="none" w:sz="0" w:space="0" w:color="auto"/>
        <w:left w:val="none" w:sz="0" w:space="0" w:color="auto"/>
        <w:bottom w:val="none" w:sz="0" w:space="0" w:color="auto"/>
        <w:right w:val="none" w:sz="0" w:space="0" w:color="auto"/>
      </w:divBdr>
    </w:div>
    <w:div w:id="1043990945">
      <w:bodyDiv w:val="1"/>
      <w:marLeft w:val="0"/>
      <w:marRight w:val="0"/>
      <w:marTop w:val="0"/>
      <w:marBottom w:val="0"/>
      <w:divBdr>
        <w:top w:val="none" w:sz="0" w:space="0" w:color="auto"/>
        <w:left w:val="none" w:sz="0" w:space="0" w:color="auto"/>
        <w:bottom w:val="none" w:sz="0" w:space="0" w:color="auto"/>
        <w:right w:val="none" w:sz="0" w:space="0" w:color="auto"/>
      </w:divBdr>
    </w:div>
    <w:div w:id="1047417529">
      <w:bodyDiv w:val="1"/>
      <w:marLeft w:val="0"/>
      <w:marRight w:val="0"/>
      <w:marTop w:val="0"/>
      <w:marBottom w:val="0"/>
      <w:divBdr>
        <w:top w:val="none" w:sz="0" w:space="0" w:color="auto"/>
        <w:left w:val="none" w:sz="0" w:space="0" w:color="auto"/>
        <w:bottom w:val="none" w:sz="0" w:space="0" w:color="auto"/>
        <w:right w:val="none" w:sz="0" w:space="0" w:color="auto"/>
      </w:divBdr>
    </w:div>
    <w:div w:id="1106542443">
      <w:bodyDiv w:val="1"/>
      <w:marLeft w:val="0"/>
      <w:marRight w:val="0"/>
      <w:marTop w:val="0"/>
      <w:marBottom w:val="0"/>
      <w:divBdr>
        <w:top w:val="none" w:sz="0" w:space="0" w:color="auto"/>
        <w:left w:val="none" w:sz="0" w:space="0" w:color="auto"/>
        <w:bottom w:val="none" w:sz="0" w:space="0" w:color="auto"/>
        <w:right w:val="none" w:sz="0" w:space="0" w:color="auto"/>
      </w:divBdr>
    </w:div>
    <w:div w:id="1171094843">
      <w:bodyDiv w:val="1"/>
      <w:marLeft w:val="0"/>
      <w:marRight w:val="0"/>
      <w:marTop w:val="0"/>
      <w:marBottom w:val="0"/>
      <w:divBdr>
        <w:top w:val="none" w:sz="0" w:space="0" w:color="auto"/>
        <w:left w:val="none" w:sz="0" w:space="0" w:color="auto"/>
        <w:bottom w:val="none" w:sz="0" w:space="0" w:color="auto"/>
        <w:right w:val="none" w:sz="0" w:space="0" w:color="auto"/>
      </w:divBdr>
    </w:div>
    <w:div w:id="1190535386">
      <w:bodyDiv w:val="1"/>
      <w:marLeft w:val="0"/>
      <w:marRight w:val="0"/>
      <w:marTop w:val="0"/>
      <w:marBottom w:val="0"/>
      <w:divBdr>
        <w:top w:val="none" w:sz="0" w:space="0" w:color="auto"/>
        <w:left w:val="none" w:sz="0" w:space="0" w:color="auto"/>
        <w:bottom w:val="none" w:sz="0" w:space="0" w:color="auto"/>
        <w:right w:val="none" w:sz="0" w:space="0" w:color="auto"/>
      </w:divBdr>
    </w:div>
    <w:div w:id="1220827628">
      <w:bodyDiv w:val="1"/>
      <w:marLeft w:val="0"/>
      <w:marRight w:val="0"/>
      <w:marTop w:val="0"/>
      <w:marBottom w:val="0"/>
      <w:divBdr>
        <w:top w:val="none" w:sz="0" w:space="0" w:color="auto"/>
        <w:left w:val="none" w:sz="0" w:space="0" w:color="auto"/>
        <w:bottom w:val="none" w:sz="0" w:space="0" w:color="auto"/>
        <w:right w:val="none" w:sz="0" w:space="0" w:color="auto"/>
      </w:divBdr>
    </w:div>
    <w:div w:id="1221479278">
      <w:bodyDiv w:val="1"/>
      <w:marLeft w:val="0"/>
      <w:marRight w:val="0"/>
      <w:marTop w:val="0"/>
      <w:marBottom w:val="0"/>
      <w:divBdr>
        <w:top w:val="none" w:sz="0" w:space="0" w:color="auto"/>
        <w:left w:val="none" w:sz="0" w:space="0" w:color="auto"/>
        <w:bottom w:val="none" w:sz="0" w:space="0" w:color="auto"/>
        <w:right w:val="none" w:sz="0" w:space="0" w:color="auto"/>
      </w:divBdr>
    </w:div>
    <w:div w:id="1315989266">
      <w:bodyDiv w:val="1"/>
      <w:marLeft w:val="0"/>
      <w:marRight w:val="0"/>
      <w:marTop w:val="0"/>
      <w:marBottom w:val="0"/>
      <w:divBdr>
        <w:top w:val="none" w:sz="0" w:space="0" w:color="auto"/>
        <w:left w:val="none" w:sz="0" w:space="0" w:color="auto"/>
        <w:bottom w:val="none" w:sz="0" w:space="0" w:color="auto"/>
        <w:right w:val="none" w:sz="0" w:space="0" w:color="auto"/>
      </w:divBdr>
    </w:div>
    <w:div w:id="1335953935">
      <w:bodyDiv w:val="1"/>
      <w:marLeft w:val="0"/>
      <w:marRight w:val="0"/>
      <w:marTop w:val="0"/>
      <w:marBottom w:val="0"/>
      <w:divBdr>
        <w:top w:val="none" w:sz="0" w:space="0" w:color="auto"/>
        <w:left w:val="none" w:sz="0" w:space="0" w:color="auto"/>
        <w:bottom w:val="none" w:sz="0" w:space="0" w:color="auto"/>
        <w:right w:val="none" w:sz="0" w:space="0" w:color="auto"/>
      </w:divBdr>
    </w:div>
    <w:div w:id="1445687769">
      <w:bodyDiv w:val="1"/>
      <w:marLeft w:val="0"/>
      <w:marRight w:val="0"/>
      <w:marTop w:val="0"/>
      <w:marBottom w:val="0"/>
      <w:divBdr>
        <w:top w:val="none" w:sz="0" w:space="0" w:color="auto"/>
        <w:left w:val="none" w:sz="0" w:space="0" w:color="auto"/>
        <w:bottom w:val="none" w:sz="0" w:space="0" w:color="auto"/>
        <w:right w:val="none" w:sz="0" w:space="0" w:color="auto"/>
      </w:divBdr>
    </w:div>
    <w:div w:id="1458139759">
      <w:bodyDiv w:val="1"/>
      <w:marLeft w:val="0"/>
      <w:marRight w:val="0"/>
      <w:marTop w:val="0"/>
      <w:marBottom w:val="0"/>
      <w:divBdr>
        <w:top w:val="none" w:sz="0" w:space="0" w:color="auto"/>
        <w:left w:val="none" w:sz="0" w:space="0" w:color="auto"/>
        <w:bottom w:val="none" w:sz="0" w:space="0" w:color="auto"/>
        <w:right w:val="none" w:sz="0" w:space="0" w:color="auto"/>
      </w:divBdr>
    </w:div>
    <w:div w:id="1488479135">
      <w:bodyDiv w:val="1"/>
      <w:marLeft w:val="0"/>
      <w:marRight w:val="0"/>
      <w:marTop w:val="0"/>
      <w:marBottom w:val="0"/>
      <w:divBdr>
        <w:top w:val="none" w:sz="0" w:space="0" w:color="auto"/>
        <w:left w:val="none" w:sz="0" w:space="0" w:color="auto"/>
        <w:bottom w:val="none" w:sz="0" w:space="0" w:color="auto"/>
        <w:right w:val="none" w:sz="0" w:space="0" w:color="auto"/>
      </w:divBdr>
    </w:div>
    <w:div w:id="1506941175">
      <w:bodyDiv w:val="1"/>
      <w:marLeft w:val="0"/>
      <w:marRight w:val="0"/>
      <w:marTop w:val="0"/>
      <w:marBottom w:val="0"/>
      <w:divBdr>
        <w:top w:val="none" w:sz="0" w:space="0" w:color="auto"/>
        <w:left w:val="none" w:sz="0" w:space="0" w:color="auto"/>
        <w:bottom w:val="none" w:sz="0" w:space="0" w:color="auto"/>
        <w:right w:val="none" w:sz="0" w:space="0" w:color="auto"/>
      </w:divBdr>
    </w:div>
    <w:div w:id="1632636147">
      <w:bodyDiv w:val="1"/>
      <w:marLeft w:val="0"/>
      <w:marRight w:val="0"/>
      <w:marTop w:val="0"/>
      <w:marBottom w:val="0"/>
      <w:divBdr>
        <w:top w:val="none" w:sz="0" w:space="0" w:color="auto"/>
        <w:left w:val="none" w:sz="0" w:space="0" w:color="auto"/>
        <w:bottom w:val="none" w:sz="0" w:space="0" w:color="auto"/>
        <w:right w:val="none" w:sz="0" w:space="0" w:color="auto"/>
      </w:divBdr>
    </w:div>
    <w:div w:id="1634752698">
      <w:bodyDiv w:val="1"/>
      <w:marLeft w:val="0"/>
      <w:marRight w:val="0"/>
      <w:marTop w:val="0"/>
      <w:marBottom w:val="0"/>
      <w:divBdr>
        <w:top w:val="none" w:sz="0" w:space="0" w:color="auto"/>
        <w:left w:val="none" w:sz="0" w:space="0" w:color="auto"/>
        <w:bottom w:val="none" w:sz="0" w:space="0" w:color="auto"/>
        <w:right w:val="none" w:sz="0" w:space="0" w:color="auto"/>
      </w:divBdr>
    </w:div>
    <w:div w:id="1635255090">
      <w:bodyDiv w:val="1"/>
      <w:marLeft w:val="0"/>
      <w:marRight w:val="0"/>
      <w:marTop w:val="0"/>
      <w:marBottom w:val="0"/>
      <w:divBdr>
        <w:top w:val="none" w:sz="0" w:space="0" w:color="auto"/>
        <w:left w:val="none" w:sz="0" w:space="0" w:color="auto"/>
        <w:bottom w:val="none" w:sz="0" w:space="0" w:color="auto"/>
        <w:right w:val="none" w:sz="0" w:space="0" w:color="auto"/>
      </w:divBdr>
    </w:div>
    <w:div w:id="1635719780">
      <w:bodyDiv w:val="1"/>
      <w:marLeft w:val="0"/>
      <w:marRight w:val="0"/>
      <w:marTop w:val="0"/>
      <w:marBottom w:val="0"/>
      <w:divBdr>
        <w:top w:val="none" w:sz="0" w:space="0" w:color="auto"/>
        <w:left w:val="none" w:sz="0" w:space="0" w:color="auto"/>
        <w:bottom w:val="none" w:sz="0" w:space="0" w:color="auto"/>
        <w:right w:val="none" w:sz="0" w:space="0" w:color="auto"/>
      </w:divBdr>
    </w:div>
    <w:div w:id="1643541446">
      <w:bodyDiv w:val="1"/>
      <w:marLeft w:val="0"/>
      <w:marRight w:val="0"/>
      <w:marTop w:val="0"/>
      <w:marBottom w:val="0"/>
      <w:divBdr>
        <w:top w:val="none" w:sz="0" w:space="0" w:color="auto"/>
        <w:left w:val="none" w:sz="0" w:space="0" w:color="auto"/>
        <w:bottom w:val="none" w:sz="0" w:space="0" w:color="auto"/>
        <w:right w:val="none" w:sz="0" w:space="0" w:color="auto"/>
      </w:divBdr>
    </w:div>
    <w:div w:id="1652949284">
      <w:bodyDiv w:val="1"/>
      <w:marLeft w:val="0"/>
      <w:marRight w:val="0"/>
      <w:marTop w:val="0"/>
      <w:marBottom w:val="0"/>
      <w:divBdr>
        <w:top w:val="none" w:sz="0" w:space="0" w:color="auto"/>
        <w:left w:val="none" w:sz="0" w:space="0" w:color="auto"/>
        <w:bottom w:val="none" w:sz="0" w:space="0" w:color="auto"/>
        <w:right w:val="none" w:sz="0" w:space="0" w:color="auto"/>
      </w:divBdr>
    </w:div>
    <w:div w:id="1695375947">
      <w:bodyDiv w:val="1"/>
      <w:marLeft w:val="0"/>
      <w:marRight w:val="0"/>
      <w:marTop w:val="0"/>
      <w:marBottom w:val="0"/>
      <w:divBdr>
        <w:top w:val="none" w:sz="0" w:space="0" w:color="auto"/>
        <w:left w:val="none" w:sz="0" w:space="0" w:color="auto"/>
        <w:bottom w:val="none" w:sz="0" w:space="0" w:color="auto"/>
        <w:right w:val="none" w:sz="0" w:space="0" w:color="auto"/>
      </w:divBdr>
    </w:div>
    <w:div w:id="1716850305">
      <w:bodyDiv w:val="1"/>
      <w:marLeft w:val="0"/>
      <w:marRight w:val="0"/>
      <w:marTop w:val="0"/>
      <w:marBottom w:val="0"/>
      <w:divBdr>
        <w:top w:val="none" w:sz="0" w:space="0" w:color="auto"/>
        <w:left w:val="none" w:sz="0" w:space="0" w:color="auto"/>
        <w:bottom w:val="none" w:sz="0" w:space="0" w:color="auto"/>
        <w:right w:val="none" w:sz="0" w:space="0" w:color="auto"/>
      </w:divBdr>
    </w:div>
    <w:div w:id="1762288573">
      <w:bodyDiv w:val="1"/>
      <w:marLeft w:val="0"/>
      <w:marRight w:val="0"/>
      <w:marTop w:val="0"/>
      <w:marBottom w:val="0"/>
      <w:divBdr>
        <w:top w:val="none" w:sz="0" w:space="0" w:color="auto"/>
        <w:left w:val="none" w:sz="0" w:space="0" w:color="auto"/>
        <w:bottom w:val="none" w:sz="0" w:space="0" w:color="auto"/>
        <w:right w:val="none" w:sz="0" w:space="0" w:color="auto"/>
      </w:divBdr>
    </w:div>
    <w:div w:id="1780055933">
      <w:bodyDiv w:val="1"/>
      <w:marLeft w:val="0"/>
      <w:marRight w:val="0"/>
      <w:marTop w:val="0"/>
      <w:marBottom w:val="0"/>
      <w:divBdr>
        <w:top w:val="none" w:sz="0" w:space="0" w:color="auto"/>
        <w:left w:val="none" w:sz="0" w:space="0" w:color="auto"/>
        <w:bottom w:val="none" w:sz="0" w:space="0" w:color="auto"/>
        <w:right w:val="none" w:sz="0" w:space="0" w:color="auto"/>
      </w:divBdr>
    </w:div>
    <w:div w:id="1834107817">
      <w:bodyDiv w:val="1"/>
      <w:marLeft w:val="0"/>
      <w:marRight w:val="0"/>
      <w:marTop w:val="0"/>
      <w:marBottom w:val="0"/>
      <w:divBdr>
        <w:top w:val="none" w:sz="0" w:space="0" w:color="auto"/>
        <w:left w:val="none" w:sz="0" w:space="0" w:color="auto"/>
        <w:bottom w:val="none" w:sz="0" w:space="0" w:color="auto"/>
        <w:right w:val="none" w:sz="0" w:space="0" w:color="auto"/>
      </w:divBdr>
    </w:div>
    <w:div w:id="1842696764">
      <w:bodyDiv w:val="1"/>
      <w:marLeft w:val="0"/>
      <w:marRight w:val="0"/>
      <w:marTop w:val="0"/>
      <w:marBottom w:val="0"/>
      <w:divBdr>
        <w:top w:val="none" w:sz="0" w:space="0" w:color="auto"/>
        <w:left w:val="none" w:sz="0" w:space="0" w:color="auto"/>
        <w:bottom w:val="none" w:sz="0" w:space="0" w:color="auto"/>
        <w:right w:val="none" w:sz="0" w:space="0" w:color="auto"/>
      </w:divBdr>
    </w:div>
    <w:div w:id="1876115323">
      <w:bodyDiv w:val="1"/>
      <w:marLeft w:val="0"/>
      <w:marRight w:val="0"/>
      <w:marTop w:val="0"/>
      <w:marBottom w:val="0"/>
      <w:divBdr>
        <w:top w:val="none" w:sz="0" w:space="0" w:color="auto"/>
        <w:left w:val="none" w:sz="0" w:space="0" w:color="auto"/>
        <w:bottom w:val="none" w:sz="0" w:space="0" w:color="auto"/>
        <w:right w:val="none" w:sz="0" w:space="0" w:color="auto"/>
      </w:divBdr>
    </w:div>
    <w:div w:id="1877498325">
      <w:bodyDiv w:val="1"/>
      <w:marLeft w:val="0"/>
      <w:marRight w:val="0"/>
      <w:marTop w:val="0"/>
      <w:marBottom w:val="0"/>
      <w:divBdr>
        <w:top w:val="none" w:sz="0" w:space="0" w:color="auto"/>
        <w:left w:val="none" w:sz="0" w:space="0" w:color="auto"/>
        <w:bottom w:val="none" w:sz="0" w:space="0" w:color="auto"/>
        <w:right w:val="none" w:sz="0" w:space="0" w:color="auto"/>
      </w:divBdr>
    </w:div>
    <w:div w:id="1949460731">
      <w:bodyDiv w:val="1"/>
      <w:marLeft w:val="0"/>
      <w:marRight w:val="0"/>
      <w:marTop w:val="0"/>
      <w:marBottom w:val="0"/>
      <w:divBdr>
        <w:top w:val="none" w:sz="0" w:space="0" w:color="auto"/>
        <w:left w:val="none" w:sz="0" w:space="0" w:color="auto"/>
        <w:bottom w:val="none" w:sz="0" w:space="0" w:color="auto"/>
        <w:right w:val="none" w:sz="0" w:space="0" w:color="auto"/>
      </w:divBdr>
    </w:div>
    <w:div w:id="1981571556">
      <w:bodyDiv w:val="1"/>
      <w:marLeft w:val="0"/>
      <w:marRight w:val="0"/>
      <w:marTop w:val="0"/>
      <w:marBottom w:val="0"/>
      <w:divBdr>
        <w:top w:val="none" w:sz="0" w:space="0" w:color="auto"/>
        <w:left w:val="none" w:sz="0" w:space="0" w:color="auto"/>
        <w:bottom w:val="none" w:sz="0" w:space="0" w:color="auto"/>
        <w:right w:val="none" w:sz="0" w:space="0" w:color="auto"/>
      </w:divBdr>
      <w:divsChild>
        <w:div w:id="1559513495">
          <w:marLeft w:val="0"/>
          <w:marRight w:val="0"/>
          <w:marTop w:val="0"/>
          <w:marBottom w:val="0"/>
          <w:divBdr>
            <w:top w:val="none" w:sz="0" w:space="0" w:color="auto"/>
            <w:left w:val="none" w:sz="0" w:space="0" w:color="auto"/>
            <w:bottom w:val="none" w:sz="0" w:space="0" w:color="auto"/>
            <w:right w:val="none" w:sz="0" w:space="0" w:color="auto"/>
          </w:divBdr>
        </w:div>
        <w:div w:id="1198154658">
          <w:marLeft w:val="0"/>
          <w:marRight w:val="0"/>
          <w:marTop w:val="0"/>
          <w:marBottom w:val="0"/>
          <w:divBdr>
            <w:top w:val="none" w:sz="0" w:space="0" w:color="auto"/>
            <w:left w:val="none" w:sz="0" w:space="0" w:color="auto"/>
            <w:bottom w:val="none" w:sz="0" w:space="0" w:color="auto"/>
            <w:right w:val="none" w:sz="0" w:space="0" w:color="auto"/>
          </w:divBdr>
        </w:div>
      </w:divsChild>
    </w:div>
    <w:div w:id="1987002339">
      <w:bodyDiv w:val="1"/>
      <w:marLeft w:val="0"/>
      <w:marRight w:val="0"/>
      <w:marTop w:val="0"/>
      <w:marBottom w:val="0"/>
      <w:divBdr>
        <w:top w:val="none" w:sz="0" w:space="0" w:color="auto"/>
        <w:left w:val="none" w:sz="0" w:space="0" w:color="auto"/>
        <w:bottom w:val="none" w:sz="0" w:space="0" w:color="auto"/>
        <w:right w:val="none" w:sz="0" w:space="0" w:color="auto"/>
      </w:divBdr>
    </w:div>
    <w:div w:id="2053072413">
      <w:bodyDiv w:val="1"/>
      <w:marLeft w:val="0"/>
      <w:marRight w:val="0"/>
      <w:marTop w:val="0"/>
      <w:marBottom w:val="0"/>
      <w:divBdr>
        <w:top w:val="none" w:sz="0" w:space="0" w:color="auto"/>
        <w:left w:val="none" w:sz="0" w:space="0" w:color="auto"/>
        <w:bottom w:val="none" w:sz="0" w:space="0" w:color="auto"/>
        <w:right w:val="none" w:sz="0" w:space="0" w:color="auto"/>
      </w:divBdr>
    </w:div>
    <w:div w:id="207592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supremecourt.uk/cases/docs/uksc-2015-0053-judgment.pdf" TargetMode="External"/><Relationship Id="rId4" Type="http://schemas.openxmlformats.org/officeDocument/2006/relationships/styles" Target="styles.xml"/><Relationship Id="rId9" Type="http://schemas.openxmlformats.org/officeDocument/2006/relationships/hyperlink" Target="https://www.bailii.org/uk/cases%20/UKHL/2003/%2010.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Criminal Law.</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Ken11</b:Tag>
    <b:SourceType>JournalArticle</b:SourceType>
    <b:Guid>{1E341F3A-DAD8-A840-AA15-C381AB10B19B}</b:Guid>
    <b:Title>Introducing a New Diminished Responsibility Defence for England and Wales.</b:Title>
    <b:JournalName>Modern law review</b:JournalName>
    <b:Year>2011</b:Year>
    <b:Pages>750-766</b:Pages>
    <b:Author>
      <b:Author>
        <b:NameList>
          <b:Person>
            <b:Last>Kennefick</b:Last>
            <b:First>Louise</b:First>
          </b:Person>
        </b:NameList>
      </b:Author>
    </b:Author>
    <b:RefOrder>2</b:RefOrder>
  </b:Source>
  <b:Source>
    <b:Tag>Rog15</b:Tag>
    <b:SourceType>JournalArticle</b:SourceType>
    <b:Guid>{03478FBE-60E6-C84F-A858-A0BF03C85E6C}</b:Guid>
    <b:Title>THE AMENDED DIMINISHED RESPONSIBILITY PLEA</b:Title>
    <b:JournalName>Cambridge law journal</b:JournalName>
    <b:Year>2015</b:Year>
    <b:Pages>201-205</b:Pages>
    <b:Author>
      <b:Author>
        <b:NameList>
          <b:Person>
            <b:Last>Rogers</b:Last>
            <b:First>Jonathan</b:First>
          </b:Person>
        </b:NameList>
      </b:Author>
    </b:Author>
    <b:RefOrder>3</b:RefOrder>
  </b:Source>
  <b:Source>
    <b:Tag>leg23</b:Tag>
    <b:SourceType>InternetSite</b:SourceType>
    <b:Guid>{70588714-1DEB-4C47-835C-7804E928E10F}</b:Guid>
    <b:Title>Homicide Act 1975</b:Title>
    <b:Year>2023</b:Year>
    <b:Author>
      <b:Author>
        <b:Corporate>legislation.gov.uk</b:Corporate>
      </b:Author>
    </b:Author>
    <b:InternetSiteTitle>legislation.gov.uk</b:InternetSiteTitle>
    <b:Month>Feburary</b:Month>
    <b:Day>18</b:Day>
    <b:URL>https://www.legislation.gov.uk/ukpga/Eliz2/5-6/11/section/2</b:URL>
    <b:RefOrder>4</b:RefOrder>
  </b:Source>
  <b:Source>
    <b:Tag>Hal18</b:Tag>
    <b:SourceType>JournalArticle</b:SourceType>
    <b:Guid>{AD3C1292-3A13-484F-A52C-ADBDD323AF8F}</b:Guid>
    <b:Title>Psychiatric evidence in Diminished Responsibility</b:Title>
    <b:JournalName>Journal of criminal law (Hertford)</b:JournalName>
    <b:Year>2018</b:Year>
    <b:Volume>82</b:Volume>
    <b:Issue>6</b:Issue>
    <b:Pages>442-456</b:Pages>
    <b:Author>
      <b:Author>
        <b:NameList>
          <b:Person>
            <b:Last>Hallett</b:Last>
            <b:First>Nicholas</b:First>
          </b:Person>
        </b:NameList>
      </b:Author>
    </b:Author>
    <b:RefOrder>5</b:RefOrder>
  </b:Source>
  <b:Source>
    <b:Tag>Ste</b:Tag>
    <b:SourceType>JournalArticle</b:SourceType>
    <b:Guid>{558BCBB9-D0CE-614F-9283-5E97C8D743BC}</b:Guid>
    <b:Author>
      <b:Author>
        <b:NameList>
          <b:Person>
            <b:Last>Steinberg</b:Last>
            <b:First>Laurence</b:First>
          </b:Person>
          <b:Person>
            <b:Last>Scott</b:Last>
            <b:First>Elizabeth</b:First>
          </b:Person>
          <b:Person>
            <b:Last>Anderson</b:Last>
            <b:First>Norman</b:First>
          </b:Person>
        </b:NameList>
      </b:Author>
    </b:Author>
    <b:Title>Less Guilty by Reason of Adolescence: Developmental Immaturity, Diminished Responsibility, and the Juvenile Death Penalty </b:Title>
    <b:JournalName>United States:American Psychological Association</b:JournalName>
    <b:Year>2003</b:Year>
    <b:Volume>58</b:Volume>
    <b:Issue>12</b:Issue>
    <b:Pages>1009-1018</b:Pages>
    <b:RefOrder>6</b:RefOrder>
  </b:Source>
  <b:Source>
    <b:Tag>Mac21</b:Tag>
    <b:SourceType>JournalArticle</b:SourceType>
    <b:Guid>{AF09514B-A27E-CB4B-9893-CC988CCA1635}</b:Guid>
    <b:Title>What's happening with the reformed diminished responsibility plea?</b:Title>
    <b:JournalName>Northen Ireland legal quarterly</b:JournalName>
    <b:Year>2021</b:Year>
    <b:Volume>72</b:Volume>
    <b:Issue>2</b:Issue>
    <b:Pages>224</b:Pages>
    <b:Author>
      <b:Author>
        <b:NameList>
          <b:Person>
            <b:Last>Mackay</b:Last>
            <b:First>Ronnie </b:First>
          </b:Person>
        </b:NameList>
      </b:Author>
    </b:Author>
    <b:RefOrder>7</b:RefOrder>
  </b:Source>
  <b:Source>
    <b:Tag>Phi12</b:Tag>
    <b:SourceType>JournalArticle</b:SourceType>
    <b:Guid>{BC34D2A3-FDCB-F647-BFD2-47EA461B56EB}</b:Guid>
    <b:Title>DIMINISHED RESPONSIBILITY AND INTOXICATION: INTERPRETATION, POLICY AND AUTHORITY IN R v DIETSCHMANN</b:Title>
    <b:JournalName>Denning law journal</b:JournalName>
    <b:Year>2012</b:Year>
    <b:Volume>17</b:Volume>
    <b:Issue>1</b:Issue>
    <b:Pages>19-41</b:Pages>
    <b:Author>
      <b:Author>
        <b:NameList>
          <b:Person>
            <b:Last>Philips</b:Last>
            <b:First>Edward</b:First>
          </b:Person>
        </b:NameList>
      </b:Author>
    </b:Author>
    <b:RefOrder>8</b:RefOrder>
  </b:Source>
  <b:Source>
    <b:Tag>Ken86</b:Tag>
    <b:SourceType>JournalArticle</b:SourceType>
    <b:Guid>{B023A877-C615-1A4E-9207-AE6464BD4CC2}</b:Guid>
    <b:Title>Forensic psychiatry symposium: Anomalies of Section 2 of the Homicide Act 1957</b:Title>
    <b:JournalName>Journal of medical ethics</b:JournalName>
    <b:Year>1986</b:Year>
    <b:Volume>12</b:Volume>
    <b:Issue>1</b:Issue>
    <b:Pages>24</b:Pages>
    <b:Author>
      <b:Author>
        <b:NameList>
          <b:Person>
            <b:Last>Kenny</b:Last>
            <b:First>A</b:First>
          </b:Person>
        </b:NameList>
      </b:Author>
    </b:Author>
    <b:RefOrder>10</b:RefOrder>
  </b:Source>
  <b:Source>
    <b:Tag>Arm57</b:Tag>
    <b:SourceType>JournalArticle</b:SourceType>
    <b:Guid>{EDF4305E-B1B7-EB48-AA09-70149CD37EAE}</b:Guid>
    <b:Title>The Homicide Act 1957</b:Title>
    <b:JournalName>Cambridge law journal</b:JournalName>
    <b:Year>1957</b:Year>
    <b:Volume>15</b:Volume>
    <b:Issue>2</b:Issue>
    <b:Pages>183-193</b:Pages>
    <b:Author>
      <b:Author>
        <b:NameList>
          <b:Person>
            <b:Last>Armitage</b:Last>
            <b:First>A.L</b:First>
          </b:Person>
        </b:NameList>
      </b:Author>
    </b:Author>
    <b:RefOrder>11</b:RefOrder>
  </b:Source>
  <b:Source>
    <b:Tag>Tro92</b:Tag>
    <b:SourceType>JournalArticle</b:SourceType>
    <b:Guid>{D8804490-3818-D848-8AE5-BFEA96F62D7E}</b:Guid>
    <b:Title>Diminished responsibility and the drug scene</b:Title>
    <b:JournalName>British Journal of addiction</b:JournalName>
    <b:Year>1992</b:Year>
    <b:Volume>87</b:Volume>
    <b:Issue>92</b:Issue>
    <b:Pages>189-192</b:Pages>
    <b:Author>
      <b:Author>
        <b:NameList>
          <b:Person>
            <b:Last>Trott</b:Last>
            <b:First>R J</b:First>
          </b:Person>
        </b:NameList>
      </b:Author>
    </b:Author>
    <b:RefOrder>12</b:RefOrder>
  </b:Source>
  <b:Source>
    <b:Tag>Mac18</b:Tag>
    <b:SourceType>Book</b:SourceType>
    <b:Guid>{F463E10A-532C-FC4A-9B9D-98EC204C1A2B}</b:Guid>
    <b:Title>Text, cases, and materials on criminal law</b:Title>
    <b:Year>2018</b:Year>
    <b:City>London</b:City>
    <b:Publisher>Pearson Education Limited </b:Publisher>
    <b:Edition>2</b:Edition>
    <b:Author>
      <b:Author>
        <b:NameList>
          <b:Person>
            <b:Last>Macdonald</b:Last>
            <b:First>Stuart</b:First>
          </b:Person>
        </b:NameList>
      </b:Author>
    </b:Author>
    <b:RefOrder>13</b:RefOrder>
  </b:Source>
  <b:Source>
    <b:Tag>Tay18</b:Tag>
    <b:SourceType>Book</b:SourceType>
    <b:Guid>{A1523AC3-5529-0F46-8D22-F54FBFA11503}</b:Guid>
    <b:Title>Elliott and Quinn's criminal law</b:Title>
    <b:City>London</b:City>
    <b:Publisher>Pearson Educational Limited</b:Publisher>
    <b:Year>2018</b:Year>
    <b:Edition>12</b:Edition>
    <b:Author>
      <b:Author>
        <b:NameList>
          <b:Person>
            <b:Last>Taylor</b:Last>
            <b:First>Louise</b:First>
          </b:Person>
        </b:NameList>
      </b:Author>
    </b:Author>
    <b:RefOrder>14</b:RefOrder>
  </b:Source>
  <b:Source>
    <b:Tag>Fin21</b:Tag>
    <b:SourceType>Book</b:SourceType>
    <b:Guid>{719FA44F-AA94-C246-B973-C6C5A63B800C}</b:Guid>
    <b:Title>Criminal law</b:Title>
    <b:City>London</b:City>
    <b:Publisher>Pearson</b:Publisher>
    <b:Year>2021</b:Year>
    <b:Edition>8</b:Edition>
    <b:Author>
      <b:Author>
        <b:NameList>
          <b:Person>
            <b:Last>Finch</b:Last>
            <b:First>Emily</b:First>
          </b:Person>
          <b:Person>
            <b:Last>Fafinski</b:Last>
            <b:First>Stefan</b:First>
          </b:Person>
        </b:NameList>
      </b:Author>
    </b:Author>
    <b:RefOrder>15</b:RefOrder>
  </b:Source>
  <b:Source>
    <b:Tag>Cro21</b:Tag>
    <b:SourceType>JournalArticle</b:SourceType>
    <b:Guid>{F3BD50CE-B43F-DD4E-BF55-902F984F5941}</b:Guid>
    <b:RefOrder>16</b:RefOrder>
  </b:Source>
  <b:Source>
    <b:Tag>Rei11</b:Tag>
    <b:SourceType>JournalArticle</b:SourceType>
    <b:Guid>{75228838-7171-D245-AC33-B7C5679F7ED7}</b:Guid>
    <b:RefOrder>17</b:RefOrder>
  </b:Source>
  <b:Source>
    <b:Tag>Pre13</b:Tag>
    <b:SourceType>JournalArticle</b:SourceType>
    <b:Guid>{42D58D53-6F92-4848-980A-C1B37A580065}</b:Guid>
    <b:RefOrder>18</b:RefOrder>
  </b:Source>
  <b:Source>
    <b:Tag>Edw211</b:Tag>
    <b:SourceType>Book</b:SourceType>
    <b:Guid>{4D5C3E1E-FAD4-0B4F-9E23-12A29FDA2B94}</b:Guid>
    <b:Title>Criminal law</b:Title>
    <b:Year>2021</b:Year>
    <b:Author>
      <b:Author>
        <b:NameList>
          <b:Person>
            <b:Last>Edwards</b:Last>
            <b:First>Ian</b:First>
          </b:Person>
          <b:Person>
            <b:Last>Allen</b:Last>
            <b:Middle>J</b:Middle>
            <b:First>Michael</b:First>
          </b:Person>
        </b:NameList>
      </b:Author>
    </b:Author>
    <b:City>Oxford</b:City>
    <b:Publisher>Oxford University Press</b:Publisher>
    <b:Edition>16</b:Edition>
    <b:RefOrder>19</b:RefOrder>
  </b:Source>
  <b:Source>
    <b:Tag>Qui12</b:Tag>
    <b:SourceType>JournalArticle</b:SourceType>
    <b:Guid>{981866B8-F24D-E34C-A1AF-0E82C324159C}</b:Guid>
    <b:RefOrder>1</b:RefOrder>
  </b:Source>
  <b:Source>
    <b:Tag>Yeo10</b:Tag>
    <b:SourceType>JournalArticle</b:SourceType>
    <b:Guid>{91A32498-A101-D342-85AB-B7334C3D88D9}</b:Guid>
    <b:Title>ENGLISH REFORM OF PROVOCATION AND DIMINISHED RESPONSIBILITY: WHITHER SINGAPORE?</b:Title>
    <b:JournalName>Journal of legal studies</b:JournalName>
    <b:Year>2010</b:Year>
    <b:Pages>177-191</b:Pages>
    <b:Author>
      <b:Author>
        <b:NameList>
          <b:Person>
            <b:Last>Yeo</b:Last>
            <b:First>Stanley</b:First>
          </b:Person>
        </b:NameList>
      </b:Author>
    </b:Autho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0E4A2D-91D3-0D43-8C20-8D98447DA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613</TotalTime>
  <Pages>6</Pages>
  <Words>1810</Words>
  <Characters>10320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What changes did the coroners and justice Act (2009) make to the defence of the diminished responsibilty? Did these amendments change the Law in this area for the better?</vt:lpstr>
    </vt:vector>
  </TitlesOfParts>
  <Company/>
  <LinksUpToDate>false</LinksUpToDate>
  <CharactersWithSpaces>12106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changes did the Coroners and Justice Act (2009) make to the defence of diminished responsibility? Did these amendments change the law in this area for the better?</dc:title>
  <dc:subject/>
  <dc:creator>Cerys Bowen (2203320)</dc:creator>
  <cp:keywords/>
  <dc:description/>
  <cp:lastModifiedBy>Cerys Bowen (2203320)</cp:lastModifiedBy>
  <cp:revision>23</cp:revision>
  <dcterms:created xsi:type="dcterms:W3CDTF">2023-02-10T11:15:00Z</dcterms:created>
  <dcterms:modified xsi:type="dcterms:W3CDTF">2023-03-09T10:24:00Z</dcterms:modified>
</cp:coreProperties>
</file>