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D2A40F" w14:textId="77777777" w:rsidR="00D77B06" w:rsidRPr="0085095D" w:rsidRDefault="00D77B06" w:rsidP="00D77B06">
      <w:pPr>
        <w:pStyle w:val="NoSpacing"/>
        <w:rPr>
          <w:rFonts w:cstheme="minorHAnsi"/>
          <w:sz w:val="20"/>
          <w:szCs w:val="20"/>
        </w:rPr>
      </w:pPr>
      <w:r w:rsidRPr="0085095D">
        <w:rPr>
          <w:rFonts w:cstheme="minorHAnsi"/>
          <w:sz w:val="20"/>
          <w:szCs w:val="20"/>
        </w:rPr>
        <w:t>Alyson Greening</w:t>
      </w:r>
    </w:p>
    <w:p w14:paraId="22ECADD1" w14:textId="77777777" w:rsidR="00D77B06" w:rsidRPr="0085095D" w:rsidRDefault="00D77B06" w:rsidP="00D77B06">
      <w:pPr>
        <w:pStyle w:val="NoSpacing"/>
        <w:rPr>
          <w:rFonts w:cstheme="minorHAnsi"/>
          <w:sz w:val="20"/>
          <w:szCs w:val="20"/>
        </w:rPr>
      </w:pPr>
      <w:r w:rsidRPr="0085095D">
        <w:rPr>
          <w:rFonts w:cstheme="minorHAnsi"/>
          <w:sz w:val="20"/>
          <w:szCs w:val="20"/>
        </w:rPr>
        <w:t>HPHI7016</w:t>
      </w:r>
    </w:p>
    <w:p w14:paraId="6CD4E0A6" w14:textId="77777777" w:rsidR="00D77B06" w:rsidRPr="0085095D" w:rsidRDefault="00D77B06" w:rsidP="00D77B06">
      <w:pPr>
        <w:pStyle w:val="NoSpacing"/>
        <w:rPr>
          <w:rFonts w:cstheme="minorHAnsi"/>
          <w:sz w:val="20"/>
          <w:szCs w:val="20"/>
        </w:rPr>
      </w:pPr>
      <w:r w:rsidRPr="0085095D">
        <w:rPr>
          <w:rFonts w:cstheme="minorHAnsi"/>
          <w:sz w:val="20"/>
          <w:szCs w:val="20"/>
        </w:rPr>
        <w:t>Past Peoples, Present Societies: Research Methods and Skills</w:t>
      </w:r>
    </w:p>
    <w:p w14:paraId="3DBB2336" w14:textId="77777777" w:rsidR="00D77B06" w:rsidRDefault="00D77B06" w:rsidP="00D77B06">
      <w:pPr>
        <w:pStyle w:val="NoSpacing"/>
        <w:rPr>
          <w:rFonts w:cstheme="minorHAnsi"/>
          <w:sz w:val="20"/>
          <w:szCs w:val="20"/>
        </w:rPr>
      </w:pPr>
      <w:r w:rsidRPr="0085095D">
        <w:rPr>
          <w:rFonts w:cstheme="minorHAnsi"/>
          <w:sz w:val="20"/>
          <w:szCs w:val="20"/>
        </w:rPr>
        <w:t>3rd December 2023</w:t>
      </w:r>
    </w:p>
    <w:p w14:paraId="3EBF558E" w14:textId="77777777" w:rsidR="00D77B06" w:rsidRDefault="00D77B06" w:rsidP="00D77B06">
      <w:pPr>
        <w:pStyle w:val="NoSpacing"/>
        <w:rPr>
          <w:rFonts w:cstheme="minorHAnsi"/>
          <w:sz w:val="20"/>
          <w:szCs w:val="20"/>
        </w:rPr>
      </w:pPr>
    </w:p>
    <w:p w14:paraId="765E788C" w14:textId="77777777" w:rsidR="00D77B06" w:rsidRDefault="00D77B06" w:rsidP="00D77B06">
      <w:pPr>
        <w:pStyle w:val="NoSpacing"/>
        <w:rPr>
          <w:rFonts w:cstheme="minorHAnsi"/>
          <w:sz w:val="20"/>
          <w:szCs w:val="20"/>
        </w:rPr>
      </w:pPr>
    </w:p>
    <w:p w14:paraId="348B0B4F" w14:textId="77777777" w:rsidR="00D77B06" w:rsidRDefault="00D77B06" w:rsidP="00D77B06">
      <w:pPr>
        <w:pStyle w:val="NoSpacing"/>
        <w:rPr>
          <w:rFonts w:cstheme="minorHAnsi"/>
          <w:sz w:val="20"/>
          <w:szCs w:val="20"/>
        </w:rPr>
      </w:pPr>
    </w:p>
    <w:p w14:paraId="6D917975" w14:textId="4826BD17" w:rsidR="00A07331" w:rsidRDefault="00D77B06" w:rsidP="00D77B06">
      <w:pPr>
        <w:pStyle w:val="NoSpacing"/>
        <w:jc w:val="center"/>
        <w:rPr>
          <w:sz w:val="24"/>
          <w:szCs w:val="24"/>
          <w:u w:val="single"/>
        </w:rPr>
      </w:pPr>
      <w:r w:rsidRPr="00D77B06">
        <w:rPr>
          <w:rFonts w:cstheme="minorHAnsi"/>
          <w:sz w:val="24"/>
          <w:szCs w:val="24"/>
          <w:u w:val="single"/>
        </w:rPr>
        <w:t>Assessment Three Database Exercise</w:t>
      </w:r>
    </w:p>
    <w:p w14:paraId="6AD5C5A0" w14:textId="77777777" w:rsidR="00D77B06" w:rsidRDefault="00D77B06" w:rsidP="00D77B06">
      <w:pPr>
        <w:pStyle w:val="NoSpacing"/>
        <w:jc w:val="center"/>
        <w:rPr>
          <w:sz w:val="24"/>
          <w:szCs w:val="24"/>
          <w:u w:val="single"/>
        </w:rPr>
      </w:pPr>
    </w:p>
    <w:p w14:paraId="23406F06" w14:textId="5C0866B1" w:rsidR="00D77B06" w:rsidRDefault="009E1269" w:rsidP="001B1DE9">
      <w:pPr>
        <w:pStyle w:val="NoSpacing"/>
        <w:spacing w:line="480" w:lineRule="auto"/>
        <w:rPr>
          <w:sz w:val="24"/>
          <w:szCs w:val="24"/>
        </w:rPr>
      </w:pPr>
      <w:r>
        <w:rPr>
          <w:sz w:val="24"/>
          <w:szCs w:val="24"/>
        </w:rPr>
        <w:t>Database research can be a valuable tool when carrying out historical investigations</w:t>
      </w:r>
      <w:r w:rsidR="00B1066E">
        <w:rPr>
          <w:sz w:val="24"/>
          <w:szCs w:val="24"/>
        </w:rPr>
        <w:t xml:space="preserve"> as they </w:t>
      </w:r>
      <w:r w:rsidR="000B695D">
        <w:rPr>
          <w:sz w:val="24"/>
          <w:szCs w:val="24"/>
        </w:rPr>
        <w:t xml:space="preserve">contain information in a format that is easy to understand and filter </w:t>
      </w:r>
      <w:r w:rsidR="00F578D1">
        <w:rPr>
          <w:sz w:val="24"/>
          <w:szCs w:val="24"/>
        </w:rPr>
        <w:t>to</w:t>
      </w:r>
      <w:r w:rsidR="000B695D">
        <w:rPr>
          <w:sz w:val="24"/>
          <w:szCs w:val="24"/>
        </w:rPr>
        <w:t xml:space="preserve"> get</w:t>
      </w:r>
      <w:r w:rsidR="00713D9E">
        <w:rPr>
          <w:sz w:val="24"/>
          <w:szCs w:val="24"/>
        </w:rPr>
        <w:t xml:space="preserve"> evidence relating to a particular topic.  One such database is</w:t>
      </w:r>
      <w:r w:rsidR="00B82A79">
        <w:rPr>
          <w:sz w:val="24"/>
          <w:szCs w:val="24"/>
        </w:rPr>
        <w:t xml:space="preserve"> the Transatlantic Slave Trade Database (TSD)</w:t>
      </w:r>
      <w:r w:rsidR="003109DE">
        <w:rPr>
          <w:sz w:val="24"/>
          <w:szCs w:val="24"/>
        </w:rPr>
        <w:t>.</w:t>
      </w:r>
      <w:r w:rsidR="00B82A79">
        <w:rPr>
          <w:rStyle w:val="FootnoteReference"/>
          <w:sz w:val="24"/>
          <w:szCs w:val="24"/>
        </w:rPr>
        <w:footnoteReference w:id="1"/>
      </w:r>
      <w:r w:rsidR="003109DE">
        <w:rPr>
          <w:sz w:val="24"/>
          <w:szCs w:val="24"/>
        </w:rPr>
        <w:t xml:space="preserve"> Using this source, t</w:t>
      </w:r>
      <w:r w:rsidR="00D77B06">
        <w:rPr>
          <w:sz w:val="24"/>
          <w:szCs w:val="24"/>
        </w:rPr>
        <w:t xml:space="preserve">his paper aims to explore the </w:t>
      </w:r>
      <w:r w:rsidR="00291D53">
        <w:rPr>
          <w:sz w:val="24"/>
          <w:szCs w:val="24"/>
        </w:rPr>
        <w:t>v</w:t>
      </w:r>
      <w:r w:rsidR="00D77B06">
        <w:rPr>
          <w:sz w:val="24"/>
          <w:szCs w:val="24"/>
        </w:rPr>
        <w:t xml:space="preserve">oyage of the slave ship, </w:t>
      </w:r>
      <w:r w:rsidR="00B26641" w:rsidRPr="00B26641">
        <w:rPr>
          <w:i/>
          <w:iCs/>
          <w:sz w:val="24"/>
          <w:szCs w:val="24"/>
        </w:rPr>
        <w:t>Hannibal</w:t>
      </w:r>
      <w:r w:rsidR="0098755E">
        <w:rPr>
          <w:sz w:val="24"/>
          <w:szCs w:val="24"/>
        </w:rPr>
        <w:t xml:space="preserve"> </w:t>
      </w:r>
      <w:r w:rsidR="003109DE">
        <w:rPr>
          <w:sz w:val="24"/>
          <w:szCs w:val="24"/>
        </w:rPr>
        <w:t xml:space="preserve"> which set sail from </w:t>
      </w:r>
      <w:r w:rsidR="00517E26">
        <w:rPr>
          <w:sz w:val="24"/>
          <w:szCs w:val="24"/>
        </w:rPr>
        <w:t>England on the twenty fifth of October</w:t>
      </w:r>
      <w:r w:rsidR="00BB6756">
        <w:rPr>
          <w:sz w:val="24"/>
          <w:szCs w:val="24"/>
        </w:rPr>
        <w:t xml:space="preserve"> 1693 under the command of Thomas Phillips, a ship’s captain </w:t>
      </w:r>
      <w:r w:rsidR="000B34C7">
        <w:rPr>
          <w:sz w:val="24"/>
          <w:szCs w:val="24"/>
        </w:rPr>
        <w:t>from Brecon</w:t>
      </w:r>
      <w:r w:rsidR="00D13EB6">
        <w:rPr>
          <w:sz w:val="24"/>
          <w:szCs w:val="24"/>
        </w:rPr>
        <w:t>,</w:t>
      </w:r>
      <w:r w:rsidR="000B34C7">
        <w:rPr>
          <w:sz w:val="24"/>
          <w:szCs w:val="24"/>
        </w:rPr>
        <w:t xml:space="preserve"> and</w:t>
      </w:r>
      <w:r w:rsidR="00D13EB6">
        <w:rPr>
          <w:sz w:val="24"/>
          <w:szCs w:val="24"/>
        </w:rPr>
        <w:t xml:space="preserve"> seventy crew members</w:t>
      </w:r>
      <w:r w:rsidR="007A1C93">
        <w:rPr>
          <w:sz w:val="24"/>
          <w:szCs w:val="24"/>
        </w:rPr>
        <w:t xml:space="preserve"> across the middle passage to Barbados</w:t>
      </w:r>
      <w:r w:rsidR="00D13EB6">
        <w:rPr>
          <w:sz w:val="24"/>
          <w:szCs w:val="24"/>
        </w:rPr>
        <w:t>.</w:t>
      </w:r>
      <w:r w:rsidR="00D13EB6">
        <w:rPr>
          <w:rStyle w:val="FootnoteReference"/>
          <w:sz w:val="24"/>
          <w:szCs w:val="24"/>
        </w:rPr>
        <w:footnoteReference w:id="2"/>
      </w:r>
      <w:r w:rsidR="000B34C7">
        <w:rPr>
          <w:sz w:val="24"/>
          <w:szCs w:val="24"/>
        </w:rPr>
        <w:t xml:space="preserve"> </w:t>
      </w:r>
      <w:r w:rsidR="009A4C12">
        <w:rPr>
          <w:sz w:val="24"/>
          <w:szCs w:val="24"/>
        </w:rPr>
        <w:t xml:space="preserve"> </w:t>
      </w:r>
    </w:p>
    <w:p w14:paraId="3C46D087" w14:textId="77777777" w:rsidR="009A4C12" w:rsidRDefault="009A4C12" w:rsidP="001B1DE9">
      <w:pPr>
        <w:pStyle w:val="NoSpacing"/>
        <w:spacing w:line="480" w:lineRule="auto"/>
        <w:rPr>
          <w:sz w:val="24"/>
          <w:szCs w:val="24"/>
        </w:rPr>
      </w:pPr>
    </w:p>
    <w:p w14:paraId="7126CBF3" w14:textId="1E0E5385" w:rsidR="008D259B" w:rsidRDefault="00520F70" w:rsidP="001B1DE9">
      <w:pPr>
        <w:pStyle w:val="NoSpacing"/>
        <w:spacing w:line="480" w:lineRule="auto"/>
        <w:rPr>
          <w:sz w:val="24"/>
          <w:szCs w:val="24"/>
        </w:rPr>
      </w:pPr>
      <w:r w:rsidRPr="00B26641">
        <w:rPr>
          <w:i/>
          <w:iCs/>
          <w:sz w:val="24"/>
          <w:szCs w:val="24"/>
        </w:rPr>
        <w:t>Hannibal</w:t>
      </w:r>
      <w:r w:rsidRPr="00820EAF">
        <w:rPr>
          <w:i/>
          <w:iCs/>
          <w:sz w:val="24"/>
          <w:szCs w:val="24"/>
        </w:rPr>
        <w:t>’s</w:t>
      </w:r>
      <w:r>
        <w:rPr>
          <w:i/>
          <w:iCs/>
          <w:sz w:val="24"/>
          <w:szCs w:val="24"/>
        </w:rPr>
        <w:t xml:space="preserve"> </w:t>
      </w:r>
      <w:r w:rsidRPr="00520F70">
        <w:rPr>
          <w:sz w:val="24"/>
          <w:szCs w:val="24"/>
        </w:rPr>
        <w:t>first port to buy slaves</w:t>
      </w:r>
      <w:r w:rsidR="00820EAF">
        <w:rPr>
          <w:sz w:val="24"/>
          <w:szCs w:val="24"/>
        </w:rPr>
        <w:t xml:space="preserve"> </w:t>
      </w:r>
      <w:r w:rsidR="005C33CF">
        <w:rPr>
          <w:sz w:val="24"/>
          <w:szCs w:val="24"/>
        </w:rPr>
        <w:t>was Ouidah, Benin</w:t>
      </w:r>
      <w:r w:rsidR="00B70356">
        <w:rPr>
          <w:rStyle w:val="FootnoteReference"/>
          <w:sz w:val="24"/>
          <w:szCs w:val="24"/>
        </w:rPr>
        <w:footnoteReference w:id="3"/>
      </w:r>
      <w:r w:rsidR="00BB0326">
        <w:rPr>
          <w:sz w:val="24"/>
          <w:szCs w:val="24"/>
        </w:rPr>
        <w:t xml:space="preserve"> where </w:t>
      </w:r>
      <w:r w:rsidR="00820EAF">
        <w:rPr>
          <w:sz w:val="24"/>
          <w:szCs w:val="24"/>
        </w:rPr>
        <w:t>it</w:t>
      </w:r>
      <w:r w:rsidR="00BB0326">
        <w:rPr>
          <w:sz w:val="24"/>
          <w:szCs w:val="24"/>
        </w:rPr>
        <w:t xml:space="preserve"> made landfall </w:t>
      </w:r>
      <w:r w:rsidR="00D23CDD">
        <w:rPr>
          <w:sz w:val="24"/>
          <w:szCs w:val="24"/>
        </w:rPr>
        <w:t>in January 1694</w:t>
      </w:r>
      <w:r w:rsidR="005C33CF">
        <w:rPr>
          <w:sz w:val="24"/>
          <w:szCs w:val="24"/>
        </w:rPr>
        <w:t xml:space="preserve">. </w:t>
      </w:r>
      <w:r w:rsidR="00D24198">
        <w:rPr>
          <w:sz w:val="24"/>
          <w:szCs w:val="24"/>
        </w:rPr>
        <w:t>Ouidah</w:t>
      </w:r>
      <w:r w:rsidR="005C33CF">
        <w:rPr>
          <w:sz w:val="24"/>
          <w:szCs w:val="24"/>
        </w:rPr>
        <w:t xml:space="preserve"> </w:t>
      </w:r>
      <w:r w:rsidR="00D24198">
        <w:rPr>
          <w:sz w:val="24"/>
          <w:szCs w:val="24"/>
        </w:rPr>
        <w:t>was</w:t>
      </w:r>
      <w:r w:rsidR="005C33CF">
        <w:rPr>
          <w:sz w:val="24"/>
          <w:szCs w:val="24"/>
        </w:rPr>
        <w:t xml:space="preserve"> one of the busiest slave trading </w:t>
      </w:r>
      <w:r w:rsidR="00D24198">
        <w:rPr>
          <w:sz w:val="24"/>
          <w:szCs w:val="24"/>
        </w:rPr>
        <w:t>ports</w:t>
      </w:r>
      <w:r w:rsidR="005C33CF">
        <w:rPr>
          <w:sz w:val="24"/>
          <w:szCs w:val="24"/>
        </w:rPr>
        <w:t xml:space="preserve"> in Africa</w:t>
      </w:r>
      <w:r w:rsidR="00D24198">
        <w:rPr>
          <w:sz w:val="24"/>
          <w:szCs w:val="24"/>
        </w:rPr>
        <w:t xml:space="preserve"> </w:t>
      </w:r>
      <w:r w:rsidR="00F05CD0">
        <w:rPr>
          <w:sz w:val="24"/>
          <w:szCs w:val="24"/>
        </w:rPr>
        <w:t xml:space="preserve">and it is </w:t>
      </w:r>
      <w:r w:rsidR="002937E3">
        <w:rPr>
          <w:sz w:val="24"/>
          <w:szCs w:val="24"/>
        </w:rPr>
        <w:t>estimate</w:t>
      </w:r>
      <w:r w:rsidR="00F05CD0">
        <w:rPr>
          <w:sz w:val="24"/>
          <w:szCs w:val="24"/>
        </w:rPr>
        <w:t>d that upwards of two million slaves were transported</w:t>
      </w:r>
      <w:r w:rsidR="000603DC">
        <w:rPr>
          <w:sz w:val="24"/>
          <w:szCs w:val="24"/>
        </w:rPr>
        <w:t xml:space="preserve"> during its </w:t>
      </w:r>
      <w:r w:rsidR="00E54A12">
        <w:rPr>
          <w:sz w:val="24"/>
          <w:szCs w:val="24"/>
        </w:rPr>
        <w:t>operation</w:t>
      </w:r>
      <w:r w:rsidR="002937E3">
        <w:rPr>
          <w:sz w:val="24"/>
          <w:szCs w:val="24"/>
        </w:rPr>
        <w:t>.</w:t>
      </w:r>
      <w:r w:rsidR="005C33CF">
        <w:rPr>
          <w:rStyle w:val="FootnoteReference"/>
          <w:sz w:val="24"/>
          <w:szCs w:val="24"/>
        </w:rPr>
        <w:footnoteReference w:id="4"/>
      </w:r>
      <w:r w:rsidR="002937E3">
        <w:rPr>
          <w:sz w:val="24"/>
          <w:szCs w:val="24"/>
        </w:rPr>
        <w:t xml:space="preserve">  From Ouidah, the ship sailed to an unspecified port along Africa’s Gold Coast and </w:t>
      </w:r>
      <w:r w:rsidR="00E54A12">
        <w:rPr>
          <w:sz w:val="24"/>
          <w:szCs w:val="24"/>
        </w:rPr>
        <w:t>on to</w:t>
      </w:r>
      <w:r w:rsidR="002937E3">
        <w:rPr>
          <w:sz w:val="24"/>
          <w:szCs w:val="24"/>
        </w:rPr>
        <w:t xml:space="preserve"> Sao Tome in modern day Ghana</w:t>
      </w:r>
      <w:r w:rsidR="002937E3">
        <w:rPr>
          <w:rStyle w:val="FootnoteReference"/>
          <w:sz w:val="24"/>
          <w:szCs w:val="24"/>
        </w:rPr>
        <w:footnoteReference w:id="5"/>
      </w:r>
      <w:r w:rsidR="002937E3">
        <w:rPr>
          <w:sz w:val="24"/>
          <w:szCs w:val="24"/>
        </w:rPr>
        <w:t xml:space="preserve"> before </w:t>
      </w:r>
      <w:r w:rsidR="00BB0326">
        <w:rPr>
          <w:sz w:val="24"/>
          <w:szCs w:val="24"/>
        </w:rPr>
        <w:t>sailing to Barbados</w:t>
      </w:r>
      <w:r w:rsidR="00D23CDD">
        <w:rPr>
          <w:sz w:val="24"/>
          <w:szCs w:val="24"/>
        </w:rPr>
        <w:t xml:space="preserve"> at the end of July 1694.</w:t>
      </w:r>
      <w:r w:rsidR="00947340">
        <w:rPr>
          <w:sz w:val="24"/>
          <w:szCs w:val="24"/>
        </w:rPr>
        <w:t xml:space="preserve"> </w:t>
      </w:r>
      <w:r w:rsidR="00D23CDD">
        <w:rPr>
          <w:sz w:val="24"/>
          <w:szCs w:val="24"/>
        </w:rPr>
        <w:t xml:space="preserve">  </w:t>
      </w:r>
      <w:r w:rsidR="00E31C18">
        <w:rPr>
          <w:sz w:val="24"/>
          <w:szCs w:val="24"/>
        </w:rPr>
        <w:t xml:space="preserve">The Slave Trade Act of 1788 restricted the numbers of cargo due to concerns about loss of life through disease and infection </w:t>
      </w:r>
      <w:r w:rsidR="00F578D1">
        <w:rPr>
          <w:sz w:val="24"/>
          <w:szCs w:val="24"/>
        </w:rPr>
        <w:t>because of</w:t>
      </w:r>
      <w:r w:rsidR="00E31C18">
        <w:rPr>
          <w:sz w:val="24"/>
          <w:szCs w:val="24"/>
        </w:rPr>
        <w:t xml:space="preserve"> lack of space.   The Act required that no more than 1.67 slaves per tonne were to be transported on a ship weighing up to 207 tonnes, and one slave per tonne thereafter.</w:t>
      </w:r>
      <w:r w:rsidR="00E31C18">
        <w:rPr>
          <w:rStyle w:val="FootnoteReference"/>
          <w:sz w:val="24"/>
          <w:szCs w:val="24"/>
        </w:rPr>
        <w:footnoteReference w:id="6"/>
      </w:r>
      <w:r w:rsidR="00E31C18">
        <w:rPr>
          <w:sz w:val="24"/>
          <w:szCs w:val="24"/>
        </w:rPr>
        <w:t xml:space="preserve">  The </w:t>
      </w:r>
      <w:r w:rsidR="00E31C18" w:rsidRPr="00B26641">
        <w:rPr>
          <w:i/>
          <w:iCs/>
          <w:sz w:val="24"/>
          <w:szCs w:val="24"/>
        </w:rPr>
        <w:t>Hannibal</w:t>
      </w:r>
      <w:r w:rsidR="00E31C18">
        <w:rPr>
          <w:sz w:val="24"/>
          <w:szCs w:val="24"/>
        </w:rPr>
        <w:t xml:space="preserve"> weighed 336.6 standardised tonnes with a permitted load of 475 captives, however it carried at total of  </w:t>
      </w:r>
      <w:r w:rsidR="0043219F">
        <w:rPr>
          <w:sz w:val="24"/>
          <w:szCs w:val="24"/>
        </w:rPr>
        <w:t>700</w:t>
      </w:r>
      <w:r w:rsidR="00E31C18">
        <w:rPr>
          <w:sz w:val="24"/>
          <w:szCs w:val="24"/>
        </w:rPr>
        <w:t xml:space="preserve"> slaves, 2</w:t>
      </w:r>
      <w:r w:rsidR="002F3E62">
        <w:rPr>
          <w:sz w:val="24"/>
          <w:szCs w:val="24"/>
        </w:rPr>
        <w:t>41</w:t>
      </w:r>
      <w:r w:rsidR="00E31C18">
        <w:rPr>
          <w:sz w:val="24"/>
          <w:szCs w:val="24"/>
        </w:rPr>
        <w:t xml:space="preserve"> more that allowed than legally permitted.</w:t>
      </w:r>
      <w:r w:rsidR="00E31C18" w:rsidRPr="001C42BB">
        <w:rPr>
          <w:rStyle w:val="FootnoteReference"/>
          <w:sz w:val="24"/>
          <w:szCs w:val="24"/>
        </w:rPr>
        <w:t xml:space="preserve"> </w:t>
      </w:r>
      <w:r w:rsidR="00E31C18">
        <w:rPr>
          <w:rStyle w:val="FootnoteReference"/>
          <w:sz w:val="24"/>
          <w:szCs w:val="24"/>
        </w:rPr>
        <w:footnoteReference w:id="7"/>
      </w:r>
      <w:r w:rsidR="00E31C18">
        <w:rPr>
          <w:sz w:val="24"/>
          <w:szCs w:val="24"/>
        </w:rPr>
        <w:t xml:space="preserve"> </w:t>
      </w:r>
      <w:r w:rsidR="00E31C18">
        <w:rPr>
          <w:sz w:val="24"/>
          <w:szCs w:val="24"/>
        </w:rPr>
        <w:t xml:space="preserve"> </w:t>
      </w:r>
    </w:p>
    <w:p w14:paraId="3DF88202" w14:textId="30754A67" w:rsidR="0097483E" w:rsidRDefault="00C2180E" w:rsidP="001B1DE9">
      <w:pPr>
        <w:pStyle w:val="NoSpacing"/>
        <w:spacing w:line="480" w:lineRule="auto"/>
        <w:rPr>
          <w:sz w:val="24"/>
          <w:szCs w:val="24"/>
        </w:rPr>
      </w:pPr>
      <w:r>
        <w:rPr>
          <w:sz w:val="24"/>
          <w:szCs w:val="24"/>
        </w:rPr>
        <w:t xml:space="preserve">The TSD shows that it took </w:t>
      </w:r>
      <w:r w:rsidR="00153963">
        <w:rPr>
          <w:sz w:val="24"/>
          <w:szCs w:val="24"/>
        </w:rPr>
        <w:t xml:space="preserve">three months for the </w:t>
      </w:r>
      <w:r w:rsidR="00B26641" w:rsidRPr="00B26641">
        <w:rPr>
          <w:i/>
          <w:iCs/>
          <w:sz w:val="24"/>
          <w:szCs w:val="24"/>
        </w:rPr>
        <w:t>Hannibal</w:t>
      </w:r>
      <w:r w:rsidR="00153963">
        <w:rPr>
          <w:sz w:val="24"/>
          <w:szCs w:val="24"/>
        </w:rPr>
        <w:t xml:space="preserve"> to travel</w:t>
      </w:r>
      <w:r w:rsidR="003C1A14">
        <w:rPr>
          <w:sz w:val="24"/>
          <w:szCs w:val="24"/>
        </w:rPr>
        <w:t xml:space="preserve"> from England to Ouidah</w:t>
      </w:r>
      <w:r w:rsidR="0051508D">
        <w:rPr>
          <w:sz w:val="24"/>
          <w:szCs w:val="24"/>
        </w:rPr>
        <w:t xml:space="preserve"> where it docked on </w:t>
      </w:r>
      <w:r w:rsidR="00C61035">
        <w:rPr>
          <w:sz w:val="24"/>
          <w:szCs w:val="24"/>
        </w:rPr>
        <w:t>the twenty fifth</w:t>
      </w:r>
      <w:r w:rsidR="0051508D">
        <w:rPr>
          <w:sz w:val="24"/>
          <w:szCs w:val="24"/>
        </w:rPr>
        <w:t xml:space="preserve"> January 1694.  </w:t>
      </w:r>
      <w:r w:rsidR="00F57C0D">
        <w:rPr>
          <w:sz w:val="24"/>
          <w:szCs w:val="24"/>
        </w:rPr>
        <w:t xml:space="preserve">The length of the </w:t>
      </w:r>
      <w:r w:rsidR="00027361">
        <w:rPr>
          <w:sz w:val="24"/>
          <w:szCs w:val="24"/>
        </w:rPr>
        <w:t xml:space="preserve">voyage does not appear to be unusual.  For example, the </w:t>
      </w:r>
      <w:r w:rsidR="00C175FC">
        <w:rPr>
          <w:i/>
          <w:iCs/>
          <w:sz w:val="24"/>
          <w:szCs w:val="24"/>
        </w:rPr>
        <w:t>Kendall</w:t>
      </w:r>
      <w:r w:rsidR="00495D20">
        <w:rPr>
          <w:sz w:val="24"/>
          <w:szCs w:val="24"/>
        </w:rPr>
        <w:t>, a lighter Fragata</w:t>
      </w:r>
      <w:r w:rsidR="000F7CF5">
        <w:rPr>
          <w:sz w:val="24"/>
          <w:szCs w:val="24"/>
        </w:rPr>
        <w:t xml:space="preserve"> took nearly five months to </w:t>
      </w:r>
      <w:r w:rsidR="00ED4715">
        <w:rPr>
          <w:sz w:val="24"/>
          <w:szCs w:val="24"/>
        </w:rPr>
        <w:t xml:space="preserve">make shore at Ouidah </w:t>
      </w:r>
      <w:r w:rsidR="0056519E">
        <w:rPr>
          <w:sz w:val="24"/>
          <w:szCs w:val="24"/>
        </w:rPr>
        <w:t>from the start of her voyage</w:t>
      </w:r>
      <w:r w:rsidR="00057E98">
        <w:rPr>
          <w:sz w:val="24"/>
          <w:szCs w:val="24"/>
        </w:rPr>
        <w:t xml:space="preserve"> whilst o</w:t>
      </w:r>
      <w:r w:rsidR="0056519E">
        <w:rPr>
          <w:sz w:val="24"/>
          <w:szCs w:val="24"/>
        </w:rPr>
        <w:t>ther ships took less time</w:t>
      </w:r>
      <w:r w:rsidR="00E96904">
        <w:rPr>
          <w:sz w:val="24"/>
          <w:szCs w:val="24"/>
        </w:rPr>
        <w:t xml:space="preserve">, including the </w:t>
      </w:r>
      <w:r w:rsidR="00E96904" w:rsidRPr="00107A17">
        <w:rPr>
          <w:i/>
          <w:iCs/>
          <w:sz w:val="24"/>
          <w:szCs w:val="24"/>
        </w:rPr>
        <w:t>Falconberg</w:t>
      </w:r>
      <w:r w:rsidR="00E96904">
        <w:rPr>
          <w:sz w:val="24"/>
          <w:szCs w:val="24"/>
        </w:rPr>
        <w:t xml:space="preserve"> under the command of </w:t>
      </w:r>
      <w:r w:rsidR="006259B0">
        <w:rPr>
          <w:sz w:val="24"/>
          <w:szCs w:val="24"/>
        </w:rPr>
        <w:t>Francis Butteram</w:t>
      </w:r>
      <w:r w:rsidR="00C94479">
        <w:rPr>
          <w:sz w:val="24"/>
          <w:szCs w:val="24"/>
        </w:rPr>
        <w:t xml:space="preserve"> which took just over a month to make first port </w:t>
      </w:r>
      <w:r w:rsidR="00C94479">
        <w:rPr>
          <w:rStyle w:val="FootnoteReference"/>
          <w:sz w:val="24"/>
          <w:szCs w:val="24"/>
        </w:rPr>
        <w:footnoteReference w:id="8"/>
      </w:r>
      <w:r w:rsidR="0097483E">
        <w:rPr>
          <w:sz w:val="24"/>
          <w:szCs w:val="24"/>
        </w:rPr>
        <w:t xml:space="preserve">.  </w:t>
      </w:r>
      <w:r w:rsidR="007265E8">
        <w:rPr>
          <w:sz w:val="24"/>
          <w:szCs w:val="24"/>
        </w:rPr>
        <w:t xml:space="preserve">Phillips </w:t>
      </w:r>
      <w:r w:rsidR="00776588">
        <w:rPr>
          <w:sz w:val="24"/>
          <w:szCs w:val="24"/>
        </w:rPr>
        <w:t>gives reason for some of the d</w:t>
      </w:r>
      <w:r w:rsidR="00A4367C">
        <w:rPr>
          <w:sz w:val="24"/>
          <w:szCs w:val="24"/>
        </w:rPr>
        <w:t xml:space="preserve">elay </w:t>
      </w:r>
      <w:r w:rsidR="007265E8">
        <w:rPr>
          <w:sz w:val="24"/>
          <w:szCs w:val="24"/>
        </w:rPr>
        <w:t xml:space="preserve">in his journal where he writes about </w:t>
      </w:r>
      <w:r w:rsidR="001D2108">
        <w:rPr>
          <w:sz w:val="24"/>
          <w:szCs w:val="24"/>
        </w:rPr>
        <w:t>severe weather</w:t>
      </w:r>
      <w:r w:rsidR="007E391B">
        <w:rPr>
          <w:sz w:val="24"/>
          <w:szCs w:val="24"/>
        </w:rPr>
        <w:t xml:space="preserve"> </w:t>
      </w:r>
      <w:r w:rsidR="00402073">
        <w:rPr>
          <w:sz w:val="24"/>
          <w:szCs w:val="24"/>
        </w:rPr>
        <w:t>in the English Channel</w:t>
      </w:r>
      <w:r w:rsidR="00E60F19">
        <w:rPr>
          <w:sz w:val="24"/>
          <w:szCs w:val="24"/>
        </w:rPr>
        <w:t xml:space="preserve"> and the loss of a crew member</w:t>
      </w:r>
      <w:r w:rsidR="00225F73">
        <w:rPr>
          <w:sz w:val="24"/>
          <w:szCs w:val="24"/>
        </w:rPr>
        <w:t xml:space="preserve">.  </w:t>
      </w:r>
      <w:r w:rsidR="00285B10">
        <w:rPr>
          <w:sz w:val="24"/>
          <w:szCs w:val="24"/>
        </w:rPr>
        <w:t>He also writes that a</w:t>
      </w:r>
      <w:r w:rsidR="009D3C17">
        <w:rPr>
          <w:sz w:val="24"/>
          <w:szCs w:val="24"/>
        </w:rPr>
        <w:t xml:space="preserve">s a result of the </w:t>
      </w:r>
      <w:r w:rsidR="00285B10">
        <w:rPr>
          <w:sz w:val="24"/>
          <w:szCs w:val="24"/>
        </w:rPr>
        <w:t>storm, repairs were necessitated.</w:t>
      </w:r>
      <w:r w:rsidR="007F013F">
        <w:rPr>
          <w:rStyle w:val="FootnoteReference"/>
          <w:sz w:val="24"/>
          <w:szCs w:val="24"/>
        </w:rPr>
        <w:footnoteReference w:id="9"/>
      </w:r>
      <w:r w:rsidR="00DE70D4">
        <w:rPr>
          <w:sz w:val="24"/>
          <w:szCs w:val="24"/>
        </w:rPr>
        <w:t xml:space="preserve"> Furthermore, </w:t>
      </w:r>
      <w:r w:rsidR="003B772D">
        <w:rPr>
          <w:sz w:val="24"/>
          <w:szCs w:val="24"/>
        </w:rPr>
        <w:t xml:space="preserve">on the twenty third of November, </w:t>
      </w:r>
      <w:r w:rsidR="0011030D">
        <w:rPr>
          <w:sz w:val="24"/>
          <w:szCs w:val="24"/>
        </w:rPr>
        <w:t xml:space="preserve">the </w:t>
      </w:r>
      <w:r w:rsidR="00B26641" w:rsidRPr="00B26641">
        <w:rPr>
          <w:i/>
          <w:iCs/>
          <w:sz w:val="24"/>
          <w:szCs w:val="24"/>
        </w:rPr>
        <w:t>Hannibal</w:t>
      </w:r>
      <w:r w:rsidR="0011030D" w:rsidRPr="0011030D">
        <w:rPr>
          <w:i/>
          <w:iCs/>
          <w:sz w:val="24"/>
          <w:szCs w:val="24"/>
        </w:rPr>
        <w:t xml:space="preserve"> </w:t>
      </w:r>
      <w:r w:rsidR="00E45584">
        <w:rPr>
          <w:sz w:val="24"/>
          <w:szCs w:val="24"/>
        </w:rPr>
        <w:t xml:space="preserve">battled a French frigate resulting in the loss of </w:t>
      </w:r>
      <w:r w:rsidR="003F10E4">
        <w:rPr>
          <w:sz w:val="24"/>
          <w:szCs w:val="24"/>
        </w:rPr>
        <w:t>thirty-seven</w:t>
      </w:r>
      <w:r w:rsidR="00971DD2">
        <w:rPr>
          <w:sz w:val="24"/>
          <w:szCs w:val="24"/>
        </w:rPr>
        <w:t xml:space="preserve"> dead and wounded crew</w:t>
      </w:r>
      <w:r w:rsidR="00A4367C">
        <w:rPr>
          <w:sz w:val="24"/>
          <w:szCs w:val="24"/>
        </w:rPr>
        <w:t xml:space="preserve"> </w:t>
      </w:r>
      <w:r w:rsidR="003F10E4">
        <w:rPr>
          <w:sz w:val="24"/>
          <w:szCs w:val="24"/>
        </w:rPr>
        <w:t>and a</w:t>
      </w:r>
      <w:r w:rsidR="00764B56">
        <w:rPr>
          <w:sz w:val="24"/>
          <w:szCs w:val="24"/>
        </w:rPr>
        <w:t xml:space="preserve">gain, repairs to the ship were needed and so </w:t>
      </w:r>
      <w:r w:rsidR="001D2108">
        <w:rPr>
          <w:sz w:val="24"/>
          <w:szCs w:val="24"/>
        </w:rPr>
        <w:t>further work on the ship was carried out at</w:t>
      </w:r>
      <w:r w:rsidR="003F10E4">
        <w:rPr>
          <w:sz w:val="24"/>
          <w:szCs w:val="24"/>
        </w:rPr>
        <w:t xml:space="preserve"> </w:t>
      </w:r>
      <w:r w:rsidR="0020072E">
        <w:rPr>
          <w:sz w:val="24"/>
          <w:szCs w:val="24"/>
        </w:rPr>
        <w:t xml:space="preserve"> </w:t>
      </w:r>
      <w:r w:rsidR="00E37384">
        <w:rPr>
          <w:sz w:val="24"/>
          <w:szCs w:val="24"/>
        </w:rPr>
        <w:t>St Jago</w:t>
      </w:r>
      <w:r w:rsidR="00EA008F">
        <w:rPr>
          <w:sz w:val="24"/>
          <w:szCs w:val="24"/>
        </w:rPr>
        <w:t xml:space="preserve"> before arriving in Ouidah</w:t>
      </w:r>
      <w:r w:rsidR="003F10E4">
        <w:rPr>
          <w:sz w:val="24"/>
          <w:szCs w:val="24"/>
        </w:rPr>
        <w:t>.</w:t>
      </w:r>
      <w:r w:rsidR="008824FB">
        <w:rPr>
          <w:rStyle w:val="FootnoteReference"/>
          <w:sz w:val="24"/>
          <w:szCs w:val="24"/>
        </w:rPr>
        <w:footnoteReference w:id="10"/>
      </w:r>
      <w:r w:rsidR="00A4367C">
        <w:rPr>
          <w:sz w:val="24"/>
          <w:szCs w:val="24"/>
        </w:rPr>
        <w:t xml:space="preserve"> </w:t>
      </w:r>
      <w:r w:rsidR="00764B56">
        <w:rPr>
          <w:sz w:val="24"/>
          <w:szCs w:val="24"/>
        </w:rPr>
        <w:t xml:space="preserve"> </w:t>
      </w:r>
      <w:r w:rsidR="00EA008F">
        <w:rPr>
          <w:sz w:val="24"/>
          <w:szCs w:val="24"/>
        </w:rPr>
        <w:t xml:space="preserve"> </w:t>
      </w:r>
      <w:r w:rsidR="002E41A9">
        <w:rPr>
          <w:sz w:val="24"/>
          <w:szCs w:val="24"/>
        </w:rPr>
        <w:t xml:space="preserve">Phillips’ journal indicates that it took approximately nine weeks in May of 1694 to </w:t>
      </w:r>
      <w:r w:rsidR="005A64D5">
        <w:rPr>
          <w:sz w:val="24"/>
          <w:szCs w:val="24"/>
        </w:rPr>
        <w:t xml:space="preserve">procure </w:t>
      </w:r>
      <w:r w:rsidR="00245753">
        <w:rPr>
          <w:sz w:val="24"/>
          <w:szCs w:val="24"/>
        </w:rPr>
        <w:t>684</w:t>
      </w:r>
      <w:r w:rsidR="005A64D5">
        <w:rPr>
          <w:sz w:val="24"/>
          <w:szCs w:val="24"/>
        </w:rPr>
        <w:t xml:space="preserve"> </w:t>
      </w:r>
      <w:r w:rsidR="00831E63">
        <w:rPr>
          <w:sz w:val="24"/>
          <w:szCs w:val="24"/>
        </w:rPr>
        <w:t>slaves</w:t>
      </w:r>
      <w:r w:rsidR="005A64D5">
        <w:rPr>
          <w:rStyle w:val="FootnoteReference"/>
          <w:sz w:val="24"/>
          <w:szCs w:val="24"/>
        </w:rPr>
        <w:footnoteReference w:id="11"/>
      </w:r>
      <w:r w:rsidR="002F5989">
        <w:rPr>
          <w:sz w:val="24"/>
          <w:szCs w:val="24"/>
        </w:rPr>
        <w:t xml:space="preserve">, </w:t>
      </w:r>
      <w:r w:rsidR="00EA008F">
        <w:rPr>
          <w:sz w:val="24"/>
          <w:szCs w:val="24"/>
        </w:rPr>
        <w:t>but the</w:t>
      </w:r>
      <w:r w:rsidR="002F5989">
        <w:rPr>
          <w:sz w:val="24"/>
          <w:szCs w:val="24"/>
        </w:rPr>
        <w:t xml:space="preserve"> </w:t>
      </w:r>
      <w:r w:rsidR="00A73215">
        <w:rPr>
          <w:sz w:val="24"/>
          <w:szCs w:val="24"/>
        </w:rPr>
        <w:t xml:space="preserve">TSD indicates that </w:t>
      </w:r>
      <w:r w:rsidR="002F5989">
        <w:rPr>
          <w:sz w:val="24"/>
          <w:szCs w:val="24"/>
        </w:rPr>
        <w:t>he was unable to commence the crossing until July of that year</w:t>
      </w:r>
      <w:r w:rsidR="00A73215">
        <w:rPr>
          <w:rStyle w:val="FootnoteReference"/>
          <w:sz w:val="24"/>
          <w:szCs w:val="24"/>
        </w:rPr>
        <w:footnoteReference w:id="12"/>
      </w:r>
      <w:r w:rsidR="00A73215">
        <w:rPr>
          <w:sz w:val="24"/>
          <w:szCs w:val="24"/>
        </w:rPr>
        <w:t>.</w:t>
      </w:r>
      <w:r w:rsidR="00C32601">
        <w:rPr>
          <w:sz w:val="24"/>
          <w:szCs w:val="24"/>
        </w:rPr>
        <w:t xml:space="preserve"> </w:t>
      </w:r>
      <w:r w:rsidR="00A47313">
        <w:rPr>
          <w:sz w:val="24"/>
          <w:szCs w:val="24"/>
        </w:rPr>
        <w:t>This was</w:t>
      </w:r>
      <w:r w:rsidR="0080078C">
        <w:rPr>
          <w:sz w:val="24"/>
          <w:szCs w:val="24"/>
        </w:rPr>
        <w:t xml:space="preserve"> possibly</w:t>
      </w:r>
      <w:r w:rsidR="00A47313">
        <w:rPr>
          <w:sz w:val="24"/>
          <w:szCs w:val="24"/>
        </w:rPr>
        <w:t xml:space="preserve"> due to </w:t>
      </w:r>
      <w:r w:rsidR="0086139F">
        <w:rPr>
          <w:sz w:val="24"/>
          <w:szCs w:val="24"/>
        </w:rPr>
        <w:t>a stop in</w:t>
      </w:r>
      <w:r w:rsidR="00A47313">
        <w:rPr>
          <w:sz w:val="24"/>
          <w:szCs w:val="24"/>
        </w:rPr>
        <w:t xml:space="preserve"> St Thomas</w:t>
      </w:r>
      <w:r w:rsidR="007B06F2">
        <w:rPr>
          <w:sz w:val="24"/>
          <w:szCs w:val="24"/>
        </w:rPr>
        <w:t>.</w:t>
      </w:r>
      <w:r w:rsidR="007B06F2">
        <w:rPr>
          <w:rStyle w:val="FootnoteReference"/>
          <w:sz w:val="24"/>
          <w:szCs w:val="24"/>
        </w:rPr>
        <w:footnoteReference w:id="13"/>
      </w:r>
      <w:r w:rsidR="007B06F2">
        <w:rPr>
          <w:sz w:val="24"/>
          <w:szCs w:val="24"/>
        </w:rPr>
        <w:t xml:space="preserve"> </w:t>
      </w:r>
    </w:p>
    <w:p w14:paraId="6E4A2614" w14:textId="4E561327" w:rsidR="008C4D33" w:rsidRDefault="00F569EB" w:rsidP="001B1DE9">
      <w:pPr>
        <w:pStyle w:val="NoSpacing"/>
        <w:spacing w:line="480" w:lineRule="auto"/>
      </w:pPr>
      <w:r>
        <w:rPr>
          <w:sz w:val="24"/>
          <w:szCs w:val="24"/>
        </w:rPr>
        <w:t xml:space="preserve">The TSD states that following a crossing of one hundred days, </w:t>
      </w:r>
      <w:r w:rsidRPr="00B26641">
        <w:rPr>
          <w:i/>
          <w:iCs/>
          <w:sz w:val="24"/>
          <w:szCs w:val="24"/>
        </w:rPr>
        <w:t>Hannibal</w:t>
      </w:r>
      <w:r>
        <w:rPr>
          <w:sz w:val="24"/>
          <w:szCs w:val="24"/>
        </w:rPr>
        <w:t xml:space="preserve"> arrived in Barbados in November 1694 carrying 372 captives.  328 slaves died during the crossing. </w:t>
      </w:r>
      <w:r w:rsidR="00B3540E">
        <w:rPr>
          <w:sz w:val="24"/>
          <w:szCs w:val="24"/>
        </w:rPr>
        <w:t xml:space="preserve"> </w:t>
      </w:r>
      <w:r w:rsidR="00547321">
        <w:rPr>
          <w:sz w:val="24"/>
          <w:szCs w:val="24"/>
        </w:rPr>
        <w:t>Whilst it was commonplace to lose slaves on a voyage across the middle passage</w:t>
      </w:r>
      <w:r w:rsidR="000B440A">
        <w:rPr>
          <w:sz w:val="24"/>
          <w:szCs w:val="24"/>
        </w:rPr>
        <w:t xml:space="preserve">, at </w:t>
      </w:r>
      <w:r w:rsidR="009E3B93">
        <w:rPr>
          <w:sz w:val="24"/>
          <w:szCs w:val="24"/>
        </w:rPr>
        <w:t>forty seven percent</w:t>
      </w:r>
      <w:r w:rsidR="00C94355">
        <w:rPr>
          <w:sz w:val="24"/>
          <w:szCs w:val="24"/>
        </w:rPr>
        <w:t xml:space="preserve"> </w:t>
      </w:r>
      <w:r w:rsidR="00B26641" w:rsidRPr="00B26641">
        <w:rPr>
          <w:i/>
          <w:iCs/>
          <w:sz w:val="24"/>
          <w:szCs w:val="24"/>
        </w:rPr>
        <w:t>Hannibal</w:t>
      </w:r>
      <w:r w:rsidR="00C94355">
        <w:rPr>
          <w:sz w:val="24"/>
          <w:szCs w:val="24"/>
        </w:rPr>
        <w:t xml:space="preserve"> lost </w:t>
      </w:r>
      <w:r w:rsidR="00F578D1">
        <w:rPr>
          <w:sz w:val="24"/>
          <w:szCs w:val="24"/>
        </w:rPr>
        <w:t>more</w:t>
      </w:r>
      <w:r w:rsidR="0088710D">
        <w:rPr>
          <w:sz w:val="24"/>
          <w:szCs w:val="24"/>
        </w:rPr>
        <w:t xml:space="preserve"> slaves than other comparable </w:t>
      </w:r>
      <w:r w:rsidR="00D5603F">
        <w:rPr>
          <w:sz w:val="24"/>
          <w:szCs w:val="24"/>
        </w:rPr>
        <w:t>voyages</w:t>
      </w:r>
      <w:r w:rsidR="00861C19">
        <w:rPr>
          <w:sz w:val="24"/>
          <w:szCs w:val="24"/>
        </w:rPr>
        <w:t>.</w:t>
      </w:r>
      <w:r w:rsidR="00BD51FE">
        <w:rPr>
          <w:sz w:val="24"/>
          <w:szCs w:val="24"/>
        </w:rPr>
        <w:t xml:space="preserve"> For </w:t>
      </w:r>
      <w:r w:rsidR="003410CA">
        <w:rPr>
          <w:sz w:val="24"/>
          <w:szCs w:val="24"/>
        </w:rPr>
        <w:t>example,</w:t>
      </w:r>
      <w:r w:rsidR="00BD51FE">
        <w:rPr>
          <w:sz w:val="24"/>
          <w:szCs w:val="24"/>
        </w:rPr>
        <w:t xml:space="preserve"> </w:t>
      </w:r>
      <w:r w:rsidR="00BD51FE">
        <w:rPr>
          <w:i/>
          <w:iCs/>
          <w:sz w:val="24"/>
          <w:szCs w:val="24"/>
        </w:rPr>
        <w:t>Kendall</w:t>
      </w:r>
      <w:r w:rsidR="00BD51FE">
        <w:rPr>
          <w:sz w:val="24"/>
          <w:szCs w:val="24"/>
        </w:rPr>
        <w:t xml:space="preserve"> lost </w:t>
      </w:r>
      <w:r w:rsidR="009E3B93">
        <w:rPr>
          <w:sz w:val="24"/>
          <w:szCs w:val="24"/>
        </w:rPr>
        <w:t>four percent</w:t>
      </w:r>
      <w:r w:rsidR="00471BC5">
        <w:rPr>
          <w:sz w:val="24"/>
          <w:szCs w:val="24"/>
        </w:rPr>
        <w:t xml:space="preserve">, </w:t>
      </w:r>
      <w:r w:rsidR="00471BC5">
        <w:rPr>
          <w:i/>
          <w:iCs/>
          <w:sz w:val="24"/>
          <w:szCs w:val="24"/>
        </w:rPr>
        <w:t>Falconberg</w:t>
      </w:r>
      <w:r w:rsidR="00471BC5">
        <w:rPr>
          <w:sz w:val="24"/>
          <w:szCs w:val="24"/>
        </w:rPr>
        <w:t xml:space="preserve"> lost </w:t>
      </w:r>
      <w:r w:rsidR="009E3B93">
        <w:rPr>
          <w:sz w:val="24"/>
          <w:szCs w:val="24"/>
        </w:rPr>
        <w:t>eleven percent</w:t>
      </w:r>
      <w:r w:rsidR="00A269C8">
        <w:rPr>
          <w:sz w:val="24"/>
          <w:szCs w:val="24"/>
        </w:rPr>
        <w:t>,</w:t>
      </w:r>
      <w:r w:rsidR="00AA7F6F">
        <w:rPr>
          <w:sz w:val="24"/>
          <w:szCs w:val="24"/>
        </w:rPr>
        <w:t xml:space="preserve"> Scept</w:t>
      </w:r>
      <w:r w:rsidR="002A3537">
        <w:rPr>
          <w:sz w:val="24"/>
          <w:szCs w:val="24"/>
        </w:rPr>
        <w:t>er</w:t>
      </w:r>
      <w:r w:rsidR="00AA7F6F">
        <w:rPr>
          <w:sz w:val="24"/>
          <w:szCs w:val="24"/>
        </w:rPr>
        <w:t xml:space="preserve"> lost </w:t>
      </w:r>
      <w:r w:rsidR="009E3B93">
        <w:rPr>
          <w:sz w:val="24"/>
          <w:szCs w:val="24"/>
        </w:rPr>
        <w:t>twenty four percent</w:t>
      </w:r>
      <w:r w:rsidR="00EB40F2">
        <w:rPr>
          <w:sz w:val="24"/>
          <w:szCs w:val="24"/>
        </w:rPr>
        <w:t xml:space="preserve"> and </w:t>
      </w:r>
      <w:r w:rsidR="00EB40F2">
        <w:rPr>
          <w:i/>
          <w:iCs/>
          <w:sz w:val="24"/>
          <w:szCs w:val="24"/>
        </w:rPr>
        <w:t>John Bonadventure</w:t>
      </w:r>
      <w:r w:rsidR="00C92DB8">
        <w:t xml:space="preserve"> </w:t>
      </w:r>
      <w:r w:rsidR="00EB40F2">
        <w:t xml:space="preserve">lost </w:t>
      </w:r>
      <w:r w:rsidR="009E3B93">
        <w:t>fifteen percent</w:t>
      </w:r>
      <w:r w:rsidR="00B01E53">
        <w:t>.</w:t>
      </w:r>
      <w:r w:rsidR="00B01E53">
        <w:rPr>
          <w:rStyle w:val="FootnoteReference"/>
          <w:sz w:val="24"/>
          <w:szCs w:val="24"/>
        </w:rPr>
        <w:footnoteReference w:id="14"/>
      </w:r>
      <w:r w:rsidR="00E95E89">
        <w:t xml:space="preserve"> </w:t>
      </w:r>
      <w:r w:rsidR="00D437D5">
        <w:t xml:space="preserve"> </w:t>
      </w:r>
      <w:r w:rsidR="00840B34">
        <w:t>Thomas notes that</w:t>
      </w:r>
      <w:r w:rsidR="001D1988">
        <w:t xml:space="preserve"> </w:t>
      </w:r>
      <w:r w:rsidR="00202421">
        <w:t>the death of so many</w:t>
      </w:r>
      <w:r w:rsidR="00827510">
        <w:t xml:space="preserve"> slaves was considerable, writing that </w:t>
      </w:r>
      <w:r w:rsidR="001D1988">
        <w:t>‘the lo[s]s in all amounted to near</w:t>
      </w:r>
      <w:r w:rsidR="004F4941">
        <w:t xml:space="preserve"> 6560 sterling’</w:t>
      </w:r>
      <w:r w:rsidR="004F4941">
        <w:rPr>
          <w:rStyle w:val="FootnoteReference"/>
        </w:rPr>
        <w:footnoteReference w:id="15"/>
      </w:r>
      <w:r w:rsidR="00602996">
        <w:t>.  The TSD states that the cash price for the slaves was</w:t>
      </w:r>
      <w:r w:rsidR="00F6407C">
        <w:t xml:space="preserve"> £</w:t>
      </w:r>
      <w:r w:rsidR="00C82E8C">
        <w:t>21.77</w:t>
      </w:r>
      <w:r w:rsidR="002E78B8">
        <w:t xml:space="preserve"> each</w:t>
      </w:r>
      <w:r w:rsidR="002E78B8">
        <w:rPr>
          <w:rStyle w:val="FootnoteReference"/>
        </w:rPr>
        <w:footnoteReference w:id="16"/>
      </w:r>
      <w:r w:rsidR="00F6407C">
        <w:t xml:space="preserve"> but this is disputed in Thomas’ journal where he </w:t>
      </w:r>
      <w:r w:rsidR="00872CF9">
        <w:t>posits a figure of nineteen pounds</w:t>
      </w:r>
      <w:r w:rsidR="002E78B8">
        <w:t xml:space="preserve"> per slave</w:t>
      </w:r>
      <w:r w:rsidR="000C1748">
        <w:t>.</w:t>
      </w:r>
      <w:r w:rsidR="00656494">
        <w:rPr>
          <w:rStyle w:val="FootnoteReference"/>
        </w:rPr>
        <w:footnoteReference w:id="17"/>
      </w:r>
      <w:r w:rsidR="00F762B8">
        <w:t xml:space="preserve"> Thomas records the reason for the loss of life as being </w:t>
      </w:r>
      <w:r w:rsidR="000F4264">
        <w:t>caused by ‘white flux’ or dysentery</w:t>
      </w:r>
      <w:r w:rsidR="00B92017">
        <w:rPr>
          <w:rStyle w:val="FootnoteReference"/>
        </w:rPr>
        <w:footnoteReference w:id="18"/>
      </w:r>
      <w:r w:rsidR="00432E82">
        <w:t xml:space="preserve">, </w:t>
      </w:r>
      <w:r w:rsidR="00432E82">
        <w:lastRenderedPageBreak/>
        <w:t xml:space="preserve">potentially due to drinking foul water and contaminated rum on the </w:t>
      </w:r>
      <w:r w:rsidR="000B50E6">
        <w:t>Island of St Thomas</w:t>
      </w:r>
      <w:r w:rsidR="000B50E6">
        <w:rPr>
          <w:rStyle w:val="FootnoteReference"/>
        </w:rPr>
        <w:footnoteReference w:id="19"/>
      </w:r>
      <w:r w:rsidR="008227BB">
        <w:t xml:space="preserve"> </w:t>
      </w:r>
      <w:r w:rsidR="00612379">
        <w:t xml:space="preserve">and whilst this may be an accurate account, </w:t>
      </w:r>
      <w:r w:rsidR="00F20C22">
        <w:t xml:space="preserve">the fact that the ship was overloaded suggests that </w:t>
      </w:r>
      <w:r w:rsidR="007B4927">
        <w:t>infection would have spread very quickly</w:t>
      </w:r>
      <w:r w:rsidR="00141D8E">
        <w:t xml:space="preserve"> and with greater mortality</w:t>
      </w:r>
      <w:r w:rsidR="007B4927">
        <w:t xml:space="preserve">. </w:t>
      </w:r>
      <w:r w:rsidR="008C4D33">
        <w:t xml:space="preserve"> </w:t>
      </w:r>
    </w:p>
    <w:p w14:paraId="214B59B2" w14:textId="41897708" w:rsidR="00547321" w:rsidRDefault="008227BB" w:rsidP="001B1DE9">
      <w:pPr>
        <w:pStyle w:val="NoSpacing"/>
        <w:spacing w:line="480" w:lineRule="auto"/>
      </w:pPr>
      <w:r>
        <w:t>The</w:t>
      </w:r>
      <w:r w:rsidR="00141D8E">
        <w:t xml:space="preserve"> TSD does not </w:t>
      </w:r>
      <w:r>
        <w:t>indicat</w:t>
      </w:r>
      <w:r w:rsidR="00141D8E">
        <w:t>e</w:t>
      </w:r>
      <w:r w:rsidR="00396B03">
        <w:t xml:space="preserve"> when the </w:t>
      </w:r>
      <w:r w:rsidR="00B26641" w:rsidRPr="00B26641">
        <w:rPr>
          <w:i/>
          <w:iCs/>
        </w:rPr>
        <w:t>Hannibal</w:t>
      </w:r>
      <w:r w:rsidR="00396B03">
        <w:rPr>
          <w:i/>
          <w:iCs/>
        </w:rPr>
        <w:t xml:space="preserve"> </w:t>
      </w:r>
      <w:r w:rsidR="00396B03">
        <w:t xml:space="preserve">arrived back in London on the database, but </w:t>
      </w:r>
      <w:r w:rsidR="009522A7">
        <w:t xml:space="preserve">it </w:t>
      </w:r>
      <w:proofErr w:type="gramStart"/>
      <w:r w:rsidR="009522A7">
        <w:t>appears to have</w:t>
      </w:r>
      <w:proofErr w:type="gramEnd"/>
      <w:r w:rsidR="009522A7">
        <w:t xml:space="preserve"> left Barbados on the second of April </w:t>
      </w:r>
      <w:r w:rsidR="00060A0D">
        <w:t>169</w:t>
      </w:r>
      <w:r w:rsidR="00ED2F06">
        <w:t>5</w:t>
      </w:r>
      <w:r w:rsidR="00C63601">
        <w:t xml:space="preserve">, some </w:t>
      </w:r>
      <w:r w:rsidR="001A5681">
        <w:t>five months after arriving</w:t>
      </w:r>
      <w:r w:rsidR="00057DBB">
        <w:t xml:space="preserve"> which is about two months longer than the </w:t>
      </w:r>
      <w:r w:rsidR="002F2B6C">
        <w:t xml:space="preserve">data from the </w:t>
      </w:r>
      <w:r w:rsidR="00057DBB">
        <w:t>ships used for comparison</w:t>
      </w:r>
      <w:r w:rsidR="002F2B6C">
        <w:t xml:space="preserve"> from the TSD</w:t>
      </w:r>
      <w:r w:rsidR="00057DBB">
        <w:rPr>
          <w:rStyle w:val="FootnoteReference"/>
        </w:rPr>
        <w:footnoteReference w:id="20"/>
      </w:r>
      <w:r w:rsidR="001A5681">
        <w:t xml:space="preserve">.  </w:t>
      </w:r>
      <w:r w:rsidR="00BC19C2">
        <w:t xml:space="preserve">This </w:t>
      </w:r>
      <w:r w:rsidR="00057DBB">
        <w:t>delay</w:t>
      </w:r>
      <w:r w:rsidR="00A57FB7">
        <w:t xml:space="preserve"> may be explained by Phillips</w:t>
      </w:r>
      <w:r w:rsidR="00057DBB">
        <w:t xml:space="preserve"> who wrote that </w:t>
      </w:r>
      <w:r w:rsidR="00CA47AA">
        <w:t xml:space="preserve">the island was firstly hit by a hurricane and soon after by plague, </w:t>
      </w:r>
      <w:r w:rsidR="00033F56">
        <w:t>causing the deaths of a further eighteen crew.</w:t>
      </w:r>
      <w:r w:rsidR="00033F56">
        <w:rPr>
          <w:rStyle w:val="FootnoteReference"/>
        </w:rPr>
        <w:footnoteReference w:id="21"/>
      </w:r>
      <w:r w:rsidR="008B3A86">
        <w:t xml:space="preserve"> </w:t>
      </w:r>
      <w:r w:rsidR="00B1223B">
        <w:t xml:space="preserve">Phillips states that </w:t>
      </w:r>
      <w:r w:rsidR="00B26641" w:rsidRPr="00B26641">
        <w:rPr>
          <w:i/>
          <w:iCs/>
        </w:rPr>
        <w:t>Hannibal</w:t>
      </w:r>
      <w:r w:rsidR="00B1223B">
        <w:rPr>
          <w:i/>
          <w:iCs/>
        </w:rPr>
        <w:t xml:space="preserve"> </w:t>
      </w:r>
      <w:r w:rsidR="00B1223B">
        <w:t xml:space="preserve"> arrived back </w:t>
      </w:r>
      <w:r w:rsidR="00F578D1">
        <w:t>at</w:t>
      </w:r>
      <w:r w:rsidR="00B1223B">
        <w:t xml:space="preserve"> Falmouth on </w:t>
      </w:r>
      <w:r w:rsidR="00526FE9">
        <w:t xml:space="preserve">eighteenth </w:t>
      </w:r>
      <w:r w:rsidR="00ED278E">
        <w:t>of</w:t>
      </w:r>
      <w:r w:rsidR="00B1223B">
        <w:t xml:space="preserve"> May </w:t>
      </w:r>
      <w:r w:rsidR="00ED2F06">
        <w:t>1695</w:t>
      </w:r>
      <w:r w:rsidR="00145A18">
        <w:t>.</w:t>
      </w:r>
      <w:r w:rsidR="004D4262">
        <w:t xml:space="preserve"> On the </w:t>
      </w:r>
      <w:r w:rsidR="008C7CB8">
        <w:t xml:space="preserve">twenty eighth of May 1695, </w:t>
      </w:r>
      <w:r w:rsidR="00B26641" w:rsidRPr="00B26641">
        <w:rPr>
          <w:i/>
          <w:iCs/>
        </w:rPr>
        <w:t>Hannibal</w:t>
      </w:r>
      <w:r w:rsidR="008C7CB8">
        <w:t xml:space="preserve"> ran aground </w:t>
      </w:r>
      <w:r w:rsidR="00546771">
        <w:t>in Falmouth Harbour</w:t>
      </w:r>
      <w:r w:rsidR="00A61D63">
        <w:t xml:space="preserve"> and on the </w:t>
      </w:r>
      <w:r w:rsidR="003C7170">
        <w:t>twenty</w:t>
      </w:r>
      <w:r w:rsidR="00391268">
        <w:t xml:space="preserve"> ninth of May, collided with another ship</w:t>
      </w:r>
      <w:r w:rsidR="00282DD2">
        <w:t xml:space="preserve"> causing irreparable damage</w:t>
      </w:r>
      <w:r w:rsidR="005A1465">
        <w:rPr>
          <w:rStyle w:val="FootnoteReference"/>
        </w:rPr>
        <w:footnoteReference w:id="22"/>
      </w:r>
      <w:r w:rsidR="005A1465">
        <w:t xml:space="preserve">; this may explain why the </w:t>
      </w:r>
      <w:r w:rsidR="0052475F">
        <w:t xml:space="preserve">TSD is not able to confirm the date the ship arrived back to its </w:t>
      </w:r>
      <w:r w:rsidR="00601B72">
        <w:t>homeport,</w:t>
      </w:r>
      <w:r w:rsidR="00A168BE">
        <w:t xml:space="preserve"> </w:t>
      </w:r>
      <w:r w:rsidR="00601B72">
        <w:t xml:space="preserve">but it </w:t>
      </w:r>
      <w:r w:rsidR="00AA0EAA">
        <w:t>may</w:t>
      </w:r>
      <w:r w:rsidR="00577257">
        <w:t xml:space="preserve"> explain why there is only one entry for the </w:t>
      </w:r>
      <w:r w:rsidR="00577257">
        <w:rPr>
          <w:i/>
          <w:iCs/>
        </w:rPr>
        <w:t>Hannibal</w:t>
      </w:r>
      <w:r w:rsidR="00577257">
        <w:t xml:space="preserve"> in the database</w:t>
      </w:r>
      <w:r w:rsidR="00601B72">
        <w:t>.</w:t>
      </w:r>
    </w:p>
    <w:p w14:paraId="67A1C87F" w14:textId="44C777AD" w:rsidR="00601B72" w:rsidRPr="00577257" w:rsidRDefault="00687660" w:rsidP="001B1DE9">
      <w:pPr>
        <w:pStyle w:val="NoSpacing"/>
        <w:spacing w:line="480" w:lineRule="auto"/>
      </w:pPr>
      <w:r>
        <w:t>U</w:t>
      </w:r>
      <w:r w:rsidR="00601B72">
        <w:t>sing quantitative source material such as a database can be invaluable to research</w:t>
      </w:r>
      <w:r w:rsidR="00AA0EAA">
        <w:t xml:space="preserve"> as </w:t>
      </w:r>
      <w:r w:rsidR="00542B5C">
        <w:t>data can be interrogated quickly and easily</w:t>
      </w:r>
      <w:r w:rsidR="00601B72">
        <w:t xml:space="preserve">.  </w:t>
      </w:r>
      <w:r>
        <w:t xml:space="preserve">However, this paper has shown that </w:t>
      </w:r>
      <w:r w:rsidR="0024569D">
        <w:t xml:space="preserve">databases alone </w:t>
      </w:r>
      <w:r w:rsidR="006944DA">
        <w:t>are often unable to tell the whole story and so further qualitative research may be needed</w:t>
      </w:r>
      <w:r w:rsidR="00ED44C8">
        <w:t xml:space="preserve"> </w:t>
      </w:r>
      <w:r w:rsidR="007817C1">
        <w:t>to</w:t>
      </w:r>
      <w:r w:rsidR="00ED44C8">
        <w:t xml:space="preserve"> contextualise </w:t>
      </w:r>
      <w:r w:rsidR="005F3094">
        <w:t>the</w:t>
      </w:r>
      <w:r w:rsidR="00BB2E44">
        <w:t xml:space="preserve"> historical </w:t>
      </w:r>
      <w:r w:rsidR="005F3094">
        <w:t>facts</w:t>
      </w:r>
      <w:r w:rsidR="00BB2E44">
        <w:rPr>
          <w:rStyle w:val="FootnoteReference"/>
        </w:rPr>
        <w:footnoteReference w:id="23"/>
      </w:r>
      <w:r w:rsidR="00BB2E44">
        <w:t xml:space="preserve">. </w:t>
      </w:r>
      <w:r w:rsidR="00370674">
        <w:t xml:space="preserve"> </w:t>
      </w:r>
      <w:r w:rsidR="00737B11">
        <w:t>Notwithstanding the requirement to put figures into context,</w:t>
      </w:r>
      <w:r w:rsidR="00A55D91">
        <w:t xml:space="preserve"> u</w:t>
      </w:r>
      <w:r w:rsidR="00020C4F">
        <w:t xml:space="preserve">sing databases as part of </w:t>
      </w:r>
      <w:proofErr w:type="gramStart"/>
      <w:r w:rsidR="008065FA">
        <w:t>a</w:t>
      </w:r>
      <w:r w:rsidR="00020C4F">
        <w:t xml:space="preserve"> holistic approach</w:t>
      </w:r>
      <w:proofErr w:type="gramEnd"/>
      <w:r w:rsidR="00020C4F">
        <w:t xml:space="preserve"> to research</w:t>
      </w:r>
      <w:r w:rsidR="00D92F2E">
        <w:t xml:space="preserve"> may facilitate a greater depth of understanding</w:t>
      </w:r>
      <w:r w:rsidR="005411F4">
        <w:t xml:space="preserve"> of historical events that might be the case if using qualitative sources alone.</w:t>
      </w:r>
    </w:p>
    <w:p w14:paraId="1FE6EFE7" w14:textId="77777777" w:rsidR="00A168BE" w:rsidRPr="00B1223B" w:rsidRDefault="00A168BE" w:rsidP="001B1DE9">
      <w:pPr>
        <w:pStyle w:val="NoSpacing"/>
        <w:spacing w:line="480" w:lineRule="auto"/>
      </w:pPr>
    </w:p>
    <w:p w14:paraId="2E4A952F" w14:textId="77777777" w:rsidR="0097483E" w:rsidRDefault="0097483E">
      <w:pPr>
        <w:rPr>
          <w:kern w:val="0"/>
          <w:sz w:val="24"/>
          <w:szCs w:val="24"/>
          <w14:ligatures w14:val="none"/>
        </w:rPr>
      </w:pPr>
      <w:r>
        <w:rPr>
          <w:sz w:val="24"/>
          <w:szCs w:val="24"/>
        </w:rPr>
        <w:br w:type="page"/>
      </w:r>
    </w:p>
    <w:p w14:paraId="3495A837" w14:textId="77777777" w:rsidR="00E651B8" w:rsidRDefault="00E651B8" w:rsidP="0097483E">
      <w:pPr>
        <w:pStyle w:val="NoSpacing"/>
        <w:rPr>
          <w:sz w:val="24"/>
          <w:szCs w:val="24"/>
        </w:rPr>
      </w:pPr>
    </w:p>
    <w:p w14:paraId="0054EFF9" w14:textId="52BEE929" w:rsidR="00E651B8" w:rsidRDefault="00E651B8" w:rsidP="00D77B06">
      <w:pPr>
        <w:pStyle w:val="NoSpacing"/>
        <w:rPr>
          <w:b/>
          <w:bCs/>
          <w:sz w:val="24"/>
          <w:szCs w:val="24"/>
          <w:u w:val="single"/>
        </w:rPr>
      </w:pPr>
      <w:r w:rsidRPr="00E651B8">
        <w:rPr>
          <w:b/>
          <w:bCs/>
          <w:sz w:val="24"/>
          <w:szCs w:val="24"/>
          <w:u w:val="single"/>
        </w:rPr>
        <w:t>Bibliography</w:t>
      </w:r>
    </w:p>
    <w:p w14:paraId="06E90FBA" w14:textId="77777777" w:rsidR="00E651B8" w:rsidRDefault="00E651B8" w:rsidP="00D77B06">
      <w:pPr>
        <w:pStyle w:val="NoSpacing"/>
        <w:rPr>
          <w:b/>
          <w:bCs/>
          <w:sz w:val="24"/>
          <w:szCs w:val="24"/>
          <w:u w:val="single"/>
        </w:rPr>
      </w:pPr>
    </w:p>
    <w:p w14:paraId="1716AA43" w14:textId="77777777" w:rsidR="001B1DE9" w:rsidRPr="001B1DE9" w:rsidRDefault="001B1DE9" w:rsidP="001B1DE9">
      <w:pPr>
        <w:pStyle w:val="NoSpacing"/>
        <w:rPr>
          <w:sz w:val="24"/>
          <w:szCs w:val="24"/>
        </w:rPr>
      </w:pPr>
      <w:r w:rsidRPr="001B1DE9">
        <w:rPr>
          <w:rFonts w:eastAsia="Times New Roman" w:cstheme="minorHAnsi"/>
          <w:sz w:val="24"/>
          <w:szCs w:val="24"/>
          <w:lang w:eastAsia="en-GB"/>
        </w:rPr>
        <w:t xml:space="preserve">Cohn, R. L. (1985). Deaths of Slaves in the Middle Passage. </w:t>
      </w:r>
      <w:r w:rsidRPr="001B1DE9">
        <w:rPr>
          <w:rFonts w:eastAsia="Times New Roman" w:cstheme="minorHAnsi"/>
          <w:i/>
          <w:iCs/>
          <w:sz w:val="24"/>
          <w:szCs w:val="24"/>
          <w:lang w:eastAsia="en-GB"/>
        </w:rPr>
        <w:t>The Journal of Economic History</w:t>
      </w:r>
      <w:r w:rsidRPr="001B1DE9">
        <w:rPr>
          <w:rFonts w:eastAsia="Times New Roman" w:cstheme="minorHAnsi"/>
          <w:sz w:val="24"/>
          <w:szCs w:val="24"/>
          <w:lang w:eastAsia="en-GB"/>
        </w:rPr>
        <w:t xml:space="preserve">, </w:t>
      </w:r>
      <w:r w:rsidRPr="001B1DE9">
        <w:rPr>
          <w:rFonts w:eastAsia="Times New Roman" w:cstheme="minorHAnsi"/>
          <w:i/>
          <w:iCs/>
          <w:sz w:val="24"/>
          <w:szCs w:val="24"/>
          <w:lang w:eastAsia="en-GB"/>
        </w:rPr>
        <w:t>45</w:t>
      </w:r>
      <w:r w:rsidRPr="001B1DE9">
        <w:rPr>
          <w:rFonts w:eastAsia="Times New Roman" w:cstheme="minorHAnsi"/>
          <w:sz w:val="24"/>
          <w:szCs w:val="24"/>
          <w:lang w:eastAsia="en-GB"/>
        </w:rPr>
        <w:t xml:space="preserve">(3), 685–692. </w:t>
      </w:r>
      <w:hyperlink r:id="rId10" w:history="1">
        <w:r w:rsidRPr="001B1DE9">
          <w:rPr>
            <w:rStyle w:val="Hyperlink"/>
            <w:rFonts w:eastAsia="Times New Roman" w:cstheme="minorHAnsi"/>
            <w:sz w:val="24"/>
            <w:szCs w:val="24"/>
            <w:lang w:eastAsia="en-GB"/>
          </w:rPr>
          <w:t>http://www.jstor.org/stable/2121762</w:t>
        </w:r>
      </w:hyperlink>
      <w:r w:rsidRPr="001B1DE9">
        <w:rPr>
          <w:sz w:val="24"/>
          <w:szCs w:val="24"/>
        </w:rPr>
        <w:t xml:space="preserve">  </w:t>
      </w:r>
      <w:r w:rsidRPr="001B1DE9">
        <w:rPr>
          <w:rFonts w:eastAsia="Times New Roman" w:cstheme="minorHAnsi"/>
          <w:sz w:val="24"/>
          <w:szCs w:val="24"/>
          <w:lang w:eastAsia="en-GB"/>
        </w:rPr>
        <w:t>[accessed 22nd November 2023]</w:t>
      </w:r>
    </w:p>
    <w:p w14:paraId="5F002EB5" w14:textId="77777777" w:rsidR="001B1DE9" w:rsidRPr="001B1DE9" w:rsidRDefault="001B1DE9" w:rsidP="001B1DE9">
      <w:pPr>
        <w:pStyle w:val="NoSpacing"/>
        <w:rPr>
          <w:sz w:val="24"/>
          <w:szCs w:val="24"/>
        </w:rPr>
      </w:pPr>
    </w:p>
    <w:p w14:paraId="0D64A582" w14:textId="77777777" w:rsidR="001B1DE9" w:rsidRPr="001B1DE9" w:rsidRDefault="001B1DE9" w:rsidP="001B1DE9">
      <w:pPr>
        <w:pStyle w:val="NoSpacing"/>
        <w:rPr>
          <w:sz w:val="24"/>
          <w:szCs w:val="24"/>
        </w:rPr>
      </w:pPr>
      <w:r w:rsidRPr="001B1DE9">
        <w:rPr>
          <w:rFonts w:cstheme="minorHAnsi"/>
          <w:color w:val="000000"/>
          <w:spacing w:val="-5"/>
          <w:sz w:val="24"/>
          <w:szCs w:val="24"/>
          <w:shd w:val="clear" w:color="auto" w:fill="FFFFFF"/>
        </w:rPr>
        <w:t>LoGerfo, J. W. (1973). Sir William Dolben and “The Cause of Humanity”: The Passage of the Slave Trade Regulation Act of 1788. </w:t>
      </w:r>
      <w:r w:rsidRPr="001B1DE9">
        <w:rPr>
          <w:rFonts w:cstheme="minorHAnsi"/>
          <w:i/>
          <w:iCs/>
          <w:color w:val="000000"/>
          <w:spacing w:val="-5"/>
          <w:sz w:val="24"/>
          <w:szCs w:val="24"/>
          <w:shd w:val="clear" w:color="auto" w:fill="FFFFFF"/>
        </w:rPr>
        <w:t>Eighteenth-Century Studies</w:t>
      </w:r>
      <w:r w:rsidRPr="001B1DE9">
        <w:rPr>
          <w:rFonts w:cstheme="minorHAnsi"/>
          <w:color w:val="000000"/>
          <w:spacing w:val="-5"/>
          <w:sz w:val="24"/>
          <w:szCs w:val="24"/>
          <w:shd w:val="clear" w:color="auto" w:fill="FFFFFF"/>
        </w:rPr>
        <w:t>, </w:t>
      </w:r>
      <w:r w:rsidRPr="001B1DE9">
        <w:rPr>
          <w:rFonts w:cstheme="minorHAnsi"/>
          <w:i/>
          <w:iCs/>
          <w:color w:val="000000"/>
          <w:spacing w:val="-5"/>
          <w:sz w:val="24"/>
          <w:szCs w:val="24"/>
          <w:shd w:val="clear" w:color="auto" w:fill="FFFFFF"/>
        </w:rPr>
        <w:t>6</w:t>
      </w:r>
      <w:r w:rsidRPr="001B1DE9">
        <w:rPr>
          <w:rFonts w:cstheme="minorHAnsi"/>
          <w:color w:val="000000"/>
          <w:spacing w:val="-5"/>
          <w:sz w:val="24"/>
          <w:szCs w:val="24"/>
          <w:shd w:val="clear" w:color="auto" w:fill="FFFFFF"/>
        </w:rPr>
        <w:t xml:space="preserve">(4), 431–451. </w:t>
      </w:r>
      <w:hyperlink r:id="rId11" w:history="1">
        <w:r w:rsidRPr="001B1DE9">
          <w:rPr>
            <w:rStyle w:val="Hyperlink"/>
            <w:rFonts w:cstheme="minorHAnsi"/>
            <w:spacing w:val="-5"/>
            <w:sz w:val="24"/>
            <w:szCs w:val="24"/>
            <w:shd w:val="clear" w:color="auto" w:fill="FFFFFF"/>
          </w:rPr>
          <w:t>https://doi.org/10.2307/3031578</w:t>
        </w:r>
      </w:hyperlink>
      <w:r w:rsidRPr="001B1DE9">
        <w:rPr>
          <w:rFonts w:eastAsia="Times New Roman" w:cstheme="minorHAnsi"/>
          <w:sz w:val="24"/>
          <w:szCs w:val="24"/>
          <w:lang w:eastAsia="en-GB"/>
        </w:rPr>
        <w:t xml:space="preserve"> [accessed 22nd November 2023].</w:t>
      </w:r>
    </w:p>
    <w:p w14:paraId="748AD6F0" w14:textId="77777777" w:rsidR="001B1DE9" w:rsidRPr="001B1DE9" w:rsidRDefault="001B1DE9" w:rsidP="001B1DE9">
      <w:pPr>
        <w:pStyle w:val="NoSpacing"/>
        <w:rPr>
          <w:sz w:val="24"/>
          <w:szCs w:val="24"/>
        </w:rPr>
      </w:pPr>
    </w:p>
    <w:p w14:paraId="4E1AC7DE" w14:textId="77777777" w:rsidR="001B1DE9" w:rsidRPr="001B1DE9" w:rsidRDefault="001B1DE9" w:rsidP="001B1DE9">
      <w:pPr>
        <w:pStyle w:val="NoSpacing"/>
        <w:rPr>
          <w:sz w:val="24"/>
          <w:szCs w:val="24"/>
        </w:rPr>
      </w:pPr>
      <w:r w:rsidRPr="001B1DE9">
        <w:rPr>
          <w:sz w:val="24"/>
          <w:szCs w:val="24"/>
        </w:rPr>
        <w:t>Phillips, T. (1732</w:t>
      </w:r>
      <w:r w:rsidRPr="001B1DE9">
        <w:rPr>
          <w:i/>
          <w:iCs/>
          <w:sz w:val="24"/>
          <w:szCs w:val="24"/>
        </w:rPr>
        <w:t>). A Journal of a Voyage Made in the Hannibal of London, Ann. 1693, 1694, From England, to Cape's Monseradoe, in Africa, And thence along the Coast of Guiney to Whidaw, the Island of St. Thomas, An so forward to Barbadoes: With a Cursory Account of the County, the People, their Manners, Forts, Trade, &amp;c.</w:t>
      </w:r>
      <w:r w:rsidRPr="001B1DE9">
        <w:rPr>
          <w:sz w:val="24"/>
          <w:szCs w:val="24"/>
        </w:rPr>
        <w:t xml:space="preserve"> United Kingdom: Walthoe. Digitised (2010) Google books. </w:t>
      </w:r>
      <w:hyperlink r:id="rId12" w:history="1">
        <w:r w:rsidRPr="001B1DE9">
          <w:rPr>
            <w:rStyle w:val="Hyperlink"/>
            <w:sz w:val="24"/>
            <w:szCs w:val="24"/>
          </w:rPr>
          <w:t>https://www.google.co.uk/books/edition/A_Journal_of_a_Voyage_Made_in_the_Hannib/qFJBAAAAcAAJ?hl=en</w:t>
        </w:r>
      </w:hyperlink>
      <w:r w:rsidRPr="001B1DE9">
        <w:rPr>
          <w:sz w:val="24"/>
          <w:szCs w:val="24"/>
        </w:rPr>
        <w:t xml:space="preserve"> [accessed 21</w:t>
      </w:r>
      <w:r w:rsidRPr="001B1DE9">
        <w:rPr>
          <w:sz w:val="24"/>
          <w:szCs w:val="24"/>
          <w:vertAlign w:val="superscript"/>
        </w:rPr>
        <w:t>st</w:t>
      </w:r>
      <w:r w:rsidRPr="001B1DE9">
        <w:rPr>
          <w:sz w:val="24"/>
          <w:szCs w:val="24"/>
        </w:rPr>
        <w:t xml:space="preserve"> November 2023].  </w:t>
      </w:r>
    </w:p>
    <w:p w14:paraId="1D5857D8" w14:textId="77777777" w:rsidR="001B1DE9" w:rsidRPr="001B1DE9" w:rsidRDefault="001B1DE9" w:rsidP="001B1DE9">
      <w:pPr>
        <w:pStyle w:val="NoSpacing"/>
        <w:rPr>
          <w:sz w:val="24"/>
          <w:szCs w:val="24"/>
        </w:rPr>
      </w:pPr>
    </w:p>
    <w:p w14:paraId="6818994B" w14:textId="77777777" w:rsidR="001B1DE9" w:rsidRPr="001B1DE9" w:rsidRDefault="001B1DE9" w:rsidP="001B1DE9">
      <w:pPr>
        <w:pStyle w:val="FootnoteText"/>
        <w:rPr>
          <w:sz w:val="24"/>
          <w:szCs w:val="24"/>
        </w:rPr>
      </w:pPr>
      <w:r w:rsidRPr="001B1DE9">
        <w:rPr>
          <w:sz w:val="24"/>
          <w:szCs w:val="24"/>
        </w:rPr>
        <w:t xml:space="preserve">Santa Clara University Digital Exhibits , </w:t>
      </w:r>
      <w:r w:rsidRPr="001B1DE9">
        <w:rPr>
          <w:i/>
          <w:iCs/>
          <w:sz w:val="24"/>
          <w:szCs w:val="24"/>
        </w:rPr>
        <w:t xml:space="preserve">Flux/Dysentery </w:t>
      </w:r>
      <w:r w:rsidRPr="001B1DE9">
        <w:rPr>
          <w:sz w:val="24"/>
          <w:szCs w:val="24"/>
        </w:rPr>
        <w:t xml:space="preserve"> </w:t>
      </w:r>
      <w:hyperlink r:id="rId13" w:history="1">
        <w:r w:rsidRPr="001B1DE9">
          <w:rPr>
            <w:rStyle w:val="Hyperlink"/>
            <w:sz w:val="24"/>
            <w:szCs w:val="24"/>
          </w:rPr>
          <w:t>https://dh.scu.edu/exhibits/exhibits/show/health---medicine-aboard-trans/flux---dysentery</w:t>
        </w:r>
      </w:hyperlink>
      <w:r w:rsidRPr="001B1DE9">
        <w:rPr>
          <w:sz w:val="24"/>
          <w:szCs w:val="24"/>
        </w:rPr>
        <w:t xml:space="preserve"> [accessed 24th November 2023]. </w:t>
      </w:r>
    </w:p>
    <w:p w14:paraId="796D1056" w14:textId="77777777" w:rsidR="001B1DE9" w:rsidRPr="001B1DE9" w:rsidRDefault="001B1DE9" w:rsidP="001B1DE9">
      <w:pPr>
        <w:pStyle w:val="NoSpacing"/>
        <w:rPr>
          <w:sz w:val="24"/>
          <w:szCs w:val="24"/>
        </w:rPr>
      </w:pPr>
    </w:p>
    <w:p w14:paraId="466D941C" w14:textId="7251A427" w:rsidR="009B3632" w:rsidRPr="001B1DE9" w:rsidRDefault="00E651B8" w:rsidP="009B3632">
      <w:pPr>
        <w:pStyle w:val="FootnoteText"/>
        <w:rPr>
          <w:sz w:val="24"/>
          <w:szCs w:val="24"/>
        </w:rPr>
      </w:pPr>
      <w:proofErr w:type="gramStart"/>
      <w:r w:rsidRPr="001B1DE9">
        <w:rPr>
          <w:sz w:val="24"/>
          <w:szCs w:val="24"/>
        </w:rPr>
        <w:t>Slave</w:t>
      </w:r>
      <w:proofErr w:type="gramEnd"/>
      <w:r w:rsidRPr="001B1DE9">
        <w:rPr>
          <w:sz w:val="24"/>
          <w:szCs w:val="24"/>
        </w:rPr>
        <w:t xml:space="preserve"> Voyages, </w:t>
      </w:r>
      <w:r w:rsidRPr="001B1DE9">
        <w:rPr>
          <w:i/>
          <w:iCs/>
          <w:sz w:val="24"/>
          <w:szCs w:val="24"/>
        </w:rPr>
        <w:t xml:space="preserve">Transatlantic Slave </w:t>
      </w:r>
      <w:r w:rsidR="00C009BC" w:rsidRPr="001B1DE9">
        <w:rPr>
          <w:i/>
          <w:iCs/>
          <w:sz w:val="24"/>
          <w:szCs w:val="24"/>
        </w:rPr>
        <w:t>Database 2021</w:t>
      </w:r>
      <w:r w:rsidRPr="001B1DE9">
        <w:rPr>
          <w:sz w:val="24"/>
          <w:szCs w:val="24"/>
        </w:rPr>
        <w:t xml:space="preserve"> </w:t>
      </w:r>
      <w:hyperlink r:id="rId14" w:history="1">
        <w:r w:rsidRPr="001B1DE9">
          <w:rPr>
            <w:rStyle w:val="Hyperlink"/>
            <w:sz w:val="24"/>
            <w:szCs w:val="24"/>
          </w:rPr>
          <w:t>https://www.slavevoyages.org/voyage/database</w:t>
        </w:r>
      </w:hyperlink>
      <w:r w:rsidRPr="001B1DE9">
        <w:rPr>
          <w:sz w:val="24"/>
          <w:szCs w:val="24"/>
        </w:rPr>
        <w:t xml:space="preserve"> [accessed 21st November 2023]</w:t>
      </w:r>
    </w:p>
    <w:p w14:paraId="7E134567" w14:textId="77777777" w:rsidR="001B1DE9" w:rsidRPr="001B1DE9" w:rsidRDefault="001B1DE9" w:rsidP="009B3632">
      <w:pPr>
        <w:pStyle w:val="FootnoteText"/>
        <w:rPr>
          <w:sz w:val="24"/>
          <w:szCs w:val="24"/>
        </w:rPr>
      </w:pPr>
    </w:p>
    <w:p w14:paraId="6CE0863F" w14:textId="4244CA8D" w:rsidR="001B1DE9" w:rsidRPr="001B1DE9" w:rsidRDefault="001B1DE9" w:rsidP="001B1DE9">
      <w:pPr>
        <w:pStyle w:val="NoSpacing"/>
        <w:rPr>
          <w:sz w:val="24"/>
          <w:szCs w:val="24"/>
        </w:rPr>
      </w:pPr>
      <w:r w:rsidRPr="001B1DE9">
        <w:rPr>
          <w:sz w:val="24"/>
          <w:szCs w:val="24"/>
        </w:rPr>
        <w:t xml:space="preserve">UNESCO, </w:t>
      </w:r>
      <w:r w:rsidRPr="001B1DE9">
        <w:rPr>
          <w:i/>
          <w:iCs/>
          <w:sz w:val="24"/>
          <w:szCs w:val="24"/>
        </w:rPr>
        <w:t>Slavery and Remembrance: A guide to sites, museums, and memory</w:t>
      </w:r>
      <w:r w:rsidRPr="001B1DE9">
        <w:rPr>
          <w:sz w:val="24"/>
          <w:szCs w:val="24"/>
        </w:rPr>
        <w:t xml:space="preserve">. Gold Coast. </w:t>
      </w:r>
      <w:hyperlink r:id="rId15" w:history="1">
        <w:r w:rsidRPr="001B1DE9">
          <w:rPr>
            <w:rStyle w:val="Hyperlink"/>
            <w:sz w:val="24"/>
            <w:szCs w:val="24"/>
          </w:rPr>
          <w:t>https://slaveryandremembrance.org/articles/article/?id=A0109</w:t>
        </w:r>
      </w:hyperlink>
      <w:r w:rsidRPr="001B1DE9">
        <w:rPr>
          <w:sz w:val="24"/>
          <w:szCs w:val="24"/>
        </w:rPr>
        <w:t xml:space="preserve"> [Accessed 21</w:t>
      </w:r>
      <w:r w:rsidRPr="001B1DE9">
        <w:rPr>
          <w:sz w:val="24"/>
          <w:szCs w:val="24"/>
          <w:vertAlign w:val="superscript"/>
        </w:rPr>
        <w:t>st</w:t>
      </w:r>
      <w:r w:rsidRPr="001B1DE9">
        <w:rPr>
          <w:sz w:val="24"/>
          <w:szCs w:val="24"/>
        </w:rPr>
        <w:t xml:space="preserve"> </w:t>
      </w:r>
      <w:r w:rsidR="00A269C8" w:rsidRPr="001B1DE9">
        <w:rPr>
          <w:sz w:val="24"/>
          <w:szCs w:val="24"/>
        </w:rPr>
        <w:t>November 2023</w:t>
      </w:r>
      <w:r w:rsidRPr="001B1DE9">
        <w:rPr>
          <w:sz w:val="24"/>
          <w:szCs w:val="24"/>
        </w:rPr>
        <w:t>]</w:t>
      </w:r>
    </w:p>
    <w:p w14:paraId="706BA687" w14:textId="77777777" w:rsidR="001B1DE9" w:rsidRPr="001B1DE9" w:rsidRDefault="001B1DE9" w:rsidP="009B3632">
      <w:pPr>
        <w:pStyle w:val="FootnoteText"/>
        <w:rPr>
          <w:sz w:val="24"/>
          <w:szCs w:val="24"/>
        </w:rPr>
      </w:pPr>
    </w:p>
    <w:p w14:paraId="26FB1940" w14:textId="77777777" w:rsidR="001B1DE9" w:rsidRPr="001B1DE9" w:rsidRDefault="001B1DE9" w:rsidP="001B1DE9">
      <w:pPr>
        <w:pStyle w:val="FootnoteText"/>
        <w:rPr>
          <w:sz w:val="24"/>
          <w:szCs w:val="24"/>
        </w:rPr>
      </w:pPr>
    </w:p>
    <w:p w14:paraId="416E4A54" w14:textId="77777777" w:rsidR="001B1DE9" w:rsidRPr="001B1DE9" w:rsidRDefault="001B1DE9" w:rsidP="001B1DE9">
      <w:pPr>
        <w:pStyle w:val="FootnoteText"/>
        <w:rPr>
          <w:sz w:val="24"/>
          <w:szCs w:val="24"/>
        </w:rPr>
      </w:pPr>
      <w:r w:rsidRPr="001B1DE9">
        <w:rPr>
          <w:sz w:val="24"/>
          <w:szCs w:val="24"/>
        </w:rPr>
        <w:t xml:space="preserve">UNESCO, </w:t>
      </w:r>
      <w:r w:rsidRPr="001B1DE9">
        <w:rPr>
          <w:i/>
          <w:iCs/>
          <w:sz w:val="24"/>
          <w:szCs w:val="24"/>
        </w:rPr>
        <w:t>Slavery and Remembrance: A guide to sites, museums, and memory</w:t>
      </w:r>
      <w:r w:rsidRPr="001B1DE9">
        <w:rPr>
          <w:sz w:val="24"/>
          <w:szCs w:val="24"/>
        </w:rPr>
        <w:t xml:space="preserve">. Ouidah. </w:t>
      </w:r>
      <w:hyperlink r:id="rId16" w:history="1">
        <w:r w:rsidRPr="001B1DE9">
          <w:rPr>
            <w:rStyle w:val="Hyperlink"/>
            <w:sz w:val="24"/>
            <w:szCs w:val="24"/>
          </w:rPr>
          <w:t>https://slaveryandremembrance.org/articles/article/?id=A0120</w:t>
        </w:r>
      </w:hyperlink>
      <w:r w:rsidRPr="001B1DE9">
        <w:rPr>
          <w:sz w:val="24"/>
          <w:szCs w:val="24"/>
        </w:rPr>
        <w:t xml:space="preserve"> [accessed 21</w:t>
      </w:r>
      <w:r w:rsidRPr="001B1DE9">
        <w:rPr>
          <w:sz w:val="24"/>
          <w:szCs w:val="24"/>
          <w:vertAlign w:val="superscript"/>
        </w:rPr>
        <w:t>st</w:t>
      </w:r>
      <w:r w:rsidRPr="001B1DE9">
        <w:rPr>
          <w:sz w:val="24"/>
          <w:szCs w:val="24"/>
        </w:rPr>
        <w:t xml:space="preserve"> November 2023]</w:t>
      </w:r>
    </w:p>
    <w:p w14:paraId="2799D9D3" w14:textId="77777777" w:rsidR="001B1DE9" w:rsidRPr="001B1DE9" w:rsidRDefault="001B1DE9" w:rsidP="001B1DE9">
      <w:pPr>
        <w:pStyle w:val="FootnoteText"/>
        <w:rPr>
          <w:sz w:val="24"/>
          <w:szCs w:val="24"/>
        </w:rPr>
      </w:pPr>
    </w:p>
    <w:sectPr w:rsidR="001B1DE9" w:rsidRPr="001B1DE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FA30E4" w14:textId="77777777" w:rsidR="00641059" w:rsidRDefault="00641059" w:rsidP="0098755E">
      <w:pPr>
        <w:spacing w:after="0" w:line="240" w:lineRule="auto"/>
      </w:pPr>
      <w:r>
        <w:separator/>
      </w:r>
    </w:p>
  </w:endnote>
  <w:endnote w:type="continuationSeparator" w:id="0">
    <w:p w14:paraId="480F142F" w14:textId="77777777" w:rsidR="00641059" w:rsidRDefault="00641059" w:rsidP="009875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CB7972" w14:textId="77777777" w:rsidR="00641059" w:rsidRDefault="00641059" w:rsidP="0098755E">
      <w:pPr>
        <w:spacing w:after="0" w:line="240" w:lineRule="auto"/>
      </w:pPr>
      <w:r>
        <w:separator/>
      </w:r>
    </w:p>
  </w:footnote>
  <w:footnote w:type="continuationSeparator" w:id="0">
    <w:p w14:paraId="584A00F1" w14:textId="77777777" w:rsidR="00641059" w:rsidRDefault="00641059" w:rsidP="0098755E">
      <w:pPr>
        <w:spacing w:after="0" w:line="240" w:lineRule="auto"/>
      </w:pPr>
      <w:r>
        <w:continuationSeparator/>
      </w:r>
    </w:p>
  </w:footnote>
  <w:footnote w:id="1">
    <w:p w14:paraId="4151A178" w14:textId="5FB1330D" w:rsidR="00B82A79" w:rsidRDefault="00B82A79" w:rsidP="00B82A79">
      <w:pPr>
        <w:pStyle w:val="FootnoteText"/>
      </w:pPr>
      <w:r>
        <w:rPr>
          <w:rStyle w:val="FootnoteReference"/>
        </w:rPr>
        <w:footnoteRef/>
      </w:r>
      <w:r>
        <w:t xml:space="preserve"> </w:t>
      </w:r>
      <w:proofErr w:type="gramStart"/>
      <w:r>
        <w:t>Slave</w:t>
      </w:r>
      <w:proofErr w:type="gramEnd"/>
      <w:r>
        <w:t xml:space="preserve"> Voyages, </w:t>
      </w:r>
      <w:r w:rsidRPr="005C33CF">
        <w:rPr>
          <w:i/>
          <w:iCs/>
        </w:rPr>
        <w:t xml:space="preserve">Transatlantic Slave </w:t>
      </w:r>
      <w:r w:rsidR="00A269C8" w:rsidRPr="005C33CF">
        <w:rPr>
          <w:i/>
          <w:iCs/>
        </w:rPr>
        <w:t>Database</w:t>
      </w:r>
      <w:r w:rsidR="00A269C8">
        <w:t xml:space="preserve"> 2021</w:t>
      </w:r>
      <w:r>
        <w:t xml:space="preserve"> Voyage ID 9714  </w:t>
      </w:r>
      <w:hyperlink r:id="rId1" w:history="1">
        <w:r w:rsidRPr="00CD3429">
          <w:rPr>
            <w:rStyle w:val="Hyperlink"/>
          </w:rPr>
          <w:t>https://www.slavevoyages.org/voyage/database</w:t>
        </w:r>
      </w:hyperlink>
      <w:r>
        <w:t xml:space="preserve"> [accessed 21st November 2023]</w:t>
      </w:r>
    </w:p>
  </w:footnote>
  <w:footnote w:id="2">
    <w:p w14:paraId="0FC74124" w14:textId="77777777" w:rsidR="00D13EB6" w:rsidRDefault="00D13EB6" w:rsidP="00D13EB6">
      <w:pPr>
        <w:pStyle w:val="FootnoteText"/>
      </w:pPr>
      <w:r>
        <w:rPr>
          <w:rStyle w:val="FootnoteReference"/>
        </w:rPr>
        <w:footnoteRef/>
      </w:r>
      <w:r>
        <w:t xml:space="preserve"> Ibid.</w:t>
      </w:r>
    </w:p>
  </w:footnote>
  <w:footnote w:id="3">
    <w:p w14:paraId="190792B8" w14:textId="26604A21" w:rsidR="00B70356" w:rsidRDefault="00B70356">
      <w:pPr>
        <w:pStyle w:val="FootnoteText"/>
      </w:pPr>
      <w:r>
        <w:rPr>
          <w:rStyle w:val="FootnoteReference"/>
        </w:rPr>
        <w:footnoteRef/>
      </w:r>
      <w:r>
        <w:t xml:space="preserve"> </w:t>
      </w:r>
      <w:r w:rsidR="002327FF" w:rsidRPr="005C33CF">
        <w:rPr>
          <w:i/>
          <w:iCs/>
        </w:rPr>
        <w:t xml:space="preserve">Transatlantic </w:t>
      </w:r>
      <w:proofErr w:type="gramStart"/>
      <w:r w:rsidR="002327FF" w:rsidRPr="005C33CF">
        <w:rPr>
          <w:i/>
          <w:iCs/>
        </w:rPr>
        <w:t>Slave</w:t>
      </w:r>
      <w:proofErr w:type="gramEnd"/>
      <w:r w:rsidR="002327FF" w:rsidRPr="005C33CF">
        <w:rPr>
          <w:i/>
          <w:iCs/>
        </w:rPr>
        <w:t xml:space="preserve"> Database</w:t>
      </w:r>
    </w:p>
  </w:footnote>
  <w:footnote w:id="4">
    <w:p w14:paraId="74ED27C7" w14:textId="7A13133C" w:rsidR="005C33CF" w:rsidRDefault="005C33CF">
      <w:pPr>
        <w:pStyle w:val="FootnoteText"/>
      </w:pPr>
      <w:r>
        <w:rPr>
          <w:rStyle w:val="FootnoteReference"/>
        </w:rPr>
        <w:footnoteRef/>
      </w:r>
      <w:r>
        <w:t xml:space="preserve"> UNESCO, </w:t>
      </w:r>
      <w:r w:rsidRPr="005C33CF">
        <w:rPr>
          <w:i/>
          <w:iCs/>
        </w:rPr>
        <w:t>Slavery and Remembrance: A guide to sites, museums, and memory</w:t>
      </w:r>
      <w:r>
        <w:t xml:space="preserve">. Ouidah. </w:t>
      </w:r>
      <w:hyperlink r:id="rId2" w:history="1">
        <w:r w:rsidRPr="00E406AF">
          <w:rPr>
            <w:rStyle w:val="Hyperlink"/>
          </w:rPr>
          <w:t>https://slaveryandremembrance.org/articles/article/?id=A0120</w:t>
        </w:r>
      </w:hyperlink>
      <w:r>
        <w:t xml:space="preserve"> [accessed 21</w:t>
      </w:r>
      <w:r w:rsidRPr="005C33CF">
        <w:rPr>
          <w:vertAlign w:val="superscript"/>
        </w:rPr>
        <w:t>st</w:t>
      </w:r>
      <w:r>
        <w:t xml:space="preserve"> November 2023]</w:t>
      </w:r>
    </w:p>
  </w:footnote>
  <w:footnote w:id="5">
    <w:p w14:paraId="72FA6532" w14:textId="6B6C6AF0" w:rsidR="002937E3" w:rsidRDefault="002937E3">
      <w:pPr>
        <w:pStyle w:val="FootnoteText"/>
      </w:pPr>
      <w:r>
        <w:rPr>
          <w:rStyle w:val="FootnoteReference"/>
        </w:rPr>
        <w:footnoteRef/>
      </w:r>
      <w:r>
        <w:t xml:space="preserve"> UNESCO, </w:t>
      </w:r>
      <w:r w:rsidRPr="005C33CF">
        <w:rPr>
          <w:i/>
          <w:iCs/>
        </w:rPr>
        <w:t>Slavery and Remembrance: A guide to sites, museums, and memory</w:t>
      </w:r>
      <w:r>
        <w:t xml:space="preserve">. Gold Coast. </w:t>
      </w:r>
      <w:hyperlink r:id="rId3" w:history="1">
        <w:r w:rsidRPr="00E406AF">
          <w:rPr>
            <w:rStyle w:val="Hyperlink"/>
          </w:rPr>
          <w:t>https://slaveryandremembrance.org/articles/article/?id=A0109</w:t>
        </w:r>
      </w:hyperlink>
      <w:r>
        <w:t xml:space="preserve"> [Accessed 21</w:t>
      </w:r>
      <w:r w:rsidRPr="002937E3">
        <w:rPr>
          <w:vertAlign w:val="superscript"/>
        </w:rPr>
        <w:t>st</w:t>
      </w:r>
      <w:r>
        <w:t xml:space="preserve"> </w:t>
      </w:r>
      <w:r w:rsidR="00A269C8">
        <w:t>November 2023</w:t>
      </w:r>
      <w:r>
        <w:t>]</w:t>
      </w:r>
    </w:p>
  </w:footnote>
  <w:footnote w:id="6">
    <w:p w14:paraId="747AB2FC" w14:textId="77777777" w:rsidR="00E31C18" w:rsidRPr="00E7124A" w:rsidRDefault="00E31C18" w:rsidP="00E31C18">
      <w:pPr>
        <w:rPr>
          <w:rFonts w:eastAsia="Times New Roman" w:cstheme="minorHAnsi"/>
          <w:kern w:val="0"/>
          <w:sz w:val="20"/>
          <w:szCs w:val="20"/>
          <w:lang w:eastAsia="en-GB"/>
          <w14:ligatures w14:val="none"/>
        </w:rPr>
      </w:pPr>
      <w:r>
        <w:rPr>
          <w:rStyle w:val="FootnoteReference"/>
        </w:rPr>
        <w:footnoteRef/>
      </w:r>
      <w:r>
        <w:t xml:space="preserve"> </w:t>
      </w:r>
      <w:r w:rsidRPr="006963CE">
        <w:rPr>
          <w:rFonts w:eastAsia="Times New Roman" w:cstheme="minorHAnsi"/>
          <w:kern w:val="0"/>
          <w:sz w:val="20"/>
          <w:szCs w:val="20"/>
          <w:lang w:eastAsia="en-GB"/>
          <w14:ligatures w14:val="none"/>
        </w:rPr>
        <w:t xml:space="preserve">Cohn, R. L. (1985). Deaths of Slaves in the Middle Passage. </w:t>
      </w:r>
      <w:r w:rsidRPr="006963CE">
        <w:rPr>
          <w:rFonts w:eastAsia="Times New Roman" w:cstheme="minorHAnsi"/>
          <w:i/>
          <w:iCs/>
          <w:kern w:val="0"/>
          <w:sz w:val="20"/>
          <w:szCs w:val="20"/>
          <w:lang w:eastAsia="en-GB"/>
          <w14:ligatures w14:val="none"/>
        </w:rPr>
        <w:t>The Journal of Economic History</w:t>
      </w:r>
      <w:r w:rsidRPr="006963CE">
        <w:rPr>
          <w:rFonts w:eastAsia="Times New Roman" w:cstheme="minorHAnsi"/>
          <w:kern w:val="0"/>
          <w:sz w:val="20"/>
          <w:szCs w:val="20"/>
          <w:lang w:eastAsia="en-GB"/>
          <w14:ligatures w14:val="none"/>
        </w:rPr>
        <w:t xml:space="preserve">, </w:t>
      </w:r>
      <w:r w:rsidRPr="006963CE">
        <w:rPr>
          <w:rFonts w:eastAsia="Times New Roman" w:cstheme="minorHAnsi"/>
          <w:i/>
          <w:iCs/>
          <w:kern w:val="0"/>
          <w:sz w:val="20"/>
          <w:szCs w:val="20"/>
          <w:lang w:eastAsia="en-GB"/>
          <w14:ligatures w14:val="none"/>
        </w:rPr>
        <w:t>45</w:t>
      </w:r>
      <w:r w:rsidRPr="006963CE">
        <w:rPr>
          <w:rFonts w:eastAsia="Times New Roman" w:cstheme="minorHAnsi"/>
          <w:kern w:val="0"/>
          <w:sz w:val="20"/>
          <w:szCs w:val="20"/>
          <w:lang w:eastAsia="en-GB"/>
          <w14:ligatures w14:val="none"/>
        </w:rPr>
        <w:t xml:space="preserve">(3), 685–692. </w:t>
      </w:r>
      <w:hyperlink r:id="rId4" w:history="1">
        <w:r w:rsidRPr="00046367">
          <w:rPr>
            <w:rStyle w:val="Hyperlink"/>
            <w:rFonts w:eastAsia="Times New Roman" w:cstheme="minorHAnsi"/>
            <w:kern w:val="0"/>
            <w:sz w:val="20"/>
            <w:szCs w:val="20"/>
            <w:lang w:eastAsia="en-GB"/>
            <w14:ligatures w14:val="none"/>
          </w:rPr>
          <w:t>http://www.jstor.org/stable/2121762</w:t>
        </w:r>
      </w:hyperlink>
      <w:r>
        <w:rPr>
          <w:rFonts w:ascii="Times New Roman" w:eastAsia="Times New Roman" w:hAnsi="Times New Roman" w:cs="Times New Roman"/>
          <w:kern w:val="0"/>
          <w:sz w:val="24"/>
          <w:szCs w:val="24"/>
          <w:lang w:eastAsia="en-GB"/>
          <w14:ligatures w14:val="none"/>
        </w:rPr>
        <w:t xml:space="preserve"> </w:t>
      </w:r>
      <w:r>
        <w:rPr>
          <w:rFonts w:eastAsia="Times New Roman" w:cstheme="minorHAnsi"/>
          <w:kern w:val="0"/>
          <w:sz w:val="20"/>
          <w:szCs w:val="20"/>
          <w:lang w:eastAsia="en-GB"/>
          <w14:ligatures w14:val="none"/>
        </w:rPr>
        <w:t xml:space="preserve">  </w:t>
      </w:r>
      <w:r w:rsidRPr="00925AA2">
        <w:rPr>
          <w:rFonts w:cstheme="minorHAnsi"/>
          <w:color w:val="000000"/>
          <w:spacing w:val="-5"/>
          <w:sz w:val="20"/>
          <w:szCs w:val="20"/>
          <w:shd w:val="clear" w:color="auto" w:fill="FFFFFF"/>
        </w:rPr>
        <w:t>LoGerfo, J. W. (1973). Sir William Dolben and “The Cause of Humanity”: The Passage of the Slave Trade Regulation Act of 1788. </w:t>
      </w:r>
      <w:r w:rsidRPr="00925AA2">
        <w:rPr>
          <w:rFonts w:cstheme="minorHAnsi"/>
          <w:i/>
          <w:iCs/>
          <w:color w:val="000000"/>
          <w:spacing w:val="-5"/>
          <w:sz w:val="20"/>
          <w:szCs w:val="20"/>
          <w:shd w:val="clear" w:color="auto" w:fill="FFFFFF"/>
        </w:rPr>
        <w:t>Eighteenth-Century Studies</w:t>
      </w:r>
      <w:r w:rsidRPr="00925AA2">
        <w:rPr>
          <w:rFonts w:cstheme="minorHAnsi"/>
          <w:color w:val="000000"/>
          <w:spacing w:val="-5"/>
          <w:sz w:val="20"/>
          <w:szCs w:val="20"/>
          <w:shd w:val="clear" w:color="auto" w:fill="FFFFFF"/>
        </w:rPr>
        <w:t>, </w:t>
      </w:r>
      <w:r w:rsidRPr="00925AA2">
        <w:rPr>
          <w:rFonts w:cstheme="minorHAnsi"/>
          <w:i/>
          <w:iCs/>
          <w:color w:val="000000"/>
          <w:spacing w:val="-5"/>
          <w:sz w:val="20"/>
          <w:szCs w:val="20"/>
          <w:shd w:val="clear" w:color="auto" w:fill="FFFFFF"/>
        </w:rPr>
        <w:t>6</w:t>
      </w:r>
      <w:r w:rsidRPr="00925AA2">
        <w:rPr>
          <w:rFonts w:cstheme="minorHAnsi"/>
          <w:color w:val="000000"/>
          <w:spacing w:val="-5"/>
          <w:sz w:val="20"/>
          <w:szCs w:val="20"/>
          <w:shd w:val="clear" w:color="auto" w:fill="FFFFFF"/>
        </w:rPr>
        <w:t xml:space="preserve">(4), 431–451. </w:t>
      </w:r>
      <w:hyperlink r:id="rId5" w:history="1">
        <w:r w:rsidRPr="005B4ACC">
          <w:rPr>
            <w:rStyle w:val="Hyperlink"/>
            <w:rFonts w:cstheme="minorHAnsi"/>
            <w:spacing w:val="-5"/>
            <w:sz w:val="20"/>
            <w:szCs w:val="20"/>
            <w:shd w:val="clear" w:color="auto" w:fill="FFFFFF"/>
          </w:rPr>
          <w:t>https://doi.org/10.2307/3031578</w:t>
        </w:r>
      </w:hyperlink>
      <w:r>
        <w:rPr>
          <w:rFonts w:eastAsia="Times New Roman" w:cstheme="minorHAnsi"/>
          <w:kern w:val="0"/>
          <w:sz w:val="20"/>
          <w:szCs w:val="20"/>
          <w:lang w:eastAsia="en-GB"/>
          <w14:ligatures w14:val="none"/>
        </w:rPr>
        <w:t xml:space="preserve"> </w:t>
      </w:r>
      <w:r w:rsidRPr="006963CE">
        <w:rPr>
          <w:rFonts w:eastAsia="Times New Roman" w:cstheme="minorHAnsi"/>
          <w:kern w:val="0"/>
          <w:sz w:val="20"/>
          <w:szCs w:val="20"/>
          <w:lang w:eastAsia="en-GB"/>
          <w14:ligatures w14:val="none"/>
        </w:rPr>
        <w:t>[accessed 22nd November 2023]</w:t>
      </w:r>
      <w:r>
        <w:rPr>
          <w:rFonts w:eastAsia="Times New Roman" w:cstheme="minorHAnsi"/>
          <w:kern w:val="0"/>
          <w:sz w:val="20"/>
          <w:szCs w:val="20"/>
          <w:lang w:eastAsia="en-GB"/>
          <w14:ligatures w14:val="none"/>
        </w:rPr>
        <w:t>.</w:t>
      </w:r>
    </w:p>
  </w:footnote>
  <w:footnote w:id="7">
    <w:p w14:paraId="22315CD1" w14:textId="77777777" w:rsidR="00E31C18" w:rsidRDefault="00E31C18" w:rsidP="00E31C18">
      <w:pPr>
        <w:pStyle w:val="FootnoteText"/>
      </w:pPr>
      <w:r>
        <w:rPr>
          <w:rStyle w:val="FootnoteReference"/>
        </w:rPr>
        <w:footnoteRef/>
      </w:r>
      <w:r>
        <w:t xml:space="preserve"> Figures calculated from information given in Cohn regarding ratios and percentages from the Transatlantic </w:t>
      </w:r>
      <w:proofErr w:type="gramStart"/>
      <w:r>
        <w:t>Slave</w:t>
      </w:r>
      <w:proofErr w:type="gramEnd"/>
      <w:r>
        <w:t xml:space="preserve"> Database</w:t>
      </w:r>
    </w:p>
  </w:footnote>
  <w:footnote w:id="8">
    <w:p w14:paraId="4033F2D0" w14:textId="66088557" w:rsidR="00C94479" w:rsidRDefault="00C94479">
      <w:pPr>
        <w:pStyle w:val="FootnoteText"/>
      </w:pPr>
      <w:r>
        <w:rPr>
          <w:rStyle w:val="FootnoteReference"/>
        </w:rPr>
        <w:footnoteRef/>
      </w:r>
      <w:r>
        <w:t xml:space="preserve"> </w:t>
      </w:r>
      <w:proofErr w:type="gramStart"/>
      <w:r w:rsidR="00EE2E57">
        <w:t>Slave</w:t>
      </w:r>
      <w:proofErr w:type="gramEnd"/>
      <w:r w:rsidR="00EE2E57">
        <w:t xml:space="preserve"> Voyages, </w:t>
      </w:r>
      <w:r w:rsidR="00EE2E57" w:rsidRPr="005C33CF">
        <w:rPr>
          <w:i/>
          <w:iCs/>
        </w:rPr>
        <w:t xml:space="preserve">Transatlantic Slave </w:t>
      </w:r>
      <w:r w:rsidR="00A269C8" w:rsidRPr="005C33CF">
        <w:rPr>
          <w:i/>
          <w:iCs/>
        </w:rPr>
        <w:t>Database</w:t>
      </w:r>
      <w:r w:rsidR="00A269C8">
        <w:t xml:space="preserve"> 2021</w:t>
      </w:r>
      <w:r w:rsidR="00EE2E57">
        <w:t xml:space="preserve"> Voyage ID </w:t>
      </w:r>
      <w:r w:rsidR="00EA3BD4">
        <w:t>9702</w:t>
      </w:r>
      <w:r w:rsidR="003C64DE">
        <w:t xml:space="preserve"> and 9710</w:t>
      </w:r>
      <w:r w:rsidR="00EE2E57">
        <w:t xml:space="preserve"> </w:t>
      </w:r>
    </w:p>
    <w:p w14:paraId="0522634F" w14:textId="7F497C18" w:rsidR="0020080F" w:rsidRDefault="0020080F">
      <w:pPr>
        <w:pStyle w:val="FootnoteText"/>
      </w:pPr>
      <w:r>
        <w:rPr>
          <w:rStyle w:val="FootnoteReference"/>
        </w:rPr>
        <w:footnoteRef/>
      </w:r>
      <w:r>
        <w:t xml:space="preserve"> </w:t>
      </w:r>
      <w:r w:rsidR="00E115C5">
        <w:t xml:space="preserve">Phillips </w:t>
      </w:r>
      <w:r w:rsidR="00E47741">
        <w:t xml:space="preserve">p. 176 </w:t>
      </w:r>
      <w:r w:rsidR="00582993">
        <w:t>–</w:t>
      </w:r>
      <w:r w:rsidR="00E47741">
        <w:t xml:space="preserve"> </w:t>
      </w:r>
      <w:r w:rsidR="00582993">
        <w:t>1</w:t>
      </w:r>
      <w:r w:rsidR="00E47741">
        <w:t>77</w:t>
      </w:r>
      <w:r w:rsidR="00582993">
        <w:t xml:space="preserve"> </w:t>
      </w:r>
    </w:p>
  </w:footnote>
  <w:footnote w:id="9">
    <w:p w14:paraId="680F8A71" w14:textId="7D9A791B" w:rsidR="007F013F" w:rsidRDefault="007F013F">
      <w:pPr>
        <w:pStyle w:val="FootnoteText"/>
      </w:pPr>
    </w:p>
  </w:footnote>
  <w:footnote w:id="10">
    <w:p w14:paraId="0600CD0E" w14:textId="0DC6304B" w:rsidR="008824FB" w:rsidRDefault="008824FB">
      <w:pPr>
        <w:pStyle w:val="FootnoteText"/>
      </w:pPr>
      <w:r>
        <w:rPr>
          <w:rStyle w:val="FootnoteReference"/>
        </w:rPr>
        <w:footnoteRef/>
      </w:r>
      <w:r>
        <w:t xml:space="preserve"> Phillips p 180 - 182</w:t>
      </w:r>
    </w:p>
  </w:footnote>
  <w:footnote w:id="11">
    <w:p w14:paraId="2AAB68B9" w14:textId="0BF120C0" w:rsidR="005A64D5" w:rsidRDefault="005A64D5">
      <w:pPr>
        <w:pStyle w:val="FootnoteText"/>
      </w:pPr>
      <w:r>
        <w:rPr>
          <w:rStyle w:val="FootnoteReference"/>
        </w:rPr>
        <w:footnoteRef/>
      </w:r>
      <w:r>
        <w:t xml:space="preserve"> Phillips p. </w:t>
      </w:r>
      <w:r w:rsidR="00092B9E">
        <w:t>214</w:t>
      </w:r>
      <w:r w:rsidR="00766695">
        <w:t xml:space="preserve">. The </w:t>
      </w:r>
      <w:r w:rsidR="00766695" w:rsidRPr="005C33CF">
        <w:rPr>
          <w:i/>
          <w:iCs/>
        </w:rPr>
        <w:t>Transatlantic Slave Database</w:t>
      </w:r>
      <w:r w:rsidR="00766695">
        <w:t xml:space="preserve"> 2021</w:t>
      </w:r>
      <w:r w:rsidR="00766695">
        <w:t xml:space="preserve"> states that there were 700 slaves aboard </w:t>
      </w:r>
      <w:proofErr w:type="gramStart"/>
      <w:r w:rsidR="00766695">
        <w:t>ship</w:t>
      </w:r>
      <w:proofErr w:type="gramEnd"/>
      <w:r w:rsidR="00766695">
        <w:t xml:space="preserve"> but Phillips lists </w:t>
      </w:r>
      <w:r w:rsidR="0043219F">
        <w:t>684.</w:t>
      </w:r>
    </w:p>
  </w:footnote>
  <w:footnote w:id="12">
    <w:p w14:paraId="550C7D2E" w14:textId="0C43B81D" w:rsidR="00A73215" w:rsidRDefault="00A73215">
      <w:pPr>
        <w:pStyle w:val="FootnoteText"/>
      </w:pPr>
      <w:r>
        <w:rPr>
          <w:rStyle w:val="FootnoteReference"/>
        </w:rPr>
        <w:footnoteRef/>
      </w:r>
      <w:r>
        <w:t xml:space="preserve"> </w:t>
      </w:r>
      <w:proofErr w:type="gramStart"/>
      <w:r w:rsidR="004674E5">
        <w:t>Slave</w:t>
      </w:r>
      <w:proofErr w:type="gramEnd"/>
      <w:r w:rsidR="004674E5">
        <w:t xml:space="preserve"> Voyages, </w:t>
      </w:r>
      <w:r w:rsidR="004674E5" w:rsidRPr="005C33CF">
        <w:rPr>
          <w:i/>
          <w:iCs/>
        </w:rPr>
        <w:t xml:space="preserve">Transatlantic Slave </w:t>
      </w:r>
      <w:r w:rsidR="00A269C8" w:rsidRPr="005C33CF">
        <w:rPr>
          <w:i/>
          <w:iCs/>
        </w:rPr>
        <w:t>Database</w:t>
      </w:r>
      <w:r w:rsidR="00A269C8">
        <w:t xml:space="preserve"> 2021</w:t>
      </w:r>
      <w:r w:rsidR="004674E5">
        <w:t xml:space="preserve"> Voyage ID 9714  </w:t>
      </w:r>
    </w:p>
  </w:footnote>
  <w:footnote w:id="13">
    <w:p w14:paraId="5DC13CC7" w14:textId="2C4E5F71" w:rsidR="007B06F2" w:rsidRDefault="007B06F2">
      <w:pPr>
        <w:pStyle w:val="FootnoteText"/>
      </w:pPr>
      <w:r>
        <w:rPr>
          <w:rStyle w:val="FootnoteReference"/>
        </w:rPr>
        <w:footnoteRef/>
      </w:r>
      <w:r>
        <w:t xml:space="preserve"> Phillips </w:t>
      </w:r>
      <w:proofErr w:type="spellStart"/>
      <w:r w:rsidR="00F177C4">
        <w:t>p.215</w:t>
      </w:r>
      <w:proofErr w:type="spellEnd"/>
    </w:p>
  </w:footnote>
  <w:footnote w:id="14">
    <w:p w14:paraId="4198F477" w14:textId="7AAB5A99" w:rsidR="00B01E53" w:rsidRPr="00482E93" w:rsidRDefault="00B01E53" w:rsidP="00B01E53">
      <w:pPr>
        <w:pStyle w:val="FootnoteText"/>
      </w:pPr>
      <w:r>
        <w:rPr>
          <w:rStyle w:val="FootnoteReference"/>
        </w:rPr>
        <w:footnoteRef/>
      </w:r>
      <w:r>
        <w:t xml:space="preserve"> Transatlantic </w:t>
      </w:r>
      <w:proofErr w:type="gramStart"/>
      <w:r>
        <w:t>Slave</w:t>
      </w:r>
      <w:proofErr w:type="gramEnd"/>
      <w:r>
        <w:t xml:space="preserve"> Database voyage ID 9702, 9710, 15078, 9716. </w:t>
      </w:r>
      <w:r w:rsidR="00C92DB8">
        <w:t xml:space="preserve">One notable exception was the </w:t>
      </w:r>
      <w:r w:rsidR="00410BE7">
        <w:rPr>
          <w:i/>
          <w:iCs/>
        </w:rPr>
        <w:t xml:space="preserve">East India Merchant </w:t>
      </w:r>
      <w:r w:rsidR="00482E93">
        <w:t xml:space="preserve">who lost 70% of her cargo – this ship was berthed with </w:t>
      </w:r>
      <w:r w:rsidR="00B26641" w:rsidRPr="00B26641">
        <w:rPr>
          <w:i/>
          <w:iCs/>
        </w:rPr>
        <w:t>Hannibal</w:t>
      </w:r>
      <w:r w:rsidR="00482E93">
        <w:rPr>
          <w:i/>
          <w:iCs/>
        </w:rPr>
        <w:t xml:space="preserve"> </w:t>
      </w:r>
      <w:r w:rsidR="00482E93">
        <w:t xml:space="preserve">at </w:t>
      </w:r>
      <w:r w:rsidR="00C751EB">
        <w:t xml:space="preserve">various points on the journey. </w:t>
      </w:r>
    </w:p>
  </w:footnote>
  <w:footnote w:id="15">
    <w:p w14:paraId="6E3D356D" w14:textId="418B71EC" w:rsidR="004F4941" w:rsidRDefault="004F4941">
      <w:pPr>
        <w:pStyle w:val="FootnoteText"/>
      </w:pPr>
      <w:r>
        <w:rPr>
          <w:rStyle w:val="FootnoteReference"/>
        </w:rPr>
        <w:footnoteRef/>
      </w:r>
      <w:r>
        <w:t xml:space="preserve"> Phillips p. 236</w:t>
      </w:r>
    </w:p>
  </w:footnote>
  <w:footnote w:id="16">
    <w:p w14:paraId="24B47885" w14:textId="33B0A9AA" w:rsidR="002E78B8" w:rsidRDefault="002E78B8">
      <w:pPr>
        <w:pStyle w:val="FootnoteText"/>
      </w:pPr>
      <w:r>
        <w:rPr>
          <w:rStyle w:val="FootnoteReference"/>
        </w:rPr>
        <w:footnoteRef/>
      </w:r>
      <w:r>
        <w:t xml:space="preserve"> </w:t>
      </w:r>
      <w:proofErr w:type="gramStart"/>
      <w:r w:rsidR="00656494">
        <w:t>Slave</w:t>
      </w:r>
      <w:proofErr w:type="gramEnd"/>
      <w:r w:rsidR="00656494">
        <w:t xml:space="preserve"> Voyages, </w:t>
      </w:r>
      <w:r w:rsidR="00656494" w:rsidRPr="005C33CF">
        <w:rPr>
          <w:i/>
          <w:iCs/>
        </w:rPr>
        <w:t xml:space="preserve">Transatlantic Slave </w:t>
      </w:r>
      <w:r w:rsidR="00A269C8" w:rsidRPr="005C33CF">
        <w:rPr>
          <w:i/>
          <w:iCs/>
        </w:rPr>
        <w:t>Database</w:t>
      </w:r>
      <w:r w:rsidR="00A269C8">
        <w:t xml:space="preserve"> 2021</w:t>
      </w:r>
      <w:r w:rsidR="00656494">
        <w:t xml:space="preserve"> Voyage ID 9714  </w:t>
      </w:r>
    </w:p>
  </w:footnote>
  <w:footnote w:id="17">
    <w:p w14:paraId="5EFC0F1B" w14:textId="51981641" w:rsidR="00656494" w:rsidRDefault="00656494">
      <w:pPr>
        <w:pStyle w:val="FootnoteText"/>
      </w:pPr>
      <w:r>
        <w:rPr>
          <w:rStyle w:val="FootnoteReference"/>
        </w:rPr>
        <w:footnoteRef/>
      </w:r>
      <w:r>
        <w:t xml:space="preserve"> Phillips p. 237.</w:t>
      </w:r>
    </w:p>
  </w:footnote>
  <w:footnote w:id="18">
    <w:p w14:paraId="2992DD5A" w14:textId="03B7C8C5" w:rsidR="00B92017" w:rsidRDefault="00B92017">
      <w:pPr>
        <w:pStyle w:val="FootnoteText"/>
      </w:pPr>
      <w:r>
        <w:rPr>
          <w:rStyle w:val="FootnoteReference"/>
        </w:rPr>
        <w:footnoteRef/>
      </w:r>
      <w:r>
        <w:t xml:space="preserve"> </w:t>
      </w:r>
      <w:r w:rsidR="00EC28FD">
        <w:t>Sant</w:t>
      </w:r>
      <w:r w:rsidR="00F724CD">
        <w:t>a Clara University Digital Exhibits</w:t>
      </w:r>
      <w:r w:rsidR="00F204AF">
        <w:t xml:space="preserve"> , </w:t>
      </w:r>
      <w:r w:rsidR="00F204AF">
        <w:rPr>
          <w:i/>
          <w:iCs/>
        </w:rPr>
        <w:t xml:space="preserve">Flux/Dysentery </w:t>
      </w:r>
      <w:r w:rsidR="00F724CD">
        <w:t xml:space="preserve"> </w:t>
      </w:r>
      <w:hyperlink r:id="rId6" w:history="1">
        <w:r w:rsidR="001E3A82" w:rsidRPr="00CD3429">
          <w:rPr>
            <w:rStyle w:val="Hyperlink"/>
          </w:rPr>
          <w:t>https://dh.scu.edu/exhibits/exhibits/show/health---medicine-aboard-trans/flux---dysentery</w:t>
        </w:r>
      </w:hyperlink>
      <w:r w:rsidR="001E3A82">
        <w:t xml:space="preserve"> </w:t>
      </w:r>
      <w:r w:rsidR="003410CA">
        <w:t xml:space="preserve">[accessed 24th November 2023]. </w:t>
      </w:r>
    </w:p>
  </w:footnote>
  <w:footnote w:id="19">
    <w:p w14:paraId="150F1B1F" w14:textId="42297901" w:rsidR="000B50E6" w:rsidRDefault="000B50E6">
      <w:pPr>
        <w:pStyle w:val="FootnoteText"/>
      </w:pPr>
      <w:r>
        <w:rPr>
          <w:rStyle w:val="FootnoteReference"/>
        </w:rPr>
        <w:footnoteRef/>
      </w:r>
      <w:r>
        <w:t xml:space="preserve"> Phillips p. 182.</w:t>
      </w:r>
    </w:p>
  </w:footnote>
  <w:footnote w:id="20">
    <w:p w14:paraId="1519096F" w14:textId="388F6822" w:rsidR="00057DBB" w:rsidRDefault="00057DBB">
      <w:pPr>
        <w:pStyle w:val="FootnoteText"/>
      </w:pPr>
      <w:r>
        <w:rPr>
          <w:rStyle w:val="FootnoteReference"/>
        </w:rPr>
        <w:footnoteRef/>
      </w:r>
      <w:r>
        <w:t xml:space="preserve"> Transatlantic </w:t>
      </w:r>
      <w:proofErr w:type="gramStart"/>
      <w:r>
        <w:t>Slave</w:t>
      </w:r>
      <w:proofErr w:type="gramEnd"/>
      <w:r>
        <w:t xml:space="preserve"> Database voyage ID 9702, 9710, 15078, 9716</w:t>
      </w:r>
    </w:p>
  </w:footnote>
  <w:footnote w:id="21">
    <w:p w14:paraId="5FBDE59A" w14:textId="530891AB" w:rsidR="00033F56" w:rsidRDefault="00033F56">
      <w:pPr>
        <w:pStyle w:val="FootnoteText"/>
      </w:pPr>
      <w:r>
        <w:rPr>
          <w:rStyle w:val="FootnoteReference"/>
        </w:rPr>
        <w:footnoteRef/>
      </w:r>
      <w:r>
        <w:t xml:space="preserve"> </w:t>
      </w:r>
      <w:r w:rsidR="00BB2209">
        <w:t>Phillips p. 238</w:t>
      </w:r>
    </w:p>
  </w:footnote>
  <w:footnote w:id="22">
    <w:p w14:paraId="58FF203E" w14:textId="0B93E877" w:rsidR="005A1465" w:rsidRDefault="005A1465">
      <w:pPr>
        <w:pStyle w:val="FootnoteText"/>
      </w:pPr>
      <w:r>
        <w:rPr>
          <w:rStyle w:val="FootnoteReference"/>
        </w:rPr>
        <w:footnoteRef/>
      </w:r>
      <w:r>
        <w:t xml:space="preserve"> </w:t>
      </w:r>
      <w:r w:rsidR="0052475F">
        <w:t>Ibid. p 239</w:t>
      </w:r>
    </w:p>
  </w:footnote>
  <w:footnote w:id="23">
    <w:p w14:paraId="7C7721A4" w14:textId="05A3D0B2" w:rsidR="00BB2E44" w:rsidRDefault="00BB2E44">
      <w:pPr>
        <w:pStyle w:val="FootnoteText"/>
      </w:pPr>
      <w:r>
        <w:rPr>
          <w:rStyle w:val="FootnoteReference"/>
        </w:rPr>
        <w:footnoteRef/>
      </w:r>
      <w:r>
        <w:t xml:space="preserve"> It should be noted that </w:t>
      </w:r>
      <w:r w:rsidR="00386ECC">
        <w:t xml:space="preserve">The </w:t>
      </w:r>
      <w:r w:rsidR="00386ECC" w:rsidRPr="00370674">
        <w:rPr>
          <w:i/>
          <w:iCs/>
        </w:rPr>
        <w:t xml:space="preserve">Transatlantic </w:t>
      </w:r>
      <w:proofErr w:type="gramStart"/>
      <w:r w:rsidR="00386ECC" w:rsidRPr="00370674">
        <w:rPr>
          <w:i/>
          <w:iCs/>
        </w:rPr>
        <w:t>Slave</w:t>
      </w:r>
      <w:proofErr w:type="gramEnd"/>
      <w:r w:rsidR="00386ECC" w:rsidRPr="00370674">
        <w:rPr>
          <w:i/>
          <w:iCs/>
        </w:rPr>
        <w:t xml:space="preserve"> Database</w:t>
      </w:r>
      <w:r w:rsidR="00E30D32">
        <w:t xml:space="preserve"> did not use Thomas Phillips’ journal as </w:t>
      </w:r>
      <w:r w:rsidR="002E7166">
        <w:t xml:space="preserve">source </w:t>
      </w:r>
      <w:r w:rsidR="00F578D1">
        <w:t>material,</w:t>
      </w:r>
      <w:r w:rsidR="002E7166">
        <w:t xml:space="preserve"> but it did utilize a number of archival sources.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B06"/>
    <w:rsid w:val="00016286"/>
    <w:rsid w:val="00020C4F"/>
    <w:rsid w:val="00027361"/>
    <w:rsid w:val="00033F56"/>
    <w:rsid w:val="00053650"/>
    <w:rsid w:val="00057DBB"/>
    <w:rsid w:val="00057E98"/>
    <w:rsid w:val="000603DC"/>
    <w:rsid w:val="00060A0D"/>
    <w:rsid w:val="00062CD4"/>
    <w:rsid w:val="00071539"/>
    <w:rsid w:val="00092B9E"/>
    <w:rsid w:val="000B28A4"/>
    <w:rsid w:val="000B34C7"/>
    <w:rsid w:val="000B4052"/>
    <w:rsid w:val="000B440A"/>
    <w:rsid w:val="000B50E6"/>
    <w:rsid w:val="000B5619"/>
    <w:rsid w:val="000B695D"/>
    <w:rsid w:val="000C1748"/>
    <w:rsid w:val="000F4264"/>
    <w:rsid w:val="000F7CF5"/>
    <w:rsid w:val="00104DE7"/>
    <w:rsid w:val="00107A17"/>
    <w:rsid w:val="0011030D"/>
    <w:rsid w:val="001213A3"/>
    <w:rsid w:val="00122447"/>
    <w:rsid w:val="00122B30"/>
    <w:rsid w:val="0012317E"/>
    <w:rsid w:val="00135FDC"/>
    <w:rsid w:val="00141D8E"/>
    <w:rsid w:val="00145A18"/>
    <w:rsid w:val="00153963"/>
    <w:rsid w:val="00155056"/>
    <w:rsid w:val="0016562C"/>
    <w:rsid w:val="001877AB"/>
    <w:rsid w:val="00195481"/>
    <w:rsid w:val="001A5681"/>
    <w:rsid w:val="001A641F"/>
    <w:rsid w:val="001B1DE9"/>
    <w:rsid w:val="001C42BB"/>
    <w:rsid w:val="001C60B9"/>
    <w:rsid w:val="001D02A9"/>
    <w:rsid w:val="001D1988"/>
    <w:rsid w:val="001D2108"/>
    <w:rsid w:val="001E3A82"/>
    <w:rsid w:val="0020072E"/>
    <w:rsid w:val="0020080F"/>
    <w:rsid w:val="00202421"/>
    <w:rsid w:val="00204993"/>
    <w:rsid w:val="00207EEB"/>
    <w:rsid w:val="00220C56"/>
    <w:rsid w:val="00225F73"/>
    <w:rsid w:val="00226CDE"/>
    <w:rsid w:val="00226F54"/>
    <w:rsid w:val="002327FF"/>
    <w:rsid w:val="00233CFE"/>
    <w:rsid w:val="0024569D"/>
    <w:rsid w:val="00245753"/>
    <w:rsid w:val="00255407"/>
    <w:rsid w:val="002566EE"/>
    <w:rsid w:val="00282DD2"/>
    <w:rsid w:val="00285B10"/>
    <w:rsid w:val="00287970"/>
    <w:rsid w:val="00291D53"/>
    <w:rsid w:val="00292D47"/>
    <w:rsid w:val="002937E3"/>
    <w:rsid w:val="002A3537"/>
    <w:rsid w:val="002B3118"/>
    <w:rsid w:val="002C5926"/>
    <w:rsid w:val="002E17DD"/>
    <w:rsid w:val="002E41A9"/>
    <w:rsid w:val="002E7166"/>
    <w:rsid w:val="002E78B8"/>
    <w:rsid w:val="002F2B6C"/>
    <w:rsid w:val="002F3E62"/>
    <w:rsid w:val="002F5989"/>
    <w:rsid w:val="003109DE"/>
    <w:rsid w:val="003353E1"/>
    <w:rsid w:val="003410CA"/>
    <w:rsid w:val="00347AC8"/>
    <w:rsid w:val="00351DB8"/>
    <w:rsid w:val="00362CD5"/>
    <w:rsid w:val="00366292"/>
    <w:rsid w:val="00370674"/>
    <w:rsid w:val="00386ECC"/>
    <w:rsid w:val="00391268"/>
    <w:rsid w:val="00396B03"/>
    <w:rsid w:val="00397867"/>
    <w:rsid w:val="003B772D"/>
    <w:rsid w:val="003C1A14"/>
    <w:rsid w:val="003C64DE"/>
    <w:rsid w:val="003C7170"/>
    <w:rsid w:val="003D39B3"/>
    <w:rsid w:val="003D7BAF"/>
    <w:rsid w:val="003E1727"/>
    <w:rsid w:val="003F10E4"/>
    <w:rsid w:val="00402073"/>
    <w:rsid w:val="00410BE7"/>
    <w:rsid w:val="00413BDB"/>
    <w:rsid w:val="0043219F"/>
    <w:rsid w:val="00432E82"/>
    <w:rsid w:val="004438BF"/>
    <w:rsid w:val="004506F9"/>
    <w:rsid w:val="00451708"/>
    <w:rsid w:val="00455685"/>
    <w:rsid w:val="004674E5"/>
    <w:rsid w:val="00470C8D"/>
    <w:rsid w:val="00471BC5"/>
    <w:rsid w:val="00471D49"/>
    <w:rsid w:val="00482E93"/>
    <w:rsid w:val="004879F6"/>
    <w:rsid w:val="00493876"/>
    <w:rsid w:val="00495D20"/>
    <w:rsid w:val="00497A9D"/>
    <w:rsid w:val="004A5169"/>
    <w:rsid w:val="004B318D"/>
    <w:rsid w:val="004C6ED7"/>
    <w:rsid w:val="004D4262"/>
    <w:rsid w:val="004D5CEA"/>
    <w:rsid w:val="004E3CE7"/>
    <w:rsid w:val="004E667A"/>
    <w:rsid w:val="004F0F9A"/>
    <w:rsid w:val="004F4941"/>
    <w:rsid w:val="004F74C7"/>
    <w:rsid w:val="0051508D"/>
    <w:rsid w:val="00517E26"/>
    <w:rsid w:val="00520F70"/>
    <w:rsid w:val="0052475F"/>
    <w:rsid w:val="005247D3"/>
    <w:rsid w:val="00526FE9"/>
    <w:rsid w:val="00534389"/>
    <w:rsid w:val="005411F4"/>
    <w:rsid w:val="00542B5C"/>
    <w:rsid w:val="00546771"/>
    <w:rsid w:val="00546B58"/>
    <w:rsid w:val="00547321"/>
    <w:rsid w:val="00560A11"/>
    <w:rsid w:val="0056519E"/>
    <w:rsid w:val="00573264"/>
    <w:rsid w:val="00577257"/>
    <w:rsid w:val="00582993"/>
    <w:rsid w:val="005A1465"/>
    <w:rsid w:val="005A64D5"/>
    <w:rsid w:val="005C33CF"/>
    <w:rsid w:val="005E2259"/>
    <w:rsid w:val="005E7F7C"/>
    <w:rsid w:val="005F3094"/>
    <w:rsid w:val="00601B72"/>
    <w:rsid w:val="00602996"/>
    <w:rsid w:val="0060588E"/>
    <w:rsid w:val="00611C23"/>
    <w:rsid w:val="00612379"/>
    <w:rsid w:val="006259B0"/>
    <w:rsid w:val="006342FB"/>
    <w:rsid w:val="00641059"/>
    <w:rsid w:val="00656494"/>
    <w:rsid w:val="006570EB"/>
    <w:rsid w:val="00666602"/>
    <w:rsid w:val="006778CE"/>
    <w:rsid w:val="00681B01"/>
    <w:rsid w:val="00687660"/>
    <w:rsid w:val="006944DA"/>
    <w:rsid w:val="006963CE"/>
    <w:rsid w:val="006B7FD3"/>
    <w:rsid w:val="006C6176"/>
    <w:rsid w:val="006E093D"/>
    <w:rsid w:val="006E3731"/>
    <w:rsid w:val="006E7C25"/>
    <w:rsid w:val="006F750F"/>
    <w:rsid w:val="00713D9E"/>
    <w:rsid w:val="00725E00"/>
    <w:rsid w:val="007265E8"/>
    <w:rsid w:val="00737B11"/>
    <w:rsid w:val="0075546F"/>
    <w:rsid w:val="00764B56"/>
    <w:rsid w:val="00766695"/>
    <w:rsid w:val="007722FC"/>
    <w:rsid w:val="00776588"/>
    <w:rsid w:val="007817C1"/>
    <w:rsid w:val="00781FD3"/>
    <w:rsid w:val="00786080"/>
    <w:rsid w:val="007A1C93"/>
    <w:rsid w:val="007B06F2"/>
    <w:rsid w:val="007B4927"/>
    <w:rsid w:val="007D1346"/>
    <w:rsid w:val="007E391B"/>
    <w:rsid w:val="007E58D6"/>
    <w:rsid w:val="007F013F"/>
    <w:rsid w:val="007F07F0"/>
    <w:rsid w:val="0080078C"/>
    <w:rsid w:val="00805561"/>
    <w:rsid w:val="008065FA"/>
    <w:rsid w:val="00820213"/>
    <w:rsid w:val="00820EAF"/>
    <w:rsid w:val="008227BB"/>
    <w:rsid w:val="00823263"/>
    <w:rsid w:val="00827510"/>
    <w:rsid w:val="00831E63"/>
    <w:rsid w:val="00840B34"/>
    <w:rsid w:val="008600A2"/>
    <w:rsid w:val="0086139F"/>
    <w:rsid w:val="00861C19"/>
    <w:rsid w:val="00872CF9"/>
    <w:rsid w:val="008824FB"/>
    <w:rsid w:val="0088710D"/>
    <w:rsid w:val="00897430"/>
    <w:rsid w:val="008A5CB9"/>
    <w:rsid w:val="008B1A57"/>
    <w:rsid w:val="008B3A86"/>
    <w:rsid w:val="008C3E0C"/>
    <w:rsid w:val="008C4D33"/>
    <w:rsid w:val="008C7CB8"/>
    <w:rsid w:val="008D259B"/>
    <w:rsid w:val="00921006"/>
    <w:rsid w:val="00925AA2"/>
    <w:rsid w:val="009314A4"/>
    <w:rsid w:val="0093172D"/>
    <w:rsid w:val="009403F6"/>
    <w:rsid w:val="00940692"/>
    <w:rsid w:val="00947340"/>
    <w:rsid w:val="009522A7"/>
    <w:rsid w:val="00971DD2"/>
    <w:rsid w:val="0097483E"/>
    <w:rsid w:val="009753CE"/>
    <w:rsid w:val="00976B42"/>
    <w:rsid w:val="00985F4E"/>
    <w:rsid w:val="0098755E"/>
    <w:rsid w:val="00995A79"/>
    <w:rsid w:val="009A4C12"/>
    <w:rsid w:val="009B3632"/>
    <w:rsid w:val="009B4CCC"/>
    <w:rsid w:val="009C5FBF"/>
    <w:rsid w:val="009D3C17"/>
    <w:rsid w:val="009E0299"/>
    <w:rsid w:val="009E1269"/>
    <w:rsid w:val="009E3B93"/>
    <w:rsid w:val="009E7446"/>
    <w:rsid w:val="00A07331"/>
    <w:rsid w:val="00A168BE"/>
    <w:rsid w:val="00A2312F"/>
    <w:rsid w:val="00A269C8"/>
    <w:rsid w:val="00A32573"/>
    <w:rsid w:val="00A3713F"/>
    <w:rsid w:val="00A421C1"/>
    <w:rsid w:val="00A4367C"/>
    <w:rsid w:val="00A47313"/>
    <w:rsid w:val="00A5187A"/>
    <w:rsid w:val="00A55D91"/>
    <w:rsid w:val="00A57FB7"/>
    <w:rsid w:val="00A61D63"/>
    <w:rsid w:val="00A66D5C"/>
    <w:rsid w:val="00A73215"/>
    <w:rsid w:val="00A753AC"/>
    <w:rsid w:val="00AA0EAA"/>
    <w:rsid w:val="00AA1588"/>
    <w:rsid w:val="00AA7F6F"/>
    <w:rsid w:val="00AB0498"/>
    <w:rsid w:val="00AB0CF9"/>
    <w:rsid w:val="00AC26E0"/>
    <w:rsid w:val="00AE202E"/>
    <w:rsid w:val="00AF222A"/>
    <w:rsid w:val="00AF370F"/>
    <w:rsid w:val="00AF50EC"/>
    <w:rsid w:val="00AF529F"/>
    <w:rsid w:val="00B01E53"/>
    <w:rsid w:val="00B03405"/>
    <w:rsid w:val="00B03BDE"/>
    <w:rsid w:val="00B1066E"/>
    <w:rsid w:val="00B106D7"/>
    <w:rsid w:val="00B1223B"/>
    <w:rsid w:val="00B167CD"/>
    <w:rsid w:val="00B26641"/>
    <w:rsid w:val="00B32640"/>
    <w:rsid w:val="00B3540E"/>
    <w:rsid w:val="00B60054"/>
    <w:rsid w:val="00B70356"/>
    <w:rsid w:val="00B75FF8"/>
    <w:rsid w:val="00B8119B"/>
    <w:rsid w:val="00B82A79"/>
    <w:rsid w:val="00B92017"/>
    <w:rsid w:val="00BB0326"/>
    <w:rsid w:val="00BB2209"/>
    <w:rsid w:val="00BB2E44"/>
    <w:rsid w:val="00BB6756"/>
    <w:rsid w:val="00BC19C2"/>
    <w:rsid w:val="00BD3982"/>
    <w:rsid w:val="00BD51FE"/>
    <w:rsid w:val="00BE1526"/>
    <w:rsid w:val="00BE70EF"/>
    <w:rsid w:val="00C009BC"/>
    <w:rsid w:val="00C175FC"/>
    <w:rsid w:val="00C2180E"/>
    <w:rsid w:val="00C24782"/>
    <w:rsid w:val="00C32601"/>
    <w:rsid w:val="00C41235"/>
    <w:rsid w:val="00C522D1"/>
    <w:rsid w:val="00C61035"/>
    <w:rsid w:val="00C63601"/>
    <w:rsid w:val="00C64097"/>
    <w:rsid w:val="00C71A41"/>
    <w:rsid w:val="00C751EB"/>
    <w:rsid w:val="00C82E8C"/>
    <w:rsid w:val="00C82ED1"/>
    <w:rsid w:val="00C92DB8"/>
    <w:rsid w:val="00C94355"/>
    <w:rsid w:val="00C94479"/>
    <w:rsid w:val="00CA47AA"/>
    <w:rsid w:val="00CD333C"/>
    <w:rsid w:val="00CD6EEC"/>
    <w:rsid w:val="00CF648B"/>
    <w:rsid w:val="00D13EB6"/>
    <w:rsid w:val="00D23CDD"/>
    <w:rsid w:val="00D24198"/>
    <w:rsid w:val="00D24A1C"/>
    <w:rsid w:val="00D42DDE"/>
    <w:rsid w:val="00D437D5"/>
    <w:rsid w:val="00D51FA6"/>
    <w:rsid w:val="00D542D6"/>
    <w:rsid w:val="00D5603F"/>
    <w:rsid w:val="00D639D8"/>
    <w:rsid w:val="00D77B06"/>
    <w:rsid w:val="00D81F78"/>
    <w:rsid w:val="00D92F2E"/>
    <w:rsid w:val="00D9583F"/>
    <w:rsid w:val="00D95C29"/>
    <w:rsid w:val="00DA323C"/>
    <w:rsid w:val="00DB0E9D"/>
    <w:rsid w:val="00DC6F2D"/>
    <w:rsid w:val="00DE704F"/>
    <w:rsid w:val="00DE70D4"/>
    <w:rsid w:val="00DF0945"/>
    <w:rsid w:val="00DF2AF9"/>
    <w:rsid w:val="00DF36E7"/>
    <w:rsid w:val="00DF6E2B"/>
    <w:rsid w:val="00E026E1"/>
    <w:rsid w:val="00E115C5"/>
    <w:rsid w:val="00E21644"/>
    <w:rsid w:val="00E2718B"/>
    <w:rsid w:val="00E27650"/>
    <w:rsid w:val="00E30D32"/>
    <w:rsid w:val="00E31C18"/>
    <w:rsid w:val="00E36D84"/>
    <w:rsid w:val="00E37384"/>
    <w:rsid w:val="00E4175F"/>
    <w:rsid w:val="00E45584"/>
    <w:rsid w:val="00E47260"/>
    <w:rsid w:val="00E47741"/>
    <w:rsid w:val="00E54A12"/>
    <w:rsid w:val="00E60F19"/>
    <w:rsid w:val="00E651B8"/>
    <w:rsid w:val="00E6617D"/>
    <w:rsid w:val="00E7124A"/>
    <w:rsid w:val="00E748B7"/>
    <w:rsid w:val="00E7552F"/>
    <w:rsid w:val="00E85DF3"/>
    <w:rsid w:val="00E92C69"/>
    <w:rsid w:val="00E95E89"/>
    <w:rsid w:val="00E96904"/>
    <w:rsid w:val="00EA008F"/>
    <w:rsid w:val="00EA0C89"/>
    <w:rsid w:val="00EA3BD4"/>
    <w:rsid w:val="00EB40F2"/>
    <w:rsid w:val="00EB54D3"/>
    <w:rsid w:val="00EC0525"/>
    <w:rsid w:val="00EC28FD"/>
    <w:rsid w:val="00ED2669"/>
    <w:rsid w:val="00ED278E"/>
    <w:rsid w:val="00ED2F06"/>
    <w:rsid w:val="00ED44C8"/>
    <w:rsid w:val="00ED4715"/>
    <w:rsid w:val="00EE1694"/>
    <w:rsid w:val="00EE2E57"/>
    <w:rsid w:val="00F05CD0"/>
    <w:rsid w:val="00F073C7"/>
    <w:rsid w:val="00F1084C"/>
    <w:rsid w:val="00F177C4"/>
    <w:rsid w:val="00F204AF"/>
    <w:rsid w:val="00F20C22"/>
    <w:rsid w:val="00F23FBF"/>
    <w:rsid w:val="00F328D7"/>
    <w:rsid w:val="00F5041D"/>
    <w:rsid w:val="00F569EB"/>
    <w:rsid w:val="00F578D1"/>
    <w:rsid w:val="00F57C0D"/>
    <w:rsid w:val="00F6407C"/>
    <w:rsid w:val="00F702C9"/>
    <w:rsid w:val="00F724CD"/>
    <w:rsid w:val="00F762B8"/>
    <w:rsid w:val="00F911CB"/>
    <w:rsid w:val="00F91BD9"/>
    <w:rsid w:val="00FD0C27"/>
    <w:rsid w:val="00FD49FE"/>
    <w:rsid w:val="00FE2A4B"/>
    <w:rsid w:val="00FF6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07FBB"/>
  <w15:chartTrackingRefBased/>
  <w15:docId w15:val="{2207ECBF-05BF-46AA-8188-406AED0B9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77B06"/>
    <w:pPr>
      <w:spacing w:after="0" w:line="240" w:lineRule="auto"/>
    </w:pPr>
    <w:rPr>
      <w:kern w:val="0"/>
      <w14:ligatures w14:val="none"/>
    </w:rPr>
  </w:style>
  <w:style w:type="paragraph" w:styleId="FootnoteText">
    <w:name w:val="footnote text"/>
    <w:basedOn w:val="Normal"/>
    <w:link w:val="FootnoteTextChar"/>
    <w:uiPriority w:val="99"/>
    <w:semiHidden/>
    <w:unhideWhenUsed/>
    <w:rsid w:val="0098755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8755E"/>
    <w:rPr>
      <w:sz w:val="20"/>
      <w:szCs w:val="20"/>
    </w:rPr>
  </w:style>
  <w:style w:type="character" w:styleId="FootnoteReference">
    <w:name w:val="footnote reference"/>
    <w:basedOn w:val="DefaultParagraphFont"/>
    <w:uiPriority w:val="99"/>
    <w:semiHidden/>
    <w:unhideWhenUsed/>
    <w:rsid w:val="0098755E"/>
    <w:rPr>
      <w:vertAlign w:val="superscript"/>
    </w:rPr>
  </w:style>
  <w:style w:type="character" w:styleId="Hyperlink">
    <w:name w:val="Hyperlink"/>
    <w:basedOn w:val="DefaultParagraphFont"/>
    <w:uiPriority w:val="99"/>
    <w:unhideWhenUsed/>
    <w:rsid w:val="00E651B8"/>
    <w:rPr>
      <w:color w:val="0563C1" w:themeColor="hyperlink"/>
      <w:u w:val="single"/>
    </w:rPr>
  </w:style>
  <w:style w:type="character" w:styleId="UnresolvedMention">
    <w:name w:val="Unresolved Mention"/>
    <w:basedOn w:val="DefaultParagraphFont"/>
    <w:uiPriority w:val="99"/>
    <w:semiHidden/>
    <w:unhideWhenUsed/>
    <w:rsid w:val="00E651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6706102">
      <w:bodyDiv w:val="1"/>
      <w:marLeft w:val="0"/>
      <w:marRight w:val="0"/>
      <w:marTop w:val="0"/>
      <w:marBottom w:val="0"/>
      <w:divBdr>
        <w:top w:val="none" w:sz="0" w:space="0" w:color="auto"/>
        <w:left w:val="none" w:sz="0" w:space="0" w:color="auto"/>
        <w:bottom w:val="none" w:sz="0" w:space="0" w:color="auto"/>
        <w:right w:val="none" w:sz="0" w:space="0" w:color="auto"/>
      </w:divBdr>
      <w:divsChild>
        <w:div w:id="1670598024">
          <w:marLeft w:val="0"/>
          <w:marRight w:val="0"/>
          <w:marTop w:val="0"/>
          <w:marBottom w:val="0"/>
          <w:divBdr>
            <w:top w:val="none" w:sz="0" w:space="0" w:color="auto"/>
            <w:left w:val="none" w:sz="0" w:space="0" w:color="auto"/>
            <w:bottom w:val="none" w:sz="0" w:space="0" w:color="auto"/>
            <w:right w:val="none" w:sz="0" w:space="0" w:color="auto"/>
          </w:divBdr>
          <w:divsChild>
            <w:div w:id="1378358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h.scu.edu/exhibits/exhibits/show/health---medicine-aboard-trans/flux---dysentery"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ogle.co.uk/books/edition/A_Journal_of_a_Voyage_Made_in_the_Hannib/qFJBAAAAcAAJ?hl=en"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slaveryandremembrance.org/articles/article/?id=A012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2307/3031578" TargetMode="External"/><Relationship Id="rId5" Type="http://schemas.openxmlformats.org/officeDocument/2006/relationships/styles" Target="styles.xml"/><Relationship Id="rId15" Type="http://schemas.openxmlformats.org/officeDocument/2006/relationships/hyperlink" Target="https://slaveryandremembrance.org/articles/article/?id=A0109" TargetMode="External"/><Relationship Id="rId10" Type="http://schemas.openxmlformats.org/officeDocument/2006/relationships/hyperlink" Target="http://www.jstor.org/stable/2121762"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slavevoyages.org/voyage/database"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slaveryandremembrance.org/articles/article/?id=A0109" TargetMode="External"/><Relationship Id="rId2" Type="http://schemas.openxmlformats.org/officeDocument/2006/relationships/hyperlink" Target="https://slaveryandremembrance.org/articles/article/?id=A0120" TargetMode="External"/><Relationship Id="rId1" Type="http://schemas.openxmlformats.org/officeDocument/2006/relationships/hyperlink" Target="https://www.slavevoyages.org/voyage/database" TargetMode="External"/><Relationship Id="rId6" Type="http://schemas.openxmlformats.org/officeDocument/2006/relationships/hyperlink" Target="https://dh.scu.edu/exhibits/exhibits/show/health---medicine-aboard-trans/flux---dysentery" TargetMode="External"/><Relationship Id="rId5" Type="http://schemas.openxmlformats.org/officeDocument/2006/relationships/hyperlink" Target="https://doi.org/10.2307/3031578" TargetMode="External"/><Relationship Id="rId4" Type="http://schemas.openxmlformats.org/officeDocument/2006/relationships/hyperlink" Target="http://www.jstor.org/stable/21217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5" ma:contentTypeDescription="Create a new document." ma:contentTypeScope="" ma:versionID="6342447c325cad453c0000a405821a23">
  <xsd:schema xmlns:xsd="http://www.w3.org/2001/XMLSchema" xmlns:xs="http://www.w3.org/2001/XMLSchema" xmlns:p="http://schemas.microsoft.com/office/2006/metadata/properties" xmlns:ns3="d8e79d84-78fb-44a9-92e9-d04bdd8f0359" targetNamespace="http://schemas.microsoft.com/office/2006/metadata/properties" ma:root="true" ma:fieldsID="27131c8d8e74ca7f1042f025998ec606"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F9F30434-EC55-4FFB-8E55-FE37E85657D2}">
  <ds:schemaRefs>
    <ds:schemaRef ds:uri="http://schemas.openxmlformats.org/officeDocument/2006/bibliography"/>
  </ds:schemaRefs>
</ds:datastoreItem>
</file>

<file path=customXml/itemProps2.xml><?xml version="1.0" encoding="utf-8"?>
<ds:datastoreItem xmlns:ds="http://schemas.openxmlformats.org/officeDocument/2006/customXml" ds:itemID="{6E3A696A-4F3E-4C0B-9001-C7EA892950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BB136E8-EA04-46E2-AB01-8DCB3DD0ADD9}">
  <ds:schemaRefs>
    <ds:schemaRef ds:uri="http://schemas.microsoft.com/sharepoint/v3/contenttype/forms"/>
  </ds:schemaRefs>
</ds:datastoreItem>
</file>

<file path=customXml/itemProps4.xml><?xml version="1.0" encoding="utf-8"?>
<ds:datastoreItem xmlns:ds="http://schemas.openxmlformats.org/officeDocument/2006/customXml" ds:itemID="{EC16F483-2CEC-4E62-A52E-4B04D43CCA65}">
  <ds:schemaRefs>
    <ds:schemaRef ds:uri="http://purl.org/dc/elements/1.1/"/>
    <ds:schemaRef ds:uri="http://schemas.openxmlformats.org/package/2006/metadata/core-properties"/>
    <ds:schemaRef ds:uri="http://www.w3.org/XML/1998/namespace"/>
    <ds:schemaRef ds:uri="http://purl.org/dc/terms/"/>
    <ds:schemaRef ds:uri="http://schemas.microsoft.com/office/2006/documentManagement/types"/>
    <ds:schemaRef ds:uri="http://schemas.microsoft.com/office/2006/metadata/properties"/>
    <ds:schemaRef ds:uri="http://purl.org/dc/dcmitype/"/>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1123</Words>
  <Characters>6403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Alyson Greening</dc:creator>
  <cp:keywords/>
  <dc:description/>
  <cp:lastModifiedBy>Alyson Greening</cp:lastModifiedBy>
  <cp:revision>2</cp:revision>
  <cp:lastPrinted>2023-11-25T13:49:00Z</cp:lastPrinted>
  <dcterms:created xsi:type="dcterms:W3CDTF">2023-11-25T15:00:00Z</dcterms:created>
  <dcterms:modified xsi:type="dcterms:W3CDTF">2023-11-25T15:00:00Z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