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B745E" w14:textId="77777777" w:rsidR="002F3980" w:rsidRDefault="002F3980" w:rsidP="005A487D">
      <w:pPr>
        <w:rPr>
          <w:rFonts w:ascii="Arial" w:hAnsi="Arial" w:cs="Arial"/>
          <w:sz w:val="36"/>
          <w:szCs w:val="36"/>
        </w:rPr>
      </w:pPr>
    </w:p>
    <w:p w14:paraId="722C09CE" w14:textId="2E01F75D" w:rsidR="005A487D" w:rsidRPr="00EE2CBA" w:rsidRDefault="005A487D" w:rsidP="005A487D">
      <w:pPr>
        <w:rPr>
          <w:rFonts w:ascii="Arial" w:hAnsi="Arial" w:cs="Arial"/>
          <w:sz w:val="36"/>
          <w:szCs w:val="36"/>
        </w:rPr>
      </w:pPr>
      <w:r w:rsidRPr="00EE2CBA">
        <w:rPr>
          <w:rFonts w:ascii="Arial" w:hAnsi="Arial" w:cs="Arial"/>
          <w:noProof/>
          <w:sz w:val="36"/>
          <w:szCs w:val="36"/>
        </w:rPr>
        <w:drawing>
          <wp:inline distT="0" distB="0" distL="0" distR="0" wp14:anchorId="2C6058DF" wp14:editId="073E3B6E">
            <wp:extent cx="1428750" cy="56991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2491" cy="575398"/>
                    </a:xfrm>
                    <a:prstGeom prst="rect">
                      <a:avLst/>
                    </a:prstGeom>
                    <a:noFill/>
                  </pic:spPr>
                </pic:pic>
              </a:graphicData>
            </a:graphic>
          </wp:inline>
        </w:drawing>
      </w:r>
    </w:p>
    <w:p w14:paraId="1E81089E" w14:textId="0745EA92" w:rsidR="005A487D" w:rsidRPr="00EE2CBA" w:rsidRDefault="005A487D" w:rsidP="005A487D">
      <w:pPr>
        <w:jc w:val="center"/>
        <w:rPr>
          <w:rFonts w:ascii="Arial" w:hAnsi="Arial" w:cs="Arial"/>
          <w:sz w:val="36"/>
          <w:szCs w:val="36"/>
        </w:rPr>
      </w:pPr>
    </w:p>
    <w:p w14:paraId="20449D30" w14:textId="77777777" w:rsidR="005A487D" w:rsidRPr="00EE2CBA" w:rsidRDefault="005A487D" w:rsidP="005A487D">
      <w:pPr>
        <w:jc w:val="center"/>
        <w:rPr>
          <w:rFonts w:ascii="Arial" w:hAnsi="Arial" w:cs="Arial"/>
          <w:sz w:val="36"/>
          <w:szCs w:val="36"/>
        </w:rPr>
      </w:pPr>
    </w:p>
    <w:p w14:paraId="7CDB2802" w14:textId="68368CBC" w:rsidR="005A487D" w:rsidRPr="00EE2CBA" w:rsidRDefault="005A487D" w:rsidP="005A487D">
      <w:pPr>
        <w:jc w:val="center"/>
        <w:rPr>
          <w:rFonts w:ascii="Arial" w:hAnsi="Arial" w:cs="Arial"/>
          <w:b/>
          <w:bCs/>
          <w:sz w:val="36"/>
          <w:szCs w:val="36"/>
        </w:rPr>
      </w:pPr>
      <w:r w:rsidRPr="00EE2CBA">
        <w:rPr>
          <w:rFonts w:ascii="Arial" w:hAnsi="Arial" w:cs="Arial"/>
          <w:b/>
          <w:bCs/>
          <w:sz w:val="36"/>
          <w:szCs w:val="36"/>
        </w:rPr>
        <w:t>The proposal to cease Hoists and Mobile Beds production</w:t>
      </w:r>
    </w:p>
    <w:p w14:paraId="0FC20343" w14:textId="77777777" w:rsidR="005A487D" w:rsidRPr="00EE2CBA" w:rsidRDefault="005A487D" w:rsidP="005A487D">
      <w:pPr>
        <w:jc w:val="center"/>
        <w:rPr>
          <w:rFonts w:ascii="Arial" w:hAnsi="Arial" w:cs="Arial"/>
          <w:b/>
          <w:bCs/>
          <w:sz w:val="36"/>
          <w:szCs w:val="36"/>
        </w:rPr>
      </w:pPr>
    </w:p>
    <w:p w14:paraId="15A537AD" w14:textId="77777777" w:rsidR="005A487D" w:rsidRPr="00EE2CBA" w:rsidRDefault="005A487D" w:rsidP="00415B03">
      <w:pPr>
        <w:rPr>
          <w:rFonts w:ascii="Arial" w:hAnsi="Arial" w:cs="Arial"/>
          <w:b/>
          <w:bCs/>
          <w:sz w:val="36"/>
          <w:szCs w:val="36"/>
          <w:lang w:val="en-US"/>
        </w:rPr>
      </w:pPr>
      <w:r w:rsidRPr="00C126FA">
        <w:rPr>
          <w:rFonts w:ascii="Arial" w:hAnsi="Arial" w:cs="Arial"/>
          <w:sz w:val="28"/>
          <w:szCs w:val="28"/>
        </w:rPr>
        <w:t>Name:</w:t>
      </w:r>
      <w:r w:rsidRPr="00EE2CBA">
        <w:rPr>
          <w:rFonts w:ascii="Arial" w:hAnsi="Arial" w:cs="Arial"/>
          <w:b/>
          <w:bCs/>
          <w:sz w:val="36"/>
          <w:szCs w:val="36"/>
        </w:rPr>
        <w:t xml:space="preserve"> </w:t>
      </w:r>
      <w:proofErr w:type="spellStart"/>
      <w:r w:rsidRPr="00EE2CBA">
        <w:rPr>
          <w:rFonts w:ascii="Arial" w:hAnsi="Arial" w:cs="Arial"/>
          <w:b/>
          <w:bCs/>
          <w:sz w:val="36"/>
          <w:szCs w:val="36"/>
        </w:rPr>
        <w:t>Asen</w:t>
      </w:r>
      <w:proofErr w:type="spellEnd"/>
      <w:r w:rsidRPr="00EE2CBA">
        <w:rPr>
          <w:rFonts w:ascii="Arial" w:hAnsi="Arial" w:cs="Arial"/>
          <w:b/>
          <w:bCs/>
          <w:sz w:val="36"/>
          <w:szCs w:val="36"/>
        </w:rPr>
        <w:t xml:space="preserve"> </w:t>
      </w:r>
      <w:proofErr w:type="spellStart"/>
      <w:r w:rsidRPr="00EE2CBA">
        <w:rPr>
          <w:rFonts w:ascii="Arial" w:hAnsi="Arial" w:cs="Arial"/>
          <w:b/>
          <w:bCs/>
          <w:sz w:val="36"/>
          <w:szCs w:val="36"/>
        </w:rPr>
        <w:t>Metodiev</w:t>
      </w:r>
      <w:proofErr w:type="spellEnd"/>
      <w:r w:rsidRPr="00EE2CBA">
        <w:rPr>
          <w:rFonts w:ascii="Arial" w:hAnsi="Arial" w:cs="Arial"/>
          <w:b/>
          <w:bCs/>
          <w:sz w:val="36"/>
          <w:szCs w:val="36"/>
        </w:rPr>
        <w:t xml:space="preserve"> </w:t>
      </w:r>
      <w:proofErr w:type="spellStart"/>
      <w:r w:rsidRPr="00EE2CBA">
        <w:rPr>
          <w:rFonts w:ascii="Arial" w:hAnsi="Arial" w:cs="Arial"/>
          <w:b/>
          <w:bCs/>
          <w:sz w:val="36"/>
          <w:szCs w:val="36"/>
        </w:rPr>
        <w:t>Asenov</w:t>
      </w:r>
      <w:proofErr w:type="spellEnd"/>
    </w:p>
    <w:p w14:paraId="7E559E78" w14:textId="77487464" w:rsidR="005A487D" w:rsidRPr="00EE2CBA" w:rsidRDefault="005A487D" w:rsidP="00415B03">
      <w:pPr>
        <w:rPr>
          <w:rFonts w:ascii="Arial Black" w:hAnsi="Arial Black" w:cs="Arial"/>
          <w:sz w:val="36"/>
          <w:szCs w:val="36"/>
        </w:rPr>
      </w:pPr>
      <w:r w:rsidRPr="00C126FA">
        <w:rPr>
          <w:rFonts w:ascii="Arial" w:hAnsi="Arial" w:cs="Arial"/>
          <w:sz w:val="28"/>
          <w:szCs w:val="28"/>
        </w:rPr>
        <w:t>Student ID:</w:t>
      </w:r>
      <w:r w:rsidR="00F22CB6">
        <w:rPr>
          <w:rFonts w:ascii="Arial" w:hAnsi="Arial" w:cs="Arial"/>
          <w:b/>
          <w:bCs/>
          <w:sz w:val="36"/>
          <w:szCs w:val="36"/>
        </w:rPr>
        <w:t xml:space="preserve"> </w:t>
      </w:r>
      <w:r w:rsidRPr="00EE2CBA">
        <w:rPr>
          <w:rFonts w:ascii="Arial" w:hAnsi="Arial" w:cs="Arial"/>
          <w:b/>
          <w:bCs/>
          <w:sz w:val="36"/>
          <w:szCs w:val="36"/>
        </w:rPr>
        <w:t>2028526</w:t>
      </w:r>
    </w:p>
    <w:p w14:paraId="35AD4B65" w14:textId="77777777" w:rsidR="005A487D" w:rsidRPr="00EE2CBA" w:rsidRDefault="005A487D" w:rsidP="00415B03">
      <w:pPr>
        <w:rPr>
          <w:rFonts w:ascii="Arial" w:hAnsi="Arial" w:cs="Arial"/>
          <w:b/>
          <w:bCs/>
          <w:sz w:val="36"/>
          <w:szCs w:val="36"/>
        </w:rPr>
      </w:pPr>
      <w:r w:rsidRPr="00C126FA">
        <w:rPr>
          <w:rFonts w:ascii="Arial" w:hAnsi="Arial" w:cs="Arial"/>
          <w:sz w:val="28"/>
          <w:szCs w:val="28"/>
        </w:rPr>
        <w:t>Course:</w:t>
      </w:r>
      <w:r w:rsidRPr="00EE2CBA">
        <w:rPr>
          <w:rFonts w:ascii="Arial" w:hAnsi="Arial" w:cs="Arial"/>
          <w:b/>
          <w:bCs/>
          <w:sz w:val="36"/>
          <w:szCs w:val="36"/>
        </w:rPr>
        <w:t xml:space="preserve"> Business and Management</w:t>
      </w:r>
    </w:p>
    <w:p w14:paraId="54322773" w14:textId="77777777" w:rsidR="005A487D" w:rsidRPr="00EE2CBA" w:rsidRDefault="005A487D" w:rsidP="00415B03">
      <w:pPr>
        <w:rPr>
          <w:rFonts w:ascii="Arial" w:hAnsi="Arial" w:cs="Arial"/>
          <w:b/>
          <w:bCs/>
          <w:sz w:val="36"/>
          <w:szCs w:val="36"/>
        </w:rPr>
      </w:pPr>
      <w:r w:rsidRPr="00C126FA">
        <w:rPr>
          <w:rFonts w:ascii="Arial" w:hAnsi="Arial" w:cs="Arial"/>
          <w:sz w:val="28"/>
          <w:szCs w:val="28"/>
        </w:rPr>
        <w:t>Module:</w:t>
      </w:r>
      <w:r w:rsidRPr="00EE2CBA">
        <w:rPr>
          <w:rFonts w:ascii="Arial" w:hAnsi="Arial" w:cs="Arial"/>
          <w:b/>
          <w:bCs/>
          <w:sz w:val="36"/>
          <w:szCs w:val="36"/>
        </w:rPr>
        <w:t xml:space="preserve"> Management Accounting</w:t>
      </w:r>
    </w:p>
    <w:p w14:paraId="232044BD" w14:textId="77777777" w:rsidR="005A487D" w:rsidRPr="00EE2CBA" w:rsidRDefault="005A487D" w:rsidP="00415B03">
      <w:pPr>
        <w:rPr>
          <w:rFonts w:ascii="Arial" w:hAnsi="Arial" w:cs="Arial"/>
          <w:b/>
          <w:bCs/>
          <w:sz w:val="36"/>
          <w:szCs w:val="36"/>
        </w:rPr>
      </w:pPr>
      <w:r w:rsidRPr="00C126FA">
        <w:rPr>
          <w:rFonts w:ascii="Arial" w:hAnsi="Arial" w:cs="Arial"/>
          <w:sz w:val="28"/>
          <w:szCs w:val="28"/>
        </w:rPr>
        <w:t>Module code:</w:t>
      </w:r>
      <w:r w:rsidRPr="00EE2CBA">
        <w:rPr>
          <w:rFonts w:ascii="Arial" w:hAnsi="Arial" w:cs="Arial"/>
          <w:b/>
          <w:bCs/>
          <w:sz w:val="36"/>
          <w:szCs w:val="36"/>
        </w:rPr>
        <w:t xml:space="preserve"> LCBB_50002</w:t>
      </w:r>
    </w:p>
    <w:p w14:paraId="27F9D7F6" w14:textId="0D6C4C5F" w:rsidR="005A487D" w:rsidRDefault="005A487D" w:rsidP="00415B03">
      <w:pPr>
        <w:rPr>
          <w:rFonts w:ascii="Arial" w:hAnsi="Arial" w:cs="Arial"/>
          <w:b/>
          <w:bCs/>
          <w:sz w:val="36"/>
          <w:szCs w:val="36"/>
        </w:rPr>
      </w:pPr>
      <w:r w:rsidRPr="00C126FA">
        <w:rPr>
          <w:rFonts w:ascii="Arial" w:hAnsi="Arial" w:cs="Arial"/>
          <w:sz w:val="28"/>
          <w:szCs w:val="28"/>
          <w:lang w:val="en-US"/>
        </w:rPr>
        <w:t>Module Leader</w:t>
      </w:r>
      <w:r w:rsidRPr="00C126FA">
        <w:rPr>
          <w:rFonts w:ascii="Arial" w:hAnsi="Arial" w:cs="Arial"/>
          <w:sz w:val="28"/>
          <w:szCs w:val="28"/>
        </w:rPr>
        <w:t>:</w:t>
      </w:r>
      <w:r w:rsidRPr="00EE2CBA">
        <w:rPr>
          <w:rFonts w:ascii="Arial" w:hAnsi="Arial" w:cs="Arial"/>
          <w:b/>
          <w:bCs/>
          <w:sz w:val="36"/>
          <w:szCs w:val="36"/>
        </w:rPr>
        <w:t xml:space="preserve"> </w:t>
      </w:r>
      <w:proofErr w:type="spellStart"/>
      <w:r w:rsidRPr="00EE2CBA">
        <w:rPr>
          <w:rFonts w:ascii="Arial" w:hAnsi="Arial" w:cs="Arial"/>
          <w:b/>
          <w:bCs/>
          <w:sz w:val="36"/>
          <w:szCs w:val="36"/>
        </w:rPr>
        <w:t>Munodzinessa</w:t>
      </w:r>
      <w:proofErr w:type="spellEnd"/>
      <w:r w:rsidRPr="00EE2CBA">
        <w:rPr>
          <w:rFonts w:ascii="Arial" w:hAnsi="Arial" w:cs="Arial"/>
          <w:b/>
          <w:bCs/>
          <w:sz w:val="36"/>
          <w:szCs w:val="36"/>
        </w:rPr>
        <w:t xml:space="preserve"> </w:t>
      </w:r>
      <w:proofErr w:type="spellStart"/>
      <w:r w:rsidRPr="00EE2CBA">
        <w:rPr>
          <w:rFonts w:ascii="Arial" w:hAnsi="Arial" w:cs="Arial"/>
          <w:b/>
          <w:bCs/>
          <w:sz w:val="36"/>
          <w:szCs w:val="36"/>
        </w:rPr>
        <w:t>Zuwirai</w:t>
      </w:r>
      <w:proofErr w:type="spellEnd"/>
    </w:p>
    <w:p w14:paraId="0EBA85EC" w14:textId="24B0650F" w:rsidR="00F22CB6" w:rsidRDefault="00F22CB6" w:rsidP="00415B03">
      <w:pPr>
        <w:rPr>
          <w:rFonts w:ascii="Arial" w:hAnsi="Arial" w:cs="Arial"/>
          <w:b/>
          <w:bCs/>
          <w:sz w:val="36"/>
          <w:szCs w:val="36"/>
        </w:rPr>
      </w:pPr>
    </w:p>
    <w:p w14:paraId="1E21BE61" w14:textId="77777777" w:rsidR="00F22CB6" w:rsidRPr="00EE2CBA" w:rsidRDefault="00F22CB6" w:rsidP="00F22CB6">
      <w:pPr>
        <w:rPr>
          <w:rFonts w:ascii="Arial" w:hAnsi="Arial" w:cs="Arial"/>
          <w:b/>
          <w:bCs/>
          <w:sz w:val="36"/>
          <w:szCs w:val="36"/>
        </w:rPr>
      </w:pPr>
    </w:p>
    <w:p w14:paraId="36DEAEEA" w14:textId="77777777" w:rsidR="005A487D" w:rsidRPr="00EE2CBA" w:rsidRDefault="005A487D" w:rsidP="005A487D">
      <w:pPr>
        <w:jc w:val="center"/>
        <w:rPr>
          <w:rFonts w:ascii="Arial" w:hAnsi="Arial" w:cs="Arial"/>
          <w:b/>
          <w:bCs/>
          <w:sz w:val="36"/>
          <w:szCs w:val="36"/>
        </w:rPr>
      </w:pPr>
      <w:r w:rsidRPr="00EE2CBA">
        <w:rPr>
          <w:rFonts w:ascii="Arial" w:hAnsi="Arial" w:cs="Arial"/>
          <w:b/>
          <w:bCs/>
          <w:sz w:val="36"/>
          <w:szCs w:val="36"/>
        </w:rPr>
        <w:t>UWTSD</w:t>
      </w:r>
    </w:p>
    <w:p w14:paraId="66F6E6FC" w14:textId="77777777" w:rsidR="005A487D" w:rsidRPr="00EE2CBA" w:rsidRDefault="005A487D" w:rsidP="005A487D">
      <w:pPr>
        <w:jc w:val="center"/>
        <w:rPr>
          <w:rFonts w:ascii="Arial" w:hAnsi="Arial" w:cs="Arial"/>
          <w:sz w:val="36"/>
          <w:szCs w:val="36"/>
        </w:rPr>
      </w:pPr>
    </w:p>
    <w:p w14:paraId="29082F22" w14:textId="77777777" w:rsidR="005A487D" w:rsidRPr="00EE2CBA" w:rsidRDefault="005A487D" w:rsidP="005A487D">
      <w:pPr>
        <w:jc w:val="center"/>
        <w:rPr>
          <w:rFonts w:ascii="Arial" w:hAnsi="Arial" w:cs="Arial"/>
          <w:sz w:val="36"/>
          <w:szCs w:val="36"/>
        </w:rPr>
      </w:pPr>
    </w:p>
    <w:p w14:paraId="3A05002C" w14:textId="77777777" w:rsidR="005A487D" w:rsidRPr="00EE2CBA" w:rsidRDefault="005A487D" w:rsidP="005A487D">
      <w:pPr>
        <w:jc w:val="center"/>
        <w:rPr>
          <w:rFonts w:ascii="Arial" w:hAnsi="Arial" w:cs="Arial"/>
          <w:sz w:val="36"/>
          <w:szCs w:val="36"/>
        </w:rPr>
      </w:pPr>
    </w:p>
    <w:p w14:paraId="6CE46323" w14:textId="77777777" w:rsidR="005A487D" w:rsidRPr="00EE2CBA" w:rsidRDefault="005A487D" w:rsidP="005A487D">
      <w:pPr>
        <w:jc w:val="center"/>
        <w:rPr>
          <w:rFonts w:ascii="Arial" w:hAnsi="Arial" w:cs="Arial"/>
          <w:sz w:val="36"/>
          <w:szCs w:val="36"/>
        </w:rPr>
      </w:pPr>
    </w:p>
    <w:p w14:paraId="10BC16AD" w14:textId="77777777" w:rsidR="005A487D" w:rsidRPr="00EA5911" w:rsidRDefault="005A487D" w:rsidP="005A487D">
      <w:pPr>
        <w:rPr>
          <w:rFonts w:ascii="Arial" w:hAnsi="Arial" w:cs="Arial"/>
          <w:sz w:val="36"/>
          <w:szCs w:val="36"/>
        </w:rPr>
      </w:pPr>
      <w:r w:rsidRPr="00EE2CBA">
        <w:rPr>
          <w:rFonts w:ascii="Arial" w:hAnsi="Arial" w:cs="Arial"/>
          <w:sz w:val="36"/>
          <w:szCs w:val="36"/>
        </w:rPr>
        <w:br w:type="page"/>
      </w:r>
    </w:p>
    <w:p w14:paraId="1ABEA020" w14:textId="77777777" w:rsidR="005A487D" w:rsidRPr="00EA5911" w:rsidRDefault="005A487D" w:rsidP="005A487D">
      <w:pPr>
        <w:jc w:val="center"/>
        <w:rPr>
          <w:rFonts w:ascii="Arial" w:hAnsi="Arial" w:cs="Arial"/>
          <w:sz w:val="36"/>
          <w:szCs w:val="36"/>
        </w:rPr>
      </w:pPr>
    </w:p>
    <w:p w14:paraId="1E11A4B9" w14:textId="77777777" w:rsidR="005A487D" w:rsidRPr="00EA5911" w:rsidRDefault="005A487D" w:rsidP="005A487D">
      <w:pPr>
        <w:jc w:val="center"/>
        <w:rPr>
          <w:rFonts w:ascii="Arial" w:hAnsi="Arial" w:cs="Arial"/>
          <w:sz w:val="36"/>
          <w:szCs w:val="36"/>
        </w:rPr>
      </w:pPr>
    </w:p>
    <w:sdt>
      <w:sdtPr>
        <w:rPr>
          <w:rFonts w:ascii="Arial" w:eastAsiaTheme="minorHAnsi" w:hAnsi="Arial" w:cs="Arial"/>
          <w:color w:val="auto"/>
          <w:sz w:val="22"/>
          <w:szCs w:val="22"/>
          <w:lang w:val="en-GB"/>
        </w:rPr>
        <w:id w:val="-461343882"/>
        <w:docPartObj>
          <w:docPartGallery w:val="Table of Contents"/>
          <w:docPartUnique/>
        </w:docPartObj>
      </w:sdtPr>
      <w:sdtEndPr>
        <w:rPr>
          <w:b/>
          <w:bCs/>
          <w:noProof/>
        </w:rPr>
      </w:sdtEndPr>
      <w:sdtContent>
        <w:p w14:paraId="25E9106B" w14:textId="77777777" w:rsidR="005A487D" w:rsidRPr="00EA5911" w:rsidRDefault="005A487D" w:rsidP="005A487D">
          <w:pPr>
            <w:pStyle w:val="TOCHeading"/>
            <w:rPr>
              <w:rFonts w:ascii="Arial" w:hAnsi="Arial" w:cs="Arial"/>
              <w:color w:val="auto"/>
            </w:rPr>
          </w:pPr>
          <w:r w:rsidRPr="00EA5911">
            <w:rPr>
              <w:rFonts w:ascii="Arial" w:hAnsi="Arial" w:cs="Arial"/>
              <w:color w:val="auto"/>
            </w:rPr>
            <w:t>Table of Contents</w:t>
          </w:r>
        </w:p>
        <w:p w14:paraId="7F2784EA" w14:textId="74D5AC42" w:rsidR="00F23079" w:rsidRDefault="005A487D">
          <w:pPr>
            <w:pStyle w:val="TOC1"/>
            <w:tabs>
              <w:tab w:val="right" w:leader="dot" w:pos="9016"/>
            </w:tabs>
            <w:rPr>
              <w:rFonts w:cstheme="minorBidi"/>
              <w:noProof/>
              <w:lang w:val="en-GB" w:eastAsia="en-GB"/>
            </w:rPr>
          </w:pPr>
          <w:r w:rsidRPr="00EA5911">
            <w:rPr>
              <w:rFonts w:ascii="Arial" w:hAnsi="Arial" w:cs="Arial"/>
            </w:rPr>
            <w:fldChar w:fldCharType="begin"/>
          </w:r>
          <w:r w:rsidRPr="00EA5911">
            <w:rPr>
              <w:rFonts w:ascii="Arial" w:hAnsi="Arial" w:cs="Arial"/>
            </w:rPr>
            <w:instrText xml:space="preserve"> TOC \o "1-3" \h \z \u </w:instrText>
          </w:r>
          <w:r w:rsidRPr="00EA5911">
            <w:rPr>
              <w:rFonts w:ascii="Arial" w:hAnsi="Arial" w:cs="Arial"/>
            </w:rPr>
            <w:fldChar w:fldCharType="separate"/>
          </w:r>
          <w:hyperlink w:anchor="_Toc107933605" w:history="1">
            <w:r w:rsidR="00F23079" w:rsidRPr="008959A7">
              <w:rPr>
                <w:rStyle w:val="Hyperlink"/>
                <w:rFonts w:ascii="Arial" w:hAnsi="Arial" w:cs="Arial"/>
                <w:noProof/>
              </w:rPr>
              <w:t>Introduction</w:t>
            </w:r>
            <w:r w:rsidR="00F23079">
              <w:rPr>
                <w:noProof/>
                <w:webHidden/>
              </w:rPr>
              <w:tab/>
            </w:r>
            <w:r w:rsidR="00F23079">
              <w:rPr>
                <w:noProof/>
                <w:webHidden/>
              </w:rPr>
              <w:fldChar w:fldCharType="begin"/>
            </w:r>
            <w:r w:rsidR="00F23079">
              <w:rPr>
                <w:noProof/>
                <w:webHidden/>
              </w:rPr>
              <w:instrText xml:space="preserve"> PAGEREF _Toc107933605 \h </w:instrText>
            </w:r>
            <w:r w:rsidR="00F23079">
              <w:rPr>
                <w:noProof/>
                <w:webHidden/>
              </w:rPr>
            </w:r>
            <w:r w:rsidR="00F23079">
              <w:rPr>
                <w:noProof/>
                <w:webHidden/>
              </w:rPr>
              <w:fldChar w:fldCharType="separate"/>
            </w:r>
            <w:r w:rsidR="00F23079">
              <w:rPr>
                <w:noProof/>
                <w:webHidden/>
              </w:rPr>
              <w:t>3</w:t>
            </w:r>
            <w:r w:rsidR="00F23079">
              <w:rPr>
                <w:noProof/>
                <w:webHidden/>
              </w:rPr>
              <w:fldChar w:fldCharType="end"/>
            </w:r>
          </w:hyperlink>
        </w:p>
        <w:p w14:paraId="2A22F720" w14:textId="0B5DD942" w:rsidR="00F23079" w:rsidRDefault="00D50504">
          <w:pPr>
            <w:pStyle w:val="TOC1"/>
            <w:tabs>
              <w:tab w:val="right" w:leader="dot" w:pos="9016"/>
            </w:tabs>
            <w:rPr>
              <w:rFonts w:cstheme="minorBidi"/>
              <w:noProof/>
              <w:lang w:val="en-GB" w:eastAsia="en-GB"/>
            </w:rPr>
          </w:pPr>
          <w:hyperlink w:anchor="_Toc107933606" w:history="1">
            <w:r w:rsidR="00F23079" w:rsidRPr="008959A7">
              <w:rPr>
                <w:rStyle w:val="Hyperlink"/>
                <w:rFonts w:ascii="Arial" w:hAnsi="Arial" w:cs="Arial"/>
                <w:noProof/>
              </w:rPr>
              <w:t>(a)Marginal Costing Statement – Mobile Beds, Hoists and Wheelchairs</w:t>
            </w:r>
            <w:r w:rsidR="00F23079">
              <w:rPr>
                <w:noProof/>
                <w:webHidden/>
              </w:rPr>
              <w:tab/>
            </w:r>
            <w:r w:rsidR="00F23079">
              <w:rPr>
                <w:noProof/>
                <w:webHidden/>
              </w:rPr>
              <w:fldChar w:fldCharType="begin"/>
            </w:r>
            <w:r w:rsidR="00F23079">
              <w:rPr>
                <w:noProof/>
                <w:webHidden/>
              </w:rPr>
              <w:instrText xml:space="preserve"> PAGEREF _Toc107933606 \h </w:instrText>
            </w:r>
            <w:r w:rsidR="00F23079">
              <w:rPr>
                <w:noProof/>
                <w:webHidden/>
              </w:rPr>
            </w:r>
            <w:r w:rsidR="00F23079">
              <w:rPr>
                <w:noProof/>
                <w:webHidden/>
              </w:rPr>
              <w:fldChar w:fldCharType="separate"/>
            </w:r>
            <w:r w:rsidR="00F23079">
              <w:rPr>
                <w:noProof/>
                <w:webHidden/>
              </w:rPr>
              <w:t>3</w:t>
            </w:r>
            <w:r w:rsidR="00F23079">
              <w:rPr>
                <w:noProof/>
                <w:webHidden/>
              </w:rPr>
              <w:fldChar w:fldCharType="end"/>
            </w:r>
          </w:hyperlink>
        </w:p>
        <w:p w14:paraId="1A6F52AE" w14:textId="6B87B641" w:rsidR="00F23079" w:rsidRDefault="00D50504">
          <w:pPr>
            <w:pStyle w:val="TOC1"/>
            <w:tabs>
              <w:tab w:val="right" w:leader="dot" w:pos="9016"/>
            </w:tabs>
            <w:rPr>
              <w:rFonts w:cstheme="minorBidi"/>
              <w:noProof/>
              <w:lang w:val="en-GB" w:eastAsia="en-GB"/>
            </w:rPr>
          </w:pPr>
          <w:hyperlink w:anchor="_Toc107933607" w:history="1">
            <w:r w:rsidR="00F23079" w:rsidRPr="008959A7">
              <w:rPr>
                <w:rStyle w:val="Hyperlink"/>
                <w:rFonts w:ascii="Arial" w:hAnsi="Arial" w:cs="Arial"/>
                <w:noProof/>
              </w:rPr>
              <w:t>Contribution margin- definition, purpose, importance</w:t>
            </w:r>
            <w:r w:rsidR="00F23079">
              <w:rPr>
                <w:noProof/>
                <w:webHidden/>
              </w:rPr>
              <w:tab/>
            </w:r>
            <w:r w:rsidR="00F23079">
              <w:rPr>
                <w:noProof/>
                <w:webHidden/>
              </w:rPr>
              <w:fldChar w:fldCharType="begin"/>
            </w:r>
            <w:r w:rsidR="00F23079">
              <w:rPr>
                <w:noProof/>
                <w:webHidden/>
              </w:rPr>
              <w:instrText xml:space="preserve"> PAGEREF _Toc107933607 \h </w:instrText>
            </w:r>
            <w:r w:rsidR="00F23079">
              <w:rPr>
                <w:noProof/>
                <w:webHidden/>
              </w:rPr>
            </w:r>
            <w:r w:rsidR="00F23079">
              <w:rPr>
                <w:noProof/>
                <w:webHidden/>
              </w:rPr>
              <w:fldChar w:fldCharType="separate"/>
            </w:r>
            <w:r w:rsidR="00F23079">
              <w:rPr>
                <w:noProof/>
                <w:webHidden/>
              </w:rPr>
              <w:t>3</w:t>
            </w:r>
            <w:r w:rsidR="00F23079">
              <w:rPr>
                <w:noProof/>
                <w:webHidden/>
              </w:rPr>
              <w:fldChar w:fldCharType="end"/>
            </w:r>
          </w:hyperlink>
        </w:p>
        <w:p w14:paraId="3BC39EB3" w14:textId="38BBF522" w:rsidR="00F23079" w:rsidRDefault="00D50504">
          <w:pPr>
            <w:pStyle w:val="TOC1"/>
            <w:tabs>
              <w:tab w:val="right" w:leader="dot" w:pos="9016"/>
            </w:tabs>
            <w:rPr>
              <w:rFonts w:cstheme="minorBidi"/>
              <w:noProof/>
              <w:lang w:val="en-GB" w:eastAsia="en-GB"/>
            </w:rPr>
          </w:pPr>
          <w:hyperlink w:anchor="_Toc107933608" w:history="1">
            <w:r w:rsidR="00F23079" w:rsidRPr="008959A7">
              <w:rPr>
                <w:rStyle w:val="Hyperlink"/>
                <w:rFonts w:ascii="Arial" w:hAnsi="Arial" w:cs="Arial"/>
                <w:noProof/>
              </w:rPr>
              <w:t>Decision making process</w:t>
            </w:r>
            <w:r w:rsidR="00F23079">
              <w:rPr>
                <w:noProof/>
                <w:webHidden/>
              </w:rPr>
              <w:tab/>
            </w:r>
            <w:r w:rsidR="00F23079">
              <w:rPr>
                <w:noProof/>
                <w:webHidden/>
              </w:rPr>
              <w:fldChar w:fldCharType="begin"/>
            </w:r>
            <w:r w:rsidR="00F23079">
              <w:rPr>
                <w:noProof/>
                <w:webHidden/>
              </w:rPr>
              <w:instrText xml:space="preserve"> PAGEREF _Toc107933608 \h </w:instrText>
            </w:r>
            <w:r w:rsidR="00F23079">
              <w:rPr>
                <w:noProof/>
                <w:webHidden/>
              </w:rPr>
            </w:r>
            <w:r w:rsidR="00F23079">
              <w:rPr>
                <w:noProof/>
                <w:webHidden/>
              </w:rPr>
              <w:fldChar w:fldCharType="separate"/>
            </w:r>
            <w:r w:rsidR="00F23079">
              <w:rPr>
                <w:noProof/>
                <w:webHidden/>
              </w:rPr>
              <w:t>4</w:t>
            </w:r>
            <w:r w:rsidR="00F23079">
              <w:rPr>
                <w:noProof/>
                <w:webHidden/>
              </w:rPr>
              <w:fldChar w:fldCharType="end"/>
            </w:r>
          </w:hyperlink>
        </w:p>
        <w:p w14:paraId="5AAC096D" w14:textId="120B83FF" w:rsidR="00F23079" w:rsidRDefault="00D50504">
          <w:pPr>
            <w:pStyle w:val="TOC1"/>
            <w:tabs>
              <w:tab w:val="right" w:leader="dot" w:pos="9016"/>
            </w:tabs>
            <w:rPr>
              <w:rFonts w:cstheme="minorBidi"/>
              <w:noProof/>
              <w:lang w:val="en-GB" w:eastAsia="en-GB"/>
            </w:rPr>
          </w:pPr>
          <w:hyperlink w:anchor="_Toc107933609" w:history="1">
            <w:r w:rsidR="00F23079" w:rsidRPr="008959A7">
              <w:rPr>
                <w:rStyle w:val="Hyperlink"/>
                <w:rFonts w:ascii="Arial" w:hAnsi="Arial" w:cs="Arial"/>
                <w:noProof/>
              </w:rPr>
              <w:t>(b)Production of Hoists-</w:t>
            </w:r>
            <w:r w:rsidR="00F23079">
              <w:rPr>
                <w:noProof/>
                <w:webHidden/>
              </w:rPr>
              <w:tab/>
            </w:r>
            <w:r w:rsidR="00F23079">
              <w:rPr>
                <w:noProof/>
                <w:webHidden/>
              </w:rPr>
              <w:fldChar w:fldCharType="begin"/>
            </w:r>
            <w:r w:rsidR="00F23079">
              <w:rPr>
                <w:noProof/>
                <w:webHidden/>
              </w:rPr>
              <w:instrText xml:space="preserve"> PAGEREF _Toc107933609 \h </w:instrText>
            </w:r>
            <w:r w:rsidR="00F23079">
              <w:rPr>
                <w:noProof/>
                <w:webHidden/>
              </w:rPr>
            </w:r>
            <w:r w:rsidR="00F23079">
              <w:rPr>
                <w:noProof/>
                <w:webHidden/>
              </w:rPr>
              <w:fldChar w:fldCharType="separate"/>
            </w:r>
            <w:r w:rsidR="00F23079">
              <w:rPr>
                <w:noProof/>
                <w:webHidden/>
              </w:rPr>
              <w:t>4</w:t>
            </w:r>
            <w:r w:rsidR="00F23079">
              <w:rPr>
                <w:noProof/>
                <w:webHidden/>
              </w:rPr>
              <w:fldChar w:fldCharType="end"/>
            </w:r>
          </w:hyperlink>
        </w:p>
        <w:p w14:paraId="14F2709E" w14:textId="2CDABCD9" w:rsidR="00F23079" w:rsidRDefault="00D50504">
          <w:pPr>
            <w:pStyle w:val="TOC1"/>
            <w:tabs>
              <w:tab w:val="right" w:leader="dot" w:pos="9016"/>
            </w:tabs>
            <w:rPr>
              <w:rFonts w:cstheme="minorBidi"/>
              <w:noProof/>
              <w:lang w:val="en-GB" w:eastAsia="en-GB"/>
            </w:rPr>
          </w:pPr>
          <w:hyperlink w:anchor="_Toc107933610" w:history="1">
            <w:r w:rsidR="00F23079" w:rsidRPr="008959A7">
              <w:rPr>
                <w:rStyle w:val="Hyperlink"/>
                <w:rFonts w:ascii="Arial" w:hAnsi="Arial" w:cs="Arial"/>
                <w:noProof/>
              </w:rPr>
              <w:t>( c ) Production of Mobile Beds-</w:t>
            </w:r>
            <w:r w:rsidR="00F23079">
              <w:rPr>
                <w:noProof/>
                <w:webHidden/>
              </w:rPr>
              <w:tab/>
            </w:r>
            <w:r w:rsidR="00F23079">
              <w:rPr>
                <w:noProof/>
                <w:webHidden/>
              </w:rPr>
              <w:fldChar w:fldCharType="begin"/>
            </w:r>
            <w:r w:rsidR="00F23079">
              <w:rPr>
                <w:noProof/>
                <w:webHidden/>
              </w:rPr>
              <w:instrText xml:space="preserve"> PAGEREF _Toc107933610 \h </w:instrText>
            </w:r>
            <w:r w:rsidR="00F23079">
              <w:rPr>
                <w:noProof/>
                <w:webHidden/>
              </w:rPr>
            </w:r>
            <w:r w:rsidR="00F23079">
              <w:rPr>
                <w:noProof/>
                <w:webHidden/>
              </w:rPr>
              <w:fldChar w:fldCharType="separate"/>
            </w:r>
            <w:r w:rsidR="00F23079">
              <w:rPr>
                <w:noProof/>
                <w:webHidden/>
              </w:rPr>
              <w:t>4</w:t>
            </w:r>
            <w:r w:rsidR="00F23079">
              <w:rPr>
                <w:noProof/>
                <w:webHidden/>
              </w:rPr>
              <w:fldChar w:fldCharType="end"/>
            </w:r>
          </w:hyperlink>
        </w:p>
        <w:p w14:paraId="33D724F5" w14:textId="6C293E92" w:rsidR="00F23079" w:rsidRDefault="00D50504">
          <w:pPr>
            <w:pStyle w:val="TOC1"/>
            <w:tabs>
              <w:tab w:val="right" w:leader="dot" w:pos="9016"/>
            </w:tabs>
            <w:rPr>
              <w:rFonts w:cstheme="minorBidi"/>
              <w:noProof/>
              <w:lang w:val="en-GB" w:eastAsia="en-GB"/>
            </w:rPr>
          </w:pPr>
          <w:hyperlink w:anchor="_Toc107933611" w:history="1">
            <w:r w:rsidR="00F23079" w:rsidRPr="008959A7">
              <w:rPr>
                <w:rStyle w:val="Hyperlink"/>
                <w:rFonts w:ascii="Arial" w:hAnsi="Arial" w:cs="Arial"/>
                <w:b/>
                <w:bCs/>
                <w:noProof/>
              </w:rPr>
              <w:t>(d)Absorption costing and Marginal costing</w:t>
            </w:r>
            <w:r w:rsidR="00F23079">
              <w:rPr>
                <w:noProof/>
                <w:webHidden/>
              </w:rPr>
              <w:tab/>
            </w:r>
            <w:r w:rsidR="00F23079">
              <w:rPr>
                <w:noProof/>
                <w:webHidden/>
              </w:rPr>
              <w:fldChar w:fldCharType="begin"/>
            </w:r>
            <w:r w:rsidR="00F23079">
              <w:rPr>
                <w:noProof/>
                <w:webHidden/>
              </w:rPr>
              <w:instrText xml:space="preserve"> PAGEREF _Toc107933611 \h </w:instrText>
            </w:r>
            <w:r w:rsidR="00F23079">
              <w:rPr>
                <w:noProof/>
                <w:webHidden/>
              </w:rPr>
            </w:r>
            <w:r w:rsidR="00F23079">
              <w:rPr>
                <w:noProof/>
                <w:webHidden/>
              </w:rPr>
              <w:fldChar w:fldCharType="separate"/>
            </w:r>
            <w:r w:rsidR="00F23079">
              <w:rPr>
                <w:noProof/>
                <w:webHidden/>
              </w:rPr>
              <w:t>5</w:t>
            </w:r>
            <w:r w:rsidR="00F23079">
              <w:rPr>
                <w:noProof/>
                <w:webHidden/>
              </w:rPr>
              <w:fldChar w:fldCharType="end"/>
            </w:r>
          </w:hyperlink>
        </w:p>
        <w:p w14:paraId="5FB19063" w14:textId="24D9A280" w:rsidR="00F23079" w:rsidRDefault="00D50504">
          <w:pPr>
            <w:pStyle w:val="TOC1"/>
            <w:tabs>
              <w:tab w:val="right" w:leader="dot" w:pos="9016"/>
            </w:tabs>
            <w:rPr>
              <w:rFonts w:cstheme="minorBidi"/>
              <w:noProof/>
              <w:lang w:val="en-GB" w:eastAsia="en-GB"/>
            </w:rPr>
          </w:pPr>
          <w:hyperlink w:anchor="_Toc107933612" w:history="1">
            <w:r w:rsidR="00F23079" w:rsidRPr="008959A7">
              <w:rPr>
                <w:rStyle w:val="Hyperlink"/>
                <w:rFonts w:ascii="Arial" w:hAnsi="Arial" w:cs="Arial"/>
                <w:noProof/>
              </w:rPr>
              <w:t>Absorption costing- definition and role</w:t>
            </w:r>
            <w:r w:rsidR="00F23079">
              <w:rPr>
                <w:noProof/>
                <w:webHidden/>
              </w:rPr>
              <w:tab/>
            </w:r>
            <w:r w:rsidR="00F23079">
              <w:rPr>
                <w:noProof/>
                <w:webHidden/>
              </w:rPr>
              <w:fldChar w:fldCharType="begin"/>
            </w:r>
            <w:r w:rsidR="00F23079">
              <w:rPr>
                <w:noProof/>
                <w:webHidden/>
              </w:rPr>
              <w:instrText xml:space="preserve"> PAGEREF _Toc107933612 \h </w:instrText>
            </w:r>
            <w:r w:rsidR="00F23079">
              <w:rPr>
                <w:noProof/>
                <w:webHidden/>
              </w:rPr>
            </w:r>
            <w:r w:rsidR="00F23079">
              <w:rPr>
                <w:noProof/>
                <w:webHidden/>
              </w:rPr>
              <w:fldChar w:fldCharType="separate"/>
            </w:r>
            <w:r w:rsidR="00F23079">
              <w:rPr>
                <w:noProof/>
                <w:webHidden/>
              </w:rPr>
              <w:t>5</w:t>
            </w:r>
            <w:r w:rsidR="00F23079">
              <w:rPr>
                <w:noProof/>
                <w:webHidden/>
              </w:rPr>
              <w:fldChar w:fldCharType="end"/>
            </w:r>
          </w:hyperlink>
        </w:p>
        <w:p w14:paraId="39FD0772" w14:textId="3C07D1B4" w:rsidR="00F23079" w:rsidRDefault="00D50504">
          <w:pPr>
            <w:pStyle w:val="TOC1"/>
            <w:tabs>
              <w:tab w:val="right" w:leader="dot" w:pos="9016"/>
            </w:tabs>
            <w:rPr>
              <w:rFonts w:cstheme="minorBidi"/>
              <w:noProof/>
              <w:lang w:val="en-GB" w:eastAsia="en-GB"/>
            </w:rPr>
          </w:pPr>
          <w:hyperlink w:anchor="_Toc107933613" w:history="1">
            <w:r w:rsidR="00F23079" w:rsidRPr="008959A7">
              <w:rPr>
                <w:rStyle w:val="Hyperlink"/>
                <w:rFonts w:ascii="Arial" w:hAnsi="Arial" w:cs="Arial"/>
                <w:noProof/>
              </w:rPr>
              <w:t>Conclusion</w:t>
            </w:r>
            <w:r w:rsidR="00F23079">
              <w:rPr>
                <w:noProof/>
                <w:webHidden/>
              </w:rPr>
              <w:tab/>
            </w:r>
            <w:r w:rsidR="00F23079">
              <w:rPr>
                <w:noProof/>
                <w:webHidden/>
              </w:rPr>
              <w:fldChar w:fldCharType="begin"/>
            </w:r>
            <w:r w:rsidR="00F23079">
              <w:rPr>
                <w:noProof/>
                <w:webHidden/>
              </w:rPr>
              <w:instrText xml:space="preserve"> PAGEREF _Toc107933613 \h </w:instrText>
            </w:r>
            <w:r w:rsidR="00F23079">
              <w:rPr>
                <w:noProof/>
                <w:webHidden/>
              </w:rPr>
            </w:r>
            <w:r w:rsidR="00F23079">
              <w:rPr>
                <w:noProof/>
                <w:webHidden/>
              </w:rPr>
              <w:fldChar w:fldCharType="separate"/>
            </w:r>
            <w:r w:rsidR="00F23079">
              <w:rPr>
                <w:noProof/>
                <w:webHidden/>
              </w:rPr>
              <w:t>6</w:t>
            </w:r>
            <w:r w:rsidR="00F23079">
              <w:rPr>
                <w:noProof/>
                <w:webHidden/>
              </w:rPr>
              <w:fldChar w:fldCharType="end"/>
            </w:r>
          </w:hyperlink>
        </w:p>
        <w:p w14:paraId="3B138651" w14:textId="55E0555A" w:rsidR="00F23079" w:rsidRDefault="00D50504">
          <w:pPr>
            <w:pStyle w:val="TOC1"/>
            <w:tabs>
              <w:tab w:val="right" w:leader="dot" w:pos="9016"/>
            </w:tabs>
            <w:rPr>
              <w:rFonts w:cstheme="minorBidi"/>
              <w:noProof/>
              <w:lang w:val="en-GB" w:eastAsia="en-GB"/>
            </w:rPr>
          </w:pPr>
          <w:hyperlink w:anchor="_Toc107933614" w:history="1">
            <w:r w:rsidR="00F23079" w:rsidRPr="008959A7">
              <w:rPr>
                <w:rStyle w:val="Hyperlink"/>
                <w:rFonts w:ascii="Arial" w:hAnsi="Arial" w:cs="Arial"/>
                <w:noProof/>
              </w:rPr>
              <w:t>Reference list</w:t>
            </w:r>
            <w:r w:rsidR="00F23079">
              <w:rPr>
                <w:noProof/>
                <w:webHidden/>
              </w:rPr>
              <w:tab/>
            </w:r>
            <w:r w:rsidR="00F23079">
              <w:rPr>
                <w:noProof/>
                <w:webHidden/>
              </w:rPr>
              <w:fldChar w:fldCharType="begin"/>
            </w:r>
            <w:r w:rsidR="00F23079">
              <w:rPr>
                <w:noProof/>
                <w:webHidden/>
              </w:rPr>
              <w:instrText xml:space="preserve"> PAGEREF _Toc107933614 \h </w:instrText>
            </w:r>
            <w:r w:rsidR="00F23079">
              <w:rPr>
                <w:noProof/>
                <w:webHidden/>
              </w:rPr>
            </w:r>
            <w:r w:rsidR="00F23079">
              <w:rPr>
                <w:noProof/>
                <w:webHidden/>
              </w:rPr>
              <w:fldChar w:fldCharType="separate"/>
            </w:r>
            <w:r w:rsidR="00F23079">
              <w:rPr>
                <w:noProof/>
                <w:webHidden/>
              </w:rPr>
              <w:t>7</w:t>
            </w:r>
            <w:r w:rsidR="00F23079">
              <w:rPr>
                <w:noProof/>
                <w:webHidden/>
              </w:rPr>
              <w:fldChar w:fldCharType="end"/>
            </w:r>
          </w:hyperlink>
        </w:p>
        <w:p w14:paraId="13B0EA6B" w14:textId="7714AC76" w:rsidR="005A487D" w:rsidRPr="00EA5911" w:rsidRDefault="005A487D" w:rsidP="005A487D">
          <w:pPr>
            <w:rPr>
              <w:rFonts w:ascii="Arial" w:hAnsi="Arial" w:cs="Arial"/>
            </w:rPr>
          </w:pPr>
          <w:r w:rsidRPr="00EA5911">
            <w:rPr>
              <w:rFonts w:ascii="Arial" w:hAnsi="Arial" w:cs="Arial"/>
              <w:b/>
              <w:bCs/>
              <w:noProof/>
            </w:rPr>
            <w:fldChar w:fldCharType="end"/>
          </w:r>
        </w:p>
      </w:sdtContent>
    </w:sdt>
    <w:p w14:paraId="051DCD56" w14:textId="77777777" w:rsidR="005A487D" w:rsidRPr="00EA5911" w:rsidRDefault="005A487D" w:rsidP="005A487D">
      <w:pPr>
        <w:pStyle w:val="Heading1"/>
        <w:rPr>
          <w:rFonts w:ascii="Arial" w:hAnsi="Arial" w:cs="Arial"/>
        </w:rPr>
      </w:pPr>
    </w:p>
    <w:p w14:paraId="635B1423" w14:textId="77777777" w:rsidR="005A487D" w:rsidRPr="00EA5911" w:rsidRDefault="005A487D" w:rsidP="005A487D">
      <w:pPr>
        <w:rPr>
          <w:rFonts w:ascii="Arial" w:hAnsi="Arial" w:cs="Arial"/>
        </w:rPr>
      </w:pPr>
    </w:p>
    <w:p w14:paraId="38206FE3" w14:textId="77777777" w:rsidR="005A487D" w:rsidRPr="00EA5911" w:rsidRDefault="005A487D" w:rsidP="005A487D">
      <w:pPr>
        <w:rPr>
          <w:rFonts w:ascii="Arial" w:hAnsi="Arial" w:cs="Arial"/>
        </w:rPr>
      </w:pPr>
    </w:p>
    <w:p w14:paraId="4F7123E4" w14:textId="77777777" w:rsidR="005A487D" w:rsidRPr="00EA5911" w:rsidRDefault="005A487D" w:rsidP="005A487D">
      <w:pPr>
        <w:rPr>
          <w:rFonts w:ascii="Arial" w:hAnsi="Arial" w:cs="Arial"/>
        </w:rPr>
      </w:pPr>
    </w:p>
    <w:p w14:paraId="427AC628" w14:textId="77777777" w:rsidR="005A487D" w:rsidRPr="00EA5911" w:rsidRDefault="005A487D" w:rsidP="005A487D">
      <w:pPr>
        <w:rPr>
          <w:rFonts w:ascii="Arial" w:hAnsi="Arial" w:cs="Arial"/>
        </w:rPr>
      </w:pPr>
    </w:p>
    <w:p w14:paraId="7B10CEAF" w14:textId="77777777" w:rsidR="005A487D" w:rsidRPr="00EA5911" w:rsidRDefault="005A487D" w:rsidP="005A487D">
      <w:pPr>
        <w:rPr>
          <w:rFonts w:ascii="Arial" w:hAnsi="Arial" w:cs="Arial"/>
        </w:rPr>
      </w:pPr>
    </w:p>
    <w:p w14:paraId="4ED60DD4" w14:textId="77777777" w:rsidR="005A487D" w:rsidRPr="00EA5911" w:rsidRDefault="005A487D" w:rsidP="005A487D">
      <w:pPr>
        <w:rPr>
          <w:rFonts w:ascii="Arial" w:hAnsi="Arial" w:cs="Arial"/>
        </w:rPr>
      </w:pPr>
    </w:p>
    <w:p w14:paraId="04DD5A68" w14:textId="77777777" w:rsidR="005A487D" w:rsidRPr="00EA5911" w:rsidRDefault="005A487D" w:rsidP="005A487D">
      <w:pPr>
        <w:rPr>
          <w:rFonts w:ascii="Arial" w:hAnsi="Arial" w:cs="Arial"/>
        </w:rPr>
      </w:pPr>
    </w:p>
    <w:p w14:paraId="3AE1F9D6" w14:textId="77777777" w:rsidR="005A487D" w:rsidRPr="00EA5911" w:rsidRDefault="005A487D" w:rsidP="005A487D">
      <w:pPr>
        <w:rPr>
          <w:rFonts w:ascii="Arial" w:hAnsi="Arial" w:cs="Arial"/>
        </w:rPr>
      </w:pPr>
    </w:p>
    <w:p w14:paraId="0A3A471C" w14:textId="77777777" w:rsidR="005A487D" w:rsidRPr="00EA5911" w:rsidRDefault="005A487D" w:rsidP="005A487D">
      <w:pPr>
        <w:rPr>
          <w:rFonts w:ascii="Arial" w:hAnsi="Arial" w:cs="Arial"/>
        </w:rPr>
      </w:pPr>
    </w:p>
    <w:p w14:paraId="78C6B1C5" w14:textId="77777777" w:rsidR="005A487D" w:rsidRPr="00EA5911" w:rsidRDefault="005A487D" w:rsidP="005A487D">
      <w:pPr>
        <w:rPr>
          <w:rFonts w:ascii="Arial" w:hAnsi="Arial" w:cs="Arial"/>
        </w:rPr>
      </w:pPr>
    </w:p>
    <w:p w14:paraId="799EC009" w14:textId="77777777" w:rsidR="005A487D" w:rsidRPr="00EA5911" w:rsidRDefault="005A487D" w:rsidP="005A487D">
      <w:pPr>
        <w:rPr>
          <w:rFonts w:ascii="Arial" w:hAnsi="Arial" w:cs="Arial"/>
        </w:rPr>
      </w:pPr>
    </w:p>
    <w:p w14:paraId="5A3A01A5" w14:textId="77777777" w:rsidR="005A487D" w:rsidRPr="00EA5911" w:rsidRDefault="005A487D" w:rsidP="005A487D">
      <w:pPr>
        <w:rPr>
          <w:rFonts w:ascii="Arial" w:hAnsi="Arial" w:cs="Arial"/>
        </w:rPr>
      </w:pPr>
    </w:p>
    <w:p w14:paraId="7E5DF1D3" w14:textId="77777777" w:rsidR="005A487D" w:rsidRPr="00EA5911" w:rsidRDefault="005A487D" w:rsidP="005A487D">
      <w:pPr>
        <w:rPr>
          <w:rFonts w:ascii="Arial" w:hAnsi="Arial" w:cs="Arial"/>
        </w:rPr>
      </w:pPr>
    </w:p>
    <w:p w14:paraId="75133884" w14:textId="77777777" w:rsidR="005A487D" w:rsidRPr="00EA5911" w:rsidRDefault="005A487D" w:rsidP="005A487D">
      <w:pPr>
        <w:rPr>
          <w:rFonts w:ascii="Arial" w:hAnsi="Arial" w:cs="Arial"/>
        </w:rPr>
      </w:pPr>
    </w:p>
    <w:p w14:paraId="7D6C0C5F" w14:textId="77777777" w:rsidR="005A487D" w:rsidRPr="00EA5911" w:rsidRDefault="005A487D" w:rsidP="005A487D">
      <w:pPr>
        <w:rPr>
          <w:rFonts w:ascii="Arial" w:hAnsi="Arial" w:cs="Arial"/>
        </w:rPr>
      </w:pPr>
    </w:p>
    <w:p w14:paraId="45BB424F" w14:textId="51FDCAB6" w:rsidR="005A487D" w:rsidRPr="00EA5911" w:rsidRDefault="005A487D" w:rsidP="005A487D">
      <w:pPr>
        <w:rPr>
          <w:rFonts w:ascii="Arial" w:hAnsi="Arial" w:cs="Arial"/>
        </w:rPr>
      </w:pPr>
    </w:p>
    <w:p w14:paraId="105678F8" w14:textId="77777777" w:rsidR="00746F8D" w:rsidRPr="00EA5911" w:rsidRDefault="00746F8D" w:rsidP="005A487D">
      <w:pPr>
        <w:rPr>
          <w:rFonts w:ascii="Arial" w:hAnsi="Arial" w:cs="Arial"/>
        </w:rPr>
      </w:pPr>
    </w:p>
    <w:p w14:paraId="3BEB9DA7" w14:textId="77777777" w:rsidR="005A487D" w:rsidRPr="00EA5911" w:rsidRDefault="005A487D" w:rsidP="005A487D">
      <w:pPr>
        <w:rPr>
          <w:rFonts w:ascii="Arial" w:hAnsi="Arial" w:cs="Arial"/>
        </w:rPr>
      </w:pPr>
      <w:r w:rsidRPr="00EA5911">
        <w:rPr>
          <w:rFonts w:ascii="Arial" w:hAnsi="Arial" w:cs="Arial"/>
        </w:rPr>
        <w:lastRenderedPageBreak/>
        <w:t>To: MSG Managers</w:t>
      </w:r>
    </w:p>
    <w:p w14:paraId="590BD80C" w14:textId="33AECE32" w:rsidR="005A487D" w:rsidRPr="00EA5911" w:rsidRDefault="005A487D" w:rsidP="005A487D">
      <w:pPr>
        <w:rPr>
          <w:rFonts w:ascii="Arial" w:hAnsi="Arial" w:cs="Arial"/>
        </w:rPr>
      </w:pPr>
      <w:r w:rsidRPr="00EA5911">
        <w:rPr>
          <w:rFonts w:ascii="Arial" w:hAnsi="Arial" w:cs="Arial"/>
        </w:rPr>
        <w:t>From: Asen Asenov</w:t>
      </w:r>
    </w:p>
    <w:p w14:paraId="366C3008" w14:textId="21022A6C" w:rsidR="005A487D" w:rsidRPr="00EA5911" w:rsidRDefault="005A487D" w:rsidP="005A487D">
      <w:pPr>
        <w:rPr>
          <w:rFonts w:ascii="Arial" w:hAnsi="Arial" w:cs="Arial"/>
        </w:rPr>
      </w:pPr>
      <w:r w:rsidRPr="00EA5911">
        <w:rPr>
          <w:rFonts w:ascii="Arial" w:hAnsi="Arial" w:cs="Arial"/>
        </w:rPr>
        <w:t xml:space="preserve">Date: </w:t>
      </w:r>
      <w:r w:rsidR="002F3980" w:rsidRPr="00EA5911">
        <w:rPr>
          <w:rFonts w:ascii="Arial" w:hAnsi="Arial" w:cs="Arial"/>
        </w:rPr>
        <w:t>06</w:t>
      </w:r>
      <w:r w:rsidRPr="00EA5911">
        <w:rPr>
          <w:rFonts w:ascii="Arial" w:hAnsi="Arial" w:cs="Arial"/>
        </w:rPr>
        <w:t xml:space="preserve"> Ju</w:t>
      </w:r>
      <w:r w:rsidR="002F3980" w:rsidRPr="00EA5911">
        <w:rPr>
          <w:rFonts w:ascii="Arial" w:hAnsi="Arial" w:cs="Arial"/>
        </w:rPr>
        <w:t>ly</w:t>
      </w:r>
      <w:r w:rsidRPr="00EA5911">
        <w:rPr>
          <w:rFonts w:ascii="Arial" w:hAnsi="Arial" w:cs="Arial"/>
        </w:rPr>
        <w:t xml:space="preserve"> 2022</w:t>
      </w:r>
    </w:p>
    <w:p w14:paraId="6F7B7D6B" w14:textId="77777777" w:rsidR="005A487D" w:rsidRPr="00EA5911" w:rsidRDefault="005A487D" w:rsidP="005A487D">
      <w:pPr>
        <w:rPr>
          <w:rFonts w:ascii="Arial" w:hAnsi="Arial" w:cs="Arial"/>
        </w:rPr>
      </w:pPr>
      <w:r w:rsidRPr="00EA5911">
        <w:rPr>
          <w:rFonts w:ascii="Arial" w:hAnsi="Arial" w:cs="Arial"/>
        </w:rPr>
        <w:t>Subject: Proposal to cease Hoists and Mobile Beds production</w:t>
      </w:r>
    </w:p>
    <w:p w14:paraId="602A9519" w14:textId="77777777" w:rsidR="005A487D" w:rsidRPr="00EA5911" w:rsidRDefault="005A487D" w:rsidP="005A487D">
      <w:pPr>
        <w:rPr>
          <w:rFonts w:ascii="Arial" w:hAnsi="Arial" w:cs="Arial"/>
        </w:rPr>
      </w:pPr>
    </w:p>
    <w:p w14:paraId="5CA6DBB6" w14:textId="77777777" w:rsidR="005A487D" w:rsidRPr="00EA5911" w:rsidRDefault="005A487D" w:rsidP="005A487D">
      <w:pPr>
        <w:pStyle w:val="Heading1"/>
        <w:rPr>
          <w:rFonts w:ascii="Arial" w:hAnsi="Arial" w:cs="Arial"/>
          <w:color w:val="auto"/>
        </w:rPr>
      </w:pPr>
      <w:bookmarkStart w:id="0" w:name="_Toc107933605"/>
      <w:r w:rsidRPr="00EA5911">
        <w:rPr>
          <w:rFonts w:ascii="Arial" w:hAnsi="Arial" w:cs="Arial"/>
          <w:color w:val="auto"/>
        </w:rPr>
        <w:t>Introduction</w:t>
      </w:r>
      <w:bookmarkEnd w:id="0"/>
    </w:p>
    <w:p w14:paraId="0847CA15" w14:textId="77777777" w:rsidR="005A487D" w:rsidRPr="00EA5911" w:rsidRDefault="005A487D" w:rsidP="00D67EC3">
      <w:pPr>
        <w:jc w:val="both"/>
        <w:rPr>
          <w:rFonts w:ascii="Arial" w:hAnsi="Arial" w:cs="Arial"/>
        </w:rPr>
      </w:pPr>
      <w:r w:rsidRPr="00EA5911">
        <w:rPr>
          <w:rFonts w:ascii="Arial" w:hAnsi="Arial" w:cs="Arial"/>
        </w:rPr>
        <w:t xml:space="preserve">  The report presents the Marginal Costing Statement for the company’s three manufactures products: Mobile Beds, Hoists and Wheelchairs. Based on the computation from the Marginal Costing Statement, the second section addresses whether or not corporation should cease production of Hoists and Mobile Beds. In the third section of the case, the definition significance, benefits and distinctions between Absorption Costing and Marginal Costing are discussed.</w:t>
      </w:r>
    </w:p>
    <w:p w14:paraId="03A488A9" w14:textId="7E5C208E" w:rsidR="005A487D" w:rsidRPr="00EA5911" w:rsidRDefault="004E6B72" w:rsidP="004E6B72">
      <w:pPr>
        <w:pStyle w:val="Heading1"/>
        <w:rPr>
          <w:rFonts w:ascii="Arial" w:hAnsi="Arial" w:cs="Arial"/>
          <w:color w:val="auto"/>
        </w:rPr>
      </w:pPr>
      <w:bookmarkStart w:id="1" w:name="_Toc107933606"/>
      <w:r w:rsidRPr="00EA5911">
        <w:rPr>
          <w:rFonts w:ascii="Arial" w:hAnsi="Arial" w:cs="Arial"/>
          <w:color w:val="auto"/>
        </w:rPr>
        <w:t>(a)</w:t>
      </w:r>
      <w:r w:rsidR="005A487D" w:rsidRPr="00EA5911">
        <w:rPr>
          <w:rFonts w:ascii="Arial" w:hAnsi="Arial" w:cs="Arial"/>
          <w:color w:val="auto"/>
        </w:rPr>
        <w:t>Marginal Costing Statement – Mobile Beds, Hoists and Wheelchairs</w:t>
      </w:r>
      <w:bookmarkEnd w:id="1"/>
    </w:p>
    <w:p w14:paraId="5A1B77C9" w14:textId="77777777" w:rsidR="005A487D" w:rsidRPr="00EA5911" w:rsidRDefault="005A487D" w:rsidP="005A487D">
      <w:pPr>
        <w:rPr>
          <w:rFonts w:ascii="Arial" w:hAnsi="Arial" w:cs="Arial"/>
        </w:rPr>
      </w:pPr>
    </w:p>
    <w:bookmarkStart w:id="2" w:name="_MON_1717862915"/>
    <w:bookmarkEnd w:id="2"/>
    <w:p w14:paraId="69FA9977" w14:textId="07A90103" w:rsidR="0072424A" w:rsidRDefault="001608B2" w:rsidP="005A487D">
      <w:pPr>
        <w:rPr>
          <w:rFonts w:ascii="Arial" w:hAnsi="Arial" w:cs="Arial"/>
        </w:rPr>
      </w:pPr>
      <w:r w:rsidRPr="00EA5911">
        <w:rPr>
          <w:rFonts w:ascii="Arial" w:hAnsi="Arial" w:cs="Arial"/>
        </w:rPr>
        <w:object w:dxaOrig="9826" w:dyaOrig="3500" w14:anchorId="02E519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5.65pt;height:176.75pt" o:ole="">
            <v:imagedata r:id="rId9" o:title=""/>
          </v:shape>
          <o:OLEObject Type="Embed" ProgID="Excel.Sheet.12" ShapeID="_x0000_i1025" DrawAspect="Content" ObjectID="_1718546582" r:id="rId10"/>
        </w:object>
      </w:r>
    </w:p>
    <w:p w14:paraId="6766E459" w14:textId="77777777" w:rsidR="0072424A" w:rsidRPr="00EA5911" w:rsidRDefault="0072424A" w:rsidP="005A487D">
      <w:pPr>
        <w:rPr>
          <w:rFonts w:ascii="Arial" w:hAnsi="Arial" w:cs="Arial"/>
        </w:rPr>
      </w:pPr>
    </w:p>
    <w:p w14:paraId="46EBFF48" w14:textId="6ED2205C" w:rsidR="005A487D" w:rsidRPr="00EA5911" w:rsidRDefault="005A487D" w:rsidP="005A487D">
      <w:pPr>
        <w:pStyle w:val="Heading1"/>
        <w:rPr>
          <w:rFonts w:ascii="Arial" w:hAnsi="Arial" w:cs="Arial"/>
          <w:color w:val="auto"/>
        </w:rPr>
      </w:pPr>
    </w:p>
    <w:p w14:paraId="66AD49B1" w14:textId="35DF3C1D" w:rsidR="005A487D" w:rsidRPr="00EA5911" w:rsidRDefault="00872B85" w:rsidP="00872B85">
      <w:pPr>
        <w:pStyle w:val="Heading1"/>
        <w:rPr>
          <w:rFonts w:ascii="Arial" w:hAnsi="Arial" w:cs="Arial"/>
        </w:rPr>
      </w:pPr>
      <w:bookmarkStart w:id="3" w:name="_Toc107933607"/>
      <w:r w:rsidRPr="00EA5911">
        <w:rPr>
          <w:rFonts w:ascii="Arial" w:hAnsi="Arial" w:cs="Arial"/>
        </w:rPr>
        <w:t xml:space="preserve">Contribution margin- </w:t>
      </w:r>
      <w:r w:rsidR="00F35A5E" w:rsidRPr="00EA5911">
        <w:rPr>
          <w:rFonts w:ascii="Arial" w:hAnsi="Arial" w:cs="Arial"/>
        </w:rPr>
        <w:t>definition, purpose, importance</w:t>
      </w:r>
      <w:bookmarkEnd w:id="3"/>
    </w:p>
    <w:p w14:paraId="5011FDD9" w14:textId="77777777" w:rsidR="00B26808" w:rsidRPr="00EA5911" w:rsidRDefault="00B26808" w:rsidP="00B26808">
      <w:pPr>
        <w:rPr>
          <w:rFonts w:ascii="Arial" w:hAnsi="Arial" w:cs="Arial"/>
          <w:lang w:val="bg-BG"/>
        </w:rPr>
      </w:pPr>
    </w:p>
    <w:p w14:paraId="4A3756B6" w14:textId="0536917B" w:rsidR="00660B8E" w:rsidRPr="00EA5911" w:rsidRDefault="00F35A5E" w:rsidP="005A487D">
      <w:pPr>
        <w:rPr>
          <w:rFonts w:ascii="Arial" w:hAnsi="Arial" w:cs="Arial"/>
        </w:rPr>
      </w:pPr>
      <w:r w:rsidRPr="00EA5911">
        <w:rPr>
          <w:rFonts w:ascii="Arial" w:hAnsi="Arial" w:cs="Arial"/>
        </w:rPr>
        <w:t xml:space="preserve">It is the amount of money left over to meet the business’s fixed costs that is know as Contribution Margin. In other words, it refers to the money left over after the variable costs </w:t>
      </w:r>
      <w:r w:rsidR="00B52F17" w:rsidRPr="00EA5911">
        <w:rPr>
          <w:rFonts w:ascii="Arial" w:hAnsi="Arial" w:cs="Arial"/>
        </w:rPr>
        <w:t xml:space="preserve">of making the company’s items have been deducted, the calculation of the contribution margin is a key tool for assessing, managing and planning the profitability of the company. In addition, the formula’s outputs can be used to make short-term decisions. As a result, the level of output as well as the contribution margin are critical to the growth of the company. The cost of manufacturing the products must be split between fixed and variable expenses. To figure it out the contribution margin is needs to do this. </w:t>
      </w:r>
      <w:r w:rsidR="00614946" w:rsidRPr="00EA5911">
        <w:rPr>
          <w:rFonts w:ascii="Arial" w:hAnsi="Arial" w:cs="Arial"/>
        </w:rPr>
        <w:t xml:space="preserve">Internal analysis is based on contribution analysis. It is also important to note that the contribution margin doesn’t </w:t>
      </w:r>
      <w:r w:rsidR="00614946" w:rsidRPr="00EA5911">
        <w:rPr>
          <w:rFonts w:ascii="Arial" w:hAnsi="Arial" w:cs="Arial"/>
        </w:rPr>
        <w:lastRenderedPageBreak/>
        <w:t>represent how much profit the business makes. Instead, it shows how much revenue the company can expect to bring in to cover its fixed costs. In order to meet its goals, a corporation must ensure that its contribution margin covers both its fixed costs and the amount of income it hopes to generate. (PRADEEPA H, 2022)</w:t>
      </w:r>
    </w:p>
    <w:p w14:paraId="51C09BC7" w14:textId="77777777" w:rsidR="00CE4924" w:rsidRPr="00EA5911" w:rsidRDefault="00CE4924" w:rsidP="00CE4924">
      <w:pPr>
        <w:pStyle w:val="Heading1"/>
        <w:rPr>
          <w:rFonts w:ascii="Arial" w:hAnsi="Arial" w:cs="Arial"/>
          <w:color w:val="auto"/>
        </w:rPr>
      </w:pPr>
      <w:bookmarkStart w:id="4" w:name="_Toc107933608"/>
      <w:r w:rsidRPr="00EA5911">
        <w:rPr>
          <w:rFonts w:ascii="Arial" w:hAnsi="Arial" w:cs="Arial"/>
          <w:color w:val="auto"/>
        </w:rPr>
        <w:t>Decision making process</w:t>
      </w:r>
      <w:bookmarkEnd w:id="4"/>
    </w:p>
    <w:p w14:paraId="25406082" w14:textId="0AB6B0C4" w:rsidR="00474806" w:rsidRPr="00EA5911" w:rsidRDefault="00474806" w:rsidP="005A487D">
      <w:pPr>
        <w:rPr>
          <w:rFonts w:ascii="Arial" w:hAnsi="Arial" w:cs="Arial"/>
        </w:rPr>
      </w:pPr>
    </w:p>
    <w:p w14:paraId="1FA223F8" w14:textId="0CA70559" w:rsidR="00CE4924" w:rsidRDefault="00AA2554" w:rsidP="00CE4924">
      <w:pPr>
        <w:rPr>
          <w:rFonts w:ascii="Arial" w:hAnsi="Arial" w:cs="Arial"/>
        </w:rPr>
      </w:pPr>
      <w:r w:rsidRPr="00EA5911">
        <w:rPr>
          <w:rFonts w:ascii="Arial" w:hAnsi="Arial" w:cs="Arial"/>
        </w:rPr>
        <w:t xml:space="preserve">Many managerial decisions are made easier when the contribution margin is examined, including whether to add or remove a product line, how to price a product or service </w:t>
      </w:r>
      <w:r w:rsidR="00CC48D0" w:rsidRPr="00EA5911">
        <w:rPr>
          <w:rFonts w:ascii="Arial" w:hAnsi="Arial" w:cs="Arial"/>
        </w:rPr>
        <w:t xml:space="preserve">and how to structure commissions for sales. Product comparison is the most common usage of this feature. This means that the company loses money on every unit it sells, and so it should either drop the product or raise prices. A product is likely to be worth retaining if it has a positive contribution margin. Although “conventionally computed </w:t>
      </w:r>
      <w:r w:rsidR="005B7DC1" w:rsidRPr="00EA5911">
        <w:rPr>
          <w:rFonts w:ascii="Arial" w:hAnsi="Arial" w:cs="Arial"/>
        </w:rPr>
        <w:t>profit” may</w:t>
      </w:r>
      <w:r w:rsidR="00CC48D0" w:rsidRPr="00EA5911">
        <w:rPr>
          <w:rFonts w:ascii="Arial" w:hAnsi="Arial" w:cs="Arial"/>
        </w:rPr>
        <w:t xml:space="preserve"> be negative, </w:t>
      </w:r>
      <w:r w:rsidR="005B7DC1" w:rsidRPr="00EA5911">
        <w:rPr>
          <w:rFonts w:ascii="Arial" w:hAnsi="Arial" w:cs="Arial"/>
        </w:rPr>
        <w:t>“if</w:t>
      </w:r>
      <w:r w:rsidR="00CC48D0" w:rsidRPr="00EA5911">
        <w:rPr>
          <w:rFonts w:ascii="Arial" w:hAnsi="Arial" w:cs="Arial"/>
        </w:rPr>
        <w:t xml:space="preserve"> the products </w:t>
      </w:r>
      <w:r w:rsidR="005B7DC1" w:rsidRPr="00EA5911">
        <w:rPr>
          <w:rFonts w:ascii="Arial" w:hAnsi="Arial" w:cs="Arial"/>
        </w:rPr>
        <w:t>have</w:t>
      </w:r>
      <w:r w:rsidR="00CC48D0" w:rsidRPr="00EA5911">
        <w:rPr>
          <w:rFonts w:ascii="Arial" w:hAnsi="Arial" w:cs="Arial"/>
        </w:rPr>
        <w:t xml:space="preserve"> a positive contribution margin, it contributes to fixed expenses and </w:t>
      </w:r>
      <w:r w:rsidR="005B7DC1" w:rsidRPr="00EA5911">
        <w:rPr>
          <w:rFonts w:ascii="Arial" w:hAnsi="Arial" w:cs="Arial"/>
        </w:rPr>
        <w:t>profit. (</w:t>
      </w:r>
      <w:r w:rsidR="00CC48D0" w:rsidRPr="00EA5911">
        <w:rPr>
          <w:rFonts w:ascii="Arial" w:hAnsi="Arial" w:cs="Arial"/>
        </w:rPr>
        <w:t>Gallo, 2017)</w:t>
      </w:r>
      <w:r w:rsidR="005B7DC1" w:rsidRPr="00EA5911">
        <w:rPr>
          <w:rFonts w:ascii="Arial" w:hAnsi="Arial" w:cs="Arial"/>
        </w:rPr>
        <w:t xml:space="preserve">. </w:t>
      </w:r>
      <w:r w:rsidR="00EA5911" w:rsidRPr="00EA5911">
        <w:rPr>
          <w:rFonts w:ascii="Arial" w:hAnsi="Arial" w:cs="Arial"/>
        </w:rPr>
        <w:t>In this case it advices, the company to stop producing Hoist, because the marginal costing statement(a) shows negative contribution and also advices the company to keep going with producing Mobile Beds, because of the positive results of the contribution, but in short term period</w:t>
      </w:r>
      <w:r w:rsidR="00E9090E">
        <w:rPr>
          <w:rFonts w:ascii="Arial" w:hAnsi="Arial" w:cs="Arial"/>
        </w:rPr>
        <w:t>.</w:t>
      </w:r>
    </w:p>
    <w:p w14:paraId="353CC48C" w14:textId="435BFFCF" w:rsidR="00CE4924" w:rsidRPr="00EA5911" w:rsidRDefault="00CE4924" w:rsidP="00EA5911">
      <w:pPr>
        <w:pStyle w:val="Heading1"/>
        <w:rPr>
          <w:rFonts w:ascii="Arial" w:hAnsi="Arial" w:cs="Arial"/>
        </w:rPr>
      </w:pPr>
      <w:bookmarkStart w:id="5" w:name="_Toc107933609"/>
      <w:r w:rsidRPr="00EA5911">
        <w:rPr>
          <w:rFonts w:ascii="Arial" w:hAnsi="Arial" w:cs="Arial"/>
        </w:rPr>
        <w:t>(b)Production of Hoists-</w:t>
      </w:r>
      <w:bookmarkEnd w:id="5"/>
    </w:p>
    <w:p w14:paraId="67CEB9A7" w14:textId="72FF5EF4" w:rsidR="000F1DF4" w:rsidRPr="00EA5911" w:rsidRDefault="00EA5911" w:rsidP="005A487D">
      <w:pPr>
        <w:rPr>
          <w:rFonts w:ascii="Arial" w:hAnsi="Arial" w:cs="Arial"/>
        </w:rPr>
      </w:pPr>
      <w:r w:rsidRPr="00EA5911">
        <w:rPr>
          <w:rFonts w:ascii="Arial" w:hAnsi="Arial" w:cs="Arial"/>
        </w:rPr>
        <w:t xml:space="preserve">Marginal Costing statement- Below the Excel Table shows the results if the company stop producing Hoists. </w:t>
      </w:r>
    </w:p>
    <w:p w14:paraId="40E9ACA9" w14:textId="77777777" w:rsidR="000F1DF4" w:rsidRPr="00EA5911" w:rsidRDefault="000F1DF4" w:rsidP="005A487D">
      <w:pPr>
        <w:rPr>
          <w:rFonts w:ascii="Arial" w:hAnsi="Arial" w:cs="Arial"/>
        </w:rPr>
      </w:pPr>
    </w:p>
    <w:bookmarkStart w:id="6" w:name="_MON_1717864861"/>
    <w:bookmarkEnd w:id="6"/>
    <w:p w14:paraId="25EF1DE2" w14:textId="099ECEC4" w:rsidR="005A487D" w:rsidRPr="00EA5911" w:rsidRDefault="001608B2" w:rsidP="005A487D">
      <w:pPr>
        <w:rPr>
          <w:rFonts w:ascii="Arial" w:hAnsi="Arial" w:cs="Arial"/>
        </w:rPr>
      </w:pPr>
      <w:r w:rsidRPr="00EA5911">
        <w:rPr>
          <w:rFonts w:ascii="Arial" w:hAnsi="Arial" w:cs="Arial"/>
        </w:rPr>
        <w:object w:dxaOrig="9931" w:dyaOrig="3500" w14:anchorId="2A0A96EB">
          <v:shape id="_x0000_i1026" type="#_x0000_t75" style="width:496.75pt;height:174.9pt" o:ole="">
            <v:imagedata r:id="rId11" o:title=""/>
          </v:shape>
          <o:OLEObject Type="Embed" ProgID="Excel.Sheet.12" ShapeID="_x0000_i1026" DrawAspect="Content" ObjectID="_1718546583" r:id="rId12"/>
        </w:object>
      </w:r>
    </w:p>
    <w:p w14:paraId="041FC40C" w14:textId="79987EFE" w:rsidR="005A487D" w:rsidRDefault="005A487D" w:rsidP="005A487D">
      <w:pPr>
        <w:rPr>
          <w:rFonts w:ascii="Arial" w:hAnsi="Arial" w:cs="Arial"/>
        </w:rPr>
      </w:pPr>
    </w:p>
    <w:p w14:paraId="6A4CCB3C" w14:textId="1F1DAB78" w:rsidR="00F23079" w:rsidRDefault="00F23079" w:rsidP="005A487D">
      <w:pPr>
        <w:rPr>
          <w:rFonts w:ascii="Arial" w:hAnsi="Arial" w:cs="Arial"/>
        </w:rPr>
      </w:pPr>
    </w:p>
    <w:p w14:paraId="5047D8EF" w14:textId="6F5A2775" w:rsidR="00F23079" w:rsidRDefault="00F23079" w:rsidP="005A487D">
      <w:pPr>
        <w:rPr>
          <w:rFonts w:ascii="Arial" w:hAnsi="Arial" w:cs="Arial"/>
        </w:rPr>
      </w:pPr>
    </w:p>
    <w:p w14:paraId="70A89D26" w14:textId="77777777" w:rsidR="00F23079" w:rsidRPr="00EA5911" w:rsidRDefault="00F23079" w:rsidP="005A487D">
      <w:pPr>
        <w:rPr>
          <w:rFonts w:ascii="Arial" w:hAnsi="Arial" w:cs="Arial"/>
        </w:rPr>
      </w:pPr>
    </w:p>
    <w:p w14:paraId="51B0AE24" w14:textId="77777777" w:rsidR="005A487D" w:rsidRPr="00EA5911" w:rsidRDefault="005A487D" w:rsidP="005B7DC1">
      <w:pPr>
        <w:pStyle w:val="Heading1"/>
        <w:rPr>
          <w:rFonts w:ascii="Arial" w:hAnsi="Arial" w:cs="Arial"/>
        </w:rPr>
      </w:pPr>
    </w:p>
    <w:p w14:paraId="5E7515B3" w14:textId="080C7C8A" w:rsidR="00564DA7" w:rsidRPr="00EA5911" w:rsidRDefault="00F23079" w:rsidP="00F23079">
      <w:pPr>
        <w:pStyle w:val="Heading1"/>
        <w:ind w:left="730"/>
        <w:rPr>
          <w:rFonts w:ascii="Arial" w:hAnsi="Arial" w:cs="Arial"/>
        </w:rPr>
      </w:pPr>
      <w:bookmarkStart w:id="7" w:name="_Toc107933610"/>
      <w:r>
        <w:rPr>
          <w:rFonts w:ascii="Arial" w:hAnsi="Arial" w:cs="Arial"/>
        </w:rPr>
        <w:t xml:space="preserve">( c ) </w:t>
      </w:r>
      <w:r w:rsidR="005A487D" w:rsidRPr="00EA5911">
        <w:rPr>
          <w:rFonts w:ascii="Arial" w:hAnsi="Arial" w:cs="Arial"/>
        </w:rPr>
        <w:t>Production of Mobile Beds-</w:t>
      </w:r>
      <w:bookmarkEnd w:id="7"/>
      <w:r w:rsidR="005A487D" w:rsidRPr="00EA5911">
        <w:rPr>
          <w:rFonts w:ascii="Arial" w:hAnsi="Arial" w:cs="Arial"/>
        </w:rPr>
        <w:t xml:space="preserve"> </w:t>
      </w:r>
    </w:p>
    <w:p w14:paraId="75CB14FA" w14:textId="6BE28CC1" w:rsidR="001608B2" w:rsidRPr="00EA5911" w:rsidRDefault="00EA5911" w:rsidP="001608B2">
      <w:pPr>
        <w:rPr>
          <w:rFonts w:ascii="Arial" w:hAnsi="Arial" w:cs="Arial"/>
        </w:rPr>
      </w:pPr>
      <w:r w:rsidRPr="00EA5911">
        <w:rPr>
          <w:rFonts w:ascii="Arial" w:hAnsi="Arial" w:cs="Arial"/>
        </w:rPr>
        <w:t>Marginal Costing Statement</w:t>
      </w:r>
      <w:r w:rsidR="00F23079" w:rsidRPr="00EA5911">
        <w:rPr>
          <w:rFonts w:ascii="Arial" w:hAnsi="Arial" w:cs="Arial"/>
        </w:rPr>
        <w:t>- Below</w:t>
      </w:r>
      <w:r w:rsidR="001608B2" w:rsidRPr="00EA5911">
        <w:rPr>
          <w:rFonts w:ascii="Arial" w:hAnsi="Arial" w:cs="Arial"/>
        </w:rPr>
        <w:t xml:space="preserve"> the Excel table shows the results if the company stop producing </w:t>
      </w:r>
      <w:r w:rsidR="00564DA7" w:rsidRPr="00EA5911">
        <w:rPr>
          <w:rFonts w:ascii="Arial" w:hAnsi="Arial" w:cs="Arial"/>
        </w:rPr>
        <w:t>Mobile Beds.</w:t>
      </w:r>
    </w:p>
    <w:p w14:paraId="0C194E36" w14:textId="77777777" w:rsidR="005A487D" w:rsidRPr="00EA5911" w:rsidRDefault="005A487D" w:rsidP="005A487D">
      <w:pPr>
        <w:pStyle w:val="ListParagraph"/>
        <w:rPr>
          <w:rFonts w:ascii="Arial" w:hAnsi="Arial" w:cs="Arial"/>
        </w:rPr>
      </w:pPr>
    </w:p>
    <w:bookmarkStart w:id="8" w:name="_MON_1717866101"/>
    <w:bookmarkEnd w:id="8"/>
    <w:p w14:paraId="41DA1F5F" w14:textId="42DAA2B0" w:rsidR="005A487D" w:rsidRPr="00EA5911" w:rsidRDefault="00C25329" w:rsidP="005A487D">
      <w:pPr>
        <w:rPr>
          <w:rFonts w:ascii="Arial" w:hAnsi="Arial" w:cs="Arial"/>
        </w:rPr>
      </w:pPr>
      <w:r w:rsidRPr="00EA5911">
        <w:rPr>
          <w:rFonts w:ascii="Arial" w:hAnsi="Arial" w:cs="Arial"/>
        </w:rPr>
        <w:object w:dxaOrig="8654" w:dyaOrig="3789" w14:anchorId="734C8D90">
          <v:shape id="_x0000_i1027" type="#_x0000_t75" style="width:432.75pt;height:189.1pt" o:ole="">
            <v:imagedata r:id="rId13" o:title=""/>
          </v:shape>
          <o:OLEObject Type="Embed" ProgID="Excel.Sheet.12" ShapeID="_x0000_i1027" DrawAspect="Content" ObjectID="_1718546584" r:id="rId14"/>
        </w:object>
      </w:r>
    </w:p>
    <w:p w14:paraId="69B22E86" w14:textId="77777777" w:rsidR="005A487D" w:rsidRPr="00EA5911" w:rsidRDefault="005A487D" w:rsidP="005A487D">
      <w:pPr>
        <w:rPr>
          <w:rFonts w:ascii="Arial" w:hAnsi="Arial" w:cs="Arial"/>
        </w:rPr>
      </w:pPr>
    </w:p>
    <w:p w14:paraId="73AFAFE8" w14:textId="6BEBBBBB" w:rsidR="005A487D" w:rsidRPr="00EA5911" w:rsidRDefault="00636FC0" w:rsidP="005A487D">
      <w:pPr>
        <w:pStyle w:val="Heading1"/>
        <w:rPr>
          <w:rFonts w:ascii="Arial" w:hAnsi="Arial" w:cs="Arial"/>
          <w:b/>
          <w:bCs/>
          <w:color w:val="auto"/>
          <w:sz w:val="22"/>
          <w:szCs w:val="22"/>
        </w:rPr>
      </w:pPr>
      <w:bookmarkStart w:id="9" w:name="_Toc107933611"/>
      <w:r w:rsidRPr="00EA5911">
        <w:rPr>
          <w:rFonts w:ascii="Arial" w:hAnsi="Arial" w:cs="Arial"/>
          <w:b/>
          <w:bCs/>
          <w:color w:val="auto"/>
          <w:sz w:val="22"/>
          <w:szCs w:val="22"/>
        </w:rPr>
        <w:t>(d)</w:t>
      </w:r>
      <w:r w:rsidR="005A487D" w:rsidRPr="00EA5911">
        <w:rPr>
          <w:rFonts w:ascii="Arial" w:hAnsi="Arial" w:cs="Arial"/>
          <w:b/>
          <w:bCs/>
          <w:color w:val="auto"/>
          <w:sz w:val="22"/>
          <w:szCs w:val="22"/>
        </w:rPr>
        <w:t xml:space="preserve">Absorption </w:t>
      </w:r>
      <w:r w:rsidR="00B26808" w:rsidRPr="00EA5911">
        <w:rPr>
          <w:rFonts w:ascii="Arial" w:hAnsi="Arial" w:cs="Arial"/>
          <w:b/>
          <w:bCs/>
          <w:color w:val="auto"/>
          <w:sz w:val="22"/>
          <w:szCs w:val="22"/>
        </w:rPr>
        <w:t>costing</w:t>
      </w:r>
      <w:r w:rsidR="005A487D" w:rsidRPr="00EA5911">
        <w:rPr>
          <w:rFonts w:ascii="Arial" w:hAnsi="Arial" w:cs="Arial"/>
          <w:b/>
          <w:bCs/>
          <w:color w:val="auto"/>
          <w:sz w:val="22"/>
          <w:szCs w:val="22"/>
        </w:rPr>
        <w:t xml:space="preserve"> and Marginal </w:t>
      </w:r>
      <w:r w:rsidR="00B26808" w:rsidRPr="00EA5911">
        <w:rPr>
          <w:rFonts w:ascii="Arial" w:hAnsi="Arial" w:cs="Arial"/>
          <w:b/>
          <w:bCs/>
          <w:color w:val="auto"/>
          <w:sz w:val="22"/>
          <w:szCs w:val="22"/>
        </w:rPr>
        <w:t>costing</w:t>
      </w:r>
      <w:bookmarkEnd w:id="9"/>
    </w:p>
    <w:p w14:paraId="0F3CB583" w14:textId="6850D25B" w:rsidR="00636FC0" w:rsidRPr="00EA5911" w:rsidRDefault="00636FC0" w:rsidP="00636FC0">
      <w:pPr>
        <w:rPr>
          <w:rFonts w:ascii="Arial" w:hAnsi="Arial" w:cs="Arial"/>
        </w:rPr>
      </w:pPr>
    </w:p>
    <w:p w14:paraId="7FA2D4C1" w14:textId="2137E5AA" w:rsidR="002C5D3F" w:rsidRPr="00EA5911" w:rsidRDefault="002C5D3F" w:rsidP="002C5D3F">
      <w:pPr>
        <w:pStyle w:val="Heading1"/>
        <w:rPr>
          <w:rFonts w:ascii="Arial" w:hAnsi="Arial" w:cs="Arial"/>
          <w:color w:val="auto"/>
        </w:rPr>
      </w:pPr>
      <w:bookmarkStart w:id="10" w:name="_Toc107933612"/>
      <w:r w:rsidRPr="00EA5911">
        <w:rPr>
          <w:rFonts w:ascii="Arial" w:hAnsi="Arial" w:cs="Arial"/>
          <w:color w:val="auto"/>
        </w:rPr>
        <w:t>Absorption costing- definition and role</w:t>
      </w:r>
      <w:bookmarkEnd w:id="10"/>
    </w:p>
    <w:p w14:paraId="7872699F" w14:textId="2EA58B1A" w:rsidR="002C5D3F" w:rsidRDefault="002C5D3F" w:rsidP="002C5D3F">
      <w:pPr>
        <w:rPr>
          <w:rFonts w:ascii="Arial" w:hAnsi="Arial" w:cs="Arial"/>
        </w:rPr>
      </w:pPr>
      <w:r w:rsidRPr="00EA5911">
        <w:rPr>
          <w:rFonts w:ascii="Arial" w:hAnsi="Arial" w:cs="Arial"/>
        </w:rPr>
        <w:t xml:space="preserve">Absorption costing is a way to add up all the costs of a production process and divide them among the different products. Accounting standards say that this kind of costing is needed to figure out how much </w:t>
      </w:r>
      <w:r w:rsidR="00B86630" w:rsidRPr="00EA5911">
        <w:rPr>
          <w:rFonts w:ascii="Arial" w:hAnsi="Arial" w:cs="Arial"/>
        </w:rPr>
        <w:t>a</w:t>
      </w:r>
      <w:r w:rsidRPr="00EA5911">
        <w:rPr>
          <w:rFonts w:ascii="Arial" w:hAnsi="Arial" w:cs="Arial"/>
        </w:rPr>
        <w:t xml:space="preserve"> firm’s </w:t>
      </w:r>
      <w:r w:rsidR="00B86630" w:rsidRPr="00EA5911">
        <w:rPr>
          <w:rFonts w:ascii="Arial" w:hAnsi="Arial" w:cs="Arial"/>
        </w:rPr>
        <w:t>inventory is worth, which is shown on its balance sheet. There may be a wide range of fixed and variable costs for a product. Costs like these are not counted as expenses in the month they are paid for. Instead, they stay in inventory is sold, at which point they are added to the costs of goods sold. (Accounting Tools,2022)</w:t>
      </w:r>
    </w:p>
    <w:p w14:paraId="1FD6391E" w14:textId="12DD535C" w:rsidR="00F23079" w:rsidRPr="00EA5911" w:rsidRDefault="00F23079" w:rsidP="002C5D3F">
      <w:pPr>
        <w:rPr>
          <w:rFonts w:ascii="Arial" w:hAnsi="Arial" w:cs="Arial"/>
        </w:rPr>
      </w:pPr>
      <w:r w:rsidRPr="00EA5911">
        <w:rPr>
          <w:rFonts w:ascii="Arial" w:hAnsi="Arial" w:cs="Arial"/>
          <w:b/>
          <w:bCs/>
        </w:rPr>
        <w:t>Absorption costing and Marginal costing</w:t>
      </w:r>
      <w:r w:rsidR="000B6FD0">
        <w:rPr>
          <w:rFonts w:ascii="Arial" w:hAnsi="Arial" w:cs="Arial"/>
          <w:b/>
          <w:bCs/>
        </w:rPr>
        <w:t>- benefits, disadvantages</w:t>
      </w:r>
      <w:r w:rsidR="00E30127">
        <w:rPr>
          <w:rFonts w:ascii="Arial" w:hAnsi="Arial" w:cs="Arial"/>
          <w:b/>
          <w:bCs/>
        </w:rPr>
        <w:t xml:space="preserve">, role and companies preferences </w:t>
      </w:r>
    </w:p>
    <w:p w14:paraId="28C98310" w14:textId="11028524" w:rsidR="002533F1" w:rsidRPr="00EA5911" w:rsidRDefault="007F26CF" w:rsidP="002C5D3F">
      <w:pPr>
        <w:rPr>
          <w:rFonts w:ascii="Arial" w:hAnsi="Arial" w:cs="Arial"/>
        </w:rPr>
      </w:pPr>
      <w:r w:rsidRPr="00EA5911">
        <w:rPr>
          <w:rFonts w:ascii="Arial" w:hAnsi="Arial" w:cs="Arial"/>
        </w:rPr>
        <w:t xml:space="preserve">Work in progress and inventory are valued for accounting purposes using absorption costing and variable costing. Every expense that goes into making a product is included in absorption costing. The only costs included in variable costing are those incurred during production, no fixed costs are included. </w:t>
      </w:r>
      <w:r w:rsidR="008158B2" w:rsidRPr="00EA5911">
        <w:rPr>
          <w:rFonts w:ascii="Arial" w:hAnsi="Arial" w:cs="Arial"/>
        </w:rPr>
        <w:t xml:space="preserve">GASB’s Generally Accepted Accounting Principles (GAAP) mandate absorption costing for financial reporting (GAAP). Only for organisations who spend GOGS on their income statement would absorption vs variable costing consideration. Public corporations are forced to employ absorption costing due to their GAAP accounting obligations, even though any company can use both approaches. To calculate absorption costs, it must include all the costs that are directly related to production. Some direct fixed costs can be eliminated by using variable costing.  For an accounting </w:t>
      </w:r>
      <w:r w:rsidR="00421799" w:rsidRPr="00EA5911">
        <w:rPr>
          <w:rFonts w:ascii="Arial" w:hAnsi="Arial" w:cs="Arial"/>
        </w:rPr>
        <w:t xml:space="preserve">period fixed overheads costs are allocated to all units produced. All of COGS’s variable direct expenses are included, but the direct overhead costs are not. Because it does not </w:t>
      </w:r>
      <w:r w:rsidR="00421799" w:rsidRPr="00EA5911">
        <w:rPr>
          <w:rFonts w:ascii="Arial" w:hAnsi="Arial" w:cs="Arial"/>
        </w:rPr>
        <w:lastRenderedPageBreak/>
        <w:t>include fixed overhead costs, variable costing can give a more accurate view of per-unit costs and inventory values. (THE INVESTOPEDIA TEAM,2022)</w:t>
      </w:r>
    </w:p>
    <w:p w14:paraId="07D9F993" w14:textId="53A2408B" w:rsidR="0037119D" w:rsidRPr="00EA5911" w:rsidRDefault="0037119D" w:rsidP="0037119D">
      <w:pPr>
        <w:rPr>
          <w:rFonts w:ascii="Arial" w:hAnsi="Arial" w:cs="Arial"/>
        </w:rPr>
      </w:pPr>
      <w:r w:rsidRPr="00EA5911">
        <w:rPr>
          <w:rFonts w:ascii="Arial" w:hAnsi="Arial" w:cs="Arial"/>
        </w:rPr>
        <w:t>Management can use one of the costing techniques to decide how to manufacture a product. Both can be used to value finished goods and work in progress for internal accounting purposes. The main distinction between absorption costing and variable costing relates to how fixed manufacturing overheads costs are handled in each method.  (THE INVESTOPEDIA TEAM,2022)</w:t>
      </w:r>
    </w:p>
    <w:p w14:paraId="002140E6" w14:textId="568B90B2" w:rsidR="00321704" w:rsidRDefault="0037119D" w:rsidP="00817F60">
      <w:pPr>
        <w:rPr>
          <w:rFonts w:ascii="Arial" w:hAnsi="Arial" w:cs="Arial"/>
        </w:rPr>
      </w:pPr>
      <w:r w:rsidRPr="00EA5911">
        <w:rPr>
          <w:rFonts w:ascii="Arial" w:hAnsi="Arial" w:cs="Arial"/>
        </w:rPr>
        <w:t xml:space="preserve">If the companies have COGS, the majority of businesses will employ absorption costing method. </w:t>
      </w:r>
      <w:r w:rsidR="0010794D" w:rsidRPr="00EA5911">
        <w:rPr>
          <w:rFonts w:ascii="Arial" w:hAnsi="Arial" w:cs="Arial"/>
        </w:rPr>
        <w:t>Additionally,</w:t>
      </w:r>
      <w:r w:rsidRPr="00EA5911">
        <w:rPr>
          <w:rFonts w:ascii="Arial" w:hAnsi="Arial" w:cs="Arial"/>
        </w:rPr>
        <w:t xml:space="preserve"> it can be necessary for external reporting needs because it’s the only </w:t>
      </w:r>
      <w:r w:rsidR="0010794D" w:rsidRPr="00EA5911">
        <w:rPr>
          <w:rFonts w:ascii="Arial" w:hAnsi="Arial" w:cs="Arial"/>
        </w:rPr>
        <w:t xml:space="preserve">technique that complies with GAAP. Business can determinate that using absorption costing alone more effective. It may be advantageous to employ the variable costing approach, at very least calculate it in dashboard reporting, depending on a firm’s business model and reporting requirements. When managers their organization’s COGS cost accounting procedure, they should be aware that both absorption costing and variable costing are choices. A company’s direct, fixed overheads costs can have significant impact on the cost per unit. Variable costing in businesses may be able to devote significant monthly direct, fixed costs to operating costs. In some circumstances this can lead to a more affordable pricing per unit. The majority of businesses may eventually need to switch to absorption costing which is something to keep in mind while making both </w:t>
      </w:r>
      <w:r w:rsidR="001902D3" w:rsidRPr="00EA5911">
        <w:rPr>
          <w:rFonts w:ascii="Arial" w:hAnsi="Arial" w:cs="Arial"/>
        </w:rPr>
        <w:t>short- and long-term</w:t>
      </w:r>
      <w:r w:rsidR="0010794D" w:rsidRPr="00EA5911">
        <w:rPr>
          <w:rFonts w:ascii="Arial" w:hAnsi="Arial" w:cs="Arial"/>
        </w:rPr>
        <w:t xml:space="preserve"> decisions. (THE INVESTOPEDIA TEAM,2022</w:t>
      </w:r>
      <w:r w:rsidR="004E6B72" w:rsidRPr="00EA5911">
        <w:rPr>
          <w:rFonts w:ascii="Arial" w:hAnsi="Arial" w:cs="Arial"/>
        </w:rPr>
        <w:t>)</w:t>
      </w:r>
    </w:p>
    <w:p w14:paraId="6773122A" w14:textId="64BA8351" w:rsidR="00E9090E" w:rsidRPr="00EA5911" w:rsidRDefault="00E9090E" w:rsidP="00E9090E">
      <w:pPr>
        <w:rPr>
          <w:rFonts w:ascii="Arial" w:hAnsi="Arial" w:cs="Arial"/>
        </w:rPr>
      </w:pPr>
      <w:r>
        <w:rPr>
          <w:rFonts w:ascii="Arial" w:hAnsi="Arial" w:cs="Arial"/>
        </w:rPr>
        <w:t>In order to make well-informed short-term decisions, marginal costing and absorption costing are used. Absorption costing provides the closing inventory valuation for the financial statements. A company cannot use absorption costing for financial reporting while marginal costing Is required for management accounting. (</w:t>
      </w:r>
      <w:proofErr w:type="spellStart"/>
      <w:r>
        <w:rPr>
          <w:rFonts w:ascii="Arial" w:hAnsi="Arial" w:cs="Arial"/>
        </w:rPr>
        <w:t>aat</w:t>
      </w:r>
      <w:proofErr w:type="spellEnd"/>
      <w:r>
        <w:rPr>
          <w:rFonts w:ascii="Arial" w:hAnsi="Arial" w:cs="Arial"/>
        </w:rPr>
        <w:t>, 202</w:t>
      </w:r>
      <w:r w:rsidR="00F23079">
        <w:rPr>
          <w:rFonts w:ascii="Arial" w:hAnsi="Arial" w:cs="Arial"/>
        </w:rPr>
        <w:t>0</w:t>
      </w:r>
      <w:r>
        <w:rPr>
          <w:rFonts w:ascii="Arial" w:hAnsi="Arial" w:cs="Arial"/>
        </w:rPr>
        <w:t>)</w:t>
      </w:r>
    </w:p>
    <w:p w14:paraId="433AED6E" w14:textId="77777777" w:rsidR="00E9090E" w:rsidRDefault="00E9090E" w:rsidP="00817F60">
      <w:pPr>
        <w:rPr>
          <w:rFonts w:ascii="Arial" w:hAnsi="Arial" w:cs="Arial"/>
        </w:rPr>
      </w:pPr>
    </w:p>
    <w:p w14:paraId="3F4AEABD" w14:textId="77777777" w:rsidR="001902D3" w:rsidRPr="00EA5911" w:rsidRDefault="001902D3" w:rsidP="00817F60">
      <w:pPr>
        <w:rPr>
          <w:rFonts w:ascii="Arial" w:hAnsi="Arial" w:cs="Arial"/>
        </w:rPr>
      </w:pPr>
    </w:p>
    <w:p w14:paraId="5FB4BD2F" w14:textId="18BB82F0" w:rsidR="00321704" w:rsidRPr="00EA5911" w:rsidRDefault="005A487D" w:rsidP="004E6B72">
      <w:pPr>
        <w:pStyle w:val="Heading1"/>
        <w:rPr>
          <w:rFonts w:ascii="Arial" w:hAnsi="Arial" w:cs="Arial"/>
          <w:color w:val="auto"/>
        </w:rPr>
      </w:pPr>
      <w:bookmarkStart w:id="11" w:name="_Toc107933613"/>
      <w:r w:rsidRPr="00EA5911">
        <w:rPr>
          <w:rFonts w:ascii="Arial" w:hAnsi="Arial" w:cs="Arial"/>
          <w:color w:val="auto"/>
        </w:rPr>
        <w:t>Conclusion</w:t>
      </w:r>
      <w:bookmarkEnd w:id="11"/>
    </w:p>
    <w:p w14:paraId="6F40FD54" w14:textId="0E3A5450" w:rsidR="00FA5E7C" w:rsidRPr="00EA5911" w:rsidRDefault="00FA5E7C" w:rsidP="005A487D">
      <w:pPr>
        <w:rPr>
          <w:rFonts w:ascii="Arial" w:hAnsi="Arial" w:cs="Arial"/>
        </w:rPr>
      </w:pPr>
      <w:r w:rsidRPr="00EA5911">
        <w:rPr>
          <w:rFonts w:ascii="Arial" w:hAnsi="Arial" w:cs="Arial"/>
        </w:rPr>
        <w:t>The paper advises the company to stop producing Hoist and keep going producing Mobile Beds, but in a short-term period. The report discussed the importance of marginal and cost accounting and the significant differences between them. It also presented the decision-making process and the risks connected with the process.</w:t>
      </w:r>
    </w:p>
    <w:p w14:paraId="5303FB94" w14:textId="77777777" w:rsidR="00FA5E7C" w:rsidRDefault="00FA5E7C" w:rsidP="005A487D">
      <w:pPr>
        <w:rPr>
          <w:rFonts w:ascii="Arial" w:hAnsi="Arial" w:cs="Arial"/>
        </w:rPr>
      </w:pPr>
    </w:p>
    <w:p w14:paraId="52E6F8B7" w14:textId="2F59E23F" w:rsidR="00B86630" w:rsidRDefault="00B86630" w:rsidP="005A487D">
      <w:pPr>
        <w:rPr>
          <w:rFonts w:ascii="Arial" w:hAnsi="Arial" w:cs="Arial"/>
        </w:rPr>
      </w:pPr>
    </w:p>
    <w:p w14:paraId="26494BB4" w14:textId="64E9F06F" w:rsidR="004E6B72" w:rsidRDefault="004E6B72" w:rsidP="005A487D">
      <w:pPr>
        <w:rPr>
          <w:rFonts w:ascii="Arial" w:hAnsi="Arial" w:cs="Arial"/>
        </w:rPr>
      </w:pPr>
    </w:p>
    <w:p w14:paraId="7DB9CD6E" w14:textId="5C0ADF82" w:rsidR="004E6B72" w:rsidRDefault="004E6B72" w:rsidP="005A487D">
      <w:pPr>
        <w:rPr>
          <w:rFonts w:ascii="Arial" w:hAnsi="Arial" w:cs="Arial"/>
        </w:rPr>
      </w:pPr>
    </w:p>
    <w:p w14:paraId="282D6375" w14:textId="704D4230" w:rsidR="004E6B72" w:rsidRDefault="004E6B72" w:rsidP="005A487D">
      <w:pPr>
        <w:rPr>
          <w:rFonts w:ascii="Arial" w:hAnsi="Arial" w:cs="Arial"/>
        </w:rPr>
      </w:pPr>
    </w:p>
    <w:p w14:paraId="5EF11E9A" w14:textId="026C9DC7" w:rsidR="004E6B72" w:rsidRDefault="004E6B72" w:rsidP="005A487D">
      <w:pPr>
        <w:rPr>
          <w:rFonts w:ascii="Arial" w:hAnsi="Arial" w:cs="Arial"/>
        </w:rPr>
      </w:pPr>
    </w:p>
    <w:p w14:paraId="1BED8B66" w14:textId="03099310" w:rsidR="0072424A" w:rsidRDefault="0072424A" w:rsidP="005A487D">
      <w:pPr>
        <w:rPr>
          <w:rFonts w:ascii="Arial" w:hAnsi="Arial" w:cs="Arial"/>
        </w:rPr>
      </w:pPr>
    </w:p>
    <w:p w14:paraId="215B907A" w14:textId="50C24C9F" w:rsidR="0072424A" w:rsidRDefault="0072424A" w:rsidP="005A487D">
      <w:pPr>
        <w:rPr>
          <w:rFonts w:ascii="Arial" w:hAnsi="Arial" w:cs="Arial"/>
        </w:rPr>
      </w:pPr>
    </w:p>
    <w:p w14:paraId="4902585D" w14:textId="7A04B123" w:rsidR="0072424A" w:rsidRDefault="0072424A" w:rsidP="005A487D">
      <w:pPr>
        <w:rPr>
          <w:rFonts w:ascii="Arial" w:hAnsi="Arial" w:cs="Arial"/>
        </w:rPr>
      </w:pPr>
    </w:p>
    <w:p w14:paraId="210C8540" w14:textId="7860B3B3" w:rsidR="0072424A" w:rsidRDefault="0072424A" w:rsidP="005A487D">
      <w:pPr>
        <w:rPr>
          <w:rFonts w:ascii="Arial" w:hAnsi="Arial" w:cs="Arial"/>
        </w:rPr>
      </w:pPr>
    </w:p>
    <w:p w14:paraId="30DAD6DC" w14:textId="56718113" w:rsidR="0072424A" w:rsidRDefault="0072424A" w:rsidP="005A487D">
      <w:pPr>
        <w:rPr>
          <w:rFonts w:ascii="Arial" w:hAnsi="Arial" w:cs="Arial"/>
        </w:rPr>
      </w:pPr>
    </w:p>
    <w:p w14:paraId="5B7196DC" w14:textId="2FB55169" w:rsidR="0072424A" w:rsidRDefault="0072424A" w:rsidP="005A487D">
      <w:pPr>
        <w:rPr>
          <w:rFonts w:ascii="Arial" w:hAnsi="Arial" w:cs="Arial"/>
        </w:rPr>
      </w:pPr>
    </w:p>
    <w:p w14:paraId="5A00FAAA" w14:textId="77777777" w:rsidR="0072424A" w:rsidRDefault="0072424A" w:rsidP="005A487D">
      <w:pPr>
        <w:rPr>
          <w:rFonts w:ascii="Arial" w:hAnsi="Arial" w:cs="Arial"/>
        </w:rPr>
      </w:pPr>
    </w:p>
    <w:p w14:paraId="3DEACB89" w14:textId="77777777" w:rsidR="004E6B72" w:rsidRDefault="004E6B72" w:rsidP="005A487D">
      <w:pPr>
        <w:rPr>
          <w:rFonts w:ascii="Arial" w:hAnsi="Arial" w:cs="Arial"/>
        </w:rPr>
      </w:pPr>
    </w:p>
    <w:p w14:paraId="06407A0D" w14:textId="77777777" w:rsidR="005611B3" w:rsidRPr="00EE2CBA" w:rsidRDefault="005611B3" w:rsidP="005A487D">
      <w:pPr>
        <w:rPr>
          <w:rFonts w:ascii="Arial" w:hAnsi="Arial" w:cs="Arial"/>
        </w:rPr>
      </w:pPr>
    </w:p>
    <w:p w14:paraId="58D93063" w14:textId="3EDA018F" w:rsidR="005A487D" w:rsidRDefault="005A487D" w:rsidP="005A487D">
      <w:pPr>
        <w:pStyle w:val="Heading1"/>
        <w:rPr>
          <w:rFonts w:ascii="Arial" w:hAnsi="Arial" w:cs="Arial"/>
        </w:rPr>
      </w:pPr>
      <w:bookmarkStart w:id="12" w:name="_Toc107933614"/>
      <w:r w:rsidRPr="00EE2CBA">
        <w:rPr>
          <w:rFonts w:ascii="Arial" w:hAnsi="Arial" w:cs="Arial"/>
        </w:rPr>
        <w:t>Reference list</w:t>
      </w:r>
      <w:bookmarkEnd w:id="12"/>
    </w:p>
    <w:p w14:paraId="4C7A98CD" w14:textId="10EFC379" w:rsidR="00614946" w:rsidRDefault="00614946" w:rsidP="00614946">
      <w:pPr>
        <w:pStyle w:val="ListParagraph"/>
        <w:numPr>
          <w:ilvl w:val="0"/>
          <w:numId w:val="4"/>
        </w:numPr>
      </w:pPr>
      <w:r w:rsidRPr="00614946">
        <w:t>PRADEEPA H</w:t>
      </w:r>
      <w:r w:rsidRPr="00614946">
        <w:rPr>
          <w:i/>
          <w:iCs/>
        </w:rPr>
        <w:t>, Contribution Margin Ratio: Definition, Formula, and Example</w:t>
      </w:r>
      <w:r>
        <w:rPr>
          <w:i/>
          <w:iCs/>
        </w:rPr>
        <w:t xml:space="preserve">, </w:t>
      </w:r>
      <w:r>
        <w:t>5</w:t>
      </w:r>
      <w:r w:rsidRPr="00614946">
        <w:rPr>
          <w:vertAlign w:val="superscript"/>
        </w:rPr>
        <w:t>th</w:t>
      </w:r>
      <w:r>
        <w:t xml:space="preserve"> July, Available at: </w:t>
      </w:r>
      <w:hyperlink r:id="rId15" w:history="1">
        <w:r w:rsidR="003503A9">
          <w:rPr>
            <w:rStyle w:val="Hyperlink"/>
          </w:rPr>
          <w:t>Contribution Margin Ratio: Definition, Formula, and Example (intuit.com)</w:t>
        </w:r>
      </w:hyperlink>
      <w:r w:rsidR="003503A9">
        <w:t xml:space="preserve"> (Accessed:05/07/2022)</w:t>
      </w:r>
    </w:p>
    <w:p w14:paraId="592AB0C7" w14:textId="01E07986" w:rsidR="003503A9" w:rsidRPr="00B86630" w:rsidRDefault="005E76D9" w:rsidP="00614946">
      <w:pPr>
        <w:pStyle w:val="ListParagraph"/>
        <w:numPr>
          <w:ilvl w:val="0"/>
          <w:numId w:val="4"/>
        </w:numPr>
        <w:rPr>
          <w:i/>
          <w:iCs/>
        </w:rPr>
      </w:pPr>
      <w:r>
        <w:t>Gallo A. (2017</w:t>
      </w:r>
      <w:r w:rsidRPr="005E76D9">
        <w:rPr>
          <w:i/>
          <w:iCs/>
        </w:rPr>
        <w:t>), Contribution Margin: What It Is, How to Calculate It, and Why You Need It</w:t>
      </w:r>
      <w:r>
        <w:t>, 13</w:t>
      </w:r>
      <w:r w:rsidRPr="005E76D9">
        <w:rPr>
          <w:vertAlign w:val="superscript"/>
        </w:rPr>
        <w:t>th</w:t>
      </w:r>
      <w:r>
        <w:t xml:space="preserve"> October, Available at: </w:t>
      </w:r>
      <w:hyperlink r:id="rId16" w:history="1">
        <w:r>
          <w:rPr>
            <w:rStyle w:val="Hyperlink"/>
          </w:rPr>
          <w:t>Contribution Margin: What It Is, How to Calculate It, and Why You Need It (hbr.org)</w:t>
        </w:r>
      </w:hyperlink>
      <w:r>
        <w:t xml:space="preserve"> (Accessed:05/07/2022)</w:t>
      </w:r>
    </w:p>
    <w:p w14:paraId="1BA2B285" w14:textId="361803E2" w:rsidR="00B86630" w:rsidRPr="00B86630" w:rsidRDefault="00B86630" w:rsidP="00614946">
      <w:pPr>
        <w:pStyle w:val="ListParagraph"/>
        <w:numPr>
          <w:ilvl w:val="0"/>
          <w:numId w:val="4"/>
        </w:numPr>
        <w:rPr>
          <w:i/>
          <w:iCs/>
        </w:rPr>
      </w:pPr>
      <w:r w:rsidRPr="00B86630">
        <w:rPr>
          <w:i/>
          <w:iCs/>
        </w:rPr>
        <w:t>Absorption costing definition</w:t>
      </w:r>
      <w:r>
        <w:t xml:space="preserve">, 22 May, Available at: </w:t>
      </w:r>
      <w:hyperlink r:id="rId17" w:history="1">
        <w:r>
          <w:rPr>
            <w:rStyle w:val="Hyperlink"/>
          </w:rPr>
          <w:t>Absorption costing definition — AccountingTools</w:t>
        </w:r>
      </w:hyperlink>
      <w:r>
        <w:t xml:space="preserve"> (Accessed:05/07/2022)</w:t>
      </w:r>
    </w:p>
    <w:p w14:paraId="04B7E836" w14:textId="5DB32404" w:rsidR="00FA5E7C" w:rsidRDefault="00FA5E7C" w:rsidP="0072424A">
      <w:pPr>
        <w:pStyle w:val="ListParagraph"/>
        <w:numPr>
          <w:ilvl w:val="0"/>
          <w:numId w:val="4"/>
        </w:numPr>
      </w:pPr>
      <w:r w:rsidRPr="00421799">
        <w:t>THE INVESTOPEDIA TEAM</w:t>
      </w:r>
      <w:r>
        <w:t xml:space="preserve"> (2022  </w:t>
      </w:r>
      <w:r w:rsidRPr="00FA5E7C">
        <w:rPr>
          <w:i/>
          <w:iCs/>
        </w:rPr>
        <w:t>Absorption Costing vs. Variable Costing: What's the Difference?</w:t>
      </w:r>
      <w:r>
        <w:rPr>
          <w:i/>
          <w:iCs/>
        </w:rPr>
        <w:t xml:space="preserve">, </w:t>
      </w:r>
      <w:r>
        <w:t xml:space="preserve">Available at: </w:t>
      </w:r>
      <w:hyperlink r:id="rId18" w:history="1">
        <w:r>
          <w:rPr>
            <w:rStyle w:val="Hyperlink"/>
          </w:rPr>
          <w:t>Absorption Costing vs. Variable Costing: What's the Difference? (investopedia.com)</w:t>
        </w:r>
      </w:hyperlink>
      <w:r>
        <w:t>(Accessed:05/07/2022)</w:t>
      </w:r>
    </w:p>
    <w:p w14:paraId="3C798F63" w14:textId="04134ADB" w:rsidR="00E9090E" w:rsidRPr="00E9090E" w:rsidRDefault="00E9090E" w:rsidP="0072424A">
      <w:pPr>
        <w:pStyle w:val="ListParagraph"/>
        <w:numPr>
          <w:ilvl w:val="0"/>
          <w:numId w:val="4"/>
        </w:numPr>
        <w:rPr>
          <w:i/>
          <w:iCs/>
        </w:rPr>
      </w:pPr>
      <w:r w:rsidRPr="00E9090E">
        <w:rPr>
          <w:i/>
          <w:iCs/>
        </w:rPr>
        <w:t>Study tips: What’s the difference between marginal and absorption costing?</w:t>
      </w:r>
      <w:r>
        <w:rPr>
          <w:i/>
          <w:iCs/>
        </w:rPr>
        <w:t xml:space="preserve"> (2020), </w:t>
      </w:r>
      <w:r>
        <w:t>18</w:t>
      </w:r>
      <w:r w:rsidRPr="00E9090E">
        <w:rPr>
          <w:vertAlign w:val="superscript"/>
        </w:rPr>
        <w:t>th</w:t>
      </w:r>
      <w:r>
        <w:t xml:space="preserve"> February, Available at: </w:t>
      </w:r>
      <w:hyperlink r:id="rId19" w:history="1">
        <w:r w:rsidR="00F23079">
          <w:rPr>
            <w:rStyle w:val="Hyperlink"/>
          </w:rPr>
          <w:t>Study tips: What's the difference between marginal and absorption costing? - AAT Comment</w:t>
        </w:r>
      </w:hyperlink>
      <w:r w:rsidR="00F23079">
        <w:t xml:space="preserve"> (Accessed:05/07/2022)</w:t>
      </w:r>
    </w:p>
    <w:p w14:paraId="5259CF17" w14:textId="77777777" w:rsidR="00B86630" w:rsidRPr="005E76D9" w:rsidRDefault="00B86630" w:rsidP="0072424A">
      <w:pPr>
        <w:pStyle w:val="ListParagraph"/>
        <w:rPr>
          <w:i/>
          <w:iCs/>
        </w:rPr>
      </w:pPr>
    </w:p>
    <w:p w14:paraId="1F2232FD" w14:textId="1DB6EE41" w:rsidR="005A487D" w:rsidRPr="00EE2CBA" w:rsidRDefault="005A487D" w:rsidP="005A487D">
      <w:pPr>
        <w:rPr>
          <w:rFonts w:ascii="Arial" w:hAnsi="Arial" w:cs="Arial"/>
        </w:rPr>
      </w:pPr>
      <w:r w:rsidRPr="00EE2CBA">
        <w:rPr>
          <w:rFonts w:ascii="Arial" w:hAnsi="Arial" w:cs="Arial"/>
        </w:rPr>
        <w:br w:type="page"/>
      </w:r>
    </w:p>
    <w:p w14:paraId="7E0AD266" w14:textId="77777777" w:rsidR="005A487D" w:rsidRPr="00EE2CBA" w:rsidRDefault="005A487D" w:rsidP="005A487D">
      <w:pPr>
        <w:rPr>
          <w:rFonts w:ascii="Arial" w:hAnsi="Arial" w:cs="Arial"/>
        </w:rPr>
      </w:pPr>
      <w:r w:rsidRPr="00EE2CBA">
        <w:rPr>
          <w:rFonts w:ascii="Arial" w:hAnsi="Arial" w:cs="Arial"/>
        </w:rPr>
        <w:lastRenderedPageBreak/>
        <w:t xml:space="preserve">Task 2 </w:t>
      </w:r>
    </w:p>
    <w:p w14:paraId="00367FA1" w14:textId="77777777" w:rsidR="005A487D" w:rsidRPr="00EE2CBA" w:rsidRDefault="005A487D" w:rsidP="005A487D">
      <w:pPr>
        <w:pStyle w:val="ListParagraph"/>
        <w:numPr>
          <w:ilvl w:val="0"/>
          <w:numId w:val="3"/>
        </w:numPr>
        <w:spacing w:line="360" w:lineRule="auto"/>
        <w:jc w:val="both"/>
        <w:rPr>
          <w:rFonts w:ascii="Arial" w:hAnsi="Arial" w:cs="Arial"/>
        </w:rPr>
      </w:pPr>
      <w:r w:rsidRPr="00EE2CBA">
        <w:rPr>
          <w:rFonts w:ascii="Arial" w:hAnsi="Arial" w:cs="Arial"/>
        </w:rPr>
        <w:t xml:space="preserve">How many plates should Bux Deli sell in order to break even? – Based on the calculation below Bux Deli need to sell 100 plates to break even. </w:t>
      </w:r>
    </w:p>
    <w:p w14:paraId="45CAFE9B" w14:textId="77777777" w:rsidR="005A487D" w:rsidRPr="00817F60" w:rsidRDefault="005A487D" w:rsidP="005A487D">
      <w:pPr>
        <w:pStyle w:val="ListParagraph"/>
        <w:spacing w:line="360" w:lineRule="auto"/>
        <w:ind w:left="1080"/>
        <w:jc w:val="both"/>
        <w:rPr>
          <w:rFonts w:ascii="Arial" w:hAnsi="Arial" w:cs="Arial"/>
        </w:rPr>
      </w:pPr>
      <w:r w:rsidRPr="00817F60">
        <w:rPr>
          <w:rFonts w:ascii="Arial" w:hAnsi="Arial" w:cs="Arial"/>
          <w:b/>
          <w:bCs/>
        </w:rPr>
        <w:t>Break-even quantity= Fixed Cost/Contribution per Unit</w:t>
      </w:r>
      <w:r w:rsidRPr="00817F60">
        <w:rPr>
          <w:rFonts w:ascii="Arial" w:hAnsi="Arial" w:cs="Arial"/>
        </w:rPr>
        <w:t>.</w:t>
      </w:r>
    </w:p>
    <w:p w14:paraId="17966637" w14:textId="77777777" w:rsidR="005A487D" w:rsidRPr="00EE2CBA" w:rsidRDefault="005A487D" w:rsidP="005A487D">
      <w:pPr>
        <w:pStyle w:val="ListParagraph"/>
        <w:spacing w:line="360" w:lineRule="auto"/>
        <w:ind w:left="1080"/>
        <w:jc w:val="both"/>
        <w:rPr>
          <w:rFonts w:ascii="Arial" w:hAnsi="Arial" w:cs="Arial"/>
        </w:rPr>
      </w:pPr>
    </w:p>
    <w:bookmarkStart w:id="13" w:name="_MON_1718066660"/>
    <w:bookmarkEnd w:id="13"/>
    <w:p w14:paraId="7FDC0F0A" w14:textId="5F83AF37" w:rsidR="005A487D" w:rsidRPr="00EE2CBA" w:rsidRDefault="00817F60" w:rsidP="005A487D">
      <w:pPr>
        <w:pStyle w:val="ListParagraph"/>
        <w:spacing w:line="360" w:lineRule="auto"/>
        <w:ind w:left="1080"/>
        <w:jc w:val="both"/>
        <w:rPr>
          <w:rFonts w:ascii="Arial" w:hAnsi="Arial" w:cs="Arial"/>
        </w:rPr>
      </w:pPr>
      <w:r w:rsidRPr="00EE2CBA">
        <w:rPr>
          <w:rFonts w:ascii="Arial" w:hAnsi="Arial" w:cs="Arial"/>
        </w:rPr>
        <w:object w:dxaOrig="6517" w:dyaOrig="2928" w14:anchorId="5ADFB623">
          <v:shape id="_x0000_i1028" type="#_x0000_t75" style="width:325.8pt;height:146.9pt" o:ole="">
            <v:imagedata r:id="rId20" o:title=""/>
          </v:shape>
          <o:OLEObject Type="Embed" ProgID="Excel.Sheet.12" ShapeID="_x0000_i1028" DrawAspect="Content" ObjectID="_1718546585" r:id="rId21"/>
        </w:object>
      </w:r>
    </w:p>
    <w:p w14:paraId="3839E247" w14:textId="77777777" w:rsidR="005A487D" w:rsidRPr="00EE2CBA" w:rsidRDefault="005A487D" w:rsidP="005A487D">
      <w:pPr>
        <w:pStyle w:val="ListParagraph"/>
        <w:spacing w:line="360" w:lineRule="auto"/>
        <w:ind w:left="1080"/>
        <w:jc w:val="both"/>
        <w:rPr>
          <w:rFonts w:ascii="Arial" w:hAnsi="Arial" w:cs="Arial"/>
        </w:rPr>
      </w:pPr>
    </w:p>
    <w:p w14:paraId="1FAA8A26" w14:textId="77777777" w:rsidR="005A487D" w:rsidRPr="00EE2CBA" w:rsidRDefault="005A487D" w:rsidP="005A487D">
      <w:pPr>
        <w:pStyle w:val="ListParagraph"/>
        <w:numPr>
          <w:ilvl w:val="0"/>
          <w:numId w:val="3"/>
        </w:numPr>
        <w:spacing w:line="360" w:lineRule="auto"/>
        <w:jc w:val="both"/>
        <w:rPr>
          <w:rFonts w:ascii="Arial" w:hAnsi="Arial" w:cs="Arial"/>
        </w:rPr>
      </w:pPr>
      <w:r w:rsidRPr="00EE2CBA">
        <w:rPr>
          <w:rFonts w:ascii="Arial" w:hAnsi="Arial" w:cs="Arial"/>
        </w:rPr>
        <w:t xml:space="preserve">Given that Bux Deli will now incur an additional 300£ storage space fixed rental, calculate the revenue Bux Deli should generate in order to break even- The break-even revenue is 4,200£. </w:t>
      </w:r>
    </w:p>
    <w:p w14:paraId="6C828ACD" w14:textId="77777777" w:rsidR="005A487D" w:rsidRPr="00EE2CBA" w:rsidRDefault="005A487D" w:rsidP="005A487D">
      <w:pPr>
        <w:pStyle w:val="ListParagraph"/>
        <w:spacing w:line="360" w:lineRule="auto"/>
        <w:ind w:left="1080"/>
        <w:jc w:val="both"/>
        <w:rPr>
          <w:rFonts w:ascii="Arial" w:hAnsi="Arial" w:cs="Arial"/>
          <w:color w:val="FF0000"/>
        </w:rPr>
      </w:pPr>
      <w:r w:rsidRPr="00817F60">
        <w:rPr>
          <w:rFonts w:ascii="Arial" w:hAnsi="Arial" w:cs="Arial"/>
          <w:b/>
          <w:bCs/>
        </w:rPr>
        <w:t>Break-even revenue= Fixed Cost x Selling Price/Contribution per Unit</w:t>
      </w:r>
      <w:r w:rsidRPr="00EE2CBA">
        <w:rPr>
          <w:rFonts w:ascii="Arial" w:hAnsi="Arial" w:cs="Arial"/>
          <w:color w:val="FF0000"/>
        </w:rPr>
        <w:t>.</w:t>
      </w:r>
    </w:p>
    <w:p w14:paraId="6713C0BF" w14:textId="77777777" w:rsidR="005A487D" w:rsidRPr="00EE2CBA" w:rsidRDefault="005A487D" w:rsidP="005A487D">
      <w:pPr>
        <w:pStyle w:val="ListParagraph"/>
        <w:spacing w:line="360" w:lineRule="auto"/>
        <w:ind w:left="1080"/>
        <w:jc w:val="both"/>
        <w:rPr>
          <w:rFonts w:ascii="Arial" w:hAnsi="Arial" w:cs="Arial"/>
          <w:color w:val="FF0000"/>
        </w:rPr>
      </w:pPr>
    </w:p>
    <w:p w14:paraId="4262DEE2" w14:textId="3EC578E4" w:rsidR="005A487D" w:rsidRPr="009C1DEA" w:rsidRDefault="005A487D" w:rsidP="009C1DEA">
      <w:pPr>
        <w:pStyle w:val="ListParagraph"/>
        <w:spacing w:line="360" w:lineRule="auto"/>
        <w:ind w:left="1080"/>
        <w:jc w:val="both"/>
        <w:rPr>
          <w:rFonts w:ascii="Arial" w:hAnsi="Arial" w:cs="Arial"/>
          <w:color w:val="FF0000"/>
        </w:rPr>
      </w:pPr>
      <w:r w:rsidRPr="00EE2CBA">
        <w:rPr>
          <w:rFonts w:ascii="Arial" w:hAnsi="Arial" w:cs="Arial"/>
          <w:color w:val="FF0000"/>
        </w:rPr>
        <w:object w:dxaOrig="6656" w:dyaOrig="1760" w14:anchorId="535B3B0C">
          <v:shape id="_x0000_i1029" type="#_x0000_t75" style="width:333.45pt;height:87.65pt" o:ole="">
            <v:imagedata r:id="rId22" o:title=""/>
          </v:shape>
          <o:OLEObject Type="Embed" ProgID="Excel.Sheet.12" ShapeID="_x0000_i1029" DrawAspect="Content" ObjectID="_1718546586" r:id="rId23"/>
        </w:object>
      </w:r>
    </w:p>
    <w:p w14:paraId="660D5E17" w14:textId="77777777" w:rsidR="005A487D" w:rsidRPr="00EE2CBA" w:rsidRDefault="005A487D" w:rsidP="005A487D">
      <w:pPr>
        <w:pStyle w:val="ListParagraph"/>
        <w:spacing w:line="360" w:lineRule="auto"/>
        <w:ind w:left="1080"/>
        <w:jc w:val="both"/>
        <w:rPr>
          <w:rFonts w:ascii="Arial" w:hAnsi="Arial" w:cs="Arial"/>
          <w:color w:val="FF0000"/>
        </w:rPr>
      </w:pPr>
    </w:p>
    <w:p w14:paraId="29DF77F7" w14:textId="77777777" w:rsidR="005A487D" w:rsidRPr="00EE2CBA" w:rsidRDefault="005A487D" w:rsidP="005A487D">
      <w:pPr>
        <w:pStyle w:val="ListParagraph"/>
        <w:numPr>
          <w:ilvl w:val="0"/>
          <w:numId w:val="3"/>
        </w:numPr>
        <w:spacing w:line="360" w:lineRule="auto"/>
        <w:jc w:val="both"/>
        <w:rPr>
          <w:rFonts w:ascii="Arial" w:hAnsi="Arial" w:cs="Arial"/>
        </w:rPr>
      </w:pPr>
      <w:r w:rsidRPr="00EE2CBA">
        <w:rPr>
          <w:rFonts w:ascii="Arial" w:hAnsi="Arial" w:cs="Arial"/>
        </w:rPr>
        <w:t>How many plates should be sold by Bux Deli in order to make a profit of £9,600? - Bux Deli need to sell 760 plates to make a profit of £9,600</w:t>
      </w:r>
    </w:p>
    <w:p w14:paraId="060FF9B7" w14:textId="00938812" w:rsidR="005A487D" w:rsidRPr="009C1DEA" w:rsidRDefault="005A487D" w:rsidP="009C1DEA">
      <w:pPr>
        <w:pStyle w:val="ListParagraph"/>
        <w:spacing w:line="360" w:lineRule="auto"/>
        <w:ind w:left="1080"/>
        <w:jc w:val="both"/>
        <w:rPr>
          <w:rFonts w:ascii="Arial" w:hAnsi="Arial" w:cs="Arial"/>
          <w:b/>
          <w:bCs/>
        </w:rPr>
      </w:pPr>
      <w:r w:rsidRPr="009C1DEA">
        <w:rPr>
          <w:rFonts w:ascii="Arial" w:hAnsi="Arial" w:cs="Arial"/>
          <w:b/>
          <w:bCs/>
        </w:rPr>
        <w:t>Activity level= Fixed cost + Target profit/Contribution per unit.</w:t>
      </w:r>
    </w:p>
    <w:p w14:paraId="166FCC8C" w14:textId="729D3D92" w:rsidR="000655A5" w:rsidRPr="0072424A" w:rsidRDefault="001608B2" w:rsidP="0072424A">
      <w:pPr>
        <w:pStyle w:val="ListParagraph"/>
        <w:spacing w:line="360" w:lineRule="auto"/>
        <w:ind w:left="1080"/>
        <w:jc w:val="both"/>
        <w:rPr>
          <w:rFonts w:ascii="Arial" w:hAnsi="Arial" w:cs="Arial"/>
          <w:color w:val="FF0000"/>
        </w:rPr>
      </w:pPr>
      <w:r w:rsidRPr="00EE2CBA">
        <w:rPr>
          <w:rFonts w:ascii="Arial" w:hAnsi="Arial" w:cs="Arial"/>
          <w:color w:val="FF0000"/>
        </w:rPr>
        <w:object w:dxaOrig="5437" w:dyaOrig="2920" w14:anchorId="6DF52F7F">
          <v:shape id="_x0000_i1030" type="#_x0000_t75" style="width:272.35pt;height:146.2pt" o:ole="">
            <v:imagedata r:id="rId24" o:title=""/>
          </v:shape>
          <o:OLEObject Type="Embed" ProgID="Excel.Sheet.12" ShapeID="_x0000_i1030" DrawAspect="Content" ObjectID="_1718546587" r:id="rId25"/>
        </w:object>
      </w:r>
    </w:p>
    <w:sectPr w:rsidR="000655A5" w:rsidRPr="0072424A" w:rsidSect="00DE7726">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EB87A" w14:textId="77777777" w:rsidR="00D50504" w:rsidRDefault="00D50504">
      <w:pPr>
        <w:spacing w:after="0" w:line="240" w:lineRule="auto"/>
      </w:pPr>
      <w:r>
        <w:separator/>
      </w:r>
    </w:p>
  </w:endnote>
  <w:endnote w:type="continuationSeparator" w:id="0">
    <w:p w14:paraId="3A30B3E0" w14:textId="77777777" w:rsidR="00D50504" w:rsidRDefault="00D50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226248"/>
      <w:docPartObj>
        <w:docPartGallery w:val="Page Numbers (Bottom of Page)"/>
        <w:docPartUnique/>
      </w:docPartObj>
    </w:sdtPr>
    <w:sdtEndPr/>
    <w:sdtContent>
      <w:p w14:paraId="797AAB52" w14:textId="7206236E" w:rsidR="00E91663" w:rsidRDefault="00CC48D0" w:rsidP="00CC48D0">
        <w:pPr>
          <w:pStyle w:val="Footer"/>
          <w:tabs>
            <w:tab w:val="left" w:pos="190"/>
          </w:tabs>
        </w:pPr>
        <w:r>
          <w:tab/>
        </w:r>
        <w:r>
          <w:tab/>
        </w:r>
        <w:r>
          <w:tab/>
        </w:r>
        <w:r w:rsidR="008107C3">
          <w:t xml:space="preserve">Page | </w:t>
        </w:r>
        <w:r w:rsidR="008107C3">
          <w:fldChar w:fldCharType="begin"/>
        </w:r>
        <w:r w:rsidR="008107C3">
          <w:instrText xml:space="preserve"> PAGE   \* MERGEFORMAT </w:instrText>
        </w:r>
        <w:r w:rsidR="008107C3">
          <w:fldChar w:fldCharType="separate"/>
        </w:r>
        <w:r w:rsidR="008107C3">
          <w:rPr>
            <w:noProof/>
          </w:rPr>
          <w:t>2</w:t>
        </w:r>
        <w:r w:rsidR="008107C3">
          <w:rPr>
            <w:noProof/>
          </w:rPr>
          <w:fldChar w:fldCharType="end"/>
        </w:r>
        <w:r w:rsidR="008107C3">
          <w:t xml:space="preserve"> </w:t>
        </w:r>
      </w:p>
    </w:sdtContent>
  </w:sdt>
  <w:p w14:paraId="720B6A1D" w14:textId="77777777" w:rsidR="00E91663" w:rsidRDefault="00D50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9F24D" w14:textId="77777777" w:rsidR="00D50504" w:rsidRDefault="00D50504">
      <w:pPr>
        <w:spacing w:after="0" w:line="240" w:lineRule="auto"/>
      </w:pPr>
      <w:r>
        <w:separator/>
      </w:r>
    </w:p>
  </w:footnote>
  <w:footnote w:type="continuationSeparator" w:id="0">
    <w:p w14:paraId="3963A446" w14:textId="77777777" w:rsidR="00D50504" w:rsidRDefault="00D505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C6B61"/>
    <w:multiLevelType w:val="hybridMultilevel"/>
    <w:tmpl w:val="858A8A00"/>
    <w:lvl w:ilvl="0" w:tplc="39DC24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228B2"/>
    <w:multiLevelType w:val="multilevel"/>
    <w:tmpl w:val="F65CE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1A85FE6"/>
    <w:multiLevelType w:val="hybridMultilevel"/>
    <w:tmpl w:val="713EBDFE"/>
    <w:lvl w:ilvl="0" w:tplc="88AA63F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2000D43"/>
    <w:multiLevelType w:val="hybridMultilevel"/>
    <w:tmpl w:val="83143DE0"/>
    <w:lvl w:ilvl="0" w:tplc="28B2C10C">
      <w:start w:val="3"/>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A1E43FF"/>
    <w:multiLevelType w:val="hybridMultilevel"/>
    <w:tmpl w:val="6CA0B7FA"/>
    <w:lvl w:ilvl="0" w:tplc="4064C2BE">
      <w:start w:val="3"/>
      <w:numFmt w:val="upperLetter"/>
      <w:lvlText w:val="(%1)"/>
      <w:lvlJc w:val="left"/>
      <w:pPr>
        <w:ind w:left="730" w:hanging="3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10357E"/>
    <w:multiLevelType w:val="hybridMultilevel"/>
    <w:tmpl w:val="3496D7C2"/>
    <w:lvl w:ilvl="0" w:tplc="85EADD9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0968526">
    <w:abstractNumId w:val="5"/>
  </w:num>
  <w:num w:numId="2" w16cid:durableId="435059765">
    <w:abstractNumId w:val="1"/>
  </w:num>
  <w:num w:numId="3" w16cid:durableId="1440446982">
    <w:abstractNumId w:val="2"/>
  </w:num>
  <w:num w:numId="4" w16cid:durableId="333336308">
    <w:abstractNumId w:val="0"/>
  </w:num>
  <w:num w:numId="5" w16cid:durableId="1883204782">
    <w:abstractNumId w:val="3"/>
  </w:num>
  <w:num w:numId="6" w16cid:durableId="20805173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wsjAzNjKxMDE1MrNQ0lEKTi0uzszPAykwrQUAWDfAbCwAAAA="/>
  </w:docVars>
  <w:rsids>
    <w:rsidRoot w:val="000655A5"/>
    <w:rsid w:val="000249AD"/>
    <w:rsid w:val="000655A5"/>
    <w:rsid w:val="000B6FD0"/>
    <w:rsid w:val="000F1DF4"/>
    <w:rsid w:val="0010794D"/>
    <w:rsid w:val="001608B2"/>
    <w:rsid w:val="001902D3"/>
    <w:rsid w:val="002533F1"/>
    <w:rsid w:val="0028225E"/>
    <w:rsid w:val="002C5D3F"/>
    <w:rsid w:val="002F3980"/>
    <w:rsid w:val="00321704"/>
    <w:rsid w:val="003224A0"/>
    <w:rsid w:val="00337D42"/>
    <w:rsid w:val="003503A9"/>
    <w:rsid w:val="0037119D"/>
    <w:rsid w:val="00415B03"/>
    <w:rsid w:val="00421799"/>
    <w:rsid w:val="004339D1"/>
    <w:rsid w:val="00474806"/>
    <w:rsid w:val="00483A27"/>
    <w:rsid w:val="00483F69"/>
    <w:rsid w:val="004E3014"/>
    <w:rsid w:val="004E6B72"/>
    <w:rsid w:val="005611B3"/>
    <w:rsid w:val="00564DA7"/>
    <w:rsid w:val="005A487D"/>
    <w:rsid w:val="005B7DC1"/>
    <w:rsid w:val="005E76D9"/>
    <w:rsid w:val="00614946"/>
    <w:rsid w:val="00636FC0"/>
    <w:rsid w:val="00660B8E"/>
    <w:rsid w:val="0067741D"/>
    <w:rsid w:val="0072424A"/>
    <w:rsid w:val="007314FF"/>
    <w:rsid w:val="00746F8D"/>
    <w:rsid w:val="00762D37"/>
    <w:rsid w:val="007F26CF"/>
    <w:rsid w:val="008107C3"/>
    <w:rsid w:val="008158B2"/>
    <w:rsid w:val="00817F60"/>
    <w:rsid w:val="00872B85"/>
    <w:rsid w:val="009121D9"/>
    <w:rsid w:val="009649AA"/>
    <w:rsid w:val="009C1DEA"/>
    <w:rsid w:val="009F1AF1"/>
    <w:rsid w:val="009F70B9"/>
    <w:rsid w:val="00A15C05"/>
    <w:rsid w:val="00AA2554"/>
    <w:rsid w:val="00B017E3"/>
    <w:rsid w:val="00B26808"/>
    <w:rsid w:val="00B52F17"/>
    <w:rsid w:val="00B76D90"/>
    <w:rsid w:val="00B77E0E"/>
    <w:rsid w:val="00B86630"/>
    <w:rsid w:val="00C126FA"/>
    <w:rsid w:val="00C12ECA"/>
    <w:rsid w:val="00C25329"/>
    <w:rsid w:val="00C77038"/>
    <w:rsid w:val="00CC2D55"/>
    <w:rsid w:val="00CC48D0"/>
    <w:rsid w:val="00CE4924"/>
    <w:rsid w:val="00D50504"/>
    <w:rsid w:val="00D67EC3"/>
    <w:rsid w:val="00DF2A73"/>
    <w:rsid w:val="00E30127"/>
    <w:rsid w:val="00E35CE4"/>
    <w:rsid w:val="00E552A0"/>
    <w:rsid w:val="00E74323"/>
    <w:rsid w:val="00E9090E"/>
    <w:rsid w:val="00EA5911"/>
    <w:rsid w:val="00EE2CBA"/>
    <w:rsid w:val="00F22CB6"/>
    <w:rsid w:val="00F23079"/>
    <w:rsid w:val="00F35A5E"/>
    <w:rsid w:val="00FA5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EECA5"/>
  <w15:chartTrackingRefBased/>
  <w15:docId w15:val="{09034630-817F-48BB-949D-E9F18341C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87D"/>
  </w:style>
  <w:style w:type="paragraph" w:styleId="Heading1">
    <w:name w:val="heading 1"/>
    <w:basedOn w:val="Normal"/>
    <w:next w:val="Normal"/>
    <w:link w:val="Heading1Char"/>
    <w:uiPriority w:val="9"/>
    <w:qFormat/>
    <w:rsid w:val="005A48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87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A487D"/>
    <w:pPr>
      <w:ind w:left="720"/>
      <w:contextualSpacing/>
    </w:pPr>
  </w:style>
  <w:style w:type="paragraph" w:styleId="TOCHeading">
    <w:name w:val="TOC Heading"/>
    <w:basedOn w:val="Heading1"/>
    <w:next w:val="Normal"/>
    <w:uiPriority w:val="39"/>
    <w:unhideWhenUsed/>
    <w:qFormat/>
    <w:rsid w:val="005A487D"/>
    <w:pPr>
      <w:outlineLvl w:val="9"/>
    </w:pPr>
    <w:rPr>
      <w:lang w:val="en-US"/>
    </w:rPr>
  </w:style>
  <w:style w:type="paragraph" w:styleId="TOC1">
    <w:name w:val="toc 1"/>
    <w:basedOn w:val="Normal"/>
    <w:next w:val="Normal"/>
    <w:autoRedefine/>
    <w:uiPriority w:val="39"/>
    <w:unhideWhenUsed/>
    <w:rsid w:val="005A487D"/>
    <w:pPr>
      <w:spacing w:after="100"/>
    </w:pPr>
    <w:rPr>
      <w:rFonts w:eastAsiaTheme="minorEastAsia" w:cs="Times New Roman"/>
      <w:lang w:val="en-US"/>
    </w:rPr>
  </w:style>
  <w:style w:type="character" w:styleId="Hyperlink">
    <w:name w:val="Hyperlink"/>
    <w:basedOn w:val="DefaultParagraphFont"/>
    <w:uiPriority w:val="99"/>
    <w:unhideWhenUsed/>
    <w:rsid w:val="005A487D"/>
    <w:rPr>
      <w:color w:val="0563C1" w:themeColor="hyperlink"/>
      <w:u w:val="single"/>
    </w:rPr>
  </w:style>
  <w:style w:type="character" w:styleId="Strong">
    <w:name w:val="Strong"/>
    <w:basedOn w:val="DefaultParagraphFont"/>
    <w:uiPriority w:val="22"/>
    <w:qFormat/>
    <w:rsid w:val="005A487D"/>
    <w:rPr>
      <w:b/>
      <w:bCs/>
    </w:rPr>
  </w:style>
  <w:style w:type="paragraph" w:styleId="NormalWeb">
    <w:name w:val="Normal (Web)"/>
    <w:basedOn w:val="Normal"/>
    <w:uiPriority w:val="99"/>
    <w:unhideWhenUsed/>
    <w:rsid w:val="005A48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5A48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w-time-update">
    <w:name w:val="jw-time-update"/>
    <w:basedOn w:val="DefaultParagraphFont"/>
    <w:rsid w:val="005A487D"/>
  </w:style>
  <w:style w:type="character" w:customStyle="1" w:styleId="jw-volume-update">
    <w:name w:val="jw-volume-update"/>
    <w:basedOn w:val="DefaultParagraphFont"/>
    <w:rsid w:val="005A487D"/>
  </w:style>
  <w:style w:type="paragraph" w:styleId="Footer">
    <w:name w:val="footer"/>
    <w:basedOn w:val="Normal"/>
    <w:link w:val="FooterChar"/>
    <w:uiPriority w:val="99"/>
    <w:unhideWhenUsed/>
    <w:rsid w:val="005A4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87D"/>
  </w:style>
  <w:style w:type="character" w:styleId="FollowedHyperlink">
    <w:name w:val="FollowedHyperlink"/>
    <w:basedOn w:val="DefaultParagraphFont"/>
    <w:uiPriority w:val="99"/>
    <w:semiHidden/>
    <w:unhideWhenUsed/>
    <w:rsid w:val="005A487D"/>
    <w:rPr>
      <w:color w:val="954F72" w:themeColor="followedHyperlink"/>
      <w:u w:val="single"/>
    </w:rPr>
  </w:style>
  <w:style w:type="paragraph" w:styleId="Header">
    <w:name w:val="header"/>
    <w:basedOn w:val="Normal"/>
    <w:link w:val="HeaderChar"/>
    <w:uiPriority w:val="99"/>
    <w:unhideWhenUsed/>
    <w:rsid w:val="00CC4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8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8804">
      <w:bodyDiv w:val="1"/>
      <w:marLeft w:val="0"/>
      <w:marRight w:val="0"/>
      <w:marTop w:val="0"/>
      <w:marBottom w:val="0"/>
      <w:divBdr>
        <w:top w:val="none" w:sz="0" w:space="0" w:color="auto"/>
        <w:left w:val="none" w:sz="0" w:space="0" w:color="auto"/>
        <w:bottom w:val="none" w:sz="0" w:space="0" w:color="auto"/>
        <w:right w:val="none" w:sz="0" w:space="0" w:color="auto"/>
      </w:divBdr>
    </w:div>
    <w:div w:id="1619330818">
      <w:bodyDiv w:val="1"/>
      <w:marLeft w:val="0"/>
      <w:marRight w:val="0"/>
      <w:marTop w:val="0"/>
      <w:marBottom w:val="0"/>
      <w:divBdr>
        <w:top w:val="none" w:sz="0" w:space="0" w:color="auto"/>
        <w:left w:val="none" w:sz="0" w:space="0" w:color="auto"/>
        <w:bottom w:val="none" w:sz="0" w:space="0" w:color="auto"/>
        <w:right w:val="none" w:sz="0" w:space="0" w:color="auto"/>
      </w:divBdr>
    </w:div>
    <w:div w:id="2063088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hyperlink" Target="https://www.investopedia.com/ask/answers/052515/what-are-differences-between-absorption-costing-and-variable-costing.asp"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package" Target="embeddings/Microsoft_Excel_Worksheet3.xlsx"/><Relationship Id="rId7" Type="http://schemas.openxmlformats.org/officeDocument/2006/relationships/endnotes" Target="endnotes.xml"/><Relationship Id="rId12" Type="http://schemas.openxmlformats.org/officeDocument/2006/relationships/package" Target="embeddings/Microsoft_Excel_Worksheet1.xlsx"/><Relationship Id="rId17" Type="http://schemas.openxmlformats.org/officeDocument/2006/relationships/hyperlink" Target="https://www.accountingtools.com/articles/absorption-costing" TargetMode="External"/><Relationship Id="rId25" Type="http://schemas.openxmlformats.org/officeDocument/2006/relationships/package" Target="embeddings/Microsoft_Excel_Worksheet5.xlsx"/><Relationship Id="rId2" Type="http://schemas.openxmlformats.org/officeDocument/2006/relationships/numbering" Target="numbering.xml"/><Relationship Id="rId16" Type="http://schemas.openxmlformats.org/officeDocument/2006/relationships/hyperlink" Target="https://hbr.org/2017/10/contribution-margin-what-it-is-how-to-calculate-it-and-why-you-need-it" TargetMode="External"/><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7.emf"/><Relationship Id="rId5" Type="http://schemas.openxmlformats.org/officeDocument/2006/relationships/webSettings" Target="webSettings.xml"/><Relationship Id="rId15" Type="http://schemas.openxmlformats.org/officeDocument/2006/relationships/hyperlink" Target="https://quickbooks.intuit.com/global/resources/financial-reports/contribution-margin-ratio/" TargetMode="External"/><Relationship Id="rId23" Type="http://schemas.openxmlformats.org/officeDocument/2006/relationships/package" Target="embeddings/Microsoft_Excel_Worksheet4.xlsx"/><Relationship Id="rId28" Type="http://schemas.openxmlformats.org/officeDocument/2006/relationships/theme" Target="theme/theme1.xml"/><Relationship Id="rId10" Type="http://schemas.openxmlformats.org/officeDocument/2006/relationships/package" Target="embeddings/Microsoft_Excel_Worksheet.xlsx"/><Relationship Id="rId19" Type="http://schemas.openxmlformats.org/officeDocument/2006/relationships/hyperlink" Target="https://www.aatcomment.org.uk/learning/study-tips/advanced-diploma-in-accounting/study-tips-whats-the-difference-between-marginal-and-absorption-costing/"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Excel_Worksheet2.xlsx"/><Relationship Id="rId22" Type="http://schemas.openxmlformats.org/officeDocument/2006/relationships/image" Target="media/image6.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E5170D-E0D9-4FBE-BA66-FD258CA9F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Pages>
  <Words>1621</Words>
  <Characters>9242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Asen Asenov</dc:creator>
  <cp:keywords/>
  <dc:description/>
  <cp:lastModifiedBy>Svetla Aleksandrova (2029252)</cp:lastModifiedBy>
  <cp:revision>23</cp:revision>
  <dcterms:created xsi:type="dcterms:W3CDTF">2022-06-30T02:10:00Z</dcterms:created>
  <dcterms:modified xsi:type="dcterms:W3CDTF">2022-07-05T16:16:00Z</dcterms:modified>
</cp:coreProperties>
</file>