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5C466" w14:textId="72DD71CD" w:rsidR="00424B0C" w:rsidRDefault="003F1D65" w:rsidP="003F1D65">
      <w:pPr>
        <w:spacing w:line="480" w:lineRule="auto"/>
        <w:rPr>
          <w:rFonts w:ascii="Arial" w:hAnsi="Arial" w:cs="Arial"/>
          <w:sz w:val="24"/>
          <w:szCs w:val="24"/>
        </w:rPr>
      </w:pPr>
      <w:r>
        <w:rPr>
          <w:rFonts w:ascii="Arial" w:hAnsi="Arial" w:cs="Arial"/>
          <w:sz w:val="24"/>
          <w:szCs w:val="24"/>
        </w:rPr>
        <w:t xml:space="preserve">                                                      </w:t>
      </w:r>
      <w:r w:rsidRPr="003F1D65">
        <w:rPr>
          <w:rFonts w:ascii="Arial" w:hAnsi="Arial" w:cs="Arial"/>
          <w:sz w:val="24"/>
          <w:szCs w:val="24"/>
          <w:u w:val="single"/>
        </w:rPr>
        <w:t>Trusts.</w:t>
      </w:r>
      <w:r>
        <w:rPr>
          <w:rFonts w:ascii="Arial" w:hAnsi="Arial" w:cs="Arial"/>
          <w:sz w:val="24"/>
          <w:szCs w:val="24"/>
        </w:rPr>
        <w:t xml:space="preserve"> </w:t>
      </w:r>
    </w:p>
    <w:p w14:paraId="3463BDE2" w14:textId="71785D0B" w:rsidR="003F1D65" w:rsidRDefault="003F1D65" w:rsidP="003F1D65">
      <w:pPr>
        <w:spacing w:line="480" w:lineRule="auto"/>
        <w:rPr>
          <w:rFonts w:ascii="Arial" w:hAnsi="Arial" w:cs="Arial"/>
          <w:sz w:val="24"/>
          <w:szCs w:val="24"/>
        </w:rPr>
      </w:pPr>
    </w:p>
    <w:p w14:paraId="319655F3" w14:textId="00FBF7E4" w:rsidR="003F1D65" w:rsidRDefault="003F1D65" w:rsidP="003F1D65">
      <w:pPr>
        <w:spacing w:line="480" w:lineRule="auto"/>
        <w:rPr>
          <w:rFonts w:ascii="Arial" w:hAnsi="Arial" w:cs="Arial"/>
          <w:sz w:val="24"/>
          <w:szCs w:val="24"/>
        </w:rPr>
      </w:pPr>
      <w:r>
        <w:rPr>
          <w:rFonts w:ascii="Arial" w:hAnsi="Arial" w:cs="Arial"/>
          <w:sz w:val="24"/>
          <w:szCs w:val="24"/>
        </w:rPr>
        <w:t xml:space="preserve">The history of equity dates back as far as the Norman conquest, where law was to be administered by the king’s council or the Curia Regis, later there was to be a system of courts developed with specific jurisdiction. The major role of developing the legal system was devised by Henry II, he went on to create a professional judiciary, administering courts that were to dispense any justice upon circuits travelling around the country, </w:t>
      </w:r>
      <w:proofErr w:type="gramStart"/>
      <w:r>
        <w:rPr>
          <w:rFonts w:ascii="Arial" w:hAnsi="Arial" w:cs="Arial"/>
          <w:sz w:val="24"/>
          <w:szCs w:val="24"/>
        </w:rPr>
        <w:t>and also</w:t>
      </w:r>
      <w:proofErr w:type="gramEnd"/>
      <w:r>
        <w:rPr>
          <w:rFonts w:ascii="Arial" w:hAnsi="Arial" w:cs="Arial"/>
          <w:sz w:val="24"/>
          <w:szCs w:val="24"/>
        </w:rPr>
        <w:t xml:space="preserve"> in a bench settled at Westminster.</w:t>
      </w:r>
    </w:p>
    <w:p w14:paraId="5D61A717" w14:textId="36C97E39" w:rsidR="003F1D65" w:rsidRDefault="003F1D65" w:rsidP="003F1D65">
      <w:pPr>
        <w:spacing w:line="480" w:lineRule="auto"/>
        <w:rPr>
          <w:rFonts w:ascii="Arial" w:hAnsi="Arial" w:cs="Arial"/>
          <w:sz w:val="24"/>
          <w:szCs w:val="24"/>
        </w:rPr>
      </w:pPr>
      <w:r>
        <w:rPr>
          <w:rFonts w:ascii="Arial" w:hAnsi="Arial" w:cs="Arial"/>
          <w:sz w:val="24"/>
          <w:szCs w:val="24"/>
        </w:rPr>
        <w:t>Common law was too formal, highly technical and proved to be slow moving. It was out of a need to inject any form of fairness and justice into the legal</w:t>
      </w:r>
      <w:r w:rsidR="00BF6DFD">
        <w:rPr>
          <w:rFonts w:ascii="Arial" w:hAnsi="Arial" w:cs="Arial"/>
          <w:sz w:val="24"/>
          <w:szCs w:val="24"/>
        </w:rPr>
        <w:t xml:space="preserve"> system that helped to gain the growth that equity needed.</w:t>
      </w:r>
    </w:p>
    <w:p w14:paraId="6AFC1244" w14:textId="03E711ED" w:rsidR="00077A2F" w:rsidRDefault="00077A2F" w:rsidP="003F1D65">
      <w:pPr>
        <w:spacing w:line="480" w:lineRule="auto"/>
        <w:rPr>
          <w:rFonts w:ascii="Arial" w:hAnsi="Arial" w:cs="Arial"/>
          <w:sz w:val="24"/>
          <w:szCs w:val="24"/>
        </w:rPr>
      </w:pPr>
      <w:r>
        <w:rPr>
          <w:rFonts w:ascii="Arial" w:hAnsi="Arial" w:cs="Arial"/>
          <w:sz w:val="24"/>
          <w:szCs w:val="24"/>
        </w:rPr>
        <w:t>There would have been a benefit to a common law system which is to state that you can be confident of what will happen within your particular case if similar cases have been heard before. Possibility of a drawback would be if you were to have an unusual case, then the judge may create a new law and apply this to your case. Common law is a body of unwritten laws which are usually based upon legal precedents established by the courts. It goes on to influence any decision – making processes in any unusual cases where an outcome is not determined, which would be based upon any existing statutes or any written rules of law. (Chen, J, May 2022).</w:t>
      </w:r>
    </w:p>
    <w:p w14:paraId="0147CB04" w14:textId="3E216C08" w:rsidR="00251423" w:rsidRDefault="00BF6DFD" w:rsidP="003F1D65">
      <w:pPr>
        <w:spacing w:line="480" w:lineRule="auto"/>
        <w:rPr>
          <w:rFonts w:ascii="Arial" w:hAnsi="Arial" w:cs="Arial"/>
          <w:sz w:val="24"/>
          <w:szCs w:val="24"/>
        </w:rPr>
      </w:pPr>
      <w:r>
        <w:rPr>
          <w:rFonts w:ascii="Arial" w:hAnsi="Arial" w:cs="Arial"/>
          <w:sz w:val="24"/>
          <w:szCs w:val="24"/>
        </w:rPr>
        <w:t>Judges were expected to reach decisions which were to be based upon legal reasoning, so a writ system was developed, this became too formalised and maxim “no remedy without a writ”. The writ system would also depend upon an “oral pleading”. This too had deficiencies, as action could be lost due to a mistake with trying to recite this in Latin as there would have been language barriers to this.</w:t>
      </w:r>
      <w:r w:rsidR="005F3DAD">
        <w:rPr>
          <w:rFonts w:ascii="Arial" w:hAnsi="Arial" w:cs="Arial"/>
          <w:sz w:val="24"/>
          <w:szCs w:val="24"/>
        </w:rPr>
        <w:t xml:space="preserve"> </w:t>
      </w:r>
    </w:p>
    <w:p w14:paraId="707F9A52" w14:textId="2DD91B91" w:rsidR="005F3DAD" w:rsidRDefault="005F3DAD" w:rsidP="003F1D65">
      <w:pPr>
        <w:spacing w:line="480" w:lineRule="auto"/>
        <w:rPr>
          <w:rFonts w:ascii="Arial" w:hAnsi="Arial" w:cs="Arial"/>
          <w:sz w:val="24"/>
          <w:szCs w:val="24"/>
        </w:rPr>
      </w:pPr>
      <w:r>
        <w:rPr>
          <w:rFonts w:ascii="Arial" w:hAnsi="Arial" w:cs="Arial"/>
          <w:sz w:val="24"/>
          <w:szCs w:val="24"/>
        </w:rPr>
        <w:lastRenderedPageBreak/>
        <w:t>A writ is a formal written document or a legal instrument in epistolary form which is issued under seal in the name of the English Monarch.[Martin</w:t>
      </w:r>
      <w:r w:rsidR="0046301C">
        <w:rPr>
          <w:rFonts w:ascii="Arial" w:hAnsi="Arial" w:cs="Arial"/>
          <w:sz w:val="24"/>
          <w:szCs w:val="24"/>
        </w:rPr>
        <w:t>, J &amp; Turner, C – 2006].</w:t>
      </w:r>
    </w:p>
    <w:p w14:paraId="465DA7F5" w14:textId="34C48B72" w:rsidR="00D04758" w:rsidRDefault="00D04758" w:rsidP="003F1D65">
      <w:pPr>
        <w:spacing w:line="480" w:lineRule="auto"/>
        <w:rPr>
          <w:rFonts w:ascii="Arial" w:hAnsi="Arial" w:cs="Arial"/>
          <w:sz w:val="24"/>
          <w:szCs w:val="24"/>
        </w:rPr>
      </w:pPr>
      <w:r>
        <w:rPr>
          <w:rFonts w:ascii="Arial" w:hAnsi="Arial" w:cs="Arial"/>
          <w:sz w:val="24"/>
          <w:szCs w:val="24"/>
        </w:rPr>
        <w:t>The common law courts only provided one remedy which would either be damages, or by compensation in the form of money. This was too often an ineffective form of remedy, particularly within a case of any form of interference with a person’s property rights. This can be seen</w:t>
      </w:r>
      <w:r w:rsidR="009B68DA">
        <w:rPr>
          <w:rFonts w:ascii="Arial" w:hAnsi="Arial" w:cs="Arial"/>
          <w:sz w:val="24"/>
          <w:szCs w:val="24"/>
        </w:rPr>
        <w:t xml:space="preserve"> in the case of </w:t>
      </w:r>
      <w:proofErr w:type="spellStart"/>
      <w:r w:rsidR="009B68DA">
        <w:rPr>
          <w:rFonts w:ascii="Arial" w:hAnsi="Arial" w:cs="Arial"/>
          <w:sz w:val="24"/>
          <w:szCs w:val="24"/>
        </w:rPr>
        <w:t>Warmington</w:t>
      </w:r>
      <w:proofErr w:type="spellEnd"/>
      <w:r w:rsidR="009B68DA">
        <w:rPr>
          <w:rFonts w:ascii="Arial" w:hAnsi="Arial" w:cs="Arial"/>
          <w:sz w:val="24"/>
          <w:szCs w:val="24"/>
        </w:rPr>
        <w:t xml:space="preserve"> v Miller [1973] QB 877,[1973] 2 WLR 654, [1973] 2 AII ER 372, Court of Appeal. The court would not grant performance of an oral contract for an underlease, if they did so it could result in the landlord of this underlease breaking a term of the head – lease. The </w:t>
      </w:r>
      <w:r w:rsidR="00251423">
        <w:rPr>
          <w:rFonts w:ascii="Arial" w:hAnsi="Arial" w:cs="Arial"/>
          <w:sz w:val="24"/>
          <w:szCs w:val="24"/>
        </w:rPr>
        <w:t xml:space="preserve">head – lease contained a </w:t>
      </w:r>
      <w:r w:rsidR="009B68DA">
        <w:rPr>
          <w:rFonts w:ascii="Arial" w:hAnsi="Arial" w:cs="Arial"/>
          <w:sz w:val="24"/>
          <w:szCs w:val="24"/>
        </w:rPr>
        <w:t>prohibition on assigning, underletting and parting with possession of only part of the premises. So the plaintiffs therefore were left to the common law remedy of damages. [Todd</w:t>
      </w:r>
      <w:r w:rsidR="00251423">
        <w:rPr>
          <w:rFonts w:ascii="Arial" w:hAnsi="Arial" w:cs="Arial"/>
          <w:sz w:val="24"/>
          <w:szCs w:val="24"/>
        </w:rPr>
        <w:t>, P &amp; Watt, G</w:t>
      </w:r>
      <w:r w:rsidR="00D32379">
        <w:rPr>
          <w:rFonts w:ascii="Arial" w:hAnsi="Arial" w:cs="Arial"/>
          <w:sz w:val="24"/>
          <w:szCs w:val="24"/>
        </w:rPr>
        <w:t xml:space="preserve"> – 2003].</w:t>
      </w:r>
    </w:p>
    <w:p w14:paraId="732671D9" w14:textId="6C145F55" w:rsidR="00D32379" w:rsidRDefault="00D32379" w:rsidP="003F1D65">
      <w:pPr>
        <w:spacing w:line="480" w:lineRule="auto"/>
        <w:rPr>
          <w:rFonts w:ascii="Arial" w:hAnsi="Arial" w:cs="Arial"/>
          <w:sz w:val="24"/>
          <w:szCs w:val="24"/>
        </w:rPr>
      </w:pPr>
      <w:r>
        <w:rPr>
          <w:rFonts w:ascii="Arial" w:hAnsi="Arial" w:cs="Arial"/>
          <w:sz w:val="24"/>
          <w:szCs w:val="24"/>
        </w:rPr>
        <w:t>It became known at a later date for Chancery to overrule decisions of common law courts, so there was to be a conflict between the two. The conflict between the two finally came to a head in the Earl of Oxford’s case [1616]. Ellesmere incensed Chief Justice Coke of common pleas by issuing writs of habeas corpus – meaning ‘show me the body’ which is still an Act of parliament in force today ensuring no one can be imprisoned unlawfully [if legal procedures have been satisfied].</w:t>
      </w:r>
    </w:p>
    <w:p w14:paraId="722CAA97" w14:textId="77777777" w:rsidR="007863D4" w:rsidRDefault="00D32379" w:rsidP="003F1D65">
      <w:pPr>
        <w:spacing w:line="480" w:lineRule="auto"/>
        <w:rPr>
          <w:rFonts w:ascii="Arial" w:hAnsi="Arial" w:cs="Arial"/>
          <w:sz w:val="24"/>
          <w:szCs w:val="24"/>
        </w:rPr>
      </w:pPr>
      <w:r>
        <w:rPr>
          <w:rFonts w:ascii="Arial" w:hAnsi="Arial" w:cs="Arial"/>
          <w:sz w:val="24"/>
          <w:szCs w:val="24"/>
        </w:rPr>
        <w:t xml:space="preserve">The Court of Chancery developed </w:t>
      </w:r>
      <w:proofErr w:type="gramStart"/>
      <w:r>
        <w:rPr>
          <w:rFonts w:ascii="Arial" w:hAnsi="Arial" w:cs="Arial"/>
          <w:sz w:val="24"/>
          <w:szCs w:val="24"/>
        </w:rPr>
        <w:t>a nu</w:t>
      </w:r>
      <w:r w:rsidR="007D0E16">
        <w:rPr>
          <w:rFonts w:ascii="Arial" w:hAnsi="Arial" w:cs="Arial"/>
          <w:sz w:val="24"/>
          <w:szCs w:val="24"/>
        </w:rPr>
        <w:t>mber</w:t>
      </w:r>
      <w:r>
        <w:rPr>
          <w:rFonts w:ascii="Arial" w:hAnsi="Arial" w:cs="Arial"/>
          <w:sz w:val="24"/>
          <w:szCs w:val="24"/>
        </w:rPr>
        <w:t xml:space="preserve"> of</w:t>
      </w:r>
      <w:proofErr w:type="gramEnd"/>
      <w:r>
        <w:rPr>
          <w:rFonts w:ascii="Arial" w:hAnsi="Arial" w:cs="Arial"/>
          <w:sz w:val="24"/>
          <w:szCs w:val="24"/>
        </w:rPr>
        <w:t xml:space="preserve"> maxims in addition to any new concepts.</w:t>
      </w:r>
      <w:r w:rsidR="007D0E16">
        <w:rPr>
          <w:rFonts w:ascii="Arial" w:hAnsi="Arial" w:cs="Arial"/>
          <w:sz w:val="24"/>
          <w:szCs w:val="24"/>
        </w:rPr>
        <w:t xml:space="preserve"> These were principles which were employed by most judges to be part of their legal reasoning. There must also be a key requirement that equity is to be discretionary, which means that courts may decide upon the principles that common law is adequate and it should not be appropriate in certain cases to use equitable remedies or principles. Equitable maxims are normally written in form of short or </w:t>
      </w:r>
      <w:r w:rsidR="007D0E16">
        <w:rPr>
          <w:rFonts w:ascii="Arial" w:hAnsi="Arial" w:cs="Arial"/>
          <w:sz w:val="24"/>
          <w:szCs w:val="24"/>
        </w:rPr>
        <w:lastRenderedPageBreak/>
        <w:t>‘pithy’. This would be a statement</w:t>
      </w:r>
      <w:r w:rsidR="007863D4">
        <w:rPr>
          <w:rFonts w:ascii="Arial" w:hAnsi="Arial" w:cs="Arial"/>
          <w:sz w:val="24"/>
          <w:szCs w:val="24"/>
        </w:rPr>
        <w:t xml:space="preserve"> giving a curious impression as to ‘equity’ being a person. This goes on to symbolise a wider sense of justice.</w:t>
      </w:r>
    </w:p>
    <w:p w14:paraId="649A367D" w14:textId="6E5CDD0C" w:rsidR="00D32379" w:rsidRDefault="007863D4" w:rsidP="003F1D65">
      <w:pPr>
        <w:spacing w:line="480" w:lineRule="auto"/>
        <w:rPr>
          <w:rFonts w:ascii="Arial" w:hAnsi="Arial" w:cs="Arial"/>
          <w:sz w:val="24"/>
          <w:szCs w:val="24"/>
        </w:rPr>
      </w:pPr>
      <w:r>
        <w:rPr>
          <w:rFonts w:ascii="Arial" w:hAnsi="Arial" w:cs="Arial"/>
          <w:sz w:val="24"/>
          <w:szCs w:val="24"/>
        </w:rPr>
        <w:t xml:space="preserve">Equity does not assist a volunteer which means a person is not able to use equity to gain something for nothing. </w:t>
      </w:r>
      <w:r w:rsidR="005F3DAD">
        <w:rPr>
          <w:rFonts w:ascii="Arial" w:hAnsi="Arial" w:cs="Arial"/>
          <w:sz w:val="24"/>
          <w:szCs w:val="24"/>
        </w:rPr>
        <w:t>Also,</w:t>
      </w:r>
      <w:r>
        <w:rPr>
          <w:rFonts w:ascii="Arial" w:hAnsi="Arial" w:cs="Arial"/>
          <w:sz w:val="24"/>
          <w:szCs w:val="24"/>
        </w:rPr>
        <w:t xml:space="preserve"> if you come to equity make sure it is with clean hands. The meaning of this is anyone who seeks a remedy within equity has to be able</w:t>
      </w:r>
      <w:r w:rsidR="00236CB1">
        <w:rPr>
          <w:rFonts w:ascii="Arial" w:hAnsi="Arial" w:cs="Arial"/>
          <w:sz w:val="24"/>
          <w:szCs w:val="24"/>
        </w:rPr>
        <w:t xml:space="preserve"> to show they have acted honourably themselves. In the case of </w:t>
      </w:r>
      <w:proofErr w:type="spellStart"/>
      <w:r w:rsidR="00236CB1">
        <w:rPr>
          <w:rFonts w:ascii="Arial" w:hAnsi="Arial" w:cs="Arial"/>
          <w:sz w:val="24"/>
          <w:szCs w:val="24"/>
        </w:rPr>
        <w:t>Everet</w:t>
      </w:r>
      <w:proofErr w:type="spellEnd"/>
      <w:r w:rsidR="00236CB1">
        <w:rPr>
          <w:rFonts w:ascii="Arial" w:hAnsi="Arial" w:cs="Arial"/>
          <w:sz w:val="24"/>
          <w:szCs w:val="24"/>
        </w:rPr>
        <w:t xml:space="preserve"> v Williams [1725], a claim by the estate of one hanged highwayman, another highwayman [his partner], for a share of the robbery proceeds was to be rejected.</w:t>
      </w:r>
    </w:p>
    <w:p w14:paraId="6D33A6CA" w14:textId="678FA663" w:rsidR="00236CB1" w:rsidRDefault="00236CB1" w:rsidP="003F1D65">
      <w:pPr>
        <w:spacing w:line="480" w:lineRule="auto"/>
        <w:rPr>
          <w:rFonts w:ascii="Arial" w:hAnsi="Arial" w:cs="Arial"/>
          <w:sz w:val="24"/>
          <w:szCs w:val="24"/>
        </w:rPr>
      </w:pPr>
      <w:r>
        <w:rPr>
          <w:rFonts w:ascii="Arial" w:hAnsi="Arial" w:cs="Arial"/>
          <w:sz w:val="24"/>
          <w:szCs w:val="24"/>
        </w:rPr>
        <w:t>If seeking equity then a person has to be able to show that they have acted fairly upon this, ‘he who seeks equity must do equity.</w:t>
      </w:r>
    </w:p>
    <w:p w14:paraId="0CEF0334" w14:textId="724342D2" w:rsidR="00236CB1" w:rsidRDefault="00236CB1" w:rsidP="003F1D65">
      <w:pPr>
        <w:spacing w:line="480" w:lineRule="auto"/>
        <w:rPr>
          <w:rFonts w:ascii="Arial" w:hAnsi="Arial" w:cs="Arial"/>
          <w:sz w:val="24"/>
          <w:szCs w:val="24"/>
        </w:rPr>
      </w:pPr>
      <w:r>
        <w:rPr>
          <w:rFonts w:ascii="Arial" w:hAnsi="Arial" w:cs="Arial"/>
          <w:sz w:val="24"/>
          <w:szCs w:val="24"/>
        </w:rPr>
        <w:t>Equity did eventually become to be just as formalised as common law and was to be subjected to its own technicalities and went on to be very highly and heavily criticised for excessive delays within the nineteenth century. In the 1873 and 1875Judicature Acts the Court of Chancery was to become a division of new High Court</w:t>
      </w:r>
      <w:r w:rsidR="00264381">
        <w:rPr>
          <w:rFonts w:ascii="Arial" w:hAnsi="Arial" w:cs="Arial"/>
          <w:sz w:val="24"/>
          <w:szCs w:val="24"/>
        </w:rPr>
        <w:t xml:space="preserve"> and of equitable remedies that maybe awarded in most courts alongside the common law remedy of damages.</w:t>
      </w:r>
    </w:p>
    <w:p w14:paraId="19677112" w14:textId="22120786" w:rsidR="00264381" w:rsidRDefault="00264381" w:rsidP="003F1D65">
      <w:pPr>
        <w:spacing w:line="480" w:lineRule="auto"/>
        <w:rPr>
          <w:rFonts w:ascii="Arial" w:hAnsi="Arial" w:cs="Arial"/>
          <w:sz w:val="24"/>
          <w:szCs w:val="24"/>
        </w:rPr>
      </w:pPr>
      <w:r>
        <w:rPr>
          <w:rFonts w:ascii="Arial" w:hAnsi="Arial" w:cs="Arial"/>
          <w:sz w:val="24"/>
          <w:szCs w:val="24"/>
        </w:rPr>
        <w:t xml:space="preserve">If there is to be any sort of conflict if and when administrating both sorts of remedies then s25 Judicature Act 1873 is to provide within the event of a conflict between principles, then the equitable principle shall and always will prevail. Ever since, equity has been </w:t>
      </w:r>
      <w:r w:rsidR="00EF35C9">
        <w:rPr>
          <w:rFonts w:ascii="Arial" w:hAnsi="Arial" w:cs="Arial"/>
          <w:sz w:val="24"/>
          <w:szCs w:val="24"/>
        </w:rPr>
        <w:t>responsible for creating such variety of interests and most remedies which would be unobtainable at common law. This is still capable to expand with things like freezing injunctions and many search orders.</w:t>
      </w:r>
      <w:r w:rsidR="009A469A">
        <w:rPr>
          <w:rFonts w:ascii="Arial" w:hAnsi="Arial" w:cs="Arial"/>
          <w:sz w:val="24"/>
          <w:szCs w:val="24"/>
        </w:rPr>
        <w:t xml:space="preserve"> For the freezing of injunctions this was taken up in the case of </w:t>
      </w:r>
      <w:proofErr w:type="spellStart"/>
      <w:r w:rsidR="009A469A">
        <w:rPr>
          <w:rFonts w:ascii="Arial" w:hAnsi="Arial" w:cs="Arial"/>
          <w:sz w:val="24"/>
          <w:szCs w:val="24"/>
        </w:rPr>
        <w:t>Ma</w:t>
      </w:r>
      <w:r w:rsidR="00425099">
        <w:rPr>
          <w:rFonts w:ascii="Arial" w:hAnsi="Arial" w:cs="Arial"/>
          <w:sz w:val="24"/>
          <w:szCs w:val="24"/>
        </w:rPr>
        <w:t>reva</w:t>
      </w:r>
      <w:proofErr w:type="spellEnd"/>
      <w:r w:rsidR="00425099">
        <w:rPr>
          <w:rFonts w:ascii="Arial" w:hAnsi="Arial" w:cs="Arial"/>
          <w:sz w:val="24"/>
          <w:szCs w:val="24"/>
        </w:rPr>
        <w:t xml:space="preserve"> </w:t>
      </w:r>
      <w:proofErr w:type="spellStart"/>
      <w:r w:rsidR="00425099">
        <w:rPr>
          <w:rFonts w:ascii="Arial" w:hAnsi="Arial" w:cs="Arial"/>
          <w:sz w:val="24"/>
          <w:szCs w:val="24"/>
        </w:rPr>
        <w:t>Compania</w:t>
      </w:r>
      <w:proofErr w:type="spellEnd"/>
      <w:r w:rsidR="00425099">
        <w:rPr>
          <w:rFonts w:ascii="Arial" w:hAnsi="Arial" w:cs="Arial"/>
          <w:sz w:val="24"/>
          <w:szCs w:val="24"/>
        </w:rPr>
        <w:t xml:space="preserve"> Naviera SA v International Bulk Carriers SA [1975]. This was used as a means to prevent the </w:t>
      </w:r>
      <w:r w:rsidR="00425099">
        <w:rPr>
          <w:rFonts w:ascii="Arial" w:hAnsi="Arial" w:cs="Arial"/>
          <w:sz w:val="24"/>
          <w:szCs w:val="24"/>
        </w:rPr>
        <w:lastRenderedPageBreak/>
        <w:t xml:space="preserve">defendant from getting rid of any assets so they are able to defeat any judgements, so it was only awarded strict control otherwise this was more than likely for the defendant to be out of business. Search orders originated in the Anton </w:t>
      </w:r>
      <w:proofErr w:type="spellStart"/>
      <w:r w:rsidR="00425099">
        <w:rPr>
          <w:rFonts w:ascii="Arial" w:hAnsi="Arial" w:cs="Arial"/>
          <w:sz w:val="24"/>
          <w:szCs w:val="24"/>
        </w:rPr>
        <w:t>Piller</w:t>
      </w:r>
      <w:proofErr w:type="spellEnd"/>
      <w:r w:rsidR="00425099">
        <w:rPr>
          <w:rFonts w:ascii="Arial" w:hAnsi="Arial" w:cs="Arial"/>
          <w:sz w:val="24"/>
          <w:szCs w:val="24"/>
        </w:rPr>
        <w:t xml:space="preserve"> KG v Manufacturing Processes Ltd [1976]. This was so entry could be permitted to the defendant’s premises to look for any documentation that would incriminate the defendant’s. This was subject to strict constraints. [Martin, J &amp; Turner, C – 2006].</w:t>
      </w:r>
    </w:p>
    <w:p w14:paraId="1AD27636" w14:textId="0B390527" w:rsidR="00EF35C9" w:rsidRDefault="00EF35C9" w:rsidP="003F1D65">
      <w:pPr>
        <w:spacing w:line="480" w:lineRule="auto"/>
        <w:rPr>
          <w:rFonts w:ascii="Arial" w:hAnsi="Arial" w:cs="Arial"/>
          <w:sz w:val="24"/>
          <w:szCs w:val="24"/>
        </w:rPr>
      </w:pPr>
      <w:r>
        <w:rPr>
          <w:rFonts w:ascii="Arial" w:hAnsi="Arial" w:cs="Arial"/>
          <w:sz w:val="24"/>
          <w:szCs w:val="24"/>
        </w:rPr>
        <w:t xml:space="preserve">To illustrate the rule of the Earl of Oxford’s case [1616], you need to read the Walsh v Lonsdale [1882] case of a dispute over whether a landlord may seize a tenant’s property as the tenant had breached the terms of his lease. There was a conflict, as there seemed to be a valid lease in one system [common law] but not in the other [equity]. Equity prevailed in the end which meant that the case could all be heard </w:t>
      </w:r>
      <w:r w:rsidR="005F3DAD">
        <w:rPr>
          <w:rFonts w:ascii="Arial" w:hAnsi="Arial" w:cs="Arial"/>
          <w:sz w:val="24"/>
          <w:szCs w:val="24"/>
        </w:rPr>
        <w:t>before one judge and also in one court.</w:t>
      </w:r>
    </w:p>
    <w:p w14:paraId="25875095" w14:textId="696336B2" w:rsidR="005F3DAD" w:rsidRDefault="005F3DAD" w:rsidP="003F1D65">
      <w:pPr>
        <w:spacing w:line="480" w:lineRule="auto"/>
        <w:rPr>
          <w:rFonts w:ascii="Arial" w:hAnsi="Arial" w:cs="Arial"/>
          <w:sz w:val="24"/>
          <w:szCs w:val="24"/>
        </w:rPr>
      </w:pPr>
      <w:r>
        <w:rPr>
          <w:rFonts w:ascii="Arial" w:hAnsi="Arial" w:cs="Arial"/>
          <w:sz w:val="24"/>
          <w:szCs w:val="24"/>
        </w:rPr>
        <w:t>There is no definition universally of a trust. A trust would be a lot easier to describe rather than to define it, but this is a relationship that equity recognises that can arise if and when property is usually vested within a person called a trustee. A trustee then holds for the benefit of another person called a beneficiary. [Martin, J &amp; Turner, C – 2006].</w:t>
      </w:r>
    </w:p>
    <w:p w14:paraId="1E3640AE" w14:textId="7EC15513" w:rsidR="00514321" w:rsidRDefault="00514321" w:rsidP="003F1D65">
      <w:pPr>
        <w:spacing w:line="480" w:lineRule="auto"/>
        <w:rPr>
          <w:rFonts w:ascii="Arial" w:hAnsi="Arial" w:cs="Arial"/>
          <w:sz w:val="24"/>
          <w:szCs w:val="24"/>
        </w:rPr>
      </w:pPr>
      <w:r>
        <w:rPr>
          <w:rFonts w:ascii="Arial" w:hAnsi="Arial" w:cs="Arial"/>
          <w:sz w:val="24"/>
          <w:szCs w:val="24"/>
        </w:rPr>
        <w:t>Trusts were created by English law courts, and since this creation has been used all over the world. Countries that were once ruled by Britain at the time, used this legal system too. Countries from the United States of America, Canada, Nigeria, India and Malaysia would have used this system of trusts also.</w:t>
      </w:r>
    </w:p>
    <w:p w14:paraId="59E9BAB4" w14:textId="3DB62B48" w:rsidR="00514321" w:rsidRDefault="00514321" w:rsidP="003F1D65">
      <w:pPr>
        <w:spacing w:line="480" w:lineRule="auto"/>
        <w:rPr>
          <w:rFonts w:ascii="Arial" w:hAnsi="Arial" w:cs="Arial"/>
          <w:sz w:val="24"/>
          <w:szCs w:val="24"/>
        </w:rPr>
      </w:pPr>
      <w:r>
        <w:rPr>
          <w:rFonts w:ascii="Arial" w:hAnsi="Arial" w:cs="Arial"/>
          <w:sz w:val="24"/>
          <w:szCs w:val="24"/>
        </w:rPr>
        <w:t xml:space="preserve">The idea of a trust is simple as a trust would involve holding property for someone else. This can be any sort of property, not just land as the case would have been decades ago. The property could be chattels or money. Some trusts may have what </w:t>
      </w:r>
      <w:r>
        <w:rPr>
          <w:rFonts w:ascii="Arial" w:hAnsi="Arial" w:cs="Arial"/>
          <w:sz w:val="24"/>
          <w:szCs w:val="24"/>
        </w:rPr>
        <w:lastRenderedPageBreak/>
        <w:t>is known as intangible property. This is a document which would represent a valuable right. A good example of this would be shares. The certificate for the shares is just</w:t>
      </w:r>
      <w:r w:rsidR="00B44ACC">
        <w:rPr>
          <w:rFonts w:ascii="Arial" w:hAnsi="Arial" w:cs="Arial"/>
          <w:sz w:val="24"/>
          <w:szCs w:val="24"/>
        </w:rPr>
        <w:t xml:space="preserve"> a</w:t>
      </w:r>
      <w:r>
        <w:rPr>
          <w:rFonts w:ascii="Arial" w:hAnsi="Arial" w:cs="Arial"/>
          <w:sz w:val="24"/>
          <w:szCs w:val="24"/>
        </w:rPr>
        <w:t xml:space="preserve"> worthless</w:t>
      </w:r>
      <w:r w:rsidR="00B44ACC">
        <w:rPr>
          <w:rFonts w:ascii="Arial" w:hAnsi="Arial" w:cs="Arial"/>
          <w:sz w:val="24"/>
          <w:szCs w:val="24"/>
        </w:rPr>
        <w:t xml:space="preserve"> piece of</w:t>
      </w:r>
      <w:r>
        <w:rPr>
          <w:rFonts w:ascii="Arial" w:hAnsi="Arial" w:cs="Arial"/>
          <w:sz w:val="24"/>
          <w:szCs w:val="24"/>
        </w:rPr>
        <w:t xml:space="preserve"> paper, but it gives rights for a company and any profits that they may produce.</w:t>
      </w:r>
      <w:r w:rsidR="00425099">
        <w:rPr>
          <w:rFonts w:ascii="Arial" w:hAnsi="Arial" w:cs="Arial"/>
          <w:sz w:val="24"/>
          <w:szCs w:val="24"/>
        </w:rPr>
        <w:t xml:space="preserve"> </w:t>
      </w:r>
      <w:r w:rsidR="00A7648F">
        <w:rPr>
          <w:rFonts w:ascii="Arial" w:hAnsi="Arial" w:cs="Arial"/>
          <w:sz w:val="24"/>
          <w:szCs w:val="24"/>
        </w:rPr>
        <w:t xml:space="preserve">[Clements, R &amp; </w:t>
      </w:r>
      <w:proofErr w:type="spellStart"/>
      <w:r w:rsidR="00A7648F">
        <w:rPr>
          <w:rFonts w:ascii="Arial" w:hAnsi="Arial" w:cs="Arial"/>
          <w:sz w:val="24"/>
          <w:szCs w:val="24"/>
        </w:rPr>
        <w:t>Abass</w:t>
      </w:r>
      <w:proofErr w:type="spellEnd"/>
      <w:r w:rsidR="00A7648F">
        <w:rPr>
          <w:rFonts w:ascii="Arial" w:hAnsi="Arial" w:cs="Arial"/>
          <w:sz w:val="24"/>
          <w:szCs w:val="24"/>
        </w:rPr>
        <w:t>, A – 2015].</w:t>
      </w:r>
    </w:p>
    <w:p w14:paraId="10A75176" w14:textId="29963A22" w:rsidR="005A291E" w:rsidRDefault="005A291E" w:rsidP="003F1D65">
      <w:pPr>
        <w:spacing w:line="480" w:lineRule="auto"/>
        <w:rPr>
          <w:rFonts w:ascii="Arial" w:hAnsi="Arial" w:cs="Arial"/>
          <w:sz w:val="24"/>
          <w:szCs w:val="24"/>
        </w:rPr>
      </w:pPr>
      <w:r>
        <w:rPr>
          <w:rFonts w:ascii="Arial" w:hAnsi="Arial" w:cs="Arial"/>
          <w:sz w:val="24"/>
          <w:szCs w:val="24"/>
        </w:rPr>
        <w:t>In 2013, a practice guide was issued which would set out the term ‘litigant in person’, this was to be the term used to describe people or individuals who wish to exercise their right to conduct legal proceedings on their own behalf. Most of the in person litigants would be worried and also stressed as they are trying to work within what to them would be an alien concept. For them this would be a foreign language of sorts. They may become totally ignorant as to what the procedures and concepts of law are. If they were to appear against someone who is represented then they will start to experience feelings of bewilderment (for a better word) and also at a disadvantage. Due to this the outcome may have a long – term consequence and profound effect upon the rest of their life.</w:t>
      </w:r>
    </w:p>
    <w:p w14:paraId="0340F489" w14:textId="04FE7595" w:rsidR="005A291E" w:rsidRDefault="005A291E" w:rsidP="003F1D65">
      <w:pPr>
        <w:spacing w:line="480" w:lineRule="auto"/>
        <w:rPr>
          <w:rFonts w:ascii="Arial" w:hAnsi="Arial" w:cs="Arial"/>
          <w:sz w:val="24"/>
          <w:szCs w:val="24"/>
        </w:rPr>
      </w:pPr>
      <w:r>
        <w:rPr>
          <w:rFonts w:ascii="Arial" w:hAnsi="Arial" w:cs="Arial"/>
          <w:sz w:val="24"/>
          <w:szCs w:val="24"/>
        </w:rPr>
        <w:t>Any disadvantages that litigants would face in person comes from the lack of knowledge of the whole court system. They perceive the court / tribunal environment to be based upon what they have seen in films / television. Also they would not understand the vocabulary of these proceedings as well as having little</w:t>
      </w:r>
      <w:r w:rsidR="002C7AA1">
        <w:rPr>
          <w:rFonts w:ascii="Arial" w:hAnsi="Arial" w:cs="Arial"/>
          <w:sz w:val="24"/>
          <w:szCs w:val="24"/>
        </w:rPr>
        <w:t xml:space="preserve"> or no knowledge of anything that is involved and cannot apply the rules even if they have read them too.</w:t>
      </w:r>
    </w:p>
    <w:p w14:paraId="30F179FF" w14:textId="38EA297B" w:rsidR="002C7AA1" w:rsidRDefault="002C7AA1" w:rsidP="003F1D65">
      <w:pPr>
        <w:spacing w:line="480" w:lineRule="auto"/>
        <w:rPr>
          <w:rFonts w:ascii="Arial" w:hAnsi="Arial" w:cs="Arial"/>
          <w:sz w:val="24"/>
          <w:szCs w:val="24"/>
        </w:rPr>
      </w:pPr>
      <w:r>
        <w:rPr>
          <w:rFonts w:ascii="Arial" w:hAnsi="Arial" w:cs="Arial"/>
          <w:sz w:val="24"/>
          <w:szCs w:val="24"/>
        </w:rPr>
        <w:t>Taken into consideration then the above factors may have an adverse effect upon the presentation and the preparation of their case. (Equal Treatments Bench Book, 2013).</w:t>
      </w:r>
    </w:p>
    <w:p w14:paraId="0A4628F5" w14:textId="2119EC5D" w:rsidR="00AD2B8E" w:rsidRDefault="00AD2B8E" w:rsidP="003F1D65">
      <w:pPr>
        <w:spacing w:line="480" w:lineRule="auto"/>
        <w:rPr>
          <w:rFonts w:ascii="Arial" w:hAnsi="Arial" w:cs="Arial"/>
          <w:sz w:val="24"/>
          <w:szCs w:val="24"/>
        </w:rPr>
      </w:pPr>
      <w:r>
        <w:rPr>
          <w:rFonts w:ascii="Arial" w:hAnsi="Arial" w:cs="Arial"/>
          <w:sz w:val="24"/>
          <w:szCs w:val="24"/>
        </w:rPr>
        <w:lastRenderedPageBreak/>
        <w:t>A trust would not be constituted fully until legal title to any trust property has been vested within the trustee or trustees. Trustees should have control of trust property so they are able to discharge their office.</w:t>
      </w:r>
    </w:p>
    <w:p w14:paraId="7A8D688C" w14:textId="2A52DAC5" w:rsidR="00AD2B8E" w:rsidRDefault="00AD2B8E" w:rsidP="003F1D65">
      <w:pPr>
        <w:spacing w:line="480" w:lineRule="auto"/>
        <w:rPr>
          <w:rFonts w:ascii="Arial" w:hAnsi="Arial" w:cs="Arial"/>
          <w:sz w:val="24"/>
          <w:szCs w:val="24"/>
        </w:rPr>
      </w:pPr>
      <w:r>
        <w:rPr>
          <w:rFonts w:ascii="Arial" w:hAnsi="Arial" w:cs="Arial"/>
          <w:sz w:val="24"/>
          <w:szCs w:val="24"/>
        </w:rPr>
        <w:t>A trust would only be constituted by one of two methods. The first one being that a settlor has to be declared to be the trustee, or they have to make a transfer of the trust property to another person who may act as a trustee. A settlor can not comply to both of these methods at the same time. There is a rule to state that settlors are not to be made a trustee if they are to fail to make a transfer of any trust property to any and all trustees.</w:t>
      </w:r>
    </w:p>
    <w:p w14:paraId="59301AD3" w14:textId="49D86617" w:rsidR="00AD2B8E" w:rsidRDefault="00AD2B8E" w:rsidP="003F1D65">
      <w:pPr>
        <w:spacing w:line="480" w:lineRule="auto"/>
        <w:rPr>
          <w:rFonts w:ascii="Arial" w:hAnsi="Arial" w:cs="Arial"/>
          <w:sz w:val="24"/>
          <w:szCs w:val="24"/>
        </w:rPr>
      </w:pPr>
      <w:r>
        <w:rPr>
          <w:rFonts w:ascii="Arial" w:hAnsi="Arial" w:cs="Arial"/>
          <w:sz w:val="24"/>
          <w:szCs w:val="24"/>
        </w:rPr>
        <w:t>This can be seen in the case of Milroy v Lord (1862) 4 De GF &amp; J 264,45 ER 1185, Court of Appeal in Chancery.</w:t>
      </w:r>
      <w:r w:rsidR="002C2985">
        <w:rPr>
          <w:rFonts w:ascii="Arial" w:hAnsi="Arial" w:cs="Arial"/>
          <w:sz w:val="24"/>
          <w:szCs w:val="24"/>
        </w:rPr>
        <w:t xml:space="preserve"> Also Re Fry, Chase National Executors and Trustees Corp, v Fry (1946) and Re Rose, Rose v IRC (1952). (Todd, P &amp; Watt, G 2003).</w:t>
      </w:r>
    </w:p>
    <w:p w14:paraId="0DD14F1C" w14:textId="714ADF94" w:rsidR="00DB146B" w:rsidRDefault="00DB146B" w:rsidP="003F1D65">
      <w:pPr>
        <w:spacing w:line="480" w:lineRule="auto"/>
        <w:rPr>
          <w:rFonts w:ascii="Arial" w:hAnsi="Arial" w:cs="Arial"/>
          <w:sz w:val="24"/>
          <w:szCs w:val="24"/>
        </w:rPr>
      </w:pPr>
      <w:r>
        <w:rPr>
          <w:rFonts w:ascii="Arial" w:hAnsi="Arial" w:cs="Arial"/>
          <w:sz w:val="24"/>
          <w:szCs w:val="24"/>
        </w:rPr>
        <w:t>There are three ways that you can benefit another person. These would be to declare yourself as a trustee that requires the three certainties. Land must require the three certainties and also the fulfilment of s53 (1) (b) LPA 25 – The formalities.</w:t>
      </w:r>
    </w:p>
    <w:p w14:paraId="60701A0A" w14:textId="6CE3BE9B" w:rsidR="00DB146B" w:rsidRDefault="00DB146B" w:rsidP="003F1D65">
      <w:pPr>
        <w:spacing w:line="480" w:lineRule="auto"/>
        <w:rPr>
          <w:rFonts w:ascii="Arial" w:hAnsi="Arial" w:cs="Arial"/>
          <w:sz w:val="24"/>
          <w:szCs w:val="24"/>
        </w:rPr>
      </w:pPr>
      <w:r>
        <w:rPr>
          <w:rFonts w:ascii="Arial" w:hAnsi="Arial" w:cs="Arial"/>
          <w:sz w:val="24"/>
          <w:szCs w:val="24"/>
        </w:rPr>
        <w:t xml:space="preserve">This could well be remedied in the case of Rochefoucauld v Boustead (1897) 1 </w:t>
      </w:r>
      <w:proofErr w:type="spellStart"/>
      <w:r>
        <w:rPr>
          <w:rFonts w:ascii="Arial" w:hAnsi="Arial" w:cs="Arial"/>
          <w:sz w:val="24"/>
          <w:szCs w:val="24"/>
        </w:rPr>
        <w:t>ch</w:t>
      </w:r>
      <w:proofErr w:type="spellEnd"/>
      <w:r>
        <w:rPr>
          <w:rFonts w:ascii="Arial" w:hAnsi="Arial" w:cs="Arial"/>
          <w:sz w:val="24"/>
          <w:szCs w:val="24"/>
        </w:rPr>
        <w:t xml:space="preserve"> 196. Mrs. Rochefoucauld owned land in Ceylon, this was transferred to the defendant (unnamed) intending he was to hold this this land on trust for her benefit. This was not made evident in writing</w:t>
      </w:r>
      <w:r w:rsidR="00A01B80">
        <w:rPr>
          <w:rFonts w:ascii="Arial" w:hAnsi="Arial" w:cs="Arial"/>
          <w:sz w:val="24"/>
          <w:szCs w:val="24"/>
        </w:rPr>
        <w:t>, so the defendant mortgaged this land. Mrs. Rochefoucauld sought upon a declaration that the land was held on trust for her. The Court of Appeal was to hold that any evidence, other than writing would be admitted. If not, the instrument at the particular time would have been the statute of fraud.</w:t>
      </w:r>
    </w:p>
    <w:p w14:paraId="78143B30" w14:textId="01AA3DC5" w:rsidR="00A01B80" w:rsidRDefault="00A01B80" w:rsidP="003F1D65">
      <w:pPr>
        <w:spacing w:line="480" w:lineRule="auto"/>
        <w:rPr>
          <w:rFonts w:ascii="Arial" w:hAnsi="Arial" w:cs="Arial"/>
          <w:sz w:val="24"/>
          <w:szCs w:val="24"/>
        </w:rPr>
      </w:pPr>
      <w:r>
        <w:rPr>
          <w:rFonts w:ascii="Arial" w:hAnsi="Arial" w:cs="Arial"/>
          <w:sz w:val="24"/>
          <w:szCs w:val="24"/>
        </w:rPr>
        <w:t>If you had declared another person as trustee of your property, then they really must be able to satisfy all of the constitution, requirements plus the formalities also.</w:t>
      </w:r>
    </w:p>
    <w:p w14:paraId="7B106257" w14:textId="60BD1F04" w:rsidR="00A01B80" w:rsidRDefault="00A01B80" w:rsidP="003F1D65">
      <w:pPr>
        <w:spacing w:line="480" w:lineRule="auto"/>
        <w:rPr>
          <w:rFonts w:ascii="Arial" w:hAnsi="Arial" w:cs="Arial"/>
          <w:sz w:val="24"/>
          <w:szCs w:val="24"/>
        </w:rPr>
      </w:pPr>
      <w:r>
        <w:rPr>
          <w:rFonts w:ascii="Arial" w:hAnsi="Arial" w:cs="Arial"/>
          <w:sz w:val="24"/>
          <w:szCs w:val="24"/>
        </w:rPr>
        <w:lastRenderedPageBreak/>
        <w:t>You may also be able to benefit another person by gifting them the intended property. Legal title must</w:t>
      </w:r>
      <w:r w:rsidR="003D0062">
        <w:rPr>
          <w:rFonts w:ascii="Arial" w:hAnsi="Arial" w:cs="Arial"/>
          <w:sz w:val="24"/>
          <w:szCs w:val="24"/>
        </w:rPr>
        <w:t xml:space="preserve"> be transferred by constitution. Also any equitable interest must be transferred, s53 (1) (c) LPA requires a direct assignment, gift or contract. These can be seen within the case of Strong v Bird (1874) and also Re </w:t>
      </w:r>
      <w:proofErr w:type="spellStart"/>
      <w:r w:rsidR="003D0062">
        <w:rPr>
          <w:rFonts w:ascii="Arial" w:hAnsi="Arial" w:cs="Arial"/>
          <w:sz w:val="24"/>
          <w:szCs w:val="24"/>
        </w:rPr>
        <w:t>Vandervell</w:t>
      </w:r>
      <w:proofErr w:type="spellEnd"/>
      <w:r w:rsidR="003D0062">
        <w:rPr>
          <w:rFonts w:ascii="Arial" w:hAnsi="Arial" w:cs="Arial"/>
          <w:sz w:val="24"/>
          <w:szCs w:val="24"/>
        </w:rPr>
        <w:t xml:space="preserve"> (No 1) (1971).</w:t>
      </w:r>
      <w:r w:rsidR="00BF5C6A">
        <w:rPr>
          <w:rFonts w:ascii="Arial" w:hAnsi="Arial" w:cs="Arial"/>
          <w:sz w:val="24"/>
          <w:szCs w:val="24"/>
        </w:rPr>
        <w:t xml:space="preserve"> </w:t>
      </w:r>
      <w:r w:rsidR="00E57A7D">
        <w:rPr>
          <w:rFonts w:ascii="Arial" w:hAnsi="Arial" w:cs="Arial"/>
          <w:sz w:val="24"/>
          <w:szCs w:val="24"/>
        </w:rPr>
        <w:t xml:space="preserve"> </w:t>
      </w:r>
    </w:p>
    <w:p w14:paraId="59076E29" w14:textId="702FD31F" w:rsidR="00B04B32" w:rsidRDefault="00E806D6" w:rsidP="003F1D65">
      <w:pPr>
        <w:spacing w:line="480" w:lineRule="auto"/>
        <w:rPr>
          <w:rFonts w:ascii="Arial" w:hAnsi="Arial" w:cs="Arial"/>
          <w:sz w:val="24"/>
          <w:szCs w:val="24"/>
        </w:rPr>
      </w:pPr>
      <w:r>
        <w:rPr>
          <w:rFonts w:ascii="Arial" w:hAnsi="Arial" w:cs="Arial"/>
          <w:sz w:val="24"/>
          <w:szCs w:val="24"/>
        </w:rPr>
        <w:t xml:space="preserve">In the case of Re </w:t>
      </w:r>
      <w:proofErr w:type="spellStart"/>
      <w:r>
        <w:rPr>
          <w:rFonts w:ascii="Arial" w:hAnsi="Arial" w:cs="Arial"/>
          <w:sz w:val="24"/>
          <w:szCs w:val="24"/>
        </w:rPr>
        <w:t>Vandervell</w:t>
      </w:r>
      <w:proofErr w:type="spellEnd"/>
      <w:r>
        <w:rPr>
          <w:rFonts w:ascii="Arial" w:hAnsi="Arial" w:cs="Arial"/>
          <w:sz w:val="24"/>
          <w:szCs w:val="24"/>
        </w:rPr>
        <w:t xml:space="preserve"> (No1) (1971), Mr. </w:t>
      </w:r>
      <w:proofErr w:type="spellStart"/>
      <w:r>
        <w:rPr>
          <w:rFonts w:ascii="Arial" w:hAnsi="Arial" w:cs="Arial"/>
          <w:sz w:val="24"/>
          <w:szCs w:val="24"/>
        </w:rPr>
        <w:t>Vandervell</w:t>
      </w:r>
      <w:proofErr w:type="spellEnd"/>
      <w:r>
        <w:rPr>
          <w:rFonts w:ascii="Arial" w:hAnsi="Arial" w:cs="Arial"/>
          <w:sz w:val="24"/>
          <w:szCs w:val="24"/>
        </w:rPr>
        <w:t xml:space="preserve"> was a beneficiary under a bare trust of shares. He wanted to give the Royal College of Surgeons these shares. Mr. </w:t>
      </w:r>
      <w:proofErr w:type="spellStart"/>
      <w:r>
        <w:rPr>
          <w:rFonts w:ascii="Arial" w:hAnsi="Arial" w:cs="Arial"/>
          <w:sz w:val="24"/>
          <w:szCs w:val="24"/>
        </w:rPr>
        <w:t>Vandervell</w:t>
      </w:r>
      <w:proofErr w:type="spellEnd"/>
      <w:r>
        <w:rPr>
          <w:rFonts w:ascii="Arial" w:hAnsi="Arial" w:cs="Arial"/>
          <w:sz w:val="24"/>
          <w:szCs w:val="24"/>
        </w:rPr>
        <w:t xml:space="preserve"> stated that these shares had to be transferred to the Royal College of Surgeons. During this time, an option to buy the shares had been given to a trust company. At the time of the creation, the objects of this trust of the opinion where not actually specified.</w:t>
      </w:r>
      <w:r w:rsidR="00377D7A">
        <w:rPr>
          <w:rFonts w:ascii="Arial" w:hAnsi="Arial" w:cs="Arial"/>
          <w:sz w:val="24"/>
          <w:szCs w:val="24"/>
        </w:rPr>
        <w:t xml:space="preserve"> </w:t>
      </w:r>
    </w:p>
    <w:p w14:paraId="75C34B43" w14:textId="1C00A0E8" w:rsidR="00B04B32" w:rsidRDefault="00B04B32" w:rsidP="003F1D65">
      <w:pPr>
        <w:spacing w:line="480" w:lineRule="auto"/>
        <w:rPr>
          <w:rFonts w:ascii="Arial" w:hAnsi="Arial" w:cs="Arial"/>
          <w:sz w:val="24"/>
          <w:szCs w:val="24"/>
        </w:rPr>
      </w:pPr>
      <w:r>
        <w:rPr>
          <w:rFonts w:ascii="Arial" w:hAnsi="Arial" w:cs="Arial"/>
          <w:sz w:val="24"/>
          <w:szCs w:val="24"/>
        </w:rPr>
        <w:t xml:space="preserve">The principle of this means that where an equitable owner, was absolutely entitled and capable of doing this, can make an oral declaration to a trustee who can then transfer all legal titles to a transferee. At the same time though, the equitable title must be transferred to the same transferee. You do not need to comply with a s53 (1) (c) LPA for this request. Within failure to specify objects of this trust of the option would mean that the trust company held on resulting trust for Mr. </w:t>
      </w:r>
      <w:proofErr w:type="spellStart"/>
      <w:r>
        <w:rPr>
          <w:rFonts w:ascii="Arial" w:hAnsi="Arial" w:cs="Arial"/>
          <w:sz w:val="24"/>
          <w:szCs w:val="24"/>
        </w:rPr>
        <w:t>Vandervell</w:t>
      </w:r>
      <w:proofErr w:type="spellEnd"/>
      <w:r>
        <w:rPr>
          <w:rFonts w:ascii="Arial" w:hAnsi="Arial" w:cs="Arial"/>
          <w:sz w:val="24"/>
          <w:szCs w:val="24"/>
        </w:rPr>
        <w:t>.</w:t>
      </w:r>
    </w:p>
    <w:p w14:paraId="5F29A1A5" w14:textId="132334D7" w:rsidR="00B04B32" w:rsidRDefault="00B04B32" w:rsidP="003F1D65">
      <w:pPr>
        <w:spacing w:line="480" w:lineRule="auto"/>
        <w:rPr>
          <w:rFonts w:ascii="Arial" w:hAnsi="Arial" w:cs="Arial"/>
          <w:sz w:val="24"/>
          <w:szCs w:val="24"/>
        </w:rPr>
      </w:pPr>
      <w:r>
        <w:rPr>
          <w:rFonts w:ascii="Arial" w:hAnsi="Arial" w:cs="Arial"/>
          <w:sz w:val="24"/>
          <w:szCs w:val="24"/>
        </w:rPr>
        <w:t xml:space="preserve">For the resulting case of Strong v Bird (1874) LR 18 </w:t>
      </w:r>
      <w:proofErr w:type="spellStart"/>
      <w:r>
        <w:rPr>
          <w:rFonts w:ascii="Arial" w:hAnsi="Arial" w:cs="Arial"/>
          <w:sz w:val="24"/>
          <w:szCs w:val="24"/>
        </w:rPr>
        <w:t>Eq</w:t>
      </w:r>
      <w:proofErr w:type="spellEnd"/>
      <w:r>
        <w:rPr>
          <w:rFonts w:ascii="Arial" w:hAnsi="Arial" w:cs="Arial"/>
          <w:sz w:val="24"/>
          <w:szCs w:val="24"/>
        </w:rPr>
        <w:t xml:space="preserve"> 315, then there was a promise to forgo a debt payment which was unenforceable at law for want of consideration. So, the promise would have been appointed executor of the will of the promisor.</w:t>
      </w:r>
    </w:p>
    <w:p w14:paraId="48AECA30" w14:textId="10FC644D" w:rsidR="00B04B32" w:rsidRDefault="00B04B32" w:rsidP="003F1D65">
      <w:pPr>
        <w:spacing w:line="480" w:lineRule="auto"/>
        <w:rPr>
          <w:rFonts w:ascii="Arial" w:hAnsi="Arial" w:cs="Arial"/>
          <w:sz w:val="24"/>
          <w:szCs w:val="24"/>
        </w:rPr>
      </w:pPr>
      <w:r>
        <w:rPr>
          <w:rFonts w:ascii="Arial" w:hAnsi="Arial" w:cs="Arial"/>
          <w:sz w:val="24"/>
          <w:szCs w:val="24"/>
        </w:rPr>
        <w:t xml:space="preserve">In principle though, if there is to be a failure of any legal requirements of the valid transfer, but then the transferee is to be appointed as administrator or executor of the estate of the transferor, then equity should perfect. This would happen only if </w:t>
      </w:r>
      <w:r>
        <w:rPr>
          <w:rFonts w:ascii="Arial" w:hAnsi="Arial" w:cs="Arial"/>
          <w:sz w:val="24"/>
          <w:szCs w:val="24"/>
        </w:rPr>
        <w:lastRenderedPageBreak/>
        <w:t xml:space="preserve">there </w:t>
      </w:r>
      <w:r w:rsidR="00C90E90">
        <w:rPr>
          <w:rFonts w:ascii="Arial" w:hAnsi="Arial" w:cs="Arial"/>
          <w:sz w:val="24"/>
          <w:szCs w:val="24"/>
        </w:rPr>
        <w:t>has been an ongoing intention to give during the lifetime of the transferor. (Mc Donald, I &amp; Street, A 2016).</w:t>
      </w:r>
    </w:p>
    <w:p w14:paraId="3DA0A202" w14:textId="3D886378" w:rsidR="00C90E90" w:rsidRDefault="00C90E90" w:rsidP="003F1D65">
      <w:pPr>
        <w:spacing w:line="480" w:lineRule="auto"/>
        <w:rPr>
          <w:rFonts w:ascii="Arial" w:hAnsi="Arial" w:cs="Arial"/>
          <w:sz w:val="24"/>
          <w:szCs w:val="24"/>
        </w:rPr>
      </w:pPr>
      <w:r>
        <w:rPr>
          <w:rFonts w:ascii="Arial" w:hAnsi="Arial" w:cs="Arial"/>
          <w:sz w:val="24"/>
          <w:szCs w:val="24"/>
        </w:rPr>
        <w:t>Maybe the early rendition of what equity and trusts are seemed straight forward so much better than what is perceived today. It looked to be more understanding back in 1066 around the Norman Conquest time, today not as easy to follow. It needs reform of some kind so that people are better able to judge whether they can stand without representation, make things a little easier. Even with representation it is still rather hard to understand. Over the years the language may have changed as this was a barrier as not many people were able to understand the language it was written in (Latin), so that does kind of make a difference but not too much. The easiest way would be by common law as you can be confident on what should happen within your case but this is only true</w:t>
      </w:r>
      <w:r w:rsidR="00294938">
        <w:rPr>
          <w:rFonts w:ascii="Arial" w:hAnsi="Arial" w:cs="Arial"/>
          <w:sz w:val="24"/>
          <w:szCs w:val="24"/>
        </w:rPr>
        <w:t xml:space="preserve"> if a case similar to yours has actually been heard before. There could be a strong disadvantage to this though especially if your case is an unusual one, then it would be up to the judge to try and create a new law and directly apply this to your particular case.</w:t>
      </w:r>
    </w:p>
    <w:p w14:paraId="345CCFBB" w14:textId="679A0A4E" w:rsidR="00294938" w:rsidRDefault="00294938" w:rsidP="003F1D65">
      <w:pPr>
        <w:spacing w:line="480" w:lineRule="auto"/>
        <w:rPr>
          <w:rFonts w:ascii="Arial" w:hAnsi="Arial" w:cs="Arial"/>
          <w:sz w:val="24"/>
          <w:szCs w:val="24"/>
        </w:rPr>
      </w:pPr>
    </w:p>
    <w:p w14:paraId="1B8A3638" w14:textId="5EE48EE9" w:rsidR="00294938" w:rsidRDefault="00294938" w:rsidP="003F1D65">
      <w:pPr>
        <w:spacing w:line="480" w:lineRule="auto"/>
        <w:rPr>
          <w:rFonts w:ascii="Arial" w:hAnsi="Arial" w:cs="Arial"/>
          <w:sz w:val="24"/>
          <w:szCs w:val="24"/>
        </w:rPr>
      </w:pPr>
      <w:r>
        <w:rPr>
          <w:rFonts w:ascii="Arial" w:hAnsi="Arial" w:cs="Arial"/>
          <w:sz w:val="24"/>
          <w:szCs w:val="24"/>
        </w:rPr>
        <w:t>Martin, J, &amp; Turner, C. The Comprehensive Guide to all facts, Equity and Trusts (2006), second edition. Hodder Arnold. London.</w:t>
      </w:r>
    </w:p>
    <w:p w14:paraId="64DA0220" w14:textId="2F39FC55" w:rsidR="00294938" w:rsidRDefault="00294938" w:rsidP="003F1D65">
      <w:pPr>
        <w:spacing w:line="480" w:lineRule="auto"/>
        <w:rPr>
          <w:rFonts w:ascii="Arial" w:hAnsi="Arial" w:cs="Arial"/>
          <w:sz w:val="24"/>
          <w:szCs w:val="24"/>
        </w:rPr>
      </w:pPr>
      <w:r>
        <w:rPr>
          <w:rFonts w:ascii="Arial" w:hAnsi="Arial" w:cs="Arial"/>
          <w:sz w:val="24"/>
          <w:szCs w:val="24"/>
        </w:rPr>
        <w:t xml:space="preserve">Clements, R &amp; </w:t>
      </w:r>
      <w:proofErr w:type="spellStart"/>
      <w:r>
        <w:rPr>
          <w:rFonts w:ascii="Arial" w:hAnsi="Arial" w:cs="Arial"/>
          <w:sz w:val="24"/>
          <w:szCs w:val="24"/>
        </w:rPr>
        <w:t>Abass</w:t>
      </w:r>
      <w:proofErr w:type="spellEnd"/>
      <w:r>
        <w:rPr>
          <w:rFonts w:ascii="Arial" w:hAnsi="Arial" w:cs="Arial"/>
          <w:sz w:val="24"/>
          <w:szCs w:val="24"/>
        </w:rPr>
        <w:t>, A. Equity and Trusts, text, cases and materials (2015), fourth edition Oxford University Press. London.</w:t>
      </w:r>
    </w:p>
    <w:p w14:paraId="5E920EB6" w14:textId="33C711C9" w:rsidR="00043CD3" w:rsidRDefault="00043CD3" w:rsidP="003F1D65">
      <w:pPr>
        <w:spacing w:line="480" w:lineRule="auto"/>
        <w:rPr>
          <w:rFonts w:ascii="Arial" w:hAnsi="Arial" w:cs="Arial"/>
          <w:sz w:val="24"/>
          <w:szCs w:val="24"/>
        </w:rPr>
      </w:pPr>
      <w:r>
        <w:rPr>
          <w:rFonts w:ascii="Arial" w:hAnsi="Arial" w:cs="Arial"/>
          <w:sz w:val="24"/>
          <w:szCs w:val="24"/>
        </w:rPr>
        <w:t>Mc Donald, I &amp; Street, A Concentrate Equity and Trusts (2016). Fifth edition, Oxford University Press. London.</w:t>
      </w:r>
    </w:p>
    <w:p w14:paraId="77022688" w14:textId="500A4A63" w:rsidR="00043CD3" w:rsidRDefault="00043CD3" w:rsidP="003F1D65">
      <w:pPr>
        <w:spacing w:line="480" w:lineRule="auto"/>
        <w:rPr>
          <w:rFonts w:ascii="Arial" w:hAnsi="Arial" w:cs="Arial"/>
          <w:sz w:val="24"/>
          <w:szCs w:val="24"/>
        </w:rPr>
      </w:pPr>
      <w:r>
        <w:rPr>
          <w:rFonts w:ascii="Arial" w:hAnsi="Arial" w:cs="Arial"/>
          <w:sz w:val="24"/>
          <w:szCs w:val="24"/>
        </w:rPr>
        <w:t>Todd, P &amp;Watt G, Case and materials on equity and trusts (2003) fourth edition, Oxford University Press London.</w:t>
      </w:r>
    </w:p>
    <w:p w14:paraId="35D4A06A" w14:textId="4D79C4AC" w:rsidR="00043CD3" w:rsidRDefault="00043CD3" w:rsidP="003F1D65">
      <w:pPr>
        <w:spacing w:line="480" w:lineRule="auto"/>
        <w:rPr>
          <w:rFonts w:ascii="Arial" w:hAnsi="Arial" w:cs="Arial"/>
          <w:sz w:val="24"/>
          <w:szCs w:val="24"/>
        </w:rPr>
      </w:pPr>
      <w:hyperlink r:id="rId4" w:history="1">
        <w:r w:rsidRPr="00BA2058">
          <w:rPr>
            <w:rStyle w:val="Hyperlink"/>
            <w:rFonts w:ascii="Arial" w:hAnsi="Arial" w:cs="Arial"/>
            <w:sz w:val="24"/>
            <w:szCs w:val="24"/>
          </w:rPr>
          <w:t>https://www.merriam-webster.com/dictionary/writ</w:t>
        </w:r>
      </w:hyperlink>
    </w:p>
    <w:p w14:paraId="787BDC30" w14:textId="543302B4" w:rsidR="00043CD3" w:rsidRDefault="00043CD3" w:rsidP="003F1D65">
      <w:pPr>
        <w:spacing w:line="480" w:lineRule="auto"/>
        <w:rPr>
          <w:rFonts w:ascii="Arial" w:hAnsi="Arial" w:cs="Arial"/>
          <w:sz w:val="24"/>
          <w:szCs w:val="24"/>
        </w:rPr>
      </w:pPr>
      <w:r>
        <w:rPr>
          <w:rFonts w:ascii="Arial" w:hAnsi="Arial" w:cs="Arial"/>
          <w:sz w:val="24"/>
          <w:szCs w:val="24"/>
        </w:rPr>
        <w:t>(Accessed: 06/03/2023).</w:t>
      </w:r>
    </w:p>
    <w:p w14:paraId="43FB8C41" w14:textId="53E29A90" w:rsidR="00043CD3" w:rsidRDefault="00043CD3" w:rsidP="003F1D65">
      <w:pPr>
        <w:spacing w:line="480" w:lineRule="auto"/>
        <w:rPr>
          <w:rFonts w:ascii="Arial" w:hAnsi="Arial" w:cs="Arial"/>
          <w:sz w:val="24"/>
          <w:szCs w:val="24"/>
        </w:rPr>
      </w:pPr>
      <w:hyperlink r:id="rId5" w:history="1">
        <w:r w:rsidRPr="00BA2058">
          <w:rPr>
            <w:rStyle w:val="Hyperlink"/>
            <w:rFonts w:ascii="Arial" w:hAnsi="Arial" w:cs="Arial"/>
            <w:sz w:val="24"/>
            <w:szCs w:val="24"/>
          </w:rPr>
          <w:t>https://www.jstor.org/stable/25080334</w:t>
        </w:r>
      </w:hyperlink>
    </w:p>
    <w:p w14:paraId="20CF1BD3" w14:textId="53E816C2" w:rsidR="00043CD3" w:rsidRDefault="00043CD3" w:rsidP="003F1D65">
      <w:pPr>
        <w:spacing w:line="480" w:lineRule="auto"/>
        <w:rPr>
          <w:rFonts w:ascii="Arial" w:hAnsi="Arial" w:cs="Arial"/>
          <w:sz w:val="24"/>
          <w:szCs w:val="24"/>
        </w:rPr>
      </w:pPr>
      <w:r>
        <w:rPr>
          <w:rFonts w:ascii="Arial" w:hAnsi="Arial" w:cs="Arial"/>
          <w:sz w:val="24"/>
          <w:szCs w:val="24"/>
        </w:rPr>
        <w:t>(Accessed: 05/03/2023).</w:t>
      </w:r>
    </w:p>
    <w:p w14:paraId="09BDF8B5" w14:textId="48139158" w:rsidR="003C4142" w:rsidRDefault="003C4142" w:rsidP="003F1D65">
      <w:pPr>
        <w:spacing w:line="480" w:lineRule="auto"/>
        <w:rPr>
          <w:rFonts w:ascii="Arial" w:hAnsi="Arial" w:cs="Arial"/>
          <w:sz w:val="24"/>
          <w:szCs w:val="24"/>
        </w:rPr>
      </w:pPr>
      <w:hyperlink r:id="rId6" w:history="1">
        <w:r w:rsidRPr="00BA2058">
          <w:rPr>
            <w:rStyle w:val="Hyperlink"/>
            <w:rFonts w:ascii="Arial" w:hAnsi="Arial" w:cs="Arial"/>
            <w:sz w:val="24"/>
            <w:szCs w:val="24"/>
          </w:rPr>
          <w:t>https://www.judiciary.uk/about-the-judiciary/diversity/equal-treatment-bench-book</w:t>
        </w:r>
      </w:hyperlink>
    </w:p>
    <w:p w14:paraId="7EE41931" w14:textId="5825712A" w:rsidR="003C4142" w:rsidRDefault="003C4142" w:rsidP="003F1D65">
      <w:pPr>
        <w:spacing w:line="480" w:lineRule="auto"/>
        <w:rPr>
          <w:rFonts w:ascii="Arial" w:hAnsi="Arial" w:cs="Arial"/>
          <w:sz w:val="24"/>
          <w:szCs w:val="24"/>
        </w:rPr>
      </w:pPr>
      <w:r>
        <w:rPr>
          <w:rFonts w:ascii="Arial" w:hAnsi="Arial" w:cs="Arial"/>
          <w:sz w:val="24"/>
          <w:szCs w:val="24"/>
        </w:rPr>
        <w:t>(Accessed: 07/03/2023).</w:t>
      </w:r>
    </w:p>
    <w:p w14:paraId="67EEE277" w14:textId="77777777" w:rsidR="00043CD3" w:rsidRDefault="00043CD3" w:rsidP="003F1D65">
      <w:pPr>
        <w:spacing w:line="480" w:lineRule="auto"/>
        <w:rPr>
          <w:rFonts w:ascii="Arial" w:hAnsi="Arial" w:cs="Arial"/>
          <w:sz w:val="24"/>
          <w:szCs w:val="24"/>
        </w:rPr>
      </w:pPr>
    </w:p>
    <w:p w14:paraId="1FAA9F03" w14:textId="77777777" w:rsidR="00294938" w:rsidRDefault="00294938" w:rsidP="003F1D65">
      <w:pPr>
        <w:spacing w:line="480" w:lineRule="auto"/>
        <w:rPr>
          <w:rFonts w:ascii="Arial" w:hAnsi="Arial" w:cs="Arial"/>
          <w:sz w:val="24"/>
          <w:szCs w:val="24"/>
        </w:rPr>
      </w:pPr>
    </w:p>
    <w:p w14:paraId="695CECDC" w14:textId="77777777" w:rsidR="00214074" w:rsidRPr="003F1D65" w:rsidRDefault="00214074" w:rsidP="003F1D65">
      <w:pPr>
        <w:spacing w:line="480" w:lineRule="auto"/>
        <w:rPr>
          <w:rFonts w:ascii="Arial" w:hAnsi="Arial" w:cs="Arial"/>
          <w:sz w:val="24"/>
          <w:szCs w:val="24"/>
        </w:rPr>
      </w:pPr>
    </w:p>
    <w:sectPr w:rsidR="00214074" w:rsidRPr="003F1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D65"/>
    <w:rsid w:val="00043CD3"/>
    <w:rsid w:val="00077A2F"/>
    <w:rsid w:val="00214074"/>
    <w:rsid w:val="00236CB1"/>
    <w:rsid w:val="00251423"/>
    <w:rsid w:val="00264381"/>
    <w:rsid w:val="00294938"/>
    <w:rsid w:val="002C2985"/>
    <w:rsid w:val="002C7AA1"/>
    <w:rsid w:val="00377D7A"/>
    <w:rsid w:val="003C4142"/>
    <w:rsid w:val="003D0062"/>
    <w:rsid w:val="003F1D65"/>
    <w:rsid w:val="00424B0C"/>
    <w:rsid w:val="00425099"/>
    <w:rsid w:val="0046301C"/>
    <w:rsid w:val="00514321"/>
    <w:rsid w:val="005A291E"/>
    <w:rsid w:val="005F3DAD"/>
    <w:rsid w:val="007863D4"/>
    <w:rsid w:val="007D0E16"/>
    <w:rsid w:val="009A469A"/>
    <w:rsid w:val="009B68DA"/>
    <w:rsid w:val="00A01B80"/>
    <w:rsid w:val="00A7648F"/>
    <w:rsid w:val="00AD2B8E"/>
    <w:rsid w:val="00B04B32"/>
    <w:rsid w:val="00B44ACC"/>
    <w:rsid w:val="00BF5C6A"/>
    <w:rsid w:val="00BF6DFD"/>
    <w:rsid w:val="00C90E90"/>
    <w:rsid w:val="00D04758"/>
    <w:rsid w:val="00D32379"/>
    <w:rsid w:val="00DB146B"/>
    <w:rsid w:val="00E57A7D"/>
    <w:rsid w:val="00E806D6"/>
    <w:rsid w:val="00EF3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61846"/>
  <w15:chartTrackingRefBased/>
  <w15:docId w15:val="{BAE375C3-1FE0-416B-B847-283CE3700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CD3"/>
    <w:rPr>
      <w:color w:val="0563C1" w:themeColor="hyperlink"/>
      <w:u w:val="single"/>
    </w:rPr>
  </w:style>
  <w:style w:type="character" w:styleId="UnresolvedMention">
    <w:name w:val="Unresolved Mention"/>
    <w:basedOn w:val="DefaultParagraphFont"/>
    <w:uiPriority w:val="99"/>
    <w:semiHidden/>
    <w:unhideWhenUsed/>
    <w:rsid w:val="00043C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diciary.uk/about-the-judiciary/diversity/equal-treatment-bench-book" TargetMode="External"/><Relationship Id="rId5" Type="http://schemas.openxmlformats.org/officeDocument/2006/relationships/hyperlink" Target="https://www.jstor.org/stable/25080334" TargetMode="External"/><Relationship Id="rId4" Type="http://schemas.openxmlformats.org/officeDocument/2006/relationships/hyperlink" Target="https://www.merriam-webster.com/dictionary/wr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2222</Words>
  <Characters>12669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Melenie Jane Box</dc:creator>
  <cp:keywords/>
  <dc:description/>
  <cp:lastModifiedBy>Melenie Jane Box</cp:lastModifiedBy>
  <cp:revision>2</cp:revision>
  <dcterms:created xsi:type="dcterms:W3CDTF">2023-03-10T14:43:00Z</dcterms:created>
  <dcterms:modified xsi:type="dcterms:W3CDTF">2023-03-10T14:43:00Z</dcterms:modified>
</cp:coreProperties>
</file>