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A42" w:rsidRPr="00C34D75" w:rsidRDefault="00A07A53">
      <w:pPr>
        <w:rPr>
          <w:rFonts w:cstheme="minorHAnsi"/>
          <w:color w:val="333333"/>
          <w:shd w:val="clear" w:color="auto" w:fill="F9F9F9"/>
        </w:rPr>
      </w:pPr>
      <w:r w:rsidRPr="00C34D75">
        <w:rPr>
          <w:rFonts w:cstheme="minorHAnsi"/>
        </w:rPr>
        <w:t>It’s</w:t>
      </w:r>
      <w:r w:rsidR="00C444D1" w:rsidRPr="00C34D75">
        <w:rPr>
          <w:rFonts w:cstheme="minorHAnsi"/>
        </w:rPr>
        <w:t xml:space="preserve"> said that the most important thing with honing your study skills is taking the time to understand what is required “It takes time and practice to orientate yourself to the Higher Education environment</w:t>
      </w:r>
      <w:proofErr w:type="gramStart"/>
      <w:r w:rsidR="00C444D1" w:rsidRPr="00C34D75">
        <w:rPr>
          <w:rFonts w:cstheme="minorHAnsi"/>
        </w:rPr>
        <w:t>”</w:t>
      </w:r>
      <w:r w:rsidRPr="00C34D75">
        <w:rPr>
          <w:rFonts w:cstheme="minorHAnsi"/>
        </w:rPr>
        <w:t>[</w:t>
      </w:r>
      <w:proofErr w:type="gramEnd"/>
      <w:r w:rsidRPr="00C34D75">
        <w:rPr>
          <w:rFonts w:cstheme="minorHAnsi"/>
        </w:rPr>
        <w:t>1] However it must also be considered that everyone will learn and study differently “</w:t>
      </w:r>
      <w:r w:rsidRPr="00C34D75">
        <w:rPr>
          <w:rFonts w:cstheme="minorHAnsi"/>
          <w:color w:val="333333"/>
          <w:shd w:val="clear" w:color="auto" w:fill="F9F9F9"/>
        </w:rPr>
        <w:t xml:space="preserve">One of the most accepted understandings of learning styles is that student learning styles fall into three categories: Visual Learners, Auditory Learners and </w:t>
      </w:r>
      <w:r w:rsidR="001E7F6E" w:rsidRPr="00C34D75">
        <w:rPr>
          <w:rFonts w:cstheme="minorHAnsi"/>
          <w:color w:val="333333"/>
          <w:shd w:val="clear" w:color="auto" w:fill="F9F9F9"/>
        </w:rPr>
        <w:t>Kinaesthetic</w:t>
      </w:r>
      <w:r w:rsidRPr="00C34D75">
        <w:rPr>
          <w:rFonts w:cstheme="minorHAnsi"/>
          <w:color w:val="333333"/>
          <w:shd w:val="clear" w:color="auto" w:fill="F9F9F9"/>
        </w:rPr>
        <w:t xml:space="preserve"> Learners.</w:t>
      </w:r>
      <w:r w:rsidRPr="00C34D75">
        <w:rPr>
          <w:rFonts w:cstheme="minorHAnsi"/>
          <w:color w:val="333333"/>
          <w:shd w:val="clear" w:color="auto" w:fill="F9F9F9"/>
        </w:rPr>
        <w:t>”[2]</w:t>
      </w:r>
      <w:r w:rsidR="001E7F6E" w:rsidRPr="00C34D75">
        <w:rPr>
          <w:rFonts w:cstheme="minorHAnsi"/>
          <w:color w:val="333333"/>
          <w:shd w:val="clear" w:color="auto" w:fill="F9F9F9"/>
        </w:rPr>
        <w:t xml:space="preserve"> Every single person will learn differently and it’s important that every individual takes the time to work out what method th</w:t>
      </w:r>
      <w:r w:rsidR="009F4A4A">
        <w:rPr>
          <w:rFonts w:cstheme="minorHAnsi"/>
          <w:color w:val="333333"/>
          <w:shd w:val="clear" w:color="auto" w:fill="F9F9F9"/>
        </w:rPr>
        <w:t>ey</w:t>
      </w:r>
      <w:r w:rsidR="001E7F6E" w:rsidRPr="00C34D75">
        <w:rPr>
          <w:rFonts w:cstheme="minorHAnsi"/>
          <w:color w:val="333333"/>
          <w:shd w:val="clear" w:color="auto" w:fill="F9F9F9"/>
        </w:rPr>
        <w:t xml:space="preserve"> are most compatible with is. Without working this out one would be inefficiently trying to study and wouldn’t be able to utilise their time to optimal conditions</w:t>
      </w:r>
      <w:r w:rsidR="00C34D75">
        <w:rPr>
          <w:rFonts w:cstheme="minorHAnsi"/>
          <w:color w:val="333333"/>
          <w:shd w:val="clear" w:color="auto" w:fill="F9F9F9"/>
        </w:rPr>
        <w:t xml:space="preserve"> </w:t>
      </w:r>
      <w:r w:rsidR="00C34D75" w:rsidRPr="00C34D75">
        <w:rPr>
          <w:rFonts w:cstheme="minorHAnsi"/>
          <w:color w:val="333333"/>
          <w:shd w:val="clear" w:color="auto" w:fill="F9F9F9"/>
        </w:rPr>
        <w:t>“</w:t>
      </w:r>
      <w:r w:rsidR="00C34D75" w:rsidRPr="00C34D75">
        <w:rPr>
          <w:rFonts w:cstheme="minorHAnsi"/>
          <w:color w:val="3A3A3A"/>
          <w:shd w:val="clear" w:color="auto" w:fill="FFFFFF"/>
        </w:rPr>
        <w:t>ADHD</w:t>
      </w:r>
      <w:r w:rsidR="00C34D75" w:rsidRPr="00C34D75">
        <w:rPr>
          <w:rFonts w:cstheme="minorHAnsi"/>
          <w:color w:val="3A3A3A"/>
          <w:shd w:val="clear" w:color="auto" w:fill="FFFFFF"/>
        </w:rPr>
        <w:t xml:space="preserve"> adults also have a lower capacity for many elements of executive function that are important for success in our </w:t>
      </w:r>
      <w:proofErr w:type="spellStart"/>
      <w:r w:rsidR="00C34D75" w:rsidRPr="00C34D75">
        <w:rPr>
          <w:rFonts w:cstheme="minorHAnsi"/>
          <w:color w:val="3A3A3A"/>
          <w:shd w:val="clear" w:color="auto" w:fill="FFFFFF"/>
        </w:rPr>
        <w:t>neurotypical</w:t>
      </w:r>
      <w:proofErr w:type="spellEnd"/>
      <w:r w:rsidR="00C34D75" w:rsidRPr="00C34D75">
        <w:rPr>
          <w:rFonts w:cstheme="minorHAnsi"/>
          <w:color w:val="3A3A3A"/>
          <w:shd w:val="clear" w:color="auto" w:fill="FFFFFF"/>
        </w:rPr>
        <w:t xml:space="preserve"> higher education culture. Examples include planning, long-term goal setting and time-awareness.</w:t>
      </w:r>
      <w:r w:rsidR="00C34D75" w:rsidRPr="00C34D75">
        <w:rPr>
          <w:rFonts w:cstheme="minorHAnsi"/>
          <w:color w:val="3A3A3A"/>
          <w:shd w:val="clear" w:color="auto" w:fill="FFFFFF"/>
        </w:rPr>
        <w:t>”[</w:t>
      </w:r>
      <w:r w:rsidR="00A30A42" w:rsidRPr="00C34D75">
        <w:rPr>
          <w:rFonts w:cstheme="minorHAnsi"/>
          <w:color w:val="333333"/>
          <w:shd w:val="clear" w:color="auto" w:fill="FFFFFF"/>
        </w:rPr>
        <w:t>3]</w:t>
      </w: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bookmarkStart w:id="0" w:name="_GoBack"/>
      <w:bookmarkEnd w:id="0"/>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p>
    <w:p w:rsidR="00A07A53" w:rsidRDefault="00A07A53">
      <w:pPr>
        <w:rPr>
          <w:rFonts w:cstheme="minorHAnsi"/>
          <w:color w:val="333333"/>
          <w:shd w:val="clear" w:color="auto" w:fill="F9F9F9"/>
        </w:rPr>
      </w:pPr>
      <w:r w:rsidRPr="00A07A53">
        <w:rPr>
          <w:rFonts w:cstheme="minorHAnsi"/>
          <w:color w:val="333333"/>
          <w:u w:val="single"/>
          <w:shd w:val="clear" w:color="auto" w:fill="F9F9F9"/>
        </w:rPr>
        <w:t>Bibliography</w:t>
      </w:r>
    </w:p>
    <w:p w:rsidR="00A07A53" w:rsidRDefault="00A07A53">
      <w:pPr>
        <w:rPr>
          <w:rFonts w:cstheme="minorHAnsi"/>
          <w:color w:val="333333"/>
          <w:shd w:val="clear" w:color="auto" w:fill="F9F9F9"/>
        </w:rPr>
      </w:pPr>
    </w:p>
    <w:p w:rsidR="00A07A53" w:rsidRPr="00A07A53" w:rsidRDefault="00A07A53">
      <w:pPr>
        <w:rPr>
          <w:rFonts w:cstheme="minorHAnsi"/>
          <w:color w:val="333333"/>
          <w:shd w:val="clear" w:color="auto" w:fill="F9F9F9"/>
        </w:rPr>
      </w:pPr>
      <w:r>
        <w:rPr>
          <w:rFonts w:cstheme="minorHAnsi"/>
          <w:color w:val="333333"/>
          <w:shd w:val="clear" w:color="auto" w:fill="F9F9F9"/>
        </w:rPr>
        <w:t xml:space="preserve">[1] S. Cottrell, </w:t>
      </w:r>
      <w:proofErr w:type="gramStart"/>
      <w:r>
        <w:rPr>
          <w:rFonts w:cstheme="minorHAnsi"/>
          <w:i/>
          <w:color w:val="333333"/>
          <w:shd w:val="clear" w:color="auto" w:fill="F9F9F9"/>
        </w:rPr>
        <w:t>The</w:t>
      </w:r>
      <w:proofErr w:type="gramEnd"/>
      <w:r>
        <w:rPr>
          <w:rFonts w:cstheme="minorHAnsi"/>
          <w:i/>
          <w:color w:val="333333"/>
          <w:shd w:val="clear" w:color="auto" w:fill="F9F9F9"/>
        </w:rPr>
        <w:t xml:space="preserve"> Study Skills Handbook</w:t>
      </w:r>
      <w:r>
        <w:rPr>
          <w:rFonts w:cstheme="minorHAnsi"/>
          <w:color w:val="333333"/>
          <w:shd w:val="clear" w:color="auto" w:fill="F9F9F9"/>
        </w:rPr>
        <w:t>, Fifth Edition, Macmillan International Higher Education</w:t>
      </w:r>
      <w:r w:rsidR="00A30A42">
        <w:rPr>
          <w:rFonts w:cstheme="minorHAnsi"/>
          <w:color w:val="333333"/>
          <w:shd w:val="clear" w:color="auto" w:fill="F9F9F9"/>
        </w:rPr>
        <w:t>, 2015, Pg3</w:t>
      </w:r>
    </w:p>
    <w:p w:rsidR="00A07A53" w:rsidRDefault="00A07A53">
      <w:pPr>
        <w:rPr>
          <w:rFonts w:cstheme="minorHAnsi"/>
          <w:color w:val="333333"/>
          <w:shd w:val="clear" w:color="auto" w:fill="F9F9F9"/>
        </w:rPr>
      </w:pPr>
      <w:r>
        <w:rPr>
          <w:rFonts w:cstheme="minorHAnsi"/>
          <w:color w:val="333333"/>
          <w:shd w:val="clear" w:color="auto" w:fill="F9F9F9"/>
        </w:rPr>
        <w:t xml:space="preserve">[2] Teach.com powered by 2u, </w:t>
      </w:r>
      <w:r w:rsidRPr="00A07A53">
        <w:rPr>
          <w:rFonts w:cstheme="minorHAnsi"/>
          <w:i/>
          <w:color w:val="333333"/>
          <w:shd w:val="clear" w:color="auto" w:fill="F9F9F9"/>
        </w:rPr>
        <w:t>Types of Learning Styles</w:t>
      </w:r>
      <w:r>
        <w:rPr>
          <w:rFonts w:cstheme="minorHAnsi"/>
          <w:color w:val="333333"/>
          <w:shd w:val="clear" w:color="auto" w:fill="F9F9F9"/>
        </w:rPr>
        <w:t xml:space="preserve">, August 2020, </w:t>
      </w:r>
      <w:hyperlink r:id="rId5" w:history="1">
        <w:r w:rsidRPr="003B564C">
          <w:rPr>
            <w:rStyle w:val="Hyperlink"/>
            <w:rFonts w:cstheme="minorHAnsi"/>
            <w:shd w:val="clear" w:color="auto" w:fill="F9F9F9"/>
          </w:rPr>
          <w:t>https://teach.com/what/teachers-know/learning-styles/</w:t>
        </w:r>
      </w:hyperlink>
      <w:r>
        <w:rPr>
          <w:rFonts w:cstheme="minorHAnsi"/>
          <w:color w:val="333333"/>
          <w:shd w:val="clear" w:color="auto" w:fill="F9F9F9"/>
        </w:rPr>
        <w:t xml:space="preserve"> , [10/11/2022]</w:t>
      </w:r>
    </w:p>
    <w:p w:rsidR="00A30A42" w:rsidRPr="00A30A42" w:rsidRDefault="00A30A42">
      <w:pPr>
        <w:rPr>
          <w:rFonts w:cstheme="minorHAnsi"/>
          <w:color w:val="333333"/>
          <w:shd w:val="clear" w:color="auto" w:fill="F9F9F9"/>
        </w:rPr>
      </w:pPr>
      <w:r>
        <w:rPr>
          <w:rFonts w:cstheme="minorHAnsi"/>
          <w:color w:val="333333"/>
          <w:shd w:val="clear" w:color="auto" w:fill="F9F9F9"/>
        </w:rPr>
        <w:t>[3</w:t>
      </w:r>
      <w:r w:rsidR="00C34D75">
        <w:rPr>
          <w:rFonts w:cstheme="minorHAnsi"/>
          <w:color w:val="333333"/>
          <w:shd w:val="clear" w:color="auto" w:fill="F9F9F9"/>
        </w:rPr>
        <w:t xml:space="preserve">]A. Conner, J. </w:t>
      </w:r>
      <w:proofErr w:type="gramStart"/>
      <w:r w:rsidR="00C34D75">
        <w:rPr>
          <w:rFonts w:cstheme="minorHAnsi"/>
          <w:color w:val="333333"/>
          <w:shd w:val="clear" w:color="auto" w:fill="F9F9F9"/>
        </w:rPr>
        <w:t xml:space="preserve">Brown </w:t>
      </w:r>
      <w:r>
        <w:rPr>
          <w:rFonts w:cstheme="minorHAnsi"/>
          <w:color w:val="333333"/>
          <w:shd w:val="clear" w:color="auto" w:fill="F9F9F9"/>
        </w:rPr>
        <w:t>,</w:t>
      </w:r>
      <w:proofErr w:type="gramEnd"/>
      <w:r>
        <w:rPr>
          <w:rFonts w:cstheme="minorHAnsi"/>
          <w:color w:val="333333"/>
          <w:shd w:val="clear" w:color="auto" w:fill="F9F9F9"/>
        </w:rPr>
        <w:t xml:space="preserve"> </w:t>
      </w:r>
      <w:r w:rsidR="00C34D75">
        <w:rPr>
          <w:rFonts w:cstheme="minorHAnsi"/>
          <w:color w:val="333333"/>
          <w:shd w:val="clear" w:color="auto" w:fill="F9F9F9"/>
        </w:rPr>
        <w:t>Adult ADHD and Higher Education: Improving the student experience</w:t>
      </w:r>
      <w:r>
        <w:rPr>
          <w:rFonts w:cstheme="minorHAnsi"/>
          <w:color w:val="333333"/>
          <w:shd w:val="clear" w:color="auto" w:fill="F9F9F9"/>
        </w:rPr>
        <w:t xml:space="preserve">, </w:t>
      </w:r>
      <w:r w:rsidR="00C34D75">
        <w:rPr>
          <w:rFonts w:cstheme="minorHAnsi"/>
          <w:color w:val="333333"/>
          <w:shd w:val="clear" w:color="auto" w:fill="F9F9F9"/>
        </w:rPr>
        <w:t>Times Higher Education</w:t>
      </w:r>
      <w:r>
        <w:rPr>
          <w:rFonts w:cstheme="minorHAnsi"/>
          <w:color w:val="333333"/>
          <w:shd w:val="clear" w:color="auto" w:fill="F9F9F9"/>
        </w:rPr>
        <w:t xml:space="preserve">, </w:t>
      </w:r>
      <w:r w:rsidR="00C34D75">
        <w:rPr>
          <w:rFonts w:cstheme="minorHAnsi"/>
          <w:color w:val="333333"/>
          <w:shd w:val="clear" w:color="auto" w:fill="F9F9F9"/>
        </w:rPr>
        <w:t>31/01/2022</w:t>
      </w:r>
      <w:r w:rsidR="001E7F6E">
        <w:rPr>
          <w:rFonts w:cstheme="minorHAnsi"/>
          <w:color w:val="333333"/>
          <w:shd w:val="clear" w:color="auto" w:fill="F9F9F9"/>
        </w:rPr>
        <w:t>, [Online],</w:t>
      </w:r>
      <w:r w:rsidR="00C34D75">
        <w:rPr>
          <w:rFonts w:cstheme="minorHAnsi"/>
          <w:color w:val="333333"/>
          <w:shd w:val="clear" w:color="auto" w:fill="F9F9F9"/>
        </w:rPr>
        <w:t xml:space="preserve"> </w:t>
      </w:r>
      <w:hyperlink r:id="rId6" w:history="1">
        <w:r w:rsidR="00C34D75" w:rsidRPr="003B564C">
          <w:rPr>
            <w:rStyle w:val="Hyperlink"/>
            <w:rFonts w:cstheme="minorHAnsi"/>
            <w:shd w:val="clear" w:color="auto" w:fill="F9F9F9"/>
          </w:rPr>
          <w:t>https://www.timeshighereducation.com/campus/adult-adhd-and-higher-education-improving-student-experience</w:t>
        </w:r>
      </w:hyperlink>
      <w:r w:rsidR="00C34D75">
        <w:rPr>
          <w:rFonts w:cstheme="minorHAnsi"/>
          <w:color w:val="333333"/>
          <w:shd w:val="clear" w:color="auto" w:fill="F9F9F9"/>
        </w:rPr>
        <w:t xml:space="preserve"> </w:t>
      </w:r>
      <w:r w:rsidR="001E7F6E">
        <w:rPr>
          <w:rFonts w:cstheme="minorHAnsi"/>
          <w:color w:val="333333"/>
          <w:shd w:val="clear" w:color="auto" w:fill="F9F9F9"/>
        </w:rPr>
        <w:t>, 10/11/2022</w:t>
      </w:r>
    </w:p>
    <w:sectPr w:rsidR="00A30A42" w:rsidRPr="00A30A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56F"/>
    <w:rsid w:val="001E7F6E"/>
    <w:rsid w:val="0054311C"/>
    <w:rsid w:val="005A070D"/>
    <w:rsid w:val="00732C86"/>
    <w:rsid w:val="007E37A2"/>
    <w:rsid w:val="008F61CE"/>
    <w:rsid w:val="009F4A4A"/>
    <w:rsid w:val="00A07A53"/>
    <w:rsid w:val="00A30A42"/>
    <w:rsid w:val="00B5756F"/>
    <w:rsid w:val="00C34D75"/>
    <w:rsid w:val="00C44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F59B5"/>
  <w15:chartTrackingRefBased/>
  <w15:docId w15:val="{8DF721E4-7FCD-4446-86D5-C7A03BEE4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7A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62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imeshighereducation.com/campus/adult-adhd-and-higher-education-improving-student-experience" TargetMode="External"/><Relationship Id="rId5" Type="http://schemas.openxmlformats.org/officeDocument/2006/relationships/hyperlink" Target="https://teach.com/what/teachers-know/learning-sty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Ste19</b:Tag>
    <b:SourceType>Book</b:SourceType>
    <b:Guid>{9BB9396B-0A90-41E1-89FD-9168C8549EAB}</b:Guid>
    <b:Author>
      <b:Author>
        <b:NameList>
          <b:Person>
            <b:Last>Cottrell</b:Last>
            <b:First>Stella</b:First>
          </b:Person>
        </b:NameList>
      </b:Author>
    </b:Author>
    <b:Title>The Study Skills Handbook</b:Title>
    <b:Year>2019</b:Year>
    <b:City>London</b:City>
    <b:Publisher>Macmillan International Higher Education/Red Globe Press, an imprint of Springer Nature Limited</b:Publisher>
    <b:RefOrder>1</b:RefOrder>
  </b:Source>
</b:Sources>
</file>

<file path=customXml/itemProps1.xml><?xml version="1.0" encoding="utf-8"?>
<ds:datastoreItem xmlns:ds="http://schemas.openxmlformats.org/officeDocument/2006/customXml" ds:itemID="{4CE6C538-EDF5-4878-9AE5-81BF840AA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2</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Martin</dc:creator>
  <cp:keywords/>
  <dc:description/>
  <cp:lastModifiedBy>White Martin</cp:lastModifiedBy>
  <cp:revision>2</cp:revision>
  <dcterms:created xsi:type="dcterms:W3CDTF">2022-11-09T09:25:00Z</dcterms:created>
  <dcterms:modified xsi:type="dcterms:W3CDTF">2022-11-10T11:50:00Z</dcterms:modified>
</cp:coreProperties>
</file>