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49588891"/>
        <w:docPartObj>
          <w:docPartGallery w:val="Cover Pages"/>
          <w:docPartUnique/>
        </w:docPartObj>
      </w:sdtPr>
      <w:sdtEndPr>
        <w:rPr>
          <w:rFonts w:cstheme="minorHAnsi"/>
          <w:sz w:val="24"/>
          <w:szCs w:val="24"/>
        </w:rPr>
      </w:sdtEndPr>
      <w:sdtContent>
        <w:p w14:paraId="601DCD73" w14:textId="67B34EB2" w:rsidR="00BE6987" w:rsidRDefault="00BE6987">
          <w:r>
            <w:rPr>
              <w:noProof/>
            </w:rPr>
            <mc:AlternateContent>
              <mc:Choice Requires="wpg">
                <w:drawing>
                  <wp:anchor distT="0" distB="0" distL="114300" distR="114300" simplePos="0" relativeHeight="251659776" behindDoc="0" locked="0" layoutInCell="1" allowOverlap="1" wp14:anchorId="725F90DD" wp14:editId="5745513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82A6C4F" id="Group 149" o:spid="_x0000_s1026" style="position:absolute;margin-left:0;margin-top:0;width:8in;height:95.7pt;z-index:25165977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p>
        <w:p w14:paraId="64D3899C" w14:textId="69119D87" w:rsidR="00BE6987" w:rsidRDefault="001E236D">
          <w:pPr>
            <w:rPr>
              <w:rFonts w:cstheme="minorHAnsi"/>
              <w:sz w:val="24"/>
              <w:szCs w:val="24"/>
            </w:rPr>
          </w:pPr>
          <w:r>
            <w:rPr>
              <w:rFonts w:ascii="Calibri" w:hAnsi="Calibri" w:cs="Calibri"/>
              <w:b/>
              <w:bCs/>
              <w:noProof/>
              <w:color w:val="000000"/>
            </w:rPr>
            <mc:AlternateContent>
              <mc:Choice Requires="wps">
                <w:drawing>
                  <wp:anchor distT="0" distB="0" distL="114300" distR="114300" simplePos="0" relativeHeight="251661824" behindDoc="0" locked="0" layoutInCell="1" allowOverlap="1" wp14:anchorId="63D5443E" wp14:editId="4AB21953">
                    <wp:simplePos x="0" y="0"/>
                    <wp:positionH relativeFrom="margin">
                      <wp:align>center</wp:align>
                    </wp:positionH>
                    <wp:positionV relativeFrom="paragraph">
                      <wp:posOffset>6006465</wp:posOffset>
                    </wp:positionV>
                    <wp:extent cx="2664178" cy="1512711"/>
                    <wp:effectExtent l="0" t="0" r="0" b="0"/>
                    <wp:wrapNone/>
                    <wp:docPr id="2" name="Text Box 2"/>
                    <wp:cNvGraphicFramePr/>
                    <a:graphic xmlns:a="http://schemas.openxmlformats.org/drawingml/2006/main">
                      <a:graphicData uri="http://schemas.microsoft.com/office/word/2010/wordprocessingShape">
                        <wps:wsp>
                          <wps:cNvSpPr txBox="1"/>
                          <wps:spPr>
                            <a:xfrm>
                              <a:off x="0" y="0"/>
                              <a:ext cx="2664178" cy="1512711"/>
                            </a:xfrm>
                            <a:prstGeom prst="rect">
                              <a:avLst/>
                            </a:prstGeom>
                            <a:noFill/>
                            <a:ln w="6350">
                              <a:noFill/>
                            </a:ln>
                          </wps:spPr>
                          <wps:txbx>
                            <w:txbxContent>
                              <w:p w14:paraId="5E3CA8F6" w14:textId="77777777" w:rsidR="001E236D" w:rsidRPr="00C552CC" w:rsidRDefault="001E236D" w:rsidP="001E236D">
                                <w:pPr>
                                  <w:spacing w:line="480" w:lineRule="auto"/>
                                  <w:jc w:val="center"/>
                                  <w:rPr>
                                    <w:rFonts w:ascii="Arial" w:hAnsi="Arial" w:cs="Arial"/>
                                    <w:sz w:val="24"/>
                                    <w:szCs w:val="24"/>
                                    <w:lang w:val="en-US"/>
                                  </w:rPr>
                                </w:pPr>
                                <w:r w:rsidRPr="00C552CC">
                                  <w:rPr>
                                    <w:rFonts w:ascii="Arial" w:hAnsi="Arial" w:cs="Arial"/>
                                    <w:b/>
                                    <w:bCs/>
                                    <w:sz w:val="24"/>
                                    <w:szCs w:val="24"/>
                                    <w:lang w:val="en-US"/>
                                  </w:rPr>
                                  <w:t>Name:</w:t>
                                </w:r>
                                <w:r w:rsidRPr="00C552CC">
                                  <w:rPr>
                                    <w:rFonts w:ascii="Arial" w:hAnsi="Arial" w:cs="Arial"/>
                                    <w:sz w:val="24"/>
                                    <w:szCs w:val="24"/>
                                    <w:lang w:val="en-US"/>
                                  </w:rPr>
                                  <w:t xml:space="preserve"> Jessica Emily Parry</w:t>
                                </w:r>
                              </w:p>
                              <w:p w14:paraId="582AD888" w14:textId="77777777" w:rsidR="001E236D" w:rsidRPr="00C552CC" w:rsidRDefault="001E236D" w:rsidP="001E236D">
                                <w:pPr>
                                  <w:spacing w:line="480" w:lineRule="auto"/>
                                  <w:jc w:val="center"/>
                                  <w:rPr>
                                    <w:rFonts w:ascii="Arial" w:hAnsi="Arial" w:cs="Arial"/>
                                    <w:sz w:val="24"/>
                                    <w:szCs w:val="24"/>
                                    <w:lang w:val="en-US"/>
                                  </w:rPr>
                                </w:pPr>
                                <w:r w:rsidRPr="00C552CC">
                                  <w:rPr>
                                    <w:rFonts w:ascii="Arial" w:hAnsi="Arial" w:cs="Arial"/>
                                    <w:b/>
                                    <w:bCs/>
                                    <w:sz w:val="24"/>
                                    <w:szCs w:val="24"/>
                                    <w:lang w:val="en-US"/>
                                  </w:rPr>
                                  <w:t>Student ID:</w:t>
                                </w:r>
                                <w:r w:rsidRPr="00C552CC">
                                  <w:rPr>
                                    <w:rFonts w:ascii="Arial" w:hAnsi="Arial" w:cs="Arial"/>
                                    <w:sz w:val="24"/>
                                    <w:szCs w:val="24"/>
                                    <w:lang w:val="en-US"/>
                                  </w:rPr>
                                  <w:t xml:space="preserve"> 1901894</w:t>
                                </w:r>
                              </w:p>
                              <w:p w14:paraId="7EC1BA36" w14:textId="59B887DD" w:rsidR="001E236D" w:rsidRPr="00C552CC" w:rsidRDefault="001E236D" w:rsidP="001E236D">
                                <w:pPr>
                                  <w:spacing w:line="480" w:lineRule="auto"/>
                                  <w:jc w:val="center"/>
                                  <w:rPr>
                                    <w:rFonts w:ascii="Arial" w:hAnsi="Arial" w:cs="Arial"/>
                                    <w:sz w:val="24"/>
                                    <w:szCs w:val="24"/>
                                    <w:lang w:val="en-US"/>
                                  </w:rPr>
                                </w:pPr>
                                <w:r w:rsidRPr="00C552CC">
                                  <w:rPr>
                                    <w:rFonts w:ascii="Arial" w:hAnsi="Arial" w:cs="Arial"/>
                                    <w:b/>
                                    <w:bCs/>
                                    <w:sz w:val="24"/>
                                    <w:szCs w:val="24"/>
                                    <w:lang w:val="en-US"/>
                                  </w:rPr>
                                  <w:t xml:space="preserve">Module Code: </w:t>
                                </w:r>
                                <w:r w:rsidRPr="00C552CC">
                                  <w:rPr>
                                    <w:rFonts w:ascii="Arial" w:hAnsi="Arial" w:cs="Arial"/>
                                    <w:sz w:val="24"/>
                                    <w:szCs w:val="24"/>
                                    <w:lang w:val="en-US"/>
                                  </w:rPr>
                                  <w:t>BMCJ700</w:t>
                                </w:r>
                                <w:r w:rsidR="00BA4AC5">
                                  <w:rPr>
                                    <w:rFonts w:ascii="Arial" w:hAnsi="Arial" w:cs="Arial"/>
                                    <w:sz w:val="24"/>
                                    <w:szCs w:val="24"/>
                                    <w:lang w:val="en-US"/>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D5443E" id="_x0000_t202" coordsize="21600,21600" o:spt="202" path="m,l,21600r21600,l21600,xe">
                    <v:stroke joinstyle="miter"/>
                    <v:path gradientshapeok="t" o:connecttype="rect"/>
                  </v:shapetype>
                  <v:shape id="Text Box 2" o:spid="_x0000_s1026" type="#_x0000_t202" style="position:absolute;margin-left:0;margin-top:472.95pt;width:209.8pt;height:119.1pt;z-index:2516618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" filled="f" stroked="f" strokeweight=".5pt">
                    <v:textbox>
                      <w:txbxContent>
                        <w:p w14:paraId="5E3CA8F6" w14:textId="77777777" w:rsidR="001E236D" w:rsidRPr="00C552CC" w:rsidRDefault="001E236D" w:rsidP="001E236D">
                          <w:pPr>
                            <w:spacing w:line="480" w:lineRule="auto"/>
                            <w:jc w:val="center"/>
                            <w:rPr>
                              <w:rFonts w:ascii="Arial" w:hAnsi="Arial" w:cs="Arial"/>
                              <w:sz w:val="24"/>
                              <w:szCs w:val="24"/>
                              <w:lang w:val="en-US"/>
                            </w:rPr>
                          </w:pPr>
                          <w:r w:rsidRPr="00C552CC">
                            <w:rPr>
                              <w:rFonts w:ascii="Arial" w:hAnsi="Arial" w:cs="Arial"/>
                              <w:b/>
                              <w:bCs/>
                              <w:sz w:val="24"/>
                              <w:szCs w:val="24"/>
                              <w:lang w:val="en-US"/>
                            </w:rPr>
                            <w:t>Name:</w:t>
                          </w:r>
                          <w:r w:rsidRPr="00C552CC">
                            <w:rPr>
                              <w:rFonts w:ascii="Arial" w:hAnsi="Arial" w:cs="Arial"/>
                              <w:sz w:val="24"/>
                              <w:szCs w:val="24"/>
                              <w:lang w:val="en-US"/>
                            </w:rPr>
                            <w:t xml:space="preserve"> Jessica Emily Parry</w:t>
                          </w:r>
                        </w:p>
                        <w:p w14:paraId="582AD888" w14:textId="77777777" w:rsidR="001E236D" w:rsidRPr="00C552CC" w:rsidRDefault="001E236D" w:rsidP="001E236D">
                          <w:pPr>
                            <w:spacing w:line="480" w:lineRule="auto"/>
                            <w:jc w:val="center"/>
                            <w:rPr>
                              <w:rFonts w:ascii="Arial" w:hAnsi="Arial" w:cs="Arial"/>
                              <w:sz w:val="24"/>
                              <w:szCs w:val="24"/>
                              <w:lang w:val="en-US"/>
                            </w:rPr>
                          </w:pPr>
                          <w:r w:rsidRPr="00C552CC">
                            <w:rPr>
                              <w:rFonts w:ascii="Arial" w:hAnsi="Arial" w:cs="Arial"/>
                              <w:b/>
                              <w:bCs/>
                              <w:sz w:val="24"/>
                              <w:szCs w:val="24"/>
                              <w:lang w:val="en-US"/>
                            </w:rPr>
                            <w:t>Student ID:</w:t>
                          </w:r>
                          <w:r w:rsidRPr="00C552CC">
                            <w:rPr>
                              <w:rFonts w:ascii="Arial" w:hAnsi="Arial" w:cs="Arial"/>
                              <w:sz w:val="24"/>
                              <w:szCs w:val="24"/>
                              <w:lang w:val="en-US"/>
                            </w:rPr>
                            <w:t xml:space="preserve"> 1901894</w:t>
                          </w:r>
                        </w:p>
                        <w:p w14:paraId="7EC1BA36" w14:textId="59B887DD" w:rsidR="001E236D" w:rsidRPr="00C552CC" w:rsidRDefault="001E236D" w:rsidP="001E236D">
                          <w:pPr>
                            <w:spacing w:line="480" w:lineRule="auto"/>
                            <w:jc w:val="center"/>
                            <w:rPr>
                              <w:rFonts w:ascii="Arial" w:hAnsi="Arial" w:cs="Arial"/>
                              <w:sz w:val="24"/>
                              <w:szCs w:val="24"/>
                              <w:lang w:val="en-US"/>
                            </w:rPr>
                          </w:pPr>
                          <w:r w:rsidRPr="00C552CC">
                            <w:rPr>
                              <w:rFonts w:ascii="Arial" w:hAnsi="Arial" w:cs="Arial"/>
                              <w:b/>
                              <w:bCs/>
                              <w:sz w:val="24"/>
                              <w:szCs w:val="24"/>
                              <w:lang w:val="en-US"/>
                            </w:rPr>
                            <w:t xml:space="preserve">Module Code: </w:t>
                          </w:r>
                          <w:r w:rsidRPr="00C552CC">
                            <w:rPr>
                              <w:rFonts w:ascii="Arial" w:hAnsi="Arial" w:cs="Arial"/>
                              <w:sz w:val="24"/>
                              <w:szCs w:val="24"/>
                              <w:lang w:val="en-US"/>
                            </w:rPr>
                            <w:t>BMCJ700</w:t>
                          </w:r>
                          <w:r w:rsidR="00BA4AC5">
                            <w:rPr>
                              <w:rFonts w:ascii="Arial" w:hAnsi="Arial" w:cs="Arial"/>
                              <w:sz w:val="24"/>
                              <w:szCs w:val="24"/>
                              <w:lang w:val="en-US"/>
                            </w:rPr>
                            <w:t>1</w:t>
                          </w:r>
                        </w:p>
                      </w:txbxContent>
                    </v:textbox>
                    <w10:wrap anchorx="margin"/>
                  </v:shape>
                </w:pict>
              </mc:Fallback>
            </mc:AlternateContent>
          </w:r>
          <w:r w:rsidR="00BE6987">
            <w:rPr>
              <w:rFonts w:cstheme="minorHAnsi"/>
              <w:noProof/>
              <w:sz w:val="24"/>
              <w:szCs w:val="24"/>
            </w:rPr>
            <mc:AlternateContent>
              <mc:Choice Requires="wps">
                <w:drawing>
                  <wp:anchor distT="0" distB="0" distL="114300" distR="114300" simplePos="0" relativeHeight="251660800" behindDoc="0" locked="0" layoutInCell="1" allowOverlap="1" wp14:anchorId="7D438510" wp14:editId="7C606001">
                    <wp:simplePos x="0" y="0"/>
                    <wp:positionH relativeFrom="margin">
                      <wp:align>center</wp:align>
                    </wp:positionH>
                    <wp:positionV relativeFrom="paragraph">
                      <wp:posOffset>2002293</wp:posOffset>
                    </wp:positionV>
                    <wp:extent cx="4895557" cy="1610750"/>
                    <wp:effectExtent l="0" t="0" r="0" b="0"/>
                    <wp:wrapNone/>
                    <wp:docPr id="1" name="Text Box 1"/>
                    <wp:cNvGraphicFramePr/>
                    <a:graphic xmlns:a="http://schemas.openxmlformats.org/drawingml/2006/main">
                      <a:graphicData uri="http://schemas.microsoft.com/office/word/2010/wordprocessingShape">
                        <wps:wsp>
                          <wps:cNvSpPr txBox="1"/>
                          <wps:spPr>
                            <a:xfrm>
                              <a:off x="0" y="0"/>
                              <a:ext cx="4895557" cy="1610750"/>
                            </a:xfrm>
                            <a:prstGeom prst="rect">
                              <a:avLst/>
                            </a:prstGeom>
                            <a:noFill/>
                            <a:ln w="6350">
                              <a:noFill/>
                            </a:ln>
                          </wps:spPr>
                          <wps:txbx>
                            <w:txbxContent>
                              <w:p w14:paraId="74F310EB" w14:textId="77777777" w:rsidR="00BE6987" w:rsidRPr="001E236D" w:rsidRDefault="00BE6987" w:rsidP="00703AF6">
                                <w:pPr>
                                  <w:spacing w:line="256" w:lineRule="auto"/>
                                  <w:jc w:val="center"/>
                                  <w:rPr>
                                    <w:rFonts w:ascii="Arial" w:hAnsi="Arial" w:cs="Arial"/>
                                    <w:b/>
                                    <w:bCs/>
                                    <w:sz w:val="36"/>
                                    <w:szCs w:val="36"/>
                                  </w:rPr>
                                </w:pPr>
                                <w:r w:rsidRPr="001E236D">
                                  <w:rPr>
                                    <w:rFonts w:ascii="Arial" w:hAnsi="Arial" w:cs="Arial"/>
                                    <w:b/>
                                    <w:bCs/>
                                    <w:sz w:val="36"/>
                                    <w:szCs w:val="36"/>
                                  </w:rPr>
                                  <w:t>Critically evaluate the arguments for and against raising the MACR (minimum age of criminal responsibility) in England and Wales.</w:t>
                                </w:r>
                              </w:p>
                              <w:p w14:paraId="274B82C9" w14:textId="77777777" w:rsidR="00BE6987" w:rsidRDefault="00BE698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438510" id="Text Box 1" o:spid="_x0000_s1027" type="#_x0000_t202" style="position:absolute;margin-left:0;margin-top:157.65pt;width:385.5pt;height:126.85pt;z-index:2516608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" filled="f" stroked="f" strokeweight=".5pt">
                    <v:textbox>
                      <w:txbxContent>
                        <w:p w14:paraId="74F310EB" w14:textId="77777777" w:rsidR="00BE6987" w:rsidRPr="001E236D" w:rsidRDefault="00BE6987" w:rsidP="00703AF6">
                          <w:pPr>
                            <w:spacing w:line="256" w:lineRule="auto"/>
                            <w:jc w:val="center"/>
                            <w:rPr>
                              <w:rFonts w:ascii="Arial" w:hAnsi="Arial" w:cs="Arial"/>
                              <w:b/>
                              <w:bCs/>
                              <w:sz w:val="36"/>
                              <w:szCs w:val="36"/>
                            </w:rPr>
                          </w:pPr>
                          <w:r w:rsidRPr="001E236D">
                            <w:rPr>
                              <w:rFonts w:ascii="Arial" w:hAnsi="Arial" w:cs="Arial"/>
                              <w:b/>
                              <w:bCs/>
                              <w:sz w:val="36"/>
                              <w:szCs w:val="36"/>
                            </w:rPr>
                            <w:t>Critically evaluate the arguments for and against raising the MACR (minimum age of criminal responsibility) in England and Wales.</w:t>
                          </w:r>
                        </w:p>
                        <w:p w14:paraId="274B82C9" w14:textId="77777777" w:rsidR="00BE6987" w:rsidRDefault="00BE6987"/>
                      </w:txbxContent>
                    </v:textbox>
                    <w10:wrap anchorx="margin"/>
                  </v:shape>
                </w:pict>
              </mc:Fallback>
            </mc:AlternateContent>
          </w:r>
          <w:r w:rsidR="00BE6987">
            <w:rPr>
              <w:rFonts w:cstheme="minorHAnsi"/>
              <w:sz w:val="24"/>
              <w:szCs w:val="24"/>
            </w:rPr>
            <w:br w:type="page"/>
          </w:r>
        </w:p>
      </w:sdtContent>
    </w:sdt>
    <w:p w14:paraId="121BA8ED" w14:textId="77777777" w:rsidR="00984BEE" w:rsidRPr="00F655F2" w:rsidRDefault="00984BEE" w:rsidP="00F655F2">
      <w:pPr>
        <w:spacing w:line="256" w:lineRule="auto"/>
        <w:jc w:val="both"/>
        <w:rPr>
          <w:rFonts w:cstheme="minorHAnsi"/>
          <w:sz w:val="24"/>
          <w:szCs w:val="24"/>
        </w:rPr>
      </w:pPr>
    </w:p>
    <w:p w14:paraId="14DC337A" w14:textId="3F975900" w:rsidR="003F71FA" w:rsidRPr="00BA4AC5" w:rsidRDefault="00D425E7" w:rsidP="00097875">
      <w:pPr>
        <w:spacing w:line="480" w:lineRule="auto"/>
        <w:ind w:firstLine="720"/>
        <w:jc w:val="both"/>
        <w:rPr>
          <w:rFonts w:ascii="Arial" w:hAnsi="Arial" w:cs="Arial"/>
          <w:sz w:val="24"/>
          <w:szCs w:val="24"/>
        </w:rPr>
      </w:pPr>
      <w:r w:rsidRPr="00BA4AC5">
        <w:rPr>
          <w:rFonts w:ascii="Arial" w:hAnsi="Arial" w:cs="Arial"/>
          <w:sz w:val="24"/>
          <w:szCs w:val="24"/>
        </w:rPr>
        <w:t>For many years, sociologists and politicians have debated the legal minimum age of criminal responsibility (Long, 2022). The Parliamentary Office of Science and Technology (2018) defines the age of criminal responsibility as the youngest age at which a child can be prosecuted and punished for an offence. As stated by Newson (2017), the current age of criminal responsibility in England and Wales is ten years old, as specified under section fifty of the Children and Young Persons Act 1933. Most sociologists disagree and urge raising the minimum age of criminal responsibility, although some people hold the opinion that ten years old is an appropriate age for criminal responsibility because being an adult is "everything except years" (Goldson, 2009). However, owing to undeveloped, criminalising societal needs and adverse childhood experiences, many sociologists and politicians claim that ten years old is too young to interact with the Criminal Justice System (UNCRC, 2007., Elliott, 2018). However, the government has stated that ten-year-olds can differentiate between inappropriate behaviour and serious wrongdoing and should be held responsible for their acts (Newson, 2017). As an illustration, consider Robert Thompson and Jon Venables' 1993 conviction for the horrible murder of James Bulger. In the 20th century, they were the youngest juveniles aged ten ever to be charged with murder (</w:t>
      </w:r>
      <w:proofErr w:type="spellStart"/>
      <w:r w:rsidRPr="00BA4AC5">
        <w:rPr>
          <w:rFonts w:ascii="Arial" w:hAnsi="Arial" w:cs="Arial"/>
          <w:sz w:val="24"/>
          <w:szCs w:val="24"/>
        </w:rPr>
        <w:t>Omand</w:t>
      </w:r>
      <w:proofErr w:type="spellEnd"/>
      <w:r w:rsidRPr="00BA4AC5">
        <w:rPr>
          <w:rFonts w:ascii="Arial" w:hAnsi="Arial" w:cs="Arial"/>
          <w:sz w:val="24"/>
          <w:szCs w:val="24"/>
        </w:rPr>
        <w:t>, 2010). This essay will analyse the arguments for and against raising the minimum age of criminal responsibility (MARC) in England and Wales. This will be accomplished by comparing the MARC in England and Wales to the MARC in other countries and by analysing the reasons for and against increasing the MARC.</w:t>
      </w:r>
    </w:p>
    <w:p w14:paraId="75E96868" w14:textId="77777777" w:rsidR="00D425E7" w:rsidRPr="00BA4AC5" w:rsidRDefault="00D425E7" w:rsidP="00097875">
      <w:pPr>
        <w:spacing w:line="480" w:lineRule="auto"/>
        <w:ind w:firstLine="720"/>
        <w:jc w:val="both"/>
        <w:rPr>
          <w:rFonts w:ascii="Arial" w:hAnsi="Arial" w:cs="Arial"/>
          <w:sz w:val="24"/>
          <w:szCs w:val="24"/>
        </w:rPr>
      </w:pPr>
    </w:p>
    <w:p w14:paraId="0B34B150" w14:textId="77777777" w:rsidR="00BA4AC5" w:rsidRPr="00BA4AC5" w:rsidRDefault="00BA4AC5" w:rsidP="00097875">
      <w:pPr>
        <w:spacing w:line="480" w:lineRule="auto"/>
        <w:ind w:firstLine="720"/>
        <w:jc w:val="both"/>
        <w:rPr>
          <w:rFonts w:ascii="Arial" w:hAnsi="Arial" w:cs="Arial"/>
          <w:sz w:val="24"/>
          <w:szCs w:val="24"/>
        </w:rPr>
      </w:pPr>
    </w:p>
    <w:p w14:paraId="1627B883" w14:textId="21A34523" w:rsidR="001E6819" w:rsidRPr="00BA4AC5" w:rsidRDefault="001E6819" w:rsidP="00097875">
      <w:pPr>
        <w:spacing w:line="480" w:lineRule="auto"/>
        <w:ind w:firstLine="720"/>
        <w:jc w:val="both"/>
        <w:rPr>
          <w:rFonts w:ascii="Arial" w:hAnsi="Arial" w:cs="Arial"/>
          <w:sz w:val="24"/>
          <w:szCs w:val="24"/>
        </w:rPr>
      </w:pPr>
      <w:r w:rsidRPr="00BA4AC5">
        <w:rPr>
          <w:rFonts w:ascii="Arial" w:hAnsi="Arial" w:cs="Arial"/>
          <w:sz w:val="24"/>
          <w:szCs w:val="24"/>
        </w:rPr>
        <w:lastRenderedPageBreak/>
        <w:t>The Age of Criminal Responsibility (Scotland) Bill (2018) states that most nations have a minimum age of fourteen</w:t>
      </w:r>
      <w:r w:rsidR="0020798A" w:rsidRPr="00BA4AC5">
        <w:rPr>
          <w:rFonts w:ascii="Arial" w:hAnsi="Arial" w:cs="Arial"/>
          <w:sz w:val="24"/>
          <w:szCs w:val="24"/>
        </w:rPr>
        <w:t xml:space="preserve"> years old</w:t>
      </w:r>
      <w:r w:rsidRPr="00BA4AC5">
        <w:rPr>
          <w:rFonts w:ascii="Arial" w:hAnsi="Arial" w:cs="Arial"/>
          <w:sz w:val="24"/>
          <w:szCs w:val="24"/>
        </w:rPr>
        <w:t xml:space="preserve"> for criminal responsibility, with Portugal, Lithuania, and Luxembourg having a minimum age of sixteen</w:t>
      </w:r>
      <w:r w:rsidR="0020798A" w:rsidRPr="00BA4AC5">
        <w:rPr>
          <w:rFonts w:ascii="Arial" w:hAnsi="Arial" w:cs="Arial"/>
          <w:sz w:val="24"/>
          <w:szCs w:val="24"/>
        </w:rPr>
        <w:t xml:space="preserve"> years old</w:t>
      </w:r>
      <w:r w:rsidRPr="00BA4AC5">
        <w:rPr>
          <w:rFonts w:ascii="Arial" w:hAnsi="Arial" w:cs="Arial"/>
          <w:sz w:val="24"/>
          <w:szCs w:val="24"/>
        </w:rPr>
        <w:t>. However, the MACR in the United States varies by state, ranging from six in South Carolina to seven in thirty-five states (National Governors Association, 2021). Therefore, there is no fixed age at which children may be found criminally responsible. The Age of Criminal Responsibility Act of 2019 increased the MACR in Scotland from eight to twelve</w:t>
      </w:r>
      <w:r w:rsidR="007B5AD6" w:rsidRPr="00BA4AC5">
        <w:rPr>
          <w:rFonts w:ascii="Arial" w:hAnsi="Arial" w:cs="Arial"/>
          <w:sz w:val="24"/>
          <w:szCs w:val="24"/>
        </w:rPr>
        <w:t xml:space="preserve"> years old</w:t>
      </w:r>
      <w:r w:rsidRPr="00BA4AC5">
        <w:rPr>
          <w:rFonts w:ascii="Arial" w:hAnsi="Arial" w:cs="Arial"/>
          <w:sz w:val="24"/>
          <w:szCs w:val="24"/>
        </w:rPr>
        <w:t xml:space="preserve"> to give protection from criminalising minors under the age of twelve (Children and Young People’s Commissioner Scotland, 2022). Before this change, Scotland had the lowest MACR at eight years old. However, across Europe, currently, the United Kingdom has the lowest MACR at ten years old (Age of Criminal Responsibility (Scotland) Bill, 2018). As stated by the Home Office (</w:t>
      </w:r>
      <w:proofErr w:type="spellStart"/>
      <w:r w:rsidRPr="00BA4AC5">
        <w:rPr>
          <w:rFonts w:ascii="Arial" w:hAnsi="Arial" w:cs="Arial"/>
          <w:sz w:val="24"/>
          <w:szCs w:val="24"/>
        </w:rPr>
        <w:t>n.d.a</w:t>
      </w:r>
      <w:proofErr w:type="spellEnd"/>
      <w:r w:rsidRPr="00BA4AC5">
        <w:rPr>
          <w:rFonts w:ascii="Arial" w:hAnsi="Arial" w:cs="Arial"/>
          <w:sz w:val="24"/>
          <w:szCs w:val="24"/>
        </w:rPr>
        <w:t>) this implies that children under the age of ten cannot be arrested or prosecuted for a crime. However, there are additional punishments for children under ten</w:t>
      </w:r>
      <w:r w:rsidR="00D0772D" w:rsidRPr="00BA4AC5">
        <w:rPr>
          <w:rFonts w:ascii="Arial" w:hAnsi="Arial" w:cs="Arial"/>
          <w:sz w:val="24"/>
          <w:szCs w:val="24"/>
        </w:rPr>
        <w:t xml:space="preserve"> years old</w:t>
      </w:r>
      <w:r w:rsidRPr="00BA4AC5">
        <w:rPr>
          <w:rFonts w:ascii="Arial" w:hAnsi="Arial" w:cs="Arial"/>
          <w:sz w:val="24"/>
          <w:szCs w:val="24"/>
        </w:rPr>
        <w:t xml:space="preserve"> who commit crimes.</w:t>
      </w:r>
    </w:p>
    <w:p w14:paraId="0CDE4858" w14:textId="77777777" w:rsidR="001E6819" w:rsidRPr="00BA4AC5" w:rsidRDefault="001E6819" w:rsidP="00097875">
      <w:pPr>
        <w:spacing w:line="480" w:lineRule="auto"/>
        <w:ind w:firstLine="720"/>
        <w:jc w:val="both"/>
        <w:rPr>
          <w:rFonts w:ascii="Arial" w:hAnsi="Arial" w:cs="Arial"/>
          <w:sz w:val="24"/>
          <w:szCs w:val="24"/>
        </w:rPr>
      </w:pPr>
    </w:p>
    <w:p w14:paraId="2DAEDE70" w14:textId="6061A9D0" w:rsidR="00E71239" w:rsidRPr="00BA4AC5" w:rsidRDefault="001E6819" w:rsidP="00097875">
      <w:pPr>
        <w:spacing w:line="480" w:lineRule="auto"/>
        <w:ind w:firstLine="720"/>
        <w:jc w:val="both"/>
        <w:rPr>
          <w:rFonts w:ascii="Arial" w:hAnsi="Arial" w:cs="Arial"/>
          <w:sz w:val="24"/>
          <w:szCs w:val="24"/>
        </w:rPr>
      </w:pPr>
      <w:r w:rsidRPr="00BA4AC5">
        <w:rPr>
          <w:rFonts w:ascii="Arial" w:hAnsi="Arial" w:cs="Arial"/>
          <w:sz w:val="24"/>
          <w:szCs w:val="24"/>
        </w:rPr>
        <w:t>According to the Home Office (</w:t>
      </w:r>
      <w:proofErr w:type="spellStart"/>
      <w:r w:rsidRPr="00BA4AC5">
        <w:rPr>
          <w:rFonts w:ascii="Arial" w:hAnsi="Arial" w:cs="Arial"/>
          <w:sz w:val="24"/>
          <w:szCs w:val="24"/>
        </w:rPr>
        <w:t>n.d.b</w:t>
      </w:r>
      <w:proofErr w:type="spellEnd"/>
      <w:r w:rsidRPr="00BA4AC5">
        <w:rPr>
          <w:rFonts w:ascii="Arial" w:hAnsi="Arial" w:cs="Arial"/>
          <w:sz w:val="24"/>
          <w:szCs w:val="24"/>
        </w:rPr>
        <w:t xml:space="preserve">), children under </w:t>
      </w:r>
      <w:r w:rsidR="00EF2CCE" w:rsidRPr="00BA4AC5">
        <w:rPr>
          <w:rFonts w:ascii="Arial" w:hAnsi="Arial" w:cs="Arial"/>
          <w:sz w:val="24"/>
          <w:szCs w:val="24"/>
        </w:rPr>
        <w:t xml:space="preserve">the age of </w:t>
      </w:r>
      <w:r w:rsidRPr="00BA4AC5">
        <w:rPr>
          <w:rFonts w:ascii="Arial" w:hAnsi="Arial" w:cs="Arial"/>
          <w:sz w:val="24"/>
          <w:szCs w:val="24"/>
        </w:rPr>
        <w:t>ten</w:t>
      </w:r>
      <w:r w:rsidR="00EF2CCE" w:rsidRPr="00BA4AC5">
        <w:rPr>
          <w:rFonts w:ascii="Arial" w:hAnsi="Arial" w:cs="Arial"/>
          <w:sz w:val="24"/>
          <w:szCs w:val="24"/>
        </w:rPr>
        <w:t xml:space="preserve"> years old</w:t>
      </w:r>
      <w:r w:rsidRPr="00BA4AC5">
        <w:rPr>
          <w:rFonts w:ascii="Arial" w:hAnsi="Arial" w:cs="Arial"/>
          <w:sz w:val="24"/>
          <w:szCs w:val="24"/>
        </w:rPr>
        <w:t xml:space="preserve"> may be given a Local Child Curfew or a Child Safety Order, often placed in care, or their parents may be held accountable</w:t>
      </w:r>
      <w:r w:rsidR="00914176" w:rsidRPr="00BA4AC5">
        <w:rPr>
          <w:rFonts w:ascii="Arial" w:hAnsi="Arial" w:cs="Arial"/>
          <w:sz w:val="24"/>
          <w:szCs w:val="24"/>
        </w:rPr>
        <w:t xml:space="preserve"> for </w:t>
      </w:r>
      <w:proofErr w:type="spellStart"/>
      <w:proofErr w:type="gramStart"/>
      <w:r w:rsidR="00914176" w:rsidRPr="00BA4AC5">
        <w:rPr>
          <w:rFonts w:ascii="Arial" w:hAnsi="Arial" w:cs="Arial"/>
          <w:sz w:val="24"/>
          <w:szCs w:val="24"/>
        </w:rPr>
        <w:t>the</w:t>
      </w:r>
      <w:r w:rsidR="00D0339D" w:rsidRPr="00BA4AC5">
        <w:rPr>
          <w:rFonts w:ascii="Arial" w:hAnsi="Arial" w:cs="Arial"/>
          <w:sz w:val="24"/>
          <w:szCs w:val="24"/>
        </w:rPr>
        <w:t>irs</w:t>
      </w:r>
      <w:proofErr w:type="spellEnd"/>
      <w:proofErr w:type="gramEnd"/>
      <w:r w:rsidR="00D0339D" w:rsidRPr="00BA4AC5">
        <w:rPr>
          <w:rFonts w:ascii="Arial" w:hAnsi="Arial" w:cs="Arial"/>
          <w:sz w:val="24"/>
          <w:szCs w:val="24"/>
        </w:rPr>
        <w:t xml:space="preserve"> actions</w:t>
      </w:r>
      <w:r w:rsidRPr="00BA4AC5">
        <w:rPr>
          <w:rFonts w:ascii="Arial" w:hAnsi="Arial" w:cs="Arial"/>
          <w:sz w:val="24"/>
          <w:szCs w:val="24"/>
        </w:rPr>
        <w:t>. Under the Local Child Curfew, unless accompanied by an adult, children are not allowed in public locations between the hours of 9 p.m. and 6 a.m. for up to approximately ninety days (Walsh, 1999). However, the Home Office (</w:t>
      </w:r>
      <w:proofErr w:type="spellStart"/>
      <w:r w:rsidRPr="00BA4AC5">
        <w:rPr>
          <w:rFonts w:ascii="Arial" w:hAnsi="Arial" w:cs="Arial"/>
          <w:sz w:val="24"/>
          <w:szCs w:val="24"/>
        </w:rPr>
        <w:t>n.d.b</w:t>
      </w:r>
      <w:proofErr w:type="spellEnd"/>
      <w:r w:rsidRPr="00BA4AC5">
        <w:rPr>
          <w:rFonts w:ascii="Arial" w:hAnsi="Arial" w:cs="Arial"/>
          <w:sz w:val="24"/>
          <w:szCs w:val="24"/>
        </w:rPr>
        <w:t xml:space="preserve">) states that a Child Safety Order may be issued if a child breaks this curfew. A Child Safety Order places a child under the supervision of a youth offending team for between three and twelve months. If a child breaches the conditions of an order, the court may consider placing the child in care (Home Office, </w:t>
      </w:r>
      <w:proofErr w:type="spellStart"/>
      <w:r w:rsidRPr="00BA4AC5">
        <w:rPr>
          <w:rFonts w:ascii="Arial" w:hAnsi="Arial" w:cs="Arial"/>
          <w:sz w:val="24"/>
          <w:szCs w:val="24"/>
        </w:rPr>
        <w:lastRenderedPageBreak/>
        <w:t>n.d.b</w:t>
      </w:r>
      <w:proofErr w:type="spellEnd"/>
      <w:r w:rsidRPr="00BA4AC5">
        <w:rPr>
          <w:rFonts w:ascii="Arial" w:hAnsi="Arial" w:cs="Arial"/>
          <w:sz w:val="24"/>
          <w:szCs w:val="24"/>
        </w:rPr>
        <w:t>). Therefore, even though the MACR in England and Wales is ten, there is still a provision for those under ten years old. The Home Office (</w:t>
      </w:r>
      <w:proofErr w:type="spellStart"/>
      <w:r w:rsidRPr="00BA4AC5">
        <w:rPr>
          <w:rFonts w:ascii="Arial" w:hAnsi="Arial" w:cs="Arial"/>
          <w:sz w:val="24"/>
          <w:szCs w:val="24"/>
        </w:rPr>
        <w:t>n.d.a</w:t>
      </w:r>
      <w:proofErr w:type="spellEnd"/>
      <w:r w:rsidRPr="00BA4AC5">
        <w:rPr>
          <w:rFonts w:ascii="Arial" w:hAnsi="Arial" w:cs="Arial"/>
          <w:sz w:val="24"/>
          <w:szCs w:val="24"/>
        </w:rPr>
        <w:t>) stated that children between the ages of 10 and 17 might be detained and referred to court if they commit a crime; however, they are handled differently than adults and are dealt with by youth courts, given separate punishments, and sent to youth-specific secure facilities rather than adult prisons.</w:t>
      </w:r>
    </w:p>
    <w:p w14:paraId="07F12502" w14:textId="77777777" w:rsidR="001E6819" w:rsidRPr="00BA4AC5" w:rsidRDefault="001E6819" w:rsidP="00097875">
      <w:pPr>
        <w:spacing w:line="480" w:lineRule="auto"/>
        <w:ind w:firstLine="720"/>
        <w:jc w:val="both"/>
        <w:rPr>
          <w:rFonts w:ascii="Arial" w:hAnsi="Arial" w:cs="Arial"/>
          <w:b/>
          <w:bCs/>
          <w:color w:val="FF0000"/>
          <w:sz w:val="24"/>
          <w:szCs w:val="24"/>
        </w:rPr>
      </w:pPr>
    </w:p>
    <w:p w14:paraId="08E3ED3A" w14:textId="101D1B6F" w:rsidR="00FD1A5A" w:rsidRPr="00BA4AC5" w:rsidRDefault="00FD1A5A" w:rsidP="00097875">
      <w:pPr>
        <w:pStyle w:val="NormalWeb"/>
        <w:spacing w:before="0" w:beforeAutospacing="0" w:after="0" w:afterAutospacing="0" w:line="480" w:lineRule="auto"/>
        <w:ind w:firstLine="720"/>
        <w:jc w:val="both"/>
        <w:rPr>
          <w:rFonts w:ascii="Arial" w:hAnsi="Arial" w:cs="Arial"/>
          <w:color w:val="0E101A"/>
        </w:rPr>
      </w:pPr>
      <w:r w:rsidRPr="00BA4AC5">
        <w:rPr>
          <w:rFonts w:ascii="Arial" w:hAnsi="Arial" w:cs="Arial"/>
          <w:color w:val="0E101A"/>
        </w:rPr>
        <w:t xml:space="preserve">As stated by Bateman (2015), since the Children and Young Persons Act of 1963, the current legal age of criminal responsibility was established at ten years old. Children between the ages of ten and fourteen were given some protection by the common law principle of </w:t>
      </w:r>
      <w:proofErr w:type="spellStart"/>
      <w:r w:rsidRPr="00BA4AC5">
        <w:rPr>
          <w:rFonts w:ascii="Arial" w:hAnsi="Arial" w:cs="Arial"/>
          <w:color w:val="0E101A"/>
        </w:rPr>
        <w:t>Doli</w:t>
      </w:r>
      <w:proofErr w:type="spellEnd"/>
      <w:r w:rsidRPr="00BA4AC5">
        <w:rPr>
          <w:rFonts w:ascii="Arial" w:hAnsi="Arial" w:cs="Arial"/>
          <w:color w:val="0E101A"/>
        </w:rPr>
        <w:t xml:space="preserve"> Incapax, which required the prosecution to demonstrate that the accused child had committed the alleged act and that the child knew the act carried out was seriously wrong. However, section 34 of the Crime and Disorder Act of 1998 abolished </w:t>
      </w:r>
      <w:proofErr w:type="spellStart"/>
      <w:r w:rsidRPr="00BA4AC5">
        <w:rPr>
          <w:rFonts w:ascii="Arial" w:hAnsi="Arial" w:cs="Arial"/>
          <w:color w:val="0E101A"/>
        </w:rPr>
        <w:t>Doli</w:t>
      </w:r>
      <w:proofErr w:type="spellEnd"/>
      <w:r w:rsidRPr="00BA4AC5">
        <w:rPr>
          <w:rFonts w:ascii="Arial" w:hAnsi="Arial" w:cs="Arial"/>
          <w:color w:val="0E101A"/>
        </w:rPr>
        <w:t xml:space="preserve"> Incapax in England and Wales in 1998 (Coram Children’s Legal Centre, 2020). Additionally, according to the University of South Wales (2021), James Bulger’s death also contributed to eliminating </w:t>
      </w:r>
      <w:proofErr w:type="spellStart"/>
      <w:r w:rsidRPr="00BA4AC5">
        <w:rPr>
          <w:rFonts w:ascii="Arial" w:hAnsi="Arial" w:cs="Arial"/>
          <w:color w:val="0E101A"/>
        </w:rPr>
        <w:t>doli</w:t>
      </w:r>
      <w:proofErr w:type="spellEnd"/>
      <w:r w:rsidRPr="00BA4AC5">
        <w:rPr>
          <w:rFonts w:ascii="Arial" w:hAnsi="Arial" w:cs="Arial"/>
          <w:color w:val="0E101A"/>
        </w:rPr>
        <w:t xml:space="preserve"> incapax. As a result, in terms of criminal law, those between the ages of ten and thirteen</w:t>
      </w:r>
      <w:r w:rsidR="0035675B" w:rsidRPr="00BA4AC5">
        <w:rPr>
          <w:rFonts w:ascii="Arial" w:hAnsi="Arial" w:cs="Arial"/>
          <w:color w:val="0E101A"/>
        </w:rPr>
        <w:t xml:space="preserve"> years old</w:t>
      </w:r>
      <w:r w:rsidRPr="00BA4AC5">
        <w:rPr>
          <w:rFonts w:ascii="Arial" w:hAnsi="Arial" w:cs="Arial"/>
          <w:color w:val="0E101A"/>
        </w:rPr>
        <w:t xml:space="preserve"> are treated similarly to those over fourteen (Coram Children’s Legal Centre, 2020). As mentioned by </w:t>
      </w:r>
      <w:proofErr w:type="spellStart"/>
      <w:r w:rsidRPr="00BA4AC5">
        <w:rPr>
          <w:rFonts w:ascii="Arial" w:hAnsi="Arial" w:cs="Arial"/>
          <w:color w:val="0E101A"/>
        </w:rPr>
        <w:t>Bandalli</w:t>
      </w:r>
      <w:proofErr w:type="spellEnd"/>
      <w:r w:rsidRPr="00BA4AC5">
        <w:rPr>
          <w:rFonts w:ascii="Arial" w:hAnsi="Arial" w:cs="Arial"/>
          <w:color w:val="0E101A"/>
        </w:rPr>
        <w:t xml:space="preserve"> (1998), the government believes there is no justification for re-enforcing the </w:t>
      </w:r>
      <w:proofErr w:type="spellStart"/>
      <w:r w:rsidRPr="00BA4AC5">
        <w:rPr>
          <w:rFonts w:ascii="Arial" w:hAnsi="Arial" w:cs="Arial"/>
          <w:color w:val="0E101A"/>
        </w:rPr>
        <w:t>Doli</w:t>
      </w:r>
      <w:proofErr w:type="spellEnd"/>
      <w:r w:rsidRPr="00BA4AC5">
        <w:rPr>
          <w:rFonts w:ascii="Arial" w:hAnsi="Arial" w:cs="Arial"/>
          <w:color w:val="0E101A"/>
        </w:rPr>
        <w:t xml:space="preserve"> Incapax. The three following statements serve as the foundation for the arguments against the presumption: one, its inherent irrationality; two, its unfairness in use; three, its antiquated nature in assuming that all children under the age of fourteen </w:t>
      </w:r>
      <w:r w:rsidR="008B62F9" w:rsidRPr="00BA4AC5">
        <w:rPr>
          <w:rFonts w:ascii="Arial" w:hAnsi="Arial" w:cs="Arial"/>
          <w:color w:val="0E101A"/>
        </w:rPr>
        <w:t>years old</w:t>
      </w:r>
      <w:r w:rsidR="00856150" w:rsidRPr="00BA4AC5">
        <w:rPr>
          <w:rFonts w:ascii="Arial" w:hAnsi="Arial" w:cs="Arial"/>
          <w:color w:val="0E101A"/>
        </w:rPr>
        <w:t xml:space="preserve"> </w:t>
      </w:r>
      <w:r w:rsidRPr="00BA4AC5">
        <w:rPr>
          <w:rFonts w:ascii="Arial" w:hAnsi="Arial" w:cs="Arial"/>
          <w:color w:val="0E101A"/>
        </w:rPr>
        <w:t>cannot distinguish between right and wrong and requires protection from the severity of criminal punishment (</w:t>
      </w:r>
      <w:proofErr w:type="spellStart"/>
      <w:r w:rsidRPr="00BA4AC5">
        <w:rPr>
          <w:rFonts w:ascii="Arial" w:hAnsi="Arial" w:cs="Arial"/>
          <w:color w:val="0E101A"/>
        </w:rPr>
        <w:t>Bandalli</w:t>
      </w:r>
      <w:proofErr w:type="spellEnd"/>
      <w:r w:rsidRPr="00BA4AC5">
        <w:rPr>
          <w:rFonts w:ascii="Arial" w:hAnsi="Arial" w:cs="Arial"/>
          <w:color w:val="0E101A"/>
        </w:rPr>
        <w:t>, 1998).</w:t>
      </w:r>
    </w:p>
    <w:p w14:paraId="2B107E72" w14:textId="77777777" w:rsidR="00FD1A5A" w:rsidRPr="00BA4AC5" w:rsidRDefault="00FD1A5A" w:rsidP="00097875">
      <w:pPr>
        <w:pStyle w:val="NormalWeb"/>
        <w:spacing w:before="0" w:beforeAutospacing="0" w:after="0" w:afterAutospacing="0" w:line="480" w:lineRule="auto"/>
        <w:ind w:firstLine="720"/>
        <w:jc w:val="both"/>
        <w:rPr>
          <w:rFonts w:ascii="Arial" w:hAnsi="Arial" w:cs="Arial"/>
          <w:color w:val="0E101A"/>
        </w:rPr>
      </w:pPr>
    </w:p>
    <w:p w14:paraId="32CFB3FB" w14:textId="4DD8CBE4" w:rsidR="00FD1A5A" w:rsidRPr="00BA4AC5" w:rsidRDefault="00FD1A5A" w:rsidP="00097875">
      <w:pPr>
        <w:pStyle w:val="NormalWeb"/>
        <w:spacing w:before="0" w:beforeAutospacing="0" w:after="0" w:afterAutospacing="0" w:line="480" w:lineRule="auto"/>
        <w:ind w:firstLine="720"/>
        <w:jc w:val="both"/>
        <w:rPr>
          <w:rFonts w:ascii="Arial" w:hAnsi="Arial" w:cs="Arial"/>
          <w:color w:val="0E101A"/>
        </w:rPr>
      </w:pPr>
      <w:r w:rsidRPr="00BA4AC5">
        <w:rPr>
          <w:rFonts w:ascii="Arial" w:hAnsi="Arial" w:cs="Arial"/>
          <w:color w:val="0E101A"/>
        </w:rPr>
        <w:lastRenderedPageBreak/>
        <w:t>The UNCRC (2007) advises that the MACR should be twelve</w:t>
      </w:r>
      <w:r w:rsidR="00AA386C" w:rsidRPr="00BA4AC5">
        <w:rPr>
          <w:rFonts w:ascii="Arial" w:hAnsi="Arial" w:cs="Arial"/>
          <w:color w:val="0E101A"/>
        </w:rPr>
        <w:t xml:space="preserve"> years old</w:t>
      </w:r>
      <w:r w:rsidRPr="00BA4AC5">
        <w:rPr>
          <w:rFonts w:ascii="Arial" w:hAnsi="Arial" w:cs="Arial"/>
          <w:color w:val="0E101A"/>
        </w:rPr>
        <w:t>, noting that this is still considered too young and persuades nations to raise the MACR to fourteen. This explains why the most common MACR throughout Europe is fourteen</w:t>
      </w:r>
      <w:r w:rsidR="00C03C3C" w:rsidRPr="00BA4AC5">
        <w:rPr>
          <w:rFonts w:ascii="Arial" w:hAnsi="Arial" w:cs="Arial"/>
          <w:color w:val="0E101A"/>
        </w:rPr>
        <w:t xml:space="preserve"> years old</w:t>
      </w:r>
      <w:r w:rsidRPr="00BA4AC5">
        <w:rPr>
          <w:rFonts w:ascii="Arial" w:hAnsi="Arial" w:cs="Arial"/>
          <w:color w:val="0E101A"/>
        </w:rPr>
        <w:t>, and many argue that this would help create a suitable and globally acknowledged MACR standard (UNCRC, 2018). According to UNCRC (2007), the justification for this is that youths commit crimes due to their surroundings and are often victims of abuse, neglect, poverty, or exploitation. According to Vaswani (2018), in England, representative research with approximately 4,000 participants discovered that individuals with four or more</w:t>
      </w:r>
      <w:r w:rsidRPr="00BA4AC5">
        <w:rPr>
          <w:rStyle w:val="Strong"/>
          <w:rFonts w:ascii="Arial" w:hAnsi="Arial" w:cs="Arial"/>
          <w:color w:val="0E101A"/>
        </w:rPr>
        <w:t> </w:t>
      </w:r>
      <w:r w:rsidRPr="00BA4AC5">
        <w:rPr>
          <w:rFonts w:ascii="Arial" w:hAnsi="Arial" w:cs="Arial"/>
          <w:color w:val="0E101A"/>
        </w:rPr>
        <w:t>adverse childhood experiences (ACEs) were shown to be eight times more likely to conduct violent acts than those with none. The statistics were more evident in Wales, as individuals with four or more ACEs were shown to be fifteen times more likely to conduct violent acts (Bellis et al., 2015). Therefore, evidence suggests that children with ACEs are more prone to committing a crime, and this may be because they have not been shown the difference between what is right and wrong. As stated by Elliott (2018), Jon Venables and Robert Thompson were both victims of adverse childhood experiences and became murderers at ten years old.</w:t>
      </w:r>
    </w:p>
    <w:p w14:paraId="117DD87E" w14:textId="77777777" w:rsidR="00A727E4" w:rsidRPr="00BA4AC5" w:rsidRDefault="00A727E4" w:rsidP="00097875">
      <w:pPr>
        <w:spacing w:line="480" w:lineRule="auto"/>
        <w:ind w:firstLine="720"/>
        <w:jc w:val="both"/>
        <w:rPr>
          <w:rFonts w:ascii="Arial" w:hAnsi="Arial" w:cs="Arial"/>
          <w:sz w:val="24"/>
          <w:szCs w:val="24"/>
        </w:rPr>
      </w:pPr>
    </w:p>
    <w:p w14:paraId="48405FAD" w14:textId="146A4238" w:rsidR="00381165" w:rsidRPr="00BA4AC5" w:rsidRDefault="00381165" w:rsidP="00097875">
      <w:pPr>
        <w:spacing w:line="480" w:lineRule="auto"/>
        <w:ind w:firstLine="720"/>
        <w:jc w:val="both"/>
        <w:rPr>
          <w:rFonts w:ascii="Arial" w:hAnsi="Arial" w:cs="Arial"/>
          <w:sz w:val="24"/>
          <w:szCs w:val="24"/>
        </w:rPr>
      </w:pPr>
      <w:r w:rsidRPr="00BA4AC5">
        <w:rPr>
          <w:rFonts w:ascii="Arial" w:hAnsi="Arial" w:cs="Arial"/>
          <w:sz w:val="24"/>
          <w:szCs w:val="24"/>
        </w:rPr>
        <w:t xml:space="preserve">According to Burr and </w:t>
      </w:r>
      <w:proofErr w:type="spellStart"/>
      <w:r w:rsidRPr="00BA4AC5">
        <w:rPr>
          <w:rFonts w:ascii="Arial" w:hAnsi="Arial" w:cs="Arial"/>
          <w:sz w:val="24"/>
          <w:szCs w:val="24"/>
        </w:rPr>
        <w:t>Goldinger</w:t>
      </w:r>
      <w:proofErr w:type="spellEnd"/>
      <w:r w:rsidRPr="00BA4AC5">
        <w:rPr>
          <w:rFonts w:ascii="Arial" w:hAnsi="Arial" w:cs="Arial"/>
          <w:sz w:val="24"/>
          <w:szCs w:val="24"/>
        </w:rPr>
        <w:t xml:space="preserve"> (2004), Venables's parents were emotionally disturbed, depressed and separated. Moreover, Venables's elder and younger siblings were also developmentally challenged, and Venables endured the brunt of his suicidal mother's physical and verbal abuse. In addition, Burr and </w:t>
      </w:r>
      <w:proofErr w:type="spellStart"/>
      <w:r w:rsidRPr="00BA4AC5">
        <w:rPr>
          <w:rFonts w:ascii="Arial" w:hAnsi="Arial" w:cs="Arial"/>
          <w:sz w:val="24"/>
          <w:szCs w:val="24"/>
        </w:rPr>
        <w:t>Goldinger</w:t>
      </w:r>
      <w:proofErr w:type="spellEnd"/>
      <w:r w:rsidRPr="00BA4AC5">
        <w:rPr>
          <w:rFonts w:ascii="Arial" w:hAnsi="Arial" w:cs="Arial"/>
          <w:sz w:val="24"/>
          <w:szCs w:val="24"/>
        </w:rPr>
        <w:t xml:space="preserve"> (2004) also mention that the surroundings of Thompson's were considerably worse. Thompson, the second to youngest of seven violent and aggressive brothers, was exposed to his siblings' criminal behaviours at a young age; with both parents being alcoholics where the father often beat their mother (Burr and </w:t>
      </w:r>
      <w:proofErr w:type="spellStart"/>
      <w:r w:rsidRPr="00BA4AC5">
        <w:rPr>
          <w:rFonts w:ascii="Arial" w:hAnsi="Arial" w:cs="Arial"/>
          <w:sz w:val="24"/>
          <w:szCs w:val="24"/>
        </w:rPr>
        <w:t>Goldinger</w:t>
      </w:r>
      <w:proofErr w:type="spellEnd"/>
      <w:r w:rsidRPr="00BA4AC5">
        <w:rPr>
          <w:rFonts w:ascii="Arial" w:hAnsi="Arial" w:cs="Arial"/>
          <w:sz w:val="24"/>
          <w:szCs w:val="24"/>
        </w:rPr>
        <w:t xml:space="preserve">, 2004). Moreover, Thompson </w:t>
      </w:r>
      <w:r w:rsidRPr="00BA4AC5">
        <w:rPr>
          <w:rFonts w:ascii="Arial" w:hAnsi="Arial" w:cs="Arial"/>
          <w:sz w:val="24"/>
          <w:szCs w:val="24"/>
        </w:rPr>
        <w:lastRenderedPageBreak/>
        <w:t>said his life was better on the streets than at home (</w:t>
      </w:r>
      <w:proofErr w:type="spellStart"/>
      <w:r w:rsidRPr="00BA4AC5">
        <w:rPr>
          <w:rFonts w:ascii="Arial" w:hAnsi="Arial" w:cs="Arial"/>
          <w:sz w:val="24"/>
          <w:szCs w:val="24"/>
        </w:rPr>
        <w:t>Koubaridis</w:t>
      </w:r>
      <w:proofErr w:type="spellEnd"/>
      <w:r w:rsidRPr="00BA4AC5">
        <w:rPr>
          <w:rFonts w:ascii="Arial" w:hAnsi="Arial" w:cs="Arial"/>
          <w:sz w:val="24"/>
          <w:szCs w:val="24"/>
        </w:rPr>
        <w:t>, 2018). Therefore, are Venables and Thompson ethically accountable for James Bulger's death, given their families' horrific circumstances of alcoholism and abuse? Elliott (2018) argues that the Bulger catastrophe might have been prevented if intervention services had a greater understanding of Thompsons and Venables ACEs at the time they occurred. Therefore, research suggests that Thompson and Venables's adverse childhood experiences may have contributed to the motives behind their criminal behaviour and murderous act. Additionally, this may suggest that the priority should be rehabilitating rather than punishing youths who commit crimes. The purpose of this approach would be to reduce the chances of youths reoffending.</w:t>
      </w:r>
    </w:p>
    <w:p w14:paraId="68A34723" w14:textId="77777777" w:rsidR="00381165" w:rsidRPr="00BA4AC5" w:rsidRDefault="00381165" w:rsidP="00097875">
      <w:pPr>
        <w:spacing w:line="480" w:lineRule="auto"/>
        <w:ind w:firstLine="720"/>
        <w:jc w:val="both"/>
        <w:rPr>
          <w:rFonts w:ascii="Arial" w:hAnsi="Arial" w:cs="Arial"/>
          <w:sz w:val="24"/>
          <w:szCs w:val="24"/>
        </w:rPr>
      </w:pPr>
    </w:p>
    <w:p w14:paraId="5492CA4D" w14:textId="2E3E8C8C" w:rsidR="00256CD6" w:rsidRPr="00BA4AC5" w:rsidRDefault="00381165" w:rsidP="00097875">
      <w:pPr>
        <w:spacing w:line="480" w:lineRule="auto"/>
        <w:ind w:firstLine="720"/>
        <w:jc w:val="both"/>
        <w:rPr>
          <w:rFonts w:ascii="Arial" w:hAnsi="Arial" w:cs="Arial"/>
          <w:sz w:val="24"/>
          <w:szCs w:val="24"/>
        </w:rPr>
      </w:pPr>
      <w:r w:rsidRPr="00BA4AC5">
        <w:rPr>
          <w:rFonts w:ascii="Arial" w:hAnsi="Arial" w:cs="Arial"/>
          <w:sz w:val="24"/>
          <w:szCs w:val="24"/>
        </w:rPr>
        <w:t>According to the Ministry of Justice (2021a), although numerous children who commit crimes have experienced significant disadvantages, evidence shows that engagement in the CJS would negatively impact these children. In addition, increasing knowledge of the connection between early adversity and trauma and the involvement of criminal exploitation raises concerns about whether an illegal approach is appropriate for abused children (</w:t>
      </w:r>
      <w:proofErr w:type="spellStart"/>
      <w:r w:rsidRPr="00BA4AC5">
        <w:rPr>
          <w:rFonts w:ascii="Arial" w:hAnsi="Arial" w:cs="Arial"/>
          <w:sz w:val="24"/>
          <w:szCs w:val="24"/>
        </w:rPr>
        <w:t>Calouri</w:t>
      </w:r>
      <w:proofErr w:type="spellEnd"/>
      <w:r w:rsidRPr="00BA4AC5">
        <w:rPr>
          <w:rFonts w:ascii="Arial" w:hAnsi="Arial" w:cs="Arial"/>
          <w:sz w:val="24"/>
          <w:szCs w:val="24"/>
        </w:rPr>
        <w:t xml:space="preserve">, Corlett and Stott, 2020). According to the Local Government Association (2022), the evidence does not support the assumption that involvement with the CJS reduces crime. Instead, it appears to be criminogenic, increasing the likelihood of reoffending. According to Platts (2020), Thompson claims that his education and lifestyle have improved since he committed the murder, and as a result, he is a better person today. In addition, since the 1993 murder, Thompson has been successfully rehabilitated and has not committed a crime. Therefore, research indicates that Thompson's involvement with the CJS at the age of ten </w:t>
      </w:r>
      <w:r w:rsidR="002764C1" w:rsidRPr="00BA4AC5">
        <w:rPr>
          <w:rFonts w:ascii="Arial" w:hAnsi="Arial" w:cs="Arial"/>
          <w:sz w:val="24"/>
          <w:szCs w:val="24"/>
        </w:rPr>
        <w:t xml:space="preserve">years old </w:t>
      </w:r>
      <w:r w:rsidRPr="00BA4AC5">
        <w:rPr>
          <w:rFonts w:ascii="Arial" w:hAnsi="Arial" w:cs="Arial"/>
          <w:sz w:val="24"/>
          <w:szCs w:val="24"/>
        </w:rPr>
        <w:t>did not negatively affect him.</w:t>
      </w:r>
    </w:p>
    <w:p w14:paraId="297A9211" w14:textId="77777777" w:rsidR="00007E66" w:rsidRPr="00BA4AC5" w:rsidRDefault="00007E66" w:rsidP="00097875">
      <w:pPr>
        <w:spacing w:line="480" w:lineRule="auto"/>
        <w:ind w:firstLine="720"/>
        <w:jc w:val="both"/>
        <w:rPr>
          <w:rFonts w:ascii="Arial" w:hAnsi="Arial" w:cs="Arial"/>
          <w:sz w:val="24"/>
          <w:szCs w:val="24"/>
        </w:rPr>
      </w:pPr>
    </w:p>
    <w:p w14:paraId="1D5174D5" w14:textId="1E67CDAE" w:rsidR="004124C5" w:rsidRPr="00BA4AC5" w:rsidRDefault="00256CD6" w:rsidP="00097875">
      <w:pPr>
        <w:spacing w:line="480" w:lineRule="auto"/>
        <w:ind w:firstLine="720"/>
        <w:jc w:val="both"/>
        <w:rPr>
          <w:rFonts w:ascii="Arial" w:hAnsi="Arial" w:cs="Arial"/>
          <w:sz w:val="24"/>
          <w:szCs w:val="24"/>
        </w:rPr>
      </w:pPr>
      <w:r w:rsidRPr="00BA4AC5">
        <w:rPr>
          <w:rFonts w:ascii="Arial" w:hAnsi="Arial" w:cs="Arial"/>
          <w:sz w:val="24"/>
          <w:szCs w:val="24"/>
        </w:rPr>
        <w:t xml:space="preserve">Moreover, Thompson needed to be rehabilitated rather than punished, and his criminal mindset at the time of the murder may have resulted from his adverse childhood experiences (ACEs). However, Venables’ rehabilitation strategy was ineffective. According to Ford (2010), Venables has repeatedly reoffended and returned to prison since his release. In addition, Venables was charged with having child pornography, </w:t>
      </w:r>
      <w:proofErr w:type="gramStart"/>
      <w:r w:rsidRPr="00BA4AC5">
        <w:rPr>
          <w:rFonts w:ascii="Arial" w:hAnsi="Arial" w:cs="Arial"/>
          <w:sz w:val="24"/>
          <w:szCs w:val="24"/>
        </w:rPr>
        <w:t>drugs</w:t>
      </w:r>
      <w:proofErr w:type="gramEnd"/>
      <w:r w:rsidRPr="00BA4AC5">
        <w:rPr>
          <w:rFonts w:ascii="Arial" w:hAnsi="Arial" w:cs="Arial"/>
          <w:sz w:val="24"/>
          <w:szCs w:val="24"/>
        </w:rPr>
        <w:t xml:space="preserve"> and involvement in public fighting (George, 2022). Therefore, research suggests that Venables’ engagement with the CJS had a detrimental influence on him and that his rehabilitation strategy was ineffectual. Overall, evidence suggests that the CJS is not for all juveniles and that not all youths can be rehabilitated to prevent further reoffending. The Local Government Association (2022) states that imprisonment for juvenile offenders does not provide victims of crime with greater satisfaction. However, when victims are being heard and taken seriously, they feel most supported, regardless of the result for the offender. </w:t>
      </w:r>
      <w:proofErr w:type="spellStart"/>
      <w:r w:rsidRPr="00BA4AC5">
        <w:rPr>
          <w:rFonts w:ascii="Arial" w:hAnsi="Arial" w:cs="Arial"/>
          <w:sz w:val="24"/>
          <w:szCs w:val="24"/>
        </w:rPr>
        <w:t>Chantler</w:t>
      </w:r>
      <w:proofErr w:type="spellEnd"/>
      <w:r w:rsidRPr="00BA4AC5">
        <w:rPr>
          <w:rFonts w:ascii="Arial" w:hAnsi="Arial" w:cs="Arial"/>
          <w:sz w:val="24"/>
          <w:szCs w:val="24"/>
        </w:rPr>
        <w:t>-Hicks (2022) argues that this is not the case for Bulger’s mother, who believes one of Bulger’s murderers, Jon Venables, should not be released from prison as he still poses a severe threat to the public. Therefore, Bulger’s mother feels that Venables must be held accountable for the crimes he has perpetrated.</w:t>
      </w:r>
    </w:p>
    <w:p w14:paraId="742F3B59" w14:textId="77777777" w:rsidR="00644ED1" w:rsidRPr="00BA4AC5" w:rsidRDefault="00644ED1" w:rsidP="00097875">
      <w:pPr>
        <w:spacing w:line="480" w:lineRule="auto"/>
        <w:ind w:firstLine="720"/>
        <w:jc w:val="both"/>
        <w:rPr>
          <w:rFonts w:ascii="Arial" w:hAnsi="Arial" w:cs="Arial"/>
          <w:sz w:val="24"/>
          <w:szCs w:val="24"/>
        </w:rPr>
      </w:pPr>
    </w:p>
    <w:p w14:paraId="2D31472B" w14:textId="54F716EE" w:rsidR="00E11ACF" w:rsidRPr="00BA4AC5" w:rsidRDefault="00E11ACF" w:rsidP="00097875">
      <w:pPr>
        <w:spacing w:line="480" w:lineRule="auto"/>
        <w:ind w:firstLine="720"/>
        <w:jc w:val="both"/>
        <w:rPr>
          <w:rFonts w:ascii="Arial" w:hAnsi="Arial" w:cs="Arial"/>
          <w:sz w:val="24"/>
          <w:szCs w:val="24"/>
        </w:rPr>
      </w:pPr>
      <w:r w:rsidRPr="00BA4AC5">
        <w:rPr>
          <w:rFonts w:ascii="Arial" w:hAnsi="Arial" w:cs="Arial"/>
          <w:sz w:val="24"/>
          <w:szCs w:val="24"/>
        </w:rPr>
        <w:t xml:space="preserve">The University of South Wales (2021) states that the mainstream media or politicians rarely mention the age of criminal responsibility in the United Kingdom. When it is, the discourse often references killings committed by juveniles. For example, those in favour of lowering the age of criminal responsibility often use the 1993 murder of young James Bulger by two 10-year-olds as an example. According </w:t>
      </w:r>
      <w:r w:rsidRPr="00BA4AC5">
        <w:rPr>
          <w:rFonts w:ascii="Arial" w:hAnsi="Arial" w:cs="Arial"/>
          <w:sz w:val="24"/>
          <w:szCs w:val="24"/>
        </w:rPr>
        <w:lastRenderedPageBreak/>
        <w:t>to the reasoning, if a child is mature enough to behave like an adult and carry out such severe crimes, they are old enough to be punished as adults (University of South Wales, 2021). Therefore, evidence suggests that members of the public and many politicians agree with the UK MACR and believe that young offenders should be punished like adults. However, as stated by the Home Office (</w:t>
      </w:r>
      <w:proofErr w:type="spellStart"/>
      <w:r w:rsidRPr="00BA4AC5">
        <w:rPr>
          <w:rFonts w:ascii="Arial" w:hAnsi="Arial" w:cs="Arial"/>
          <w:sz w:val="24"/>
          <w:szCs w:val="24"/>
        </w:rPr>
        <w:t>n.d.a</w:t>
      </w:r>
      <w:proofErr w:type="spellEnd"/>
      <w:r w:rsidRPr="00BA4AC5">
        <w:rPr>
          <w:rFonts w:ascii="Arial" w:hAnsi="Arial" w:cs="Arial"/>
          <w:sz w:val="24"/>
          <w:szCs w:val="24"/>
        </w:rPr>
        <w:t>), this is not the case, as juvenile criminals are handled differently than adults by being given different sentences.</w:t>
      </w:r>
    </w:p>
    <w:p w14:paraId="3986218B" w14:textId="77777777" w:rsidR="00E11ACF" w:rsidRPr="00BA4AC5" w:rsidRDefault="00E11ACF" w:rsidP="00097875">
      <w:pPr>
        <w:spacing w:line="480" w:lineRule="auto"/>
        <w:ind w:firstLine="720"/>
        <w:jc w:val="both"/>
        <w:rPr>
          <w:rFonts w:ascii="Arial" w:hAnsi="Arial" w:cs="Arial"/>
          <w:sz w:val="24"/>
          <w:szCs w:val="24"/>
        </w:rPr>
      </w:pPr>
    </w:p>
    <w:p w14:paraId="394503C7" w14:textId="03C67921" w:rsidR="00E936B6" w:rsidRPr="00BA4AC5" w:rsidRDefault="006E5192" w:rsidP="00097875">
      <w:pPr>
        <w:spacing w:line="480" w:lineRule="auto"/>
        <w:ind w:firstLine="720"/>
        <w:jc w:val="both"/>
        <w:rPr>
          <w:rFonts w:ascii="Arial" w:hAnsi="Arial" w:cs="Arial"/>
          <w:sz w:val="24"/>
          <w:szCs w:val="24"/>
        </w:rPr>
      </w:pPr>
      <w:r w:rsidRPr="00BA4AC5">
        <w:rPr>
          <w:rFonts w:ascii="Arial" w:hAnsi="Arial" w:cs="Arial"/>
          <w:sz w:val="24"/>
          <w:szCs w:val="24"/>
        </w:rPr>
        <w:t>Gunner (2020) mentions that a Private Members' Bill to raise the criminal responsibility age from ten to twelve</w:t>
      </w:r>
      <w:r w:rsidR="000C22F3" w:rsidRPr="00BA4AC5">
        <w:rPr>
          <w:rFonts w:ascii="Arial" w:hAnsi="Arial" w:cs="Arial"/>
          <w:sz w:val="24"/>
          <w:szCs w:val="24"/>
        </w:rPr>
        <w:t xml:space="preserve"> years old</w:t>
      </w:r>
      <w:r w:rsidRPr="00BA4AC5">
        <w:rPr>
          <w:rFonts w:ascii="Arial" w:hAnsi="Arial" w:cs="Arial"/>
          <w:sz w:val="24"/>
          <w:szCs w:val="24"/>
        </w:rPr>
        <w:t xml:space="preserve"> was presented by Lord Dholakia in 2017. According to Gunner (2020), Dholakia said that youths aged ten to eleven</w:t>
      </w:r>
      <w:r w:rsidR="00056AAE" w:rsidRPr="00BA4AC5">
        <w:rPr>
          <w:rFonts w:ascii="Arial" w:hAnsi="Arial" w:cs="Arial"/>
          <w:sz w:val="24"/>
          <w:szCs w:val="24"/>
        </w:rPr>
        <w:t xml:space="preserve"> years old</w:t>
      </w:r>
      <w:r w:rsidRPr="00BA4AC5">
        <w:rPr>
          <w:rFonts w:ascii="Arial" w:hAnsi="Arial" w:cs="Arial"/>
          <w:sz w:val="24"/>
          <w:szCs w:val="24"/>
        </w:rPr>
        <w:t xml:space="preserve"> could not empathise as effectively as older children since they do not comprehend the implications of their actions. However, Dholakia's third attempt to amend the legislation never passed the second reading, as the Government believes that ten-year-olds should be legally responsible since they can distinguish between poor and severe misbehaviour (Gunner, 2020). In addition, Bateman (2015) mentioned that Jeremey Wright made it known in 2012 that the MACR would remain as it is. Despite claims to the contrary, the Government maintained that no changes were necessary: since it was confident that the MACR was suitable and that there were no intentions</w:t>
      </w:r>
      <w:r w:rsidR="00782634" w:rsidRPr="00BA4AC5">
        <w:rPr>
          <w:rFonts w:ascii="Arial" w:hAnsi="Arial" w:cs="Arial"/>
          <w:sz w:val="24"/>
          <w:szCs w:val="24"/>
        </w:rPr>
        <w:t xml:space="preserve"> </w:t>
      </w:r>
      <w:r w:rsidRPr="00BA4AC5">
        <w:rPr>
          <w:rFonts w:ascii="Arial" w:hAnsi="Arial" w:cs="Arial"/>
          <w:sz w:val="24"/>
          <w:szCs w:val="24"/>
        </w:rPr>
        <w:t>to increase the MACR from ten to twelve</w:t>
      </w:r>
      <w:r w:rsidR="00782634" w:rsidRPr="00BA4AC5">
        <w:rPr>
          <w:rFonts w:ascii="Arial" w:hAnsi="Arial" w:cs="Arial"/>
          <w:sz w:val="24"/>
          <w:szCs w:val="24"/>
        </w:rPr>
        <w:t xml:space="preserve"> years old</w:t>
      </w:r>
      <w:r w:rsidRPr="00BA4AC5">
        <w:rPr>
          <w:rFonts w:ascii="Arial" w:hAnsi="Arial" w:cs="Arial"/>
          <w:sz w:val="24"/>
          <w:szCs w:val="24"/>
        </w:rPr>
        <w:t xml:space="preserve"> (Brown and Charles, 2019). Unfortunately, there is no evidence to suggest why the Government believes the MACR at 10 is appropriate, other than that they are adamant that no changes are necessary.</w:t>
      </w:r>
    </w:p>
    <w:p w14:paraId="05A056B9" w14:textId="77777777" w:rsidR="006E5192" w:rsidRPr="00BA4AC5" w:rsidRDefault="006E5192" w:rsidP="00097875">
      <w:pPr>
        <w:spacing w:line="480" w:lineRule="auto"/>
        <w:ind w:firstLine="720"/>
        <w:jc w:val="both"/>
        <w:rPr>
          <w:rFonts w:ascii="Arial" w:hAnsi="Arial" w:cs="Arial"/>
          <w:b/>
          <w:bCs/>
          <w:color w:val="FF0000"/>
          <w:sz w:val="24"/>
          <w:szCs w:val="24"/>
        </w:rPr>
      </w:pPr>
    </w:p>
    <w:p w14:paraId="7EB133B5" w14:textId="4E8A395F" w:rsidR="002700F4" w:rsidRPr="00BA4AC5" w:rsidRDefault="00282C50" w:rsidP="00097875">
      <w:pPr>
        <w:spacing w:line="480" w:lineRule="auto"/>
        <w:ind w:firstLine="720"/>
        <w:jc w:val="both"/>
        <w:rPr>
          <w:rFonts w:ascii="Arial" w:hAnsi="Arial" w:cs="Arial"/>
          <w:sz w:val="24"/>
          <w:szCs w:val="24"/>
        </w:rPr>
      </w:pPr>
      <w:r w:rsidRPr="00BA4AC5">
        <w:rPr>
          <w:rFonts w:ascii="Arial" w:hAnsi="Arial" w:cs="Arial"/>
          <w:sz w:val="24"/>
          <w:szCs w:val="24"/>
        </w:rPr>
        <w:lastRenderedPageBreak/>
        <w:t xml:space="preserve">According to Stripe (2021), the rarity of children committing the most severe crimes is another justification for increasing the age of criminal liability. According to the evidence, 1.6% of individuals convicted of murder in England and Wales for the year ending in March 2020 were under sixteen. Additionally, as stated by the Ministry of Justice (2021b), in the same year, 31% of the approximately 49,100 proven offences committed by juveniles included aggressiveness towards an individual. Legally, the severity of a violent offence is assessed on a scale ranging from one being the least severe to eight being the most severe. The maximum severity score of eight was assigned to just under 140 recorded offences committed by children, representing approximately 0.3% of all offences (Ministry of Justice, 2021b). However, data suggests that severe acts of violence by children are rare, and most crimes committed by children are considered less severe. However, to ensure the safeguarding of the public, it is essential to remember that children do and can carry out serious crimes. As previously mentioned by </w:t>
      </w:r>
      <w:proofErr w:type="spellStart"/>
      <w:r w:rsidRPr="00BA4AC5">
        <w:rPr>
          <w:rFonts w:ascii="Arial" w:hAnsi="Arial" w:cs="Arial"/>
          <w:sz w:val="24"/>
          <w:szCs w:val="24"/>
        </w:rPr>
        <w:t>Bandalli</w:t>
      </w:r>
      <w:proofErr w:type="spellEnd"/>
      <w:r w:rsidRPr="00BA4AC5">
        <w:rPr>
          <w:rFonts w:ascii="Arial" w:hAnsi="Arial" w:cs="Arial"/>
          <w:sz w:val="24"/>
          <w:szCs w:val="24"/>
        </w:rPr>
        <w:t xml:space="preserve"> (1998), you should not assume that all children under the age of fourteen</w:t>
      </w:r>
      <w:r w:rsidR="00882CD1" w:rsidRPr="00BA4AC5">
        <w:rPr>
          <w:rFonts w:ascii="Arial" w:hAnsi="Arial" w:cs="Arial"/>
          <w:sz w:val="24"/>
          <w:szCs w:val="24"/>
        </w:rPr>
        <w:t xml:space="preserve"> years old</w:t>
      </w:r>
      <w:r w:rsidRPr="00BA4AC5">
        <w:rPr>
          <w:rFonts w:ascii="Arial" w:hAnsi="Arial" w:cs="Arial"/>
          <w:sz w:val="24"/>
          <w:szCs w:val="24"/>
        </w:rPr>
        <w:t xml:space="preserve"> cannot distinguish between right and wrong. Notably, as stated by </w:t>
      </w:r>
      <w:proofErr w:type="spellStart"/>
      <w:r w:rsidRPr="00BA4AC5">
        <w:rPr>
          <w:rFonts w:ascii="Arial" w:hAnsi="Arial" w:cs="Arial"/>
          <w:sz w:val="24"/>
          <w:szCs w:val="24"/>
        </w:rPr>
        <w:t>Fionda</w:t>
      </w:r>
      <w:proofErr w:type="spellEnd"/>
      <w:r w:rsidRPr="00BA4AC5">
        <w:rPr>
          <w:rFonts w:ascii="Arial" w:hAnsi="Arial" w:cs="Arial"/>
          <w:sz w:val="24"/>
          <w:szCs w:val="24"/>
        </w:rPr>
        <w:t xml:space="preserve"> (2005), the age of criminal responsibility may fluctuate over time as it reflects social and legal conceptions of childhood and tells us a great deal about what we can anticipate from children of varying ages. Moreover, the maturation and development of youths are constantly changing (</w:t>
      </w:r>
      <w:proofErr w:type="spellStart"/>
      <w:r w:rsidRPr="00BA4AC5">
        <w:rPr>
          <w:rFonts w:ascii="Arial" w:hAnsi="Arial" w:cs="Arial"/>
          <w:sz w:val="24"/>
          <w:szCs w:val="24"/>
        </w:rPr>
        <w:t>Fionda</w:t>
      </w:r>
      <w:proofErr w:type="spellEnd"/>
      <w:r w:rsidRPr="00BA4AC5">
        <w:rPr>
          <w:rFonts w:ascii="Arial" w:hAnsi="Arial" w:cs="Arial"/>
          <w:sz w:val="24"/>
          <w:szCs w:val="24"/>
        </w:rPr>
        <w:t>, 2005). Therefore, given that childhood is socially created and subject to change, the age of criminal responsibility must be continuously reviewed.</w:t>
      </w:r>
    </w:p>
    <w:p w14:paraId="467D12DF" w14:textId="7A20A175" w:rsidR="002700F4" w:rsidRPr="00BA4AC5" w:rsidRDefault="002700F4" w:rsidP="00097875">
      <w:pPr>
        <w:spacing w:line="480" w:lineRule="auto"/>
        <w:ind w:firstLine="720"/>
        <w:jc w:val="both"/>
        <w:rPr>
          <w:rFonts w:ascii="Arial" w:hAnsi="Arial" w:cs="Arial"/>
          <w:b/>
          <w:bCs/>
          <w:sz w:val="24"/>
          <w:szCs w:val="24"/>
        </w:rPr>
      </w:pPr>
    </w:p>
    <w:p w14:paraId="63D24287" w14:textId="77777777" w:rsidR="00282C50" w:rsidRPr="00BA4AC5" w:rsidRDefault="00282C50" w:rsidP="00097875">
      <w:pPr>
        <w:spacing w:line="480" w:lineRule="auto"/>
        <w:ind w:firstLine="720"/>
        <w:jc w:val="both"/>
        <w:rPr>
          <w:rFonts w:ascii="Arial" w:hAnsi="Arial" w:cs="Arial"/>
          <w:b/>
          <w:bCs/>
          <w:sz w:val="24"/>
          <w:szCs w:val="24"/>
        </w:rPr>
      </w:pPr>
    </w:p>
    <w:p w14:paraId="4D8C3050" w14:textId="610EA753" w:rsidR="002700F4" w:rsidRPr="00BA4AC5" w:rsidRDefault="002700F4" w:rsidP="00097875">
      <w:pPr>
        <w:spacing w:line="480" w:lineRule="auto"/>
        <w:ind w:firstLine="720"/>
        <w:jc w:val="both"/>
        <w:rPr>
          <w:rFonts w:ascii="Arial" w:hAnsi="Arial" w:cs="Arial"/>
          <w:sz w:val="24"/>
          <w:szCs w:val="24"/>
        </w:rPr>
      </w:pPr>
      <w:r w:rsidRPr="00BA4AC5">
        <w:rPr>
          <w:rFonts w:ascii="Arial" w:hAnsi="Arial" w:cs="Arial"/>
          <w:sz w:val="24"/>
          <w:szCs w:val="24"/>
        </w:rPr>
        <w:lastRenderedPageBreak/>
        <w:t>To conclude, r</w:t>
      </w:r>
      <w:r w:rsidRPr="00BA4AC5">
        <w:rPr>
          <w:rFonts w:ascii="Arial" w:hAnsi="Arial" w:cs="Arial"/>
          <w:sz w:val="24"/>
          <w:szCs w:val="24"/>
        </w:rPr>
        <w:t>esearch shows the difficulty of determining an appropriate minimum age for criminal responsibility. This has demonstrated why there is no fixed age at which children should be found criminally responsible, with the highest illegal age of responsibility being 16</w:t>
      </w:r>
      <w:r w:rsidR="0079579D" w:rsidRPr="00BA4AC5">
        <w:rPr>
          <w:rFonts w:ascii="Arial" w:hAnsi="Arial" w:cs="Arial"/>
          <w:sz w:val="24"/>
          <w:szCs w:val="24"/>
        </w:rPr>
        <w:t xml:space="preserve"> years of age</w:t>
      </w:r>
      <w:r w:rsidRPr="00BA4AC5">
        <w:rPr>
          <w:rFonts w:ascii="Arial" w:hAnsi="Arial" w:cs="Arial"/>
          <w:sz w:val="24"/>
          <w:szCs w:val="24"/>
        </w:rPr>
        <w:t xml:space="preserve"> in a few countries and the lowest being six in South Carolina (National Governors Association, 2021). Research has determined that there are more arguments for increasing the minimum age of criminal responsibility in England and Wales than against it. There are multiple reasons why sociologists and politicians want to increase the MACR from ten to being too young, even more so for those with adverse childhood experiences such as abuse, neglect, </w:t>
      </w:r>
      <w:proofErr w:type="gramStart"/>
      <w:r w:rsidRPr="00BA4AC5">
        <w:rPr>
          <w:rFonts w:ascii="Arial" w:hAnsi="Arial" w:cs="Arial"/>
          <w:sz w:val="24"/>
          <w:szCs w:val="24"/>
        </w:rPr>
        <w:t>poverty</w:t>
      </w:r>
      <w:proofErr w:type="gramEnd"/>
      <w:r w:rsidRPr="00BA4AC5">
        <w:rPr>
          <w:rFonts w:ascii="Arial" w:hAnsi="Arial" w:cs="Arial"/>
          <w:sz w:val="24"/>
          <w:szCs w:val="24"/>
        </w:rPr>
        <w:t xml:space="preserve"> and exploitation (UNCRC, 2007). For example, the UNCRC (2007) believes that twelve years old is too young and advises nations that fourteen is appropriate to be criminally responsible. Children with ACEs are usually familiar with criminal behaviour and, unfortunately, have not been shown right and wrong. </w:t>
      </w:r>
      <w:r w:rsidR="00AB01F3" w:rsidRPr="00BA4AC5">
        <w:rPr>
          <w:rFonts w:ascii="Arial" w:hAnsi="Arial" w:cs="Arial"/>
          <w:sz w:val="24"/>
          <w:szCs w:val="24"/>
        </w:rPr>
        <w:t>Therefore,</w:t>
      </w:r>
      <w:r w:rsidRPr="00BA4AC5">
        <w:rPr>
          <w:rFonts w:ascii="Arial" w:hAnsi="Arial" w:cs="Arial"/>
          <w:sz w:val="24"/>
          <w:szCs w:val="24"/>
        </w:rPr>
        <w:t xml:space="preserve"> ACEs increase the possibility of children offending. This is evident in Robert Thompson and Jon Venables. Their ACEs may have contributed to the motives behind their criminal behaviour, with Thompson's life being better on the streets than at home (</w:t>
      </w:r>
      <w:proofErr w:type="spellStart"/>
      <w:r w:rsidRPr="00BA4AC5">
        <w:rPr>
          <w:rFonts w:ascii="Arial" w:hAnsi="Arial" w:cs="Arial"/>
          <w:sz w:val="24"/>
          <w:szCs w:val="24"/>
        </w:rPr>
        <w:t>Koubaridis</w:t>
      </w:r>
      <w:proofErr w:type="spellEnd"/>
      <w:r w:rsidRPr="00BA4AC5">
        <w:rPr>
          <w:rFonts w:ascii="Arial" w:hAnsi="Arial" w:cs="Arial"/>
          <w:sz w:val="24"/>
          <w:szCs w:val="24"/>
        </w:rPr>
        <w:t>, 2018).</w:t>
      </w:r>
    </w:p>
    <w:p w14:paraId="162654B1" w14:textId="77777777" w:rsidR="002700F4" w:rsidRPr="00BA4AC5" w:rsidRDefault="002700F4" w:rsidP="00097875">
      <w:pPr>
        <w:spacing w:line="480" w:lineRule="auto"/>
        <w:ind w:firstLine="720"/>
        <w:jc w:val="both"/>
        <w:rPr>
          <w:rFonts w:ascii="Arial" w:hAnsi="Arial" w:cs="Arial"/>
          <w:sz w:val="24"/>
          <w:szCs w:val="24"/>
        </w:rPr>
      </w:pPr>
    </w:p>
    <w:p w14:paraId="238DC5B0" w14:textId="3E059E54" w:rsidR="004C0845" w:rsidRPr="00BA4AC5" w:rsidRDefault="002700F4" w:rsidP="00097875">
      <w:pPr>
        <w:spacing w:line="480" w:lineRule="auto"/>
        <w:ind w:firstLine="720"/>
        <w:jc w:val="both"/>
        <w:rPr>
          <w:rFonts w:ascii="Arial" w:hAnsi="Arial" w:cs="Arial"/>
          <w:sz w:val="24"/>
          <w:szCs w:val="24"/>
        </w:rPr>
      </w:pPr>
      <w:r w:rsidRPr="00BA4AC5">
        <w:rPr>
          <w:rFonts w:ascii="Arial" w:hAnsi="Arial" w:cs="Arial"/>
          <w:sz w:val="24"/>
          <w:szCs w:val="24"/>
        </w:rPr>
        <w:t xml:space="preserve">Many people believe that children are too young to </w:t>
      </w:r>
      <w:proofErr w:type="gramStart"/>
      <w:r w:rsidRPr="00BA4AC5">
        <w:rPr>
          <w:rFonts w:ascii="Arial" w:hAnsi="Arial" w:cs="Arial"/>
          <w:sz w:val="24"/>
          <w:szCs w:val="24"/>
        </w:rPr>
        <w:t>have involvement</w:t>
      </w:r>
      <w:proofErr w:type="gramEnd"/>
      <w:r w:rsidRPr="00BA4AC5">
        <w:rPr>
          <w:rFonts w:ascii="Arial" w:hAnsi="Arial" w:cs="Arial"/>
          <w:sz w:val="24"/>
          <w:szCs w:val="24"/>
        </w:rPr>
        <w:t xml:space="preserve"> with the criminal justice system, particularly those who have suffered from adverse childhood experiences. Evidence suggests that engagement with the criminal justice system would negatively impact those children with ACEs (Ministry of Justice, 2021a). However, this is not the case for Thompson, who suffered from significant ACEs. Even with the involvement with the criminal justice system, Thompson was rehabilitated successfully, stating that he is a better person today than he was before committing </w:t>
      </w:r>
      <w:r w:rsidRPr="00BA4AC5">
        <w:rPr>
          <w:rFonts w:ascii="Arial" w:hAnsi="Arial" w:cs="Arial"/>
          <w:sz w:val="24"/>
          <w:szCs w:val="24"/>
        </w:rPr>
        <w:lastRenderedPageBreak/>
        <w:t>the murder (Platts, 2020). This suggests that the criminal justice system impacts juveniles differently, but most importantly, it can be highly successful even for children at the age of 10</w:t>
      </w:r>
      <w:r w:rsidR="007F616D" w:rsidRPr="00BA4AC5">
        <w:rPr>
          <w:rFonts w:ascii="Arial" w:hAnsi="Arial" w:cs="Arial"/>
          <w:sz w:val="24"/>
          <w:szCs w:val="24"/>
        </w:rPr>
        <w:t xml:space="preserve"> years old</w:t>
      </w:r>
      <w:r w:rsidRPr="00BA4AC5">
        <w:rPr>
          <w:rFonts w:ascii="Arial" w:hAnsi="Arial" w:cs="Arial"/>
          <w:sz w:val="24"/>
          <w:szCs w:val="24"/>
        </w:rPr>
        <w:t>.</w:t>
      </w:r>
    </w:p>
    <w:p w14:paraId="282FDF21" w14:textId="77777777" w:rsidR="002700F4" w:rsidRPr="00BA4AC5" w:rsidRDefault="002700F4" w:rsidP="00097875">
      <w:pPr>
        <w:spacing w:line="480" w:lineRule="auto"/>
        <w:ind w:firstLine="720"/>
        <w:jc w:val="both"/>
        <w:rPr>
          <w:rFonts w:ascii="Arial" w:hAnsi="Arial" w:cs="Arial"/>
          <w:sz w:val="24"/>
          <w:szCs w:val="24"/>
        </w:rPr>
      </w:pPr>
    </w:p>
    <w:p w14:paraId="04026A69" w14:textId="0E1CF91C" w:rsidR="002700F4" w:rsidRPr="00BA4AC5" w:rsidRDefault="002700F4" w:rsidP="00097875">
      <w:pPr>
        <w:spacing w:line="480" w:lineRule="auto"/>
        <w:ind w:firstLine="720"/>
        <w:jc w:val="both"/>
        <w:rPr>
          <w:rFonts w:ascii="Arial" w:hAnsi="Arial" w:cs="Arial"/>
          <w:sz w:val="24"/>
          <w:szCs w:val="24"/>
        </w:rPr>
      </w:pPr>
      <w:r w:rsidRPr="00BA4AC5">
        <w:rPr>
          <w:rFonts w:ascii="Arial" w:hAnsi="Arial" w:cs="Arial"/>
          <w:sz w:val="24"/>
          <w:szCs w:val="24"/>
        </w:rPr>
        <w:t xml:space="preserve">Even though statistics show that children committing a crime is rare, it still happens. Therefore, no one should assume that all children under the age of fourteen cannot distinguish between right and wrong, particularly with a significant change in the development of youths </w:t>
      </w:r>
      <w:r w:rsidR="0001467E" w:rsidRPr="00BA4AC5">
        <w:rPr>
          <w:rFonts w:ascii="Arial" w:hAnsi="Arial" w:cs="Arial"/>
          <w:sz w:val="24"/>
          <w:szCs w:val="24"/>
        </w:rPr>
        <w:t>today (</w:t>
      </w:r>
      <w:proofErr w:type="spellStart"/>
      <w:r w:rsidRPr="00BA4AC5">
        <w:rPr>
          <w:rFonts w:ascii="Arial" w:hAnsi="Arial" w:cs="Arial"/>
          <w:sz w:val="24"/>
          <w:szCs w:val="24"/>
        </w:rPr>
        <w:t>Fionda</w:t>
      </w:r>
      <w:proofErr w:type="spellEnd"/>
      <w:r w:rsidRPr="00BA4AC5">
        <w:rPr>
          <w:rFonts w:ascii="Arial" w:hAnsi="Arial" w:cs="Arial"/>
          <w:sz w:val="24"/>
          <w:szCs w:val="24"/>
        </w:rPr>
        <w:t xml:space="preserve">, 2005). Elliott (2018) also stated that children who have suffered from ACEs might be prevented from offending if interventions and services such as social services had a greater understanding of how ACEs significantly impact a child. Importantly, children at the age of ten are not too young to be rehabilitated and supported in understanding the </w:t>
      </w:r>
      <w:r w:rsidR="00BB7D9B" w:rsidRPr="00BA4AC5">
        <w:rPr>
          <w:rFonts w:ascii="Arial" w:hAnsi="Arial" w:cs="Arial"/>
          <w:sz w:val="24"/>
          <w:szCs w:val="24"/>
        </w:rPr>
        <w:t>difference</w:t>
      </w:r>
      <w:r w:rsidRPr="00BA4AC5">
        <w:rPr>
          <w:rFonts w:ascii="Arial" w:hAnsi="Arial" w:cs="Arial"/>
          <w:sz w:val="24"/>
          <w:szCs w:val="24"/>
        </w:rPr>
        <w:t xml:space="preserve"> between bad and severe misbehaviour (Gunner, 2020).</w:t>
      </w:r>
    </w:p>
    <w:p w14:paraId="7DD786A1" w14:textId="77777777" w:rsidR="00A82DB3" w:rsidRDefault="00A82DB3" w:rsidP="00E936B6">
      <w:pPr>
        <w:spacing w:line="256" w:lineRule="auto"/>
        <w:jc w:val="both"/>
        <w:rPr>
          <w:rFonts w:cstheme="minorHAnsi"/>
          <w:sz w:val="24"/>
          <w:szCs w:val="24"/>
        </w:rPr>
      </w:pPr>
    </w:p>
    <w:p w14:paraId="0ED3FC72" w14:textId="75885D94" w:rsidR="00E60BCD" w:rsidRDefault="00E60BCD" w:rsidP="00BF40A5">
      <w:pPr>
        <w:spacing w:line="256" w:lineRule="auto"/>
        <w:jc w:val="both"/>
        <w:rPr>
          <w:rFonts w:cstheme="minorHAnsi"/>
          <w:b/>
          <w:bCs/>
          <w:sz w:val="24"/>
          <w:szCs w:val="24"/>
        </w:rPr>
      </w:pPr>
    </w:p>
    <w:p w14:paraId="0B7AF180" w14:textId="068F835C" w:rsidR="00E60BCD" w:rsidRDefault="00E60BCD" w:rsidP="00BF40A5">
      <w:pPr>
        <w:spacing w:line="256" w:lineRule="auto"/>
        <w:jc w:val="both"/>
        <w:rPr>
          <w:rFonts w:cstheme="minorHAnsi"/>
          <w:b/>
          <w:bCs/>
          <w:sz w:val="24"/>
          <w:szCs w:val="24"/>
        </w:rPr>
      </w:pPr>
    </w:p>
    <w:p w14:paraId="4AAF1B51" w14:textId="54C055F5" w:rsidR="00E60BCD" w:rsidRDefault="00E60BCD" w:rsidP="00BF40A5">
      <w:pPr>
        <w:spacing w:line="256" w:lineRule="auto"/>
        <w:jc w:val="both"/>
        <w:rPr>
          <w:rFonts w:cstheme="minorHAnsi"/>
          <w:b/>
          <w:bCs/>
          <w:sz w:val="24"/>
          <w:szCs w:val="24"/>
        </w:rPr>
      </w:pPr>
    </w:p>
    <w:p w14:paraId="71AE84B9" w14:textId="77777777" w:rsidR="0038116E" w:rsidRPr="00E936B6" w:rsidRDefault="0038116E" w:rsidP="00BF40A5">
      <w:pPr>
        <w:spacing w:line="256" w:lineRule="auto"/>
        <w:jc w:val="both"/>
        <w:rPr>
          <w:rFonts w:cstheme="minorHAnsi"/>
          <w:b/>
          <w:bCs/>
          <w:sz w:val="24"/>
          <w:szCs w:val="24"/>
        </w:rPr>
      </w:pPr>
    </w:p>
    <w:p w14:paraId="79C7FDE2" w14:textId="7E7CE61D" w:rsidR="00571CE2" w:rsidRDefault="00571CE2" w:rsidP="00BF40A5">
      <w:pPr>
        <w:spacing w:line="256" w:lineRule="auto"/>
        <w:jc w:val="both"/>
        <w:rPr>
          <w:rFonts w:cstheme="minorHAnsi"/>
          <w:sz w:val="24"/>
          <w:szCs w:val="24"/>
        </w:rPr>
      </w:pPr>
    </w:p>
    <w:p w14:paraId="16D53E23" w14:textId="0DBD7B91" w:rsidR="00B7431B" w:rsidRDefault="00B7431B"/>
    <w:p w14:paraId="393A1BA7" w14:textId="7F761BB7" w:rsidR="00B7431B" w:rsidRDefault="00B7431B"/>
    <w:p w14:paraId="4B2F7B32" w14:textId="77961982" w:rsidR="0081573F" w:rsidRDefault="0081573F"/>
    <w:p w14:paraId="545D8317" w14:textId="227AF4BB" w:rsidR="0081573F" w:rsidRDefault="0081573F"/>
    <w:p w14:paraId="6D5216B3" w14:textId="77777777" w:rsidR="00554A7B" w:rsidRDefault="00554A7B"/>
    <w:p w14:paraId="38409C42" w14:textId="77777777" w:rsidR="00554A7B" w:rsidRDefault="00554A7B"/>
    <w:p w14:paraId="12890967" w14:textId="77777777" w:rsidR="00554A7B" w:rsidRDefault="00554A7B"/>
    <w:p w14:paraId="14962C80" w14:textId="77777777" w:rsidR="00554A7B" w:rsidRDefault="00554A7B"/>
    <w:p w14:paraId="620B6892" w14:textId="62B4B416" w:rsidR="0081573F" w:rsidRPr="00097875" w:rsidRDefault="0081573F" w:rsidP="00097875">
      <w:pPr>
        <w:spacing w:line="480" w:lineRule="auto"/>
        <w:rPr>
          <w:rFonts w:ascii="Arial" w:hAnsi="Arial" w:cs="Arial"/>
          <w:b/>
          <w:bCs/>
          <w:sz w:val="24"/>
          <w:szCs w:val="24"/>
        </w:rPr>
      </w:pPr>
      <w:r w:rsidRPr="00097875">
        <w:rPr>
          <w:rFonts w:ascii="Arial" w:hAnsi="Arial" w:cs="Arial"/>
          <w:b/>
          <w:bCs/>
          <w:sz w:val="24"/>
          <w:szCs w:val="24"/>
        </w:rPr>
        <w:lastRenderedPageBreak/>
        <w:t>References</w:t>
      </w:r>
    </w:p>
    <w:p w14:paraId="496DA21C" w14:textId="77777777" w:rsidR="00B0357E" w:rsidRPr="00097875" w:rsidRDefault="00B0357E" w:rsidP="00097875">
      <w:pPr>
        <w:spacing w:line="480" w:lineRule="auto"/>
        <w:rPr>
          <w:rFonts w:ascii="Arial" w:hAnsi="Arial" w:cs="Arial"/>
          <w:sz w:val="24"/>
          <w:szCs w:val="24"/>
        </w:rPr>
      </w:pPr>
    </w:p>
    <w:p w14:paraId="74431DAC" w14:textId="71F5F2B0" w:rsidR="002F761F" w:rsidRPr="00097875" w:rsidRDefault="002F761F" w:rsidP="00097875">
      <w:pPr>
        <w:pStyle w:val="ListParagraph"/>
        <w:numPr>
          <w:ilvl w:val="0"/>
          <w:numId w:val="11"/>
        </w:numPr>
        <w:spacing w:line="480" w:lineRule="auto"/>
        <w:rPr>
          <w:rFonts w:ascii="Arial" w:hAnsi="Arial" w:cs="Arial"/>
          <w:sz w:val="24"/>
          <w:szCs w:val="24"/>
        </w:rPr>
      </w:pPr>
      <w:r w:rsidRPr="00097875">
        <w:rPr>
          <w:rFonts w:ascii="Arial" w:hAnsi="Arial" w:cs="Arial"/>
          <w:i/>
          <w:iCs/>
          <w:sz w:val="24"/>
          <w:szCs w:val="24"/>
        </w:rPr>
        <w:t>Age of Criminal Responsibility</w:t>
      </w:r>
      <w:r w:rsidR="00825AF1" w:rsidRPr="00097875">
        <w:rPr>
          <w:rFonts w:ascii="Arial" w:hAnsi="Arial" w:cs="Arial"/>
          <w:i/>
          <w:iCs/>
          <w:sz w:val="24"/>
          <w:szCs w:val="24"/>
        </w:rPr>
        <w:t xml:space="preserve"> </w:t>
      </w:r>
      <w:r w:rsidR="00A349A7" w:rsidRPr="00097875">
        <w:rPr>
          <w:rFonts w:ascii="Arial" w:hAnsi="Arial" w:cs="Arial"/>
          <w:i/>
          <w:iCs/>
          <w:sz w:val="24"/>
          <w:szCs w:val="24"/>
        </w:rPr>
        <w:t>(</w:t>
      </w:r>
      <w:r w:rsidR="00825AF1" w:rsidRPr="00097875">
        <w:rPr>
          <w:rFonts w:ascii="Arial" w:hAnsi="Arial" w:cs="Arial"/>
          <w:i/>
          <w:iCs/>
          <w:sz w:val="24"/>
          <w:szCs w:val="24"/>
        </w:rPr>
        <w:t>Scotland</w:t>
      </w:r>
      <w:r w:rsidR="00A349A7" w:rsidRPr="00097875">
        <w:rPr>
          <w:rFonts w:ascii="Arial" w:hAnsi="Arial" w:cs="Arial"/>
          <w:i/>
          <w:iCs/>
          <w:sz w:val="24"/>
          <w:szCs w:val="24"/>
        </w:rPr>
        <w:t>)</w:t>
      </w:r>
      <w:r w:rsidR="00825AF1" w:rsidRPr="00097875">
        <w:rPr>
          <w:rFonts w:ascii="Arial" w:hAnsi="Arial" w:cs="Arial"/>
          <w:i/>
          <w:iCs/>
          <w:sz w:val="24"/>
          <w:szCs w:val="24"/>
        </w:rPr>
        <w:t xml:space="preserve"> Bill</w:t>
      </w:r>
      <w:r w:rsidR="00825AF1" w:rsidRPr="00097875">
        <w:rPr>
          <w:rFonts w:ascii="Arial" w:hAnsi="Arial" w:cs="Arial"/>
          <w:sz w:val="24"/>
          <w:szCs w:val="24"/>
        </w:rPr>
        <w:t xml:space="preserve">. </w:t>
      </w:r>
      <w:r w:rsidR="00A5405A" w:rsidRPr="00097875">
        <w:rPr>
          <w:rFonts w:ascii="Arial" w:hAnsi="Arial" w:cs="Arial"/>
          <w:sz w:val="24"/>
          <w:szCs w:val="24"/>
        </w:rPr>
        <w:t>(</w:t>
      </w:r>
      <w:r w:rsidR="00825AF1" w:rsidRPr="00097875">
        <w:rPr>
          <w:rFonts w:ascii="Arial" w:hAnsi="Arial" w:cs="Arial"/>
          <w:sz w:val="24"/>
          <w:szCs w:val="24"/>
        </w:rPr>
        <w:t>2018</w:t>
      </w:r>
      <w:r w:rsidR="00A5405A" w:rsidRPr="00097875">
        <w:rPr>
          <w:rFonts w:ascii="Arial" w:hAnsi="Arial" w:cs="Arial"/>
          <w:sz w:val="24"/>
          <w:szCs w:val="24"/>
        </w:rPr>
        <w:t>)</w:t>
      </w:r>
      <w:r w:rsidR="00614466" w:rsidRPr="00097875">
        <w:rPr>
          <w:rFonts w:ascii="Arial" w:hAnsi="Arial" w:cs="Arial"/>
          <w:sz w:val="24"/>
          <w:szCs w:val="24"/>
        </w:rPr>
        <w:t xml:space="preserve"> (SP Bill 29)</w:t>
      </w:r>
      <w:r w:rsidR="005D2EA1" w:rsidRPr="00097875">
        <w:rPr>
          <w:rFonts w:ascii="Arial" w:hAnsi="Arial" w:cs="Arial"/>
          <w:sz w:val="24"/>
          <w:szCs w:val="24"/>
        </w:rPr>
        <w:t xml:space="preserve">. Scotland: </w:t>
      </w:r>
      <w:proofErr w:type="gramStart"/>
      <w:r w:rsidR="005D2EA1" w:rsidRPr="00097875">
        <w:rPr>
          <w:rFonts w:ascii="Arial" w:hAnsi="Arial" w:cs="Arial"/>
          <w:sz w:val="24"/>
          <w:szCs w:val="24"/>
        </w:rPr>
        <w:t>Scottish  Parliamentary</w:t>
      </w:r>
      <w:proofErr w:type="gramEnd"/>
      <w:r w:rsidR="005D2EA1" w:rsidRPr="00097875">
        <w:rPr>
          <w:rFonts w:ascii="Arial" w:hAnsi="Arial" w:cs="Arial"/>
          <w:sz w:val="24"/>
          <w:szCs w:val="24"/>
        </w:rPr>
        <w:t xml:space="preserve"> Corp</w:t>
      </w:r>
      <w:r w:rsidR="003A2DE5" w:rsidRPr="00097875">
        <w:rPr>
          <w:rFonts w:ascii="Arial" w:hAnsi="Arial" w:cs="Arial"/>
          <w:sz w:val="24"/>
          <w:szCs w:val="24"/>
        </w:rPr>
        <w:t>orate Body.</w:t>
      </w:r>
      <w:r w:rsidR="004B6076" w:rsidRPr="00097875">
        <w:rPr>
          <w:rFonts w:ascii="Arial" w:hAnsi="Arial" w:cs="Arial"/>
          <w:sz w:val="24"/>
          <w:szCs w:val="24"/>
        </w:rPr>
        <w:t xml:space="preserve"> Available: &lt; </w:t>
      </w:r>
      <w:hyperlink r:id="rId8" w:history="1">
        <w:r w:rsidR="00C90E72" w:rsidRPr="00097875">
          <w:rPr>
            <w:rStyle w:val="Hyperlink"/>
            <w:rFonts w:ascii="Arial" w:hAnsi="Arial" w:cs="Arial"/>
            <w:sz w:val="24"/>
            <w:szCs w:val="24"/>
          </w:rPr>
          <w:t>https://archive2021.parliament.scot/S5_Bills/Age%20of%20Criminal%20Responsibility%20(Scotland)%20Bill/SPBill29PMS052018.pdf</w:t>
        </w:r>
      </w:hyperlink>
      <w:r w:rsidR="00C90E72" w:rsidRPr="00097875">
        <w:rPr>
          <w:rFonts w:ascii="Arial" w:hAnsi="Arial" w:cs="Arial"/>
          <w:sz w:val="24"/>
          <w:szCs w:val="24"/>
        </w:rPr>
        <w:t xml:space="preserve"> &gt; [Accessed: </w:t>
      </w:r>
      <w:r w:rsidR="00847246" w:rsidRPr="00097875">
        <w:rPr>
          <w:rFonts w:ascii="Arial" w:hAnsi="Arial" w:cs="Arial"/>
          <w:sz w:val="24"/>
          <w:szCs w:val="24"/>
        </w:rPr>
        <w:t>7</w:t>
      </w:r>
      <w:r w:rsidR="00847246" w:rsidRPr="00097875">
        <w:rPr>
          <w:rFonts w:ascii="Arial" w:hAnsi="Arial" w:cs="Arial"/>
          <w:sz w:val="24"/>
          <w:szCs w:val="24"/>
          <w:vertAlign w:val="superscript"/>
        </w:rPr>
        <w:t>th</w:t>
      </w:r>
      <w:r w:rsidR="00847246" w:rsidRPr="00097875">
        <w:rPr>
          <w:rFonts w:ascii="Arial" w:hAnsi="Arial" w:cs="Arial"/>
          <w:sz w:val="24"/>
          <w:szCs w:val="24"/>
        </w:rPr>
        <w:t xml:space="preserve"> November 2022].</w:t>
      </w:r>
    </w:p>
    <w:p w14:paraId="62D79A8E" w14:textId="515CE828" w:rsidR="00B0357E" w:rsidRPr="00097875" w:rsidRDefault="00B0357E" w:rsidP="00097875">
      <w:pPr>
        <w:pStyle w:val="ListParagraph"/>
        <w:numPr>
          <w:ilvl w:val="0"/>
          <w:numId w:val="11"/>
        </w:numPr>
        <w:spacing w:line="480" w:lineRule="auto"/>
        <w:rPr>
          <w:rFonts w:ascii="Arial" w:hAnsi="Arial" w:cs="Arial"/>
          <w:sz w:val="24"/>
          <w:szCs w:val="24"/>
        </w:rPr>
      </w:pPr>
      <w:proofErr w:type="spellStart"/>
      <w:r w:rsidRPr="00097875">
        <w:rPr>
          <w:rFonts w:ascii="Arial" w:hAnsi="Arial" w:cs="Arial"/>
          <w:sz w:val="24"/>
          <w:szCs w:val="24"/>
        </w:rPr>
        <w:t>Bandalli</w:t>
      </w:r>
      <w:proofErr w:type="spellEnd"/>
      <w:r w:rsidRPr="00097875">
        <w:rPr>
          <w:rFonts w:ascii="Arial" w:hAnsi="Arial" w:cs="Arial"/>
          <w:sz w:val="24"/>
          <w:szCs w:val="24"/>
        </w:rPr>
        <w:t xml:space="preserve">, S. (1998) “Abolition of the presumption of </w:t>
      </w:r>
      <w:proofErr w:type="spellStart"/>
      <w:r w:rsidRPr="00097875">
        <w:rPr>
          <w:rFonts w:ascii="Arial" w:hAnsi="Arial" w:cs="Arial"/>
          <w:sz w:val="24"/>
          <w:szCs w:val="24"/>
        </w:rPr>
        <w:t>doli</w:t>
      </w:r>
      <w:proofErr w:type="spellEnd"/>
      <w:r w:rsidRPr="00097875">
        <w:rPr>
          <w:rFonts w:ascii="Arial" w:hAnsi="Arial" w:cs="Arial"/>
          <w:sz w:val="24"/>
          <w:szCs w:val="24"/>
        </w:rPr>
        <w:t xml:space="preserve"> incapax and the criminalisation of children,” The Howard Journal of Criminal Justice, 37(2), pp. 114-123. Available: &lt; </w:t>
      </w:r>
      <w:hyperlink r:id="rId9" w:history="1">
        <w:r w:rsidRPr="00097875">
          <w:rPr>
            <w:rStyle w:val="Hyperlink"/>
            <w:rFonts w:ascii="Arial" w:hAnsi="Arial" w:cs="Arial"/>
            <w:sz w:val="24"/>
            <w:szCs w:val="24"/>
          </w:rPr>
          <w:t>https://www.ojp.gov/ncjrs/virtual-library/abstracts/abolition-presumption-doli-incapax-and-criminalization-children</w:t>
        </w:r>
      </w:hyperlink>
      <w:r w:rsidRPr="00097875">
        <w:rPr>
          <w:rFonts w:ascii="Arial" w:hAnsi="Arial" w:cs="Arial"/>
          <w:sz w:val="24"/>
          <w:szCs w:val="24"/>
        </w:rPr>
        <w:t xml:space="preserve"> &gt; [Accessed: 7</w:t>
      </w:r>
      <w:r w:rsidRPr="00097875">
        <w:rPr>
          <w:rFonts w:ascii="Arial" w:hAnsi="Arial" w:cs="Arial"/>
          <w:sz w:val="24"/>
          <w:szCs w:val="24"/>
          <w:vertAlign w:val="superscript"/>
        </w:rPr>
        <w:t>th</w:t>
      </w:r>
      <w:r w:rsidRPr="00097875">
        <w:rPr>
          <w:rFonts w:ascii="Arial" w:hAnsi="Arial" w:cs="Arial"/>
          <w:sz w:val="24"/>
          <w:szCs w:val="24"/>
        </w:rPr>
        <w:t xml:space="preserve"> November 2022].</w:t>
      </w:r>
    </w:p>
    <w:p w14:paraId="55ADC0B1" w14:textId="00D01336" w:rsidR="00C727D2" w:rsidRPr="00097875" w:rsidRDefault="00C727D2" w:rsidP="00097875">
      <w:pPr>
        <w:pStyle w:val="ListParagraph"/>
        <w:numPr>
          <w:ilvl w:val="0"/>
          <w:numId w:val="11"/>
        </w:numPr>
        <w:spacing w:line="480" w:lineRule="auto"/>
        <w:rPr>
          <w:rFonts w:ascii="Arial" w:hAnsi="Arial" w:cs="Arial"/>
          <w:sz w:val="24"/>
          <w:szCs w:val="24"/>
        </w:rPr>
      </w:pPr>
      <w:r w:rsidRPr="00097875">
        <w:rPr>
          <w:rFonts w:ascii="Arial" w:hAnsi="Arial" w:cs="Arial"/>
          <w:sz w:val="24"/>
          <w:szCs w:val="24"/>
        </w:rPr>
        <w:t xml:space="preserve">Bateman, T. (2015) “Keeping up (tough) appearances: The age of criminal responsibility,” </w:t>
      </w:r>
      <w:r w:rsidRPr="00097875">
        <w:rPr>
          <w:rFonts w:ascii="Arial" w:hAnsi="Arial" w:cs="Arial"/>
          <w:i/>
          <w:iCs/>
          <w:sz w:val="24"/>
          <w:szCs w:val="24"/>
        </w:rPr>
        <w:t>Criminal Justice Matters,</w:t>
      </w:r>
      <w:r w:rsidRPr="00097875">
        <w:rPr>
          <w:rFonts w:ascii="Arial" w:hAnsi="Arial" w:cs="Arial"/>
          <w:sz w:val="24"/>
          <w:szCs w:val="24"/>
        </w:rPr>
        <w:t xml:space="preserve"> 102(1), pp. 35-36. Available: &lt; </w:t>
      </w:r>
      <w:hyperlink r:id="rId10" w:history="1">
        <w:r w:rsidRPr="00097875">
          <w:rPr>
            <w:rStyle w:val="Hyperlink"/>
            <w:rFonts w:ascii="Arial" w:hAnsi="Arial" w:cs="Arial"/>
            <w:sz w:val="24"/>
            <w:szCs w:val="24"/>
          </w:rPr>
          <w:t>https://www.crimeandjustice.org.uk/sites/crimeandjustice.org.uk/files/09627251.2015.1143641.pdf</w:t>
        </w:r>
      </w:hyperlink>
      <w:r w:rsidRPr="00097875">
        <w:rPr>
          <w:rFonts w:ascii="Arial" w:hAnsi="Arial" w:cs="Arial"/>
          <w:sz w:val="24"/>
          <w:szCs w:val="24"/>
        </w:rPr>
        <w:t xml:space="preserve"> &gt; [Accessed: 7</w:t>
      </w:r>
      <w:r w:rsidRPr="00097875">
        <w:rPr>
          <w:rFonts w:ascii="Arial" w:hAnsi="Arial" w:cs="Arial"/>
          <w:sz w:val="24"/>
          <w:szCs w:val="24"/>
          <w:vertAlign w:val="superscript"/>
        </w:rPr>
        <w:t>th</w:t>
      </w:r>
      <w:r w:rsidRPr="00097875">
        <w:rPr>
          <w:rFonts w:ascii="Arial" w:hAnsi="Arial" w:cs="Arial"/>
          <w:sz w:val="24"/>
          <w:szCs w:val="24"/>
        </w:rPr>
        <w:t xml:space="preserve"> November 2022].</w:t>
      </w:r>
    </w:p>
    <w:p w14:paraId="497DA8CD" w14:textId="77B2FF24" w:rsidR="00684284" w:rsidRPr="00097875" w:rsidRDefault="00684284" w:rsidP="00097875">
      <w:pPr>
        <w:pStyle w:val="ListParagraph"/>
        <w:numPr>
          <w:ilvl w:val="0"/>
          <w:numId w:val="11"/>
        </w:numPr>
        <w:spacing w:line="480" w:lineRule="auto"/>
        <w:rPr>
          <w:rFonts w:ascii="Arial" w:hAnsi="Arial" w:cs="Arial"/>
          <w:sz w:val="24"/>
          <w:szCs w:val="24"/>
        </w:rPr>
      </w:pPr>
      <w:r w:rsidRPr="00097875">
        <w:rPr>
          <w:rFonts w:ascii="Arial" w:hAnsi="Arial" w:cs="Arial"/>
          <w:sz w:val="24"/>
          <w:szCs w:val="24"/>
        </w:rPr>
        <w:t>Bellis, M., Ashton, K., Hughes, K.,</w:t>
      </w:r>
      <w:r w:rsidR="00324FE4" w:rsidRPr="00097875">
        <w:rPr>
          <w:rFonts w:ascii="Arial" w:hAnsi="Arial" w:cs="Arial"/>
          <w:sz w:val="24"/>
          <w:szCs w:val="24"/>
        </w:rPr>
        <w:t xml:space="preserve"> Ford, K., Bishop, J. and </w:t>
      </w:r>
      <w:proofErr w:type="spellStart"/>
      <w:r w:rsidR="00324FE4" w:rsidRPr="00097875">
        <w:rPr>
          <w:rFonts w:ascii="Arial" w:hAnsi="Arial" w:cs="Arial"/>
          <w:sz w:val="24"/>
          <w:szCs w:val="24"/>
        </w:rPr>
        <w:t>Paranjothy</w:t>
      </w:r>
      <w:proofErr w:type="spellEnd"/>
      <w:r w:rsidR="00324FE4" w:rsidRPr="00097875">
        <w:rPr>
          <w:rFonts w:ascii="Arial" w:hAnsi="Arial" w:cs="Arial"/>
          <w:sz w:val="24"/>
          <w:szCs w:val="24"/>
        </w:rPr>
        <w:t xml:space="preserve">, S. (2015) </w:t>
      </w:r>
      <w:r w:rsidR="00324FE4" w:rsidRPr="00097875">
        <w:rPr>
          <w:rFonts w:ascii="Arial" w:hAnsi="Arial" w:cs="Arial"/>
          <w:i/>
          <w:iCs/>
          <w:sz w:val="24"/>
          <w:szCs w:val="24"/>
        </w:rPr>
        <w:t>Adverse childhood experiences and their impact on health-harming behaviours in the Welsh adult population</w:t>
      </w:r>
      <w:r w:rsidR="00324FE4" w:rsidRPr="00097875">
        <w:rPr>
          <w:rFonts w:ascii="Arial" w:hAnsi="Arial" w:cs="Arial"/>
          <w:sz w:val="24"/>
          <w:szCs w:val="24"/>
        </w:rPr>
        <w:t xml:space="preserve">. Available: &lt; </w:t>
      </w:r>
      <w:hyperlink r:id="rId11" w:history="1">
        <w:r w:rsidR="00324FE4" w:rsidRPr="00097875">
          <w:rPr>
            <w:rStyle w:val="Hyperlink"/>
            <w:rFonts w:ascii="Arial" w:hAnsi="Arial" w:cs="Arial"/>
            <w:sz w:val="24"/>
            <w:szCs w:val="24"/>
          </w:rPr>
          <w:t>https://researchonline.ljmu.ac.uk/id/eprint/2648/1/ACE%20Report%20FINAL%20%28E%29.pdf</w:t>
        </w:r>
      </w:hyperlink>
      <w:r w:rsidR="00324FE4" w:rsidRPr="00097875">
        <w:rPr>
          <w:rFonts w:ascii="Arial" w:hAnsi="Arial" w:cs="Arial"/>
          <w:sz w:val="24"/>
          <w:szCs w:val="24"/>
        </w:rPr>
        <w:t xml:space="preserve"> &gt; [Accessed: 13</w:t>
      </w:r>
      <w:r w:rsidR="00324FE4" w:rsidRPr="00097875">
        <w:rPr>
          <w:rFonts w:ascii="Arial" w:hAnsi="Arial" w:cs="Arial"/>
          <w:sz w:val="24"/>
          <w:szCs w:val="24"/>
          <w:vertAlign w:val="superscript"/>
        </w:rPr>
        <w:t>th</w:t>
      </w:r>
      <w:r w:rsidR="00324FE4" w:rsidRPr="00097875">
        <w:rPr>
          <w:rFonts w:ascii="Arial" w:hAnsi="Arial" w:cs="Arial"/>
          <w:sz w:val="24"/>
          <w:szCs w:val="24"/>
        </w:rPr>
        <w:t xml:space="preserve"> November 2022].</w:t>
      </w:r>
    </w:p>
    <w:p w14:paraId="7C5B922D" w14:textId="12A6F960" w:rsidR="00BA7330" w:rsidRPr="00097875" w:rsidRDefault="00BA7330" w:rsidP="00097875">
      <w:pPr>
        <w:pStyle w:val="ListParagraph"/>
        <w:numPr>
          <w:ilvl w:val="0"/>
          <w:numId w:val="11"/>
        </w:numPr>
        <w:spacing w:line="480" w:lineRule="auto"/>
        <w:rPr>
          <w:rFonts w:ascii="Arial" w:hAnsi="Arial" w:cs="Arial"/>
          <w:sz w:val="24"/>
          <w:szCs w:val="24"/>
        </w:rPr>
      </w:pPr>
      <w:r w:rsidRPr="00097875">
        <w:rPr>
          <w:rFonts w:ascii="Arial" w:hAnsi="Arial" w:cs="Arial"/>
          <w:sz w:val="24"/>
          <w:szCs w:val="24"/>
        </w:rPr>
        <w:t xml:space="preserve">Brown, A. and Charles, A. (2019) “The minimum age of criminal responsibility: The need for a holistic approach,” </w:t>
      </w:r>
      <w:r w:rsidRPr="00097875">
        <w:rPr>
          <w:rFonts w:ascii="Arial" w:hAnsi="Arial" w:cs="Arial"/>
          <w:i/>
          <w:iCs/>
          <w:sz w:val="24"/>
          <w:szCs w:val="24"/>
        </w:rPr>
        <w:t>Youth Justice</w:t>
      </w:r>
      <w:r w:rsidRPr="00097875">
        <w:rPr>
          <w:rFonts w:ascii="Arial" w:hAnsi="Arial" w:cs="Arial"/>
          <w:sz w:val="24"/>
          <w:szCs w:val="24"/>
        </w:rPr>
        <w:t xml:space="preserve">, 21(2), pp. 153-171. Available: &lt; </w:t>
      </w:r>
      <w:hyperlink r:id="rId12" w:anchor="bibr6-1473225419893782" w:history="1">
        <w:r w:rsidRPr="00097875">
          <w:rPr>
            <w:rStyle w:val="Hyperlink"/>
            <w:rFonts w:ascii="Arial" w:hAnsi="Arial" w:cs="Arial"/>
            <w:sz w:val="24"/>
            <w:szCs w:val="24"/>
          </w:rPr>
          <w:t>https://journals-sagepub-</w:t>
        </w:r>
        <w:r w:rsidRPr="00097875">
          <w:rPr>
            <w:rStyle w:val="Hyperlink"/>
            <w:rFonts w:ascii="Arial" w:hAnsi="Arial" w:cs="Arial"/>
            <w:sz w:val="24"/>
            <w:szCs w:val="24"/>
          </w:rPr>
          <w:lastRenderedPageBreak/>
          <w:t>com.ezproxy.uwtsd.ac.uk/doi/full/10.1177/1473225419893782#bibr6-1473225419893782</w:t>
        </w:r>
      </w:hyperlink>
      <w:r w:rsidRPr="00097875">
        <w:rPr>
          <w:rFonts w:ascii="Arial" w:hAnsi="Arial" w:cs="Arial"/>
          <w:sz w:val="24"/>
          <w:szCs w:val="24"/>
        </w:rPr>
        <w:t xml:space="preserve"> &gt; [Accessed: 13</w:t>
      </w:r>
      <w:r w:rsidRPr="00097875">
        <w:rPr>
          <w:rFonts w:ascii="Arial" w:hAnsi="Arial" w:cs="Arial"/>
          <w:sz w:val="24"/>
          <w:szCs w:val="24"/>
          <w:vertAlign w:val="superscript"/>
        </w:rPr>
        <w:t>th</w:t>
      </w:r>
      <w:r w:rsidRPr="00097875">
        <w:rPr>
          <w:rFonts w:ascii="Arial" w:hAnsi="Arial" w:cs="Arial"/>
          <w:sz w:val="24"/>
          <w:szCs w:val="24"/>
        </w:rPr>
        <w:t xml:space="preserve"> November 2022].</w:t>
      </w:r>
    </w:p>
    <w:p w14:paraId="5BD072F5" w14:textId="3B85805E" w:rsidR="000214CF" w:rsidRPr="00097875" w:rsidRDefault="000214CF" w:rsidP="00097875">
      <w:pPr>
        <w:pStyle w:val="ListParagraph"/>
        <w:numPr>
          <w:ilvl w:val="0"/>
          <w:numId w:val="11"/>
        </w:numPr>
        <w:spacing w:line="480" w:lineRule="auto"/>
        <w:rPr>
          <w:rFonts w:ascii="Arial" w:hAnsi="Arial" w:cs="Arial"/>
          <w:sz w:val="24"/>
          <w:szCs w:val="24"/>
        </w:rPr>
      </w:pPr>
      <w:proofErr w:type="spellStart"/>
      <w:r w:rsidRPr="00097875">
        <w:rPr>
          <w:rFonts w:ascii="Arial" w:hAnsi="Arial" w:cs="Arial"/>
          <w:sz w:val="24"/>
          <w:szCs w:val="24"/>
        </w:rPr>
        <w:t>Caluori</w:t>
      </w:r>
      <w:proofErr w:type="spellEnd"/>
      <w:r w:rsidRPr="00097875">
        <w:rPr>
          <w:rFonts w:ascii="Arial" w:hAnsi="Arial" w:cs="Arial"/>
          <w:sz w:val="24"/>
          <w:szCs w:val="24"/>
        </w:rPr>
        <w:t xml:space="preserve">, J., Corlett, M. and Stott, J. (2020) </w:t>
      </w:r>
      <w:r w:rsidRPr="00097875">
        <w:rPr>
          <w:rFonts w:ascii="Arial" w:hAnsi="Arial" w:cs="Arial"/>
          <w:i/>
          <w:iCs/>
          <w:sz w:val="24"/>
          <w:szCs w:val="24"/>
        </w:rPr>
        <w:t>County Lines and Looked After Children</w:t>
      </w:r>
      <w:r w:rsidRPr="00097875">
        <w:rPr>
          <w:rFonts w:ascii="Arial" w:hAnsi="Arial" w:cs="Arial"/>
          <w:sz w:val="24"/>
          <w:szCs w:val="24"/>
        </w:rPr>
        <w:t xml:space="preserve">. Crest Advisory. Available: &lt; </w:t>
      </w:r>
      <w:hyperlink r:id="rId13" w:history="1">
        <w:r w:rsidRPr="00097875">
          <w:rPr>
            <w:rStyle w:val="Hyperlink"/>
            <w:rFonts w:ascii="Arial" w:hAnsi="Arial" w:cs="Arial"/>
            <w:sz w:val="24"/>
            <w:szCs w:val="24"/>
          </w:rPr>
          <w:t>http://sites.southglos.gov.uk/safeguarding/wp-content/uploads/sites/221/2015/05/County-Lines-and-Looked-After-Children-Crest.pdf</w:t>
        </w:r>
      </w:hyperlink>
      <w:r w:rsidRPr="00097875">
        <w:rPr>
          <w:rFonts w:ascii="Arial" w:hAnsi="Arial" w:cs="Arial"/>
          <w:sz w:val="24"/>
          <w:szCs w:val="24"/>
        </w:rPr>
        <w:t xml:space="preserve"> &gt; [Accessed: 8</w:t>
      </w:r>
      <w:r w:rsidRPr="00097875">
        <w:rPr>
          <w:rFonts w:ascii="Arial" w:hAnsi="Arial" w:cs="Arial"/>
          <w:sz w:val="24"/>
          <w:szCs w:val="24"/>
          <w:vertAlign w:val="superscript"/>
        </w:rPr>
        <w:t>th</w:t>
      </w:r>
      <w:r w:rsidRPr="00097875">
        <w:rPr>
          <w:rFonts w:ascii="Arial" w:hAnsi="Arial" w:cs="Arial"/>
          <w:sz w:val="24"/>
          <w:szCs w:val="24"/>
        </w:rPr>
        <w:t xml:space="preserve"> November 2022].</w:t>
      </w:r>
    </w:p>
    <w:p w14:paraId="0B9A5DEF" w14:textId="1BEC8CEF" w:rsidR="00E60BCD" w:rsidRPr="00097875" w:rsidRDefault="00E60BCD" w:rsidP="00097875">
      <w:pPr>
        <w:pStyle w:val="ListParagraph"/>
        <w:numPr>
          <w:ilvl w:val="0"/>
          <w:numId w:val="11"/>
        </w:numPr>
        <w:spacing w:line="480" w:lineRule="auto"/>
        <w:rPr>
          <w:rFonts w:ascii="Arial" w:hAnsi="Arial" w:cs="Arial"/>
          <w:sz w:val="24"/>
          <w:szCs w:val="24"/>
        </w:rPr>
      </w:pPr>
      <w:proofErr w:type="spellStart"/>
      <w:r w:rsidRPr="00097875">
        <w:rPr>
          <w:rFonts w:ascii="Arial" w:hAnsi="Arial" w:cs="Arial"/>
          <w:sz w:val="24"/>
          <w:szCs w:val="24"/>
        </w:rPr>
        <w:t>Chantler</w:t>
      </w:r>
      <w:proofErr w:type="spellEnd"/>
      <w:r w:rsidRPr="00097875">
        <w:rPr>
          <w:rFonts w:ascii="Arial" w:hAnsi="Arial" w:cs="Arial"/>
          <w:sz w:val="24"/>
          <w:szCs w:val="24"/>
        </w:rPr>
        <w:t xml:space="preserve">-Hicks, L. (2022) </w:t>
      </w:r>
      <w:r w:rsidRPr="00097875">
        <w:rPr>
          <w:rFonts w:ascii="Arial" w:hAnsi="Arial" w:cs="Arial"/>
          <w:i/>
          <w:iCs/>
          <w:sz w:val="24"/>
          <w:szCs w:val="24"/>
        </w:rPr>
        <w:t>James Bulger’s mum Denise Fergus urges government to intervene and keep son’s killer Jon Venables in prison</w:t>
      </w:r>
      <w:r w:rsidRPr="00097875">
        <w:rPr>
          <w:rFonts w:ascii="Arial" w:hAnsi="Arial" w:cs="Arial"/>
          <w:sz w:val="24"/>
          <w:szCs w:val="24"/>
        </w:rPr>
        <w:t xml:space="preserve">. Available: &lt; </w:t>
      </w:r>
      <w:hyperlink r:id="rId14" w:history="1">
        <w:r w:rsidRPr="00097875">
          <w:rPr>
            <w:rStyle w:val="Hyperlink"/>
            <w:rFonts w:ascii="Arial" w:hAnsi="Arial" w:cs="Arial"/>
            <w:sz w:val="24"/>
            <w:szCs w:val="24"/>
          </w:rPr>
          <w:t>https://www.standard.co.uk/news/crime/james-bulger-denise-fergus-jon-venables-murderer-prison-parole-hearing-b1032070.html</w:t>
        </w:r>
      </w:hyperlink>
      <w:r w:rsidRPr="00097875">
        <w:rPr>
          <w:rFonts w:ascii="Arial" w:hAnsi="Arial" w:cs="Arial"/>
          <w:sz w:val="24"/>
          <w:szCs w:val="24"/>
        </w:rPr>
        <w:t xml:space="preserve"> &gt; [Accessed: 16</w:t>
      </w:r>
      <w:r w:rsidRPr="00097875">
        <w:rPr>
          <w:rFonts w:ascii="Arial" w:hAnsi="Arial" w:cs="Arial"/>
          <w:sz w:val="24"/>
          <w:szCs w:val="24"/>
          <w:vertAlign w:val="superscript"/>
        </w:rPr>
        <w:t>th</w:t>
      </w:r>
      <w:r w:rsidRPr="00097875">
        <w:rPr>
          <w:rFonts w:ascii="Arial" w:hAnsi="Arial" w:cs="Arial"/>
          <w:sz w:val="24"/>
          <w:szCs w:val="24"/>
        </w:rPr>
        <w:t xml:space="preserve"> November 2022].</w:t>
      </w:r>
    </w:p>
    <w:p w14:paraId="6256DF33" w14:textId="627E6D2E" w:rsidR="0081573F" w:rsidRPr="00097875" w:rsidRDefault="0081573F" w:rsidP="00097875">
      <w:pPr>
        <w:pStyle w:val="ListParagraph"/>
        <w:numPr>
          <w:ilvl w:val="0"/>
          <w:numId w:val="11"/>
        </w:numPr>
        <w:spacing w:line="480" w:lineRule="auto"/>
        <w:rPr>
          <w:rFonts w:ascii="Arial" w:hAnsi="Arial" w:cs="Arial"/>
          <w:sz w:val="24"/>
          <w:szCs w:val="24"/>
        </w:rPr>
      </w:pPr>
      <w:r w:rsidRPr="00097875">
        <w:rPr>
          <w:rFonts w:ascii="Arial" w:hAnsi="Arial" w:cs="Arial"/>
          <w:sz w:val="24"/>
          <w:szCs w:val="24"/>
        </w:rPr>
        <w:t xml:space="preserve">Children and Young People’s Commissioner Scotland (2022) Minimum Age of Criminal Responsibility. Available: &lt; </w:t>
      </w:r>
      <w:hyperlink r:id="rId15" w:history="1">
        <w:r w:rsidRPr="00097875">
          <w:rPr>
            <w:rStyle w:val="Hyperlink"/>
            <w:rFonts w:ascii="Arial" w:hAnsi="Arial" w:cs="Arial"/>
            <w:sz w:val="24"/>
            <w:szCs w:val="24"/>
          </w:rPr>
          <w:t>https://www.cypcs.org.uk/positions/age-of-criminal-responsibility/</w:t>
        </w:r>
      </w:hyperlink>
      <w:r w:rsidRPr="00097875">
        <w:rPr>
          <w:rFonts w:ascii="Arial" w:hAnsi="Arial" w:cs="Arial"/>
          <w:sz w:val="24"/>
          <w:szCs w:val="24"/>
        </w:rPr>
        <w:t xml:space="preserve"> &gt; [Accessed: 7</w:t>
      </w:r>
      <w:r w:rsidRPr="00097875">
        <w:rPr>
          <w:rFonts w:ascii="Arial" w:hAnsi="Arial" w:cs="Arial"/>
          <w:sz w:val="24"/>
          <w:szCs w:val="24"/>
          <w:vertAlign w:val="superscript"/>
        </w:rPr>
        <w:t>th</w:t>
      </w:r>
      <w:r w:rsidRPr="00097875">
        <w:rPr>
          <w:rFonts w:ascii="Arial" w:hAnsi="Arial" w:cs="Arial"/>
          <w:sz w:val="24"/>
          <w:szCs w:val="24"/>
        </w:rPr>
        <w:t xml:space="preserve"> November 2022].</w:t>
      </w:r>
    </w:p>
    <w:p w14:paraId="6B25BD45" w14:textId="4C3BFDAB" w:rsidR="00C727D2" w:rsidRPr="00097875" w:rsidRDefault="00C727D2" w:rsidP="00097875">
      <w:pPr>
        <w:pStyle w:val="ListParagraph"/>
        <w:numPr>
          <w:ilvl w:val="0"/>
          <w:numId w:val="11"/>
        </w:numPr>
        <w:spacing w:line="480" w:lineRule="auto"/>
        <w:jc w:val="both"/>
        <w:rPr>
          <w:rFonts w:ascii="Arial" w:hAnsi="Arial" w:cs="Arial"/>
          <w:sz w:val="24"/>
          <w:szCs w:val="24"/>
        </w:rPr>
      </w:pPr>
      <w:r w:rsidRPr="00097875">
        <w:rPr>
          <w:rFonts w:ascii="Arial" w:hAnsi="Arial" w:cs="Arial"/>
          <w:sz w:val="24"/>
          <w:szCs w:val="24"/>
        </w:rPr>
        <w:t xml:space="preserve">Coram Children’s Legal Centre (2020) </w:t>
      </w:r>
      <w:r w:rsidRPr="00097875">
        <w:rPr>
          <w:rFonts w:ascii="Arial" w:hAnsi="Arial" w:cs="Arial"/>
          <w:i/>
          <w:iCs/>
          <w:sz w:val="24"/>
          <w:szCs w:val="24"/>
        </w:rPr>
        <w:t>Age of Criminal Responsibility.</w:t>
      </w:r>
      <w:r w:rsidRPr="00097875">
        <w:rPr>
          <w:rFonts w:ascii="Arial" w:hAnsi="Arial" w:cs="Arial"/>
          <w:sz w:val="24"/>
          <w:szCs w:val="24"/>
        </w:rPr>
        <w:t xml:space="preserve"> Available: &lt; </w:t>
      </w:r>
      <w:hyperlink r:id="rId16" w:history="1">
        <w:r w:rsidRPr="00097875">
          <w:rPr>
            <w:rStyle w:val="Hyperlink"/>
            <w:rFonts w:ascii="Arial" w:hAnsi="Arial" w:cs="Arial"/>
            <w:sz w:val="24"/>
            <w:szCs w:val="24"/>
          </w:rPr>
          <w:t>https://www.cypnow.co.uk/other/article/age-of-criminal-responsibility</w:t>
        </w:r>
      </w:hyperlink>
      <w:r w:rsidRPr="00097875">
        <w:rPr>
          <w:rFonts w:ascii="Arial" w:hAnsi="Arial" w:cs="Arial"/>
          <w:sz w:val="24"/>
          <w:szCs w:val="24"/>
        </w:rPr>
        <w:t xml:space="preserve"> &gt; [Accessed: 7</w:t>
      </w:r>
      <w:r w:rsidRPr="00097875">
        <w:rPr>
          <w:rFonts w:ascii="Arial" w:hAnsi="Arial" w:cs="Arial"/>
          <w:sz w:val="24"/>
          <w:szCs w:val="24"/>
          <w:vertAlign w:val="superscript"/>
        </w:rPr>
        <w:t>th</w:t>
      </w:r>
      <w:r w:rsidRPr="00097875">
        <w:rPr>
          <w:rFonts w:ascii="Arial" w:hAnsi="Arial" w:cs="Arial"/>
          <w:sz w:val="24"/>
          <w:szCs w:val="24"/>
        </w:rPr>
        <w:t xml:space="preserve"> November 2022].</w:t>
      </w:r>
    </w:p>
    <w:p w14:paraId="347F6536" w14:textId="1CDC8777" w:rsidR="00126761" w:rsidRPr="00097875" w:rsidRDefault="00126761" w:rsidP="00097875">
      <w:pPr>
        <w:pStyle w:val="ListParagraph"/>
        <w:numPr>
          <w:ilvl w:val="0"/>
          <w:numId w:val="11"/>
        </w:numPr>
        <w:spacing w:line="480" w:lineRule="auto"/>
        <w:jc w:val="both"/>
        <w:rPr>
          <w:rFonts w:ascii="Arial" w:hAnsi="Arial" w:cs="Arial"/>
          <w:sz w:val="24"/>
          <w:szCs w:val="24"/>
        </w:rPr>
      </w:pPr>
      <w:r w:rsidRPr="00097875">
        <w:rPr>
          <w:rFonts w:ascii="Arial" w:hAnsi="Arial" w:cs="Arial"/>
          <w:sz w:val="24"/>
          <w:szCs w:val="24"/>
        </w:rPr>
        <w:t xml:space="preserve">Elliott, R. (2018) </w:t>
      </w:r>
      <w:r w:rsidRPr="00097875">
        <w:rPr>
          <w:rFonts w:ascii="Arial" w:hAnsi="Arial" w:cs="Arial"/>
          <w:i/>
          <w:iCs/>
          <w:sz w:val="24"/>
          <w:szCs w:val="24"/>
        </w:rPr>
        <w:t>Adverse Childhood Experiences (ACEs).</w:t>
      </w:r>
      <w:r w:rsidRPr="00097875">
        <w:rPr>
          <w:rFonts w:ascii="Arial" w:hAnsi="Arial" w:cs="Arial"/>
          <w:sz w:val="24"/>
          <w:szCs w:val="24"/>
        </w:rPr>
        <w:t xml:space="preserve"> Available: &lt; </w:t>
      </w:r>
      <w:hyperlink r:id="rId17" w:history="1">
        <w:r w:rsidRPr="00097875">
          <w:rPr>
            <w:rStyle w:val="Hyperlink"/>
            <w:rFonts w:ascii="Arial" w:hAnsi="Arial" w:cs="Arial"/>
            <w:sz w:val="24"/>
            <w:szCs w:val="24"/>
          </w:rPr>
          <w:t>https://www.pengreen.org/2018/03/20/adverse-childhood-experiences-aces/</w:t>
        </w:r>
      </w:hyperlink>
      <w:r w:rsidRPr="00097875">
        <w:rPr>
          <w:rFonts w:ascii="Arial" w:hAnsi="Arial" w:cs="Arial"/>
          <w:sz w:val="24"/>
          <w:szCs w:val="24"/>
        </w:rPr>
        <w:t xml:space="preserve"> &gt; [Accessed: 14</w:t>
      </w:r>
      <w:r w:rsidRPr="00097875">
        <w:rPr>
          <w:rFonts w:ascii="Arial" w:hAnsi="Arial" w:cs="Arial"/>
          <w:sz w:val="24"/>
          <w:szCs w:val="24"/>
          <w:vertAlign w:val="superscript"/>
        </w:rPr>
        <w:t>th</w:t>
      </w:r>
      <w:r w:rsidRPr="00097875">
        <w:rPr>
          <w:rFonts w:ascii="Arial" w:hAnsi="Arial" w:cs="Arial"/>
          <w:sz w:val="24"/>
          <w:szCs w:val="24"/>
        </w:rPr>
        <w:t xml:space="preserve"> November 2022].</w:t>
      </w:r>
    </w:p>
    <w:p w14:paraId="6700F8BF" w14:textId="74F4CBAD" w:rsidR="00974A88" w:rsidRPr="00097875" w:rsidRDefault="004955AD" w:rsidP="00097875">
      <w:pPr>
        <w:pStyle w:val="ListParagraph"/>
        <w:numPr>
          <w:ilvl w:val="0"/>
          <w:numId w:val="11"/>
        </w:numPr>
        <w:spacing w:line="480" w:lineRule="auto"/>
        <w:jc w:val="both"/>
        <w:rPr>
          <w:rFonts w:ascii="Arial" w:hAnsi="Arial" w:cs="Arial"/>
          <w:sz w:val="24"/>
          <w:szCs w:val="24"/>
        </w:rPr>
      </w:pPr>
      <w:proofErr w:type="spellStart"/>
      <w:r w:rsidRPr="00097875">
        <w:rPr>
          <w:rFonts w:ascii="Arial" w:hAnsi="Arial" w:cs="Arial"/>
          <w:sz w:val="24"/>
          <w:szCs w:val="24"/>
        </w:rPr>
        <w:t>Fionda</w:t>
      </w:r>
      <w:proofErr w:type="spellEnd"/>
      <w:r w:rsidRPr="00097875">
        <w:rPr>
          <w:rFonts w:ascii="Arial" w:hAnsi="Arial" w:cs="Arial"/>
          <w:sz w:val="24"/>
          <w:szCs w:val="24"/>
        </w:rPr>
        <w:t xml:space="preserve">, J. (2005) </w:t>
      </w:r>
      <w:r w:rsidRPr="00097875">
        <w:rPr>
          <w:rFonts w:ascii="Arial" w:hAnsi="Arial" w:cs="Arial"/>
          <w:i/>
          <w:iCs/>
          <w:sz w:val="24"/>
          <w:szCs w:val="24"/>
        </w:rPr>
        <w:t>Devils and Angels</w:t>
      </w:r>
      <w:r w:rsidR="004213CE" w:rsidRPr="00097875">
        <w:rPr>
          <w:rFonts w:ascii="Arial" w:hAnsi="Arial" w:cs="Arial"/>
          <w:i/>
          <w:iCs/>
          <w:sz w:val="24"/>
          <w:szCs w:val="24"/>
        </w:rPr>
        <w:t>: Youth Policy and Crime</w:t>
      </w:r>
      <w:r w:rsidR="004213CE" w:rsidRPr="00097875">
        <w:rPr>
          <w:rFonts w:ascii="Arial" w:hAnsi="Arial" w:cs="Arial"/>
          <w:sz w:val="24"/>
          <w:szCs w:val="24"/>
        </w:rPr>
        <w:t>. Oxford: Hart.</w:t>
      </w:r>
    </w:p>
    <w:p w14:paraId="6E36B1E4" w14:textId="106B982A" w:rsidR="00974A88" w:rsidRPr="00097875" w:rsidRDefault="00974A88" w:rsidP="00097875">
      <w:pPr>
        <w:pStyle w:val="ListParagraph"/>
        <w:numPr>
          <w:ilvl w:val="0"/>
          <w:numId w:val="11"/>
        </w:numPr>
        <w:spacing w:line="480" w:lineRule="auto"/>
        <w:jc w:val="both"/>
        <w:rPr>
          <w:rFonts w:ascii="Arial" w:hAnsi="Arial" w:cs="Arial"/>
          <w:sz w:val="24"/>
          <w:szCs w:val="24"/>
        </w:rPr>
      </w:pPr>
      <w:r w:rsidRPr="00097875">
        <w:rPr>
          <w:rFonts w:ascii="Arial" w:hAnsi="Arial" w:cs="Arial"/>
          <w:sz w:val="24"/>
          <w:szCs w:val="24"/>
        </w:rPr>
        <w:t xml:space="preserve">Ford, E. (2010) </w:t>
      </w:r>
      <w:r w:rsidRPr="00097875">
        <w:rPr>
          <w:rFonts w:ascii="Arial" w:hAnsi="Arial" w:cs="Arial"/>
          <w:i/>
          <w:iCs/>
          <w:sz w:val="24"/>
          <w:szCs w:val="24"/>
        </w:rPr>
        <w:t>Rehabilitation failure shows failure of whole prison system</w:t>
      </w:r>
      <w:r w:rsidRPr="00097875">
        <w:rPr>
          <w:rFonts w:ascii="Arial" w:hAnsi="Arial" w:cs="Arial"/>
          <w:sz w:val="24"/>
          <w:szCs w:val="24"/>
        </w:rPr>
        <w:t xml:space="preserve">. Available: &lt; </w:t>
      </w:r>
      <w:hyperlink r:id="rId18" w:history="1">
        <w:r w:rsidRPr="00097875">
          <w:rPr>
            <w:rStyle w:val="Hyperlink"/>
            <w:rFonts w:ascii="Arial" w:hAnsi="Arial" w:cs="Arial"/>
            <w:sz w:val="24"/>
            <w:szCs w:val="24"/>
          </w:rPr>
          <w:t>https://weeklyworker.co.uk/worker/828/rehabilitation-failure-shows-failure-of-whole-pris/</w:t>
        </w:r>
      </w:hyperlink>
      <w:r w:rsidRPr="00097875">
        <w:rPr>
          <w:rFonts w:ascii="Arial" w:hAnsi="Arial" w:cs="Arial"/>
          <w:sz w:val="24"/>
          <w:szCs w:val="24"/>
        </w:rPr>
        <w:t xml:space="preserve"> &gt; [Accessed: 16</w:t>
      </w:r>
      <w:r w:rsidRPr="00097875">
        <w:rPr>
          <w:rFonts w:ascii="Arial" w:hAnsi="Arial" w:cs="Arial"/>
          <w:sz w:val="24"/>
          <w:szCs w:val="24"/>
          <w:vertAlign w:val="superscript"/>
        </w:rPr>
        <w:t>th</w:t>
      </w:r>
      <w:r w:rsidRPr="00097875">
        <w:rPr>
          <w:rFonts w:ascii="Arial" w:hAnsi="Arial" w:cs="Arial"/>
          <w:sz w:val="24"/>
          <w:szCs w:val="24"/>
        </w:rPr>
        <w:t xml:space="preserve"> November 2022].</w:t>
      </w:r>
    </w:p>
    <w:p w14:paraId="6DCFFFF0" w14:textId="6F50F522" w:rsidR="00974A88" w:rsidRPr="00097875" w:rsidRDefault="00AD4D76" w:rsidP="00097875">
      <w:pPr>
        <w:pStyle w:val="ListParagraph"/>
        <w:numPr>
          <w:ilvl w:val="0"/>
          <w:numId w:val="11"/>
        </w:numPr>
        <w:spacing w:line="480" w:lineRule="auto"/>
        <w:jc w:val="both"/>
        <w:rPr>
          <w:rFonts w:ascii="Arial" w:hAnsi="Arial" w:cs="Arial"/>
          <w:sz w:val="24"/>
          <w:szCs w:val="24"/>
        </w:rPr>
      </w:pPr>
      <w:r w:rsidRPr="00097875">
        <w:rPr>
          <w:rFonts w:ascii="Arial" w:hAnsi="Arial" w:cs="Arial"/>
          <w:sz w:val="24"/>
          <w:szCs w:val="24"/>
        </w:rPr>
        <w:lastRenderedPageBreak/>
        <w:t xml:space="preserve">Burr, J. and </w:t>
      </w:r>
      <w:proofErr w:type="spellStart"/>
      <w:r w:rsidRPr="00097875">
        <w:rPr>
          <w:rFonts w:ascii="Arial" w:hAnsi="Arial" w:cs="Arial"/>
          <w:sz w:val="24"/>
          <w:szCs w:val="24"/>
        </w:rPr>
        <w:t>Goldinger</w:t>
      </w:r>
      <w:proofErr w:type="spellEnd"/>
      <w:r w:rsidRPr="00097875">
        <w:rPr>
          <w:rFonts w:ascii="Arial" w:hAnsi="Arial" w:cs="Arial"/>
          <w:sz w:val="24"/>
          <w:szCs w:val="24"/>
        </w:rPr>
        <w:t xml:space="preserve">, M. (2004) </w:t>
      </w:r>
      <w:r w:rsidRPr="00097875">
        <w:rPr>
          <w:rFonts w:ascii="Arial" w:hAnsi="Arial" w:cs="Arial"/>
          <w:i/>
          <w:iCs/>
          <w:sz w:val="24"/>
          <w:szCs w:val="24"/>
        </w:rPr>
        <w:t>Freedom, Determinism, and the Case for Moral Responsibility: A Look Back at the Murder of James Bulger</w:t>
      </w:r>
      <w:r w:rsidRPr="00097875">
        <w:rPr>
          <w:rFonts w:ascii="Arial" w:hAnsi="Arial" w:cs="Arial"/>
          <w:sz w:val="24"/>
          <w:szCs w:val="24"/>
        </w:rPr>
        <w:t xml:space="preserve">. Available: &lt; </w:t>
      </w:r>
      <w:hyperlink r:id="rId19" w:history="1">
        <w:r w:rsidRPr="00097875">
          <w:rPr>
            <w:rStyle w:val="Hyperlink"/>
            <w:rFonts w:ascii="Arial" w:hAnsi="Arial" w:cs="Arial"/>
            <w:sz w:val="24"/>
            <w:szCs w:val="24"/>
          </w:rPr>
          <w:t>https://www.centerforfutureconsciousness.com/pdf_files/2008_Essays/Freedom%20%20Determisnism%20and%20the%20Case%20for%20Moral%20Responsibility%20in%20the%20Murder%20of%20Jamie%20Bulger.pdf</w:t>
        </w:r>
      </w:hyperlink>
      <w:r w:rsidRPr="00097875">
        <w:rPr>
          <w:rFonts w:ascii="Arial" w:hAnsi="Arial" w:cs="Arial"/>
          <w:sz w:val="24"/>
          <w:szCs w:val="24"/>
        </w:rPr>
        <w:t xml:space="preserve"> &gt; [Accessed: 15</w:t>
      </w:r>
      <w:r w:rsidRPr="00097875">
        <w:rPr>
          <w:rFonts w:ascii="Arial" w:hAnsi="Arial" w:cs="Arial"/>
          <w:sz w:val="24"/>
          <w:szCs w:val="24"/>
          <w:vertAlign w:val="superscript"/>
        </w:rPr>
        <w:t>th</w:t>
      </w:r>
      <w:r w:rsidRPr="00097875">
        <w:rPr>
          <w:rFonts w:ascii="Arial" w:hAnsi="Arial" w:cs="Arial"/>
          <w:sz w:val="24"/>
          <w:szCs w:val="24"/>
        </w:rPr>
        <w:t xml:space="preserve"> November 2022].</w:t>
      </w:r>
    </w:p>
    <w:p w14:paraId="5045251A" w14:textId="1B985C31" w:rsidR="0061544F" w:rsidRPr="00097875" w:rsidRDefault="00974A88" w:rsidP="00097875">
      <w:pPr>
        <w:pStyle w:val="ListParagraph"/>
        <w:numPr>
          <w:ilvl w:val="0"/>
          <w:numId w:val="11"/>
        </w:numPr>
        <w:spacing w:line="480" w:lineRule="auto"/>
        <w:jc w:val="both"/>
        <w:rPr>
          <w:rFonts w:ascii="Arial" w:hAnsi="Arial" w:cs="Arial"/>
          <w:sz w:val="24"/>
          <w:szCs w:val="24"/>
        </w:rPr>
      </w:pPr>
      <w:r w:rsidRPr="00097875">
        <w:rPr>
          <w:rFonts w:ascii="Arial" w:hAnsi="Arial" w:cs="Arial"/>
          <w:sz w:val="24"/>
          <w:szCs w:val="24"/>
        </w:rPr>
        <w:t xml:space="preserve">George, T. (2022) </w:t>
      </w:r>
      <w:r w:rsidRPr="00097875">
        <w:rPr>
          <w:rFonts w:ascii="Arial" w:hAnsi="Arial" w:cs="Arial"/>
          <w:i/>
          <w:iCs/>
          <w:sz w:val="24"/>
          <w:szCs w:val="24"/>
        </w:rPr>
        <w:t>James Bulger Killer’s sick list of crimes as lost boy’s mum pleads to keep him jail</w:t>
      </w:r>
      <w:r w:rsidRPr="00097875">
        <w:rPr>
          <w:rFonts w:ascii="Arial" w:hAnsi="Arial" w:cs="Arial"/>
          <w:sz w:val="24"/>
          <w:szCs w:val="24"/>
        </w:rPr>
        <w:t xml:space="preserve">. Available: &lt; </w:t>
      </w:r>
      <w:hyperlink r:id="rId20" w:history="1">
        <w:r w:rsidRPr="00097875">
          <w:rPr>
            <w:rStyle w:val="Hyperlink"/>
            <w:rFonts w:ascii="Arial" w:hAnsi="Arial" w:cs="Arial"/>
            <w:sz w:val="24"/>
            <w:szCs w:val="24"/>
          </w:rPr>
          <w:t>https://www.manchestereveningnews.co.uk/news/uk-news/robert-venables-james-bulger-parole-25263035</w:t>
        </w:r>
      </w:hyperlink>
      <w:r w:rsidRPr="00097875">
        <w:rPr>
          <w:rFonts w:ascii="Arial" w:hAnsi="Arial" w:cs="Arial"/>
          <w:sz w:val="24"/>
          <w:szCs w:val="24"/>
        </w:rPr>
        <w:t xml:space="preserve"> &gt; [Accessed: 16</w:t>
      </w:r>
      <w:r w:rsidRPr="00097875">
        <w:rPr>
          <w:rFonts w:ascii="Arial" w:hAnsi="Arial" w:cs="Arial"/>
          <w:sz w:val="24"/>
          <w:szCs w:val="24"/>
          <w:vertAlign w:val="superscript"/>
        </w:rPr>
        <w:t>th</w:t>
      </w:r>
      <w:r w:rsidRPr="00097875">
        <w:rPr>
          <w:rFonts w:ascii="Arial" w:hAnsi="Arial" w:cs="Arial"/>
          <w:sz w:val="24"/>
          <w:szCs w:val="24"/>
        </w:rPr>
        <w:t xml:space="preserve"> November 2022].</w:t>
      </w:r>
    </w:p>
    <w:p w14:paraId="3F159566" w14:textId="4CAD2D8B" w:rsidR="0061544F" w:rsidRPr="00097875" w:rsidRDefault="0061544F" w:rsidP="00097875">
      <w:pPr>
        <w:pStyle w:val="ListParagraph"/>
        <w:numPr>
          <w:ilvl w:val="0"/>
          <w:numId w:val="11"/>
        </w:numPr>
        <w:spacing w:line="480" w:lineRule="auto"/>
        <w:jc w:val="both"/>
        <w:rPr>
          <w:rFonts w:ascii="Arial" w:hAnsi="Arial" w:cs="Arial"/>
          <w:sz w:val="24"/>
          <w:szCs w:val="24"/>
        </w:rPr>
      </w:pPr>
      <w:r w:rsidRPr="00097875">
        <w:rPr>
          <w:rFonts w:ascii="Arial" w:hAnsi="Arial" w:cs="Arial"/>
          <w:sz w:val="24"/>
          <w:szCs w:val="24"/>
        </w:rPr>
        <w:t xml:space="preserve">Goldson, B. (2009) “Counterblast: ‘difficult to understand or defend’: A Reasoned case for raising the age of criminal responsibility,” </w:t>
      </w:r>
      <w:r w:rsidRPr="00097875">
        <w:rPr>
          <w:rFonts w:ascii="Arial" w:hAnsi="Arial" w:cs="Arial"/>
          <w:i/>
          <w:iCs/>
          <w:sz w:val="24"/>
          <w:szCs w:val="24"/>
        </w:rPr>
        <w:t>The Howard Journal of Criminal Justice</w:t>
      </w:r>
      <w:r w:rsidRPr="00097875">
        <w:rPr>
          <w:rFonts w:ascii="Arial" w:hAnsi="Arial" w:cs="Arial"/>
          <w:sz w:val="24"/>
          <w:szCs w:val="24"/>
        </w:rPr>
        <w:t xml:space="preserve">, 48(5), pp. 514-521. Available: &lt; </w:t>
      </w:r>
      <w:hyperlink r:id="rId21" w:history="1">
        <w:r w:rsidRPr="00097875">
          <w:rPr>
            <w:rStyle w:val="Hyperlink"/>
            <w:rFonts w:ascii="Arial" w:hAnsi="Arial" w:cs="Arial"/>
            <w:sz w:val="24"/>
            <w:szCs w:val="24"/>
          </w:rPr>
          <w:t>https://www.academia.edu/25661841/COUNTERBLAST_Difficult_to_Understand_or_Defend_A_Reasoned_Case_for_Raising_the_Age_of_Criminal_Responsibility_1</w:t>
        </w:r>
      </w:hyperlink>
      <w:r w:rsidRPr="00097875">
        <w:rPr>
          <w:rFonts w:ascii="Arial" w:hAnsi="Arial" w:cs="Arial"/>
          <w:sz w:val="24"/>
          <w:szCs w:val="24"/>
        </w:rPr>
        <w:t xml:space="preserve"> &gt; [Accessed: 16</w:t>
      </w:r>
      <w:r w:rsidRPr="00097875">
        <w:rPr>
          <w:rFonts w:ascii="Arial" w:hAnsi="Arial" w:cs="Arial"/>
          <w:sz w:val="24"/>
          <w:szCs w:val="24"/>
          <w:vertAlign w:val="superscript"/>
        </w:rPr>
        <w:t>th</w:t>
      </w:r>
      <w:r w:rsidRPr="00097875">
        <w:rPr>
          <w:rFonts w:ascii="Arial" w:hAnsi="Arial" w:cs="Arial"/>
          <w:sz w:val="24"/>
          <w:szCs w:val="24"/>
        </w:rPr>
        <w:t xml:space="preserve"> November 2022].</w:t>
      </w:r>
    </w:p>
    <w:p w14:paraId="57151B78" w14:textId="19F75C8D" w:rsidR="00AB3AED" w:rsidRPr="00097875" w:rsidRDefault="00AB3AED" w:rsidP="00097875">
      <w:pPr>
        <w:pStyle w:val="ListParagraph"/>
        <w:numPr>
          <w:ilvl w:val="0"/>
          <w:numId w:val="11"/>
        </w:numPr>
        <w:spacing w:line="480" w:lineRule="auto"/>
        <w:jc w:val="both"/>
        <w:rPr>
          <w:rFonts w:ascii="Arial" w:hAnsi="Arial" w:cs="Arial"/>
          <w:sz w:val="24"/>
          <w:szCs w:val="24"/>
        </w:rPr>
      </w:pPr>
      <w:r w:rsidRPr="00097875">
        <w:rPr>
          <w:rFonts w:ascii="Arial" w:hAnsi="Arial" w:cs="Arial"/>
          <w:sz w:val="24"/>
          <w:szCs w:val="24"/>
        </w:rPr>
        <w:t xml:space="preserve">Gunner, Z. (2020) </w:t>
      </w:r>
      <w:r w:rsidRPr="00097875">
        <w:rPr>
          <w:rFonts w:ascii="Arial" w:hAnsi="Arial" w:cs="Arial"/>
          <w:i/>
          <w:iCs/>
          <w:sz w:val="24"/>
          <w:szCs w:val="24"/>
        </w:rPr>
        <w:t xml:space="preserve">The Age of Criminal Responsibility – Should it be </w:t>
      </w:r>
      <w:proofErr w:type="gramStart"/>
      <w:r w:rsidRPr="00097875">
        <w:rPr>
          <w:rFonts w:ascii="Arial" w:hAnsi="Arial" w:cs="Arial"/>
          <w:i/>
          <w:iCs/>
          <w:sz w:val="24"/>
          <w:szCs w:val="24"/>
        </w:rPr>
        <w:t>increased?.</w:t>
      </w:r>
      <w:proofErr w:type="gramEnd"/>
      <w:r w:rsidRPr="00097875">
        <w:rPr>
          <w:rFonts w:ascii="Arial" w:hAnsi="Arial" w:cs="Arial"/>
          <w:sz w:val="24"/>
          <w:szCs w:val="24"/>
        </w:rPr>
        <w:t xml:space="preserve"> Available: &lt; </w:t>
      </w:r>
      <w:hyperlink r:id="rId22" w:history="1">
        <w:r w:rsidRPr="00097875">
          <w:rPr>
            <w:rStyle w:val="Hyperlink"/>
            <w:rFonts w:ascii="Arial" w:hAnsi="Arial" w:cs="Arial"/>
            <w:sz w:val="24"/>
            <w:szCs w:val="24"/>
          </w:rPr>
          <w:t>https://www.oblaw.co.uk/the-age-of-criminal-responsibility-should-it-be-increased/</w:t>
        </w:r>
      </w:hyperlink>
      <w:r w:rsidRPr="00097875">
        <w:rPr>
          <w:rFonts w:ascii="Arial" w:hAnsi="Arial" w:cs="Arial"/>
          <w:sz w:val="24"/>
          <w:szCs w:val="24"/>
        </w:rPr>
        <w:t xml:space="preserve"> &gt; [Accessed: 8</w:t>
      </w:r>
      <w:r w:rsidRPr="00097875">
        <w:rPr>
          <w:rFonts w:ascii="Arial" w:hAnsi="Arial" w:cs="Arial"/>
          <w:sz w:val="24"/>
          <w:szCs w:val="24"/>
          <w:vertAlign w:val="superscript"/>
        </w:rPr>
        <w:t>th</w:t>
      </w:r>
      <w:r w:rsidRPr="00097875">
        <w:rPr>
          <w:rFonts w:ascii="Arial" w:hAnsi="Arial" w:cs="Arial"/>
          <w:sz w:val="24"/>
          <w:szCs w:val="24"/>
        </w:rPr>
        <w:t xml:space="preserve"> November 2022].</w:t>
      </w:r>
    </w:p>
    <w:p w14:paraId="38AB8B71" w14:textId="77777777" w:rsidR="00B824BA" w:rsidRPr="00097875" w:rsidRDefault="00B824BA" w:rsidP="00097875">
      <w:pPr>
        <w:pStyle w:val="ListParagraph"/>
        <w:numPr>
          <w:ilvl w:val="0"/>
          <w:numId w:val="11"/>
        </w:numPr>
        <w:spacing w:line="480" w:lineRule="auto"/>
        <w:jc w:val="both"/>
        <w:rPr>
          <w:rFonts w:ascii="Arial" w:hAnsi="Arial" w:cs="Arial"/>
          <w:sz w:val="24"/>
          <w:szCs w:val="24"/>
        </w:rPr>
      </w:pPr>
      <w:r w:rsidRPr="00097875">
        <w:rPr>
          <w:rFonts w:ascii="Arial" w:hAnsi="Arial" w:cs="Arial"/>
          <w:sz w:val="24"/>
          <w:szCs w:val="24"/>
        </w:rPr>
        <w:t>Home Office (</w:t>
      </w:r>
      <w:proofErr w:type="spellStart"/>
      <w:r w:rsidRPr="00097875">
        <w:rPr>
          <w:rFonts w:ascii="Arial" w:hAnsi="Arial" w:cs="Arial"/>
          <w:sz w:val="24"/>
          <w:szCs w:val="24"/>
        </w:rPr>
        <w:t>n.d.a</w:t>
      </w:r>
      <w:proofErr w:type="spellEnd"/>
      <w:r w:rsidRPr="00097875">
        <w:rPr>
          <w:rFonts w:ascii="Arial" w:hAnsi="Arial" w:cs="Arial"/>
          <w:sz w:val="24"/>
          <w:szCs w:val="24"/>
        </w:rPr>
        <w:t xml:space="preserve">) </w:t>
      </w:r>
      <w:r w:rsidRPr="00097875">
        <w:rPr>
          <w:rFonts w:ascii="Arial" w:hAnsi="Arial" w:cs="Arial"/>
          <w:i/>
          <w:iCs/>
          <w:sz w:val="24"/>
          <w:szCs w:val="24"/>
        </w:rPr>
        <w:t>Age of criminal responsibility</w:t>
      </w:r>
      <w:r w:rsidRPr="00097875">
        <w:rPr>
          <w:rFonts w:ascii="Arial" w:hAnsi="Arial" w:cs="Arial"/>
          <w:sz w:val="24"/>
          <w:szCs w:val="24"/>
        </w:rPr>
        <w:t xml:space="preserve">. Available: &lt; </w:t>
      </w:r>
      <w:hyperlink r:id="rId23" w:history="1">
        <w:r w:rsidRPr="00097875">
          <w:rPr>
            <w:rStyle w:val="Hyperlink"/>
            <w:rFonts w:ascii="Arial" w:hAnsi="Arial" w:cs="Arial"/>
            <w:sz w:val="24"/>
            <w:szCs w:val="24"/>
          </w:rPr>
          <w:t>https://www.gov.uk/age-of-criminal-responsibility</w:t>
        </w:r>
      </w:hyperlink>
      <w:r w:rsidRPr="00097875">
        <w:rPr>
          <w:rFonts w:ascii="Arial" w:hAnsi="Arial" w:cs="Arial"/>
          <w:sz w:val="24"/>
          <w:szCs w:val="24"/>
        </w:rPr>
        <w:t xml:space="preserve"> &gt; [Accessed: 17</w:t>
      </w:r>
      <w:r w:rsidRPr="00097875">
        <w:rPr>
          <w:rFonts w:ascii="Arial" w:hAnsi="Arial" w:cs="Arial"/>
          <w:sz w:val="24"/>
          <w:szCs w:val="24"/>
          <w:vertAlign w:val="superscript"/>
        </w:rPr>
        <w:t>th</w:t>
      </w:r>
      <w:r w:rsidRPr="00097875">
        <w:rPr>
          <w:rFonts w:ascii="Arial" w:hAnsi="Arial" w:cs="Arial"/>
          <w:sz w:val="24"/>
          <w:szCs w:val="24"/>
        </w:rPr>
        <w:t xml:space="preserve"> November 2022].</w:t>
      </w:r>
    </w:p>
    <w:p w14:paraId="12CC0A15" w14:textId="04BF775D" w:rsidR="00B824BA" w:rsidRPr="00097875" w:rsidRDefault="00582FB3" w:rsidP="00097875">
      <w:pPr>
        <w:pStyle w:val="ListParagraph"/>
        <w:numPr>
          <w:ilvl w:val="0"/>
          <w:numId w:val="11"/>
        </w:numPr>
        <w:spacing w:line="480" w:lineRule="auto"/>
        <w:jc w:val="both"/>
        <w:rPr>
          <w:rFonts w:ascii="Arial" w:hAnsi="Arial" w:cs="Arial"/>
          <w:sz w:val="24"/>
          <w:szCs w:val="24"/>
        </w:rPr>
      </w:pPr>
      <w:r w:rsidRPr="00097875">
        <w:rPr>
          <w:rFonts w:ascii="Arial" w:hAnsi="Arial" w:cs="Arial"/>
          <w:sz w:val="24"/>
          <w:szCs w:val="24"/>
        </w:rPr>
        <w:t>Home Office (</w:t>
      </w:r>
      <w:proofErr w:type="spellStart"/>
      <w:r w:rsidRPr="00097875">
        <w:rPr>
          <w:rFonts w:ascii="Arial" w:hAnsi="Arial" w:cs="Arial"/>
          <w:sz w:val="24"/>
          <w:szCs w:val="24"/>
        </w:rPr>
        <w:t>n.d.b</w:t>
      </w:r>
      <w:proofErr w:type="spellEnd"/>
      <w:r w:rsidRPr="00097875">
        <w:rPr>
          <w:rFonts w:ascii="Arial" w:hAnsi="Arial" w:cs="Arial"/>
          <w:sz w:val="24"/>
          <w:szCs w:val="24"/>
        </w:rPr>
        <w:t xml:space="preserve">) </w:t>
      </w:r>
      <w:r w:rsidRPr="00097875">
        <w:rPr>
          <w:rFonts w:ascii="Arial" w:hAnsi="Arial" w:cs="Arial"/>
          <w:i/>
          <w:iCs/>
          <w:sz w:val="24"/>
          <w:szCs w:val="24"/>
        </w:rPr>
        <w:t xml:space="preserve">What happens if a child under 10 breaks the </w:t>
      </w:r>
      <w:proofErr w:type="gramStart"/>
      <w:r w:rsidRPr="00097875">
        <w:rPr>
          <w:rFonts w:ascii="Arial" w:hAnsi="Arial" w:cs="Arial"/>
          <w:i/>
          <w:iCs/>
          <w:sz w:val="24"/>
          <w:szCs w:val="24"/>
        </w:rPr>
        <w:t>law?.</w:t>
      </w:r>
      <w:proofErr w:type="gramEnd"/>
      <w:r w:rsidRPr="00097875">
        <w:rPr>
          <w:rFonts w:ascii="Arial" w:hAnsi="Arial" w:cs="Arial"/>
          <w:sz w:val="24"/>
          <w:szCs w:val="24"/>
        </w:rPr>
        <w:t xml:space="preserve"> Available: &lt; </w:t>
      </w:r>
      <w:hyperlink r:id="rId24" w:history="1">
        <w:r w:rsidRPr="00097875">
          <w:rPr>
            <w:rStyle w:val="Hyperlink"/>
            <w:rFonts w:ascii="Arial" w:hAnsi="Arial" w:cs="Arial"/>
            <w:sz w:val="24"/>
            <w:szCs w:val="24"/>
          </w:rPr>
          <w:t>https://www.gov.uk/child-under-10-breaks-law</w:t>
        </w:r>
      </w:hyperlink>
      <w:r w:rsidRPr="00097875">
        <w:rPr>
          <w:rFonts w:ascii="Arial" w:hAnsi="Arial" w:cs="Arial"/>
          <w:sz w:val="24"/>
          <w:szCs w:val="24"/>
        </w:rPr>
        <w:t xml:space="preserve"> &gt; [Accessed: 17</w:t>
      </w:r>
      <w:r w:rsidRPr="00097875">
        <w:rPr>
          <w:rFonts w:ascii="Arial" w:hAnsi="Arial" w:cs="Arial"/>
          <w:sz w:val="24"/>
          <w:szCs w:val="24"/>
          <w:vertAlign w:val="superscript"/>
        </w:rPr>
        <w:t>th</w:t>
      </w:r>
      <w:r w:rsidRPr="00097875">
        <w:rPr>
          <w:rFonts w:ascii="Arial" w:hAnsi="Arial" w:cs="Arial"/>
          <w:sz w:val="24"/>
          <w:szCs w:val="24"/>
        </w:rPr>
        <w:t xml:space="preserve"> November 2022].</w:t>
      </w:r>
    </w:p>
    <w:p w14:paraId="3CE25BCF" w14:textId="4895EB28" w:rsidR="00DF1302" w:rsidRPr="00097875" w:rsidRDefault="00DF1302" w:rsidP="00097875">
      <w:pPr>
        <w:pStyle w:val="ListParagraph"/>
        <w:numPr>
          <w:ilvl w:val="0"/>
          <w:numId w:val="11"/>
        </w:numPr>
        <w:spacing w:line="480" w:lineRule="auto"/>
        <w:jc w:val="both"/>
        <w:rPr>
          <w:rFonts w:ascii="Arial" w:hAnsi="Arial" w:cs="Arial"/>
          <w:sz w:val="24"/>
          <w:szCs w:val="24"/>
        </w:rPr>
      </w:pPr>
      <w:proofErr w:type="spellStart"/>
      <w:r w:rsidRPr="00097875">
        <w:rPr>
          <w:rFonts w:ascii="Arial" w:hAnsi="Arial" w:cs="Arial"/>
          <w:sz w:val="24"/>
          <w:szCs w:val="24"/>
        </w:rPr>
        <w:lastRenderedPageBreak/>
        <w:t>Koubaridis</w:t>
      </w:r>
      <w:proofErr w:type="spellEnd"/>
      <w:r w:rsidRPr="00097875">
        <w:rPr>
          <w:rFonts w:ascii="Arial" w:hAnsi="Arial" w:cs="Arial"/>
          <w:sz w:val="24"/>
          <w:szCs w:val="24"/>
        </w:rPr>
        <w:t xml:space="preserve">, A. (2018) </w:t>
      </w:r>
      <w:r w:rsidR="0020402C" w:rsidRPr="00097875">
        <w:rPr>
          <w:rFonts w:ascii="Arial" w:hAnsi="Arial" w:cs="Arial"/>
          <w:i/>
          <w:iCs/>
          <w:sz w:val="24"/>
          <w:szCs w:val="24"/>
        </w:rPr>
        <w:t xml:space="preserve">Bulger killers could have been motivated by envy of a child who was loved, new </w:t>
      </w:r>
      <w:proofErr w:type="spellStart"/>
      <w:r w:rsidR="0020402C" w:rsidRPr="00097875">
        <w:rPr>
          <w:rFonts w:ascii="Arial" w:hAnsi="Arial" w:cs="Arial"/>
          <w:i/>
          <w:iCs/>
          <w:sz w:val="24"/>
          <w:szCs w:val="24"/>
        </w:rPr>
        <w:t>doco</w:t>
      </w:r>
      <w:proofErr w:type="spellEnd"/>
      <w:r w:rsidR="0020402C" w:rsidRPr="00097875">
        <w:rPr>
          <w:rFonts w:ascii="Arial" w:hAnsi="Arial" w:cs="Arial"/>
          <w:i/>
          <w:iCs/>
          <w:sz w:val="24"/>
          <w:szCs w:val="24"/>
        </w:rPr>
        <w:t xml:space="preserve"> claims</w:t>
      </w:r>
      <w:r w:rsidR="0020402C" w:rsidRPr="00097875">
        <w:rPr>
          <w:rFonts w:ascii="Arial" w:hAnsi="Arial" w:cs="Arial"/>
          <w:sz w:val="24"/>
          <w:szCs w:val="24"/>
        </w:rPr>
        <w:t xml:space="preserve">. Available: &lt; </w:t>
      </w:r>
      <w:hyperlink r:id="rId25" w:history="1">
        <w:r w:rsidR="00ED2952" w:rsidRPr="00097875">
          <w:rPr>
            <w:rStyle w:val="Hyperlink"/>
            <w:rFonts w:ascii="Arial" w:hAnsi="Arial" w:cs="Arial"/>
            <w:sz w:val="24"/>
            <w:szCs w:val="24"/>
          </w:rPr>
          <w:t>https://www.news.com.au/lifestyle/real-life/news-life/bulger-killers-could-have-been-motivated-by-envy-of-a-child-who-was-loved-new-doco-claims/news-story/f0f2bb0542857daaa51c47b0ffba1156</w:t>
        </w:r>
      </w:hyperlink>
      <w:r w:rsidR="00ED2952" w:rsidRPr="00097875">
        <w:rPr>
          <w:rFonts w:ascii="Arial" w:hAnsi="Arial" w:cs="Arial"/>
          <w:sz w:val="24"/>
          <w:szCs w:val="24"/>
        </w:rPr>
        <w:t xml:space="preserve"> &gt; [Accessed: 16</w:t>
      </w:r>
      <w:r w:rsidR="00ED2952" w:rsidRPr="00097875">
        <w:rPr>
          <w:rFonts w:ascii="Arial" w:hAnsi="Arial" w:cs="Arial"/>
          <w:sz w:val="24"/>
          <w:szCs w:val="24"/>
          <w:vertAlign w:val="superscript"/>
        </w:rPr>
        <w:t>th</w:t>
      </w:r>
      <w:r w:rsidR="00ED2952" w:rsidRPr="00097875">
        <w:rPr>
          <w:rFonts w:ascii="Arial" w:hAnsi="Arial" w:cs="Arial"/>
          <w:sz w:val="24"/>
          <w:szCs w:val="24"/>
        </w:rPr>
        <w:t xml:space="preserve"> November 2022].</w:t>
      </w:r>
      <w:r w:rsidR="005764AB" w:rsidRPr="00097875">
        <w:rPr>
          <w:rFonts w:ascii="Arial" w:hAnsi="Arial" w:cs="Arial"/>
          <w:sz w:val="24"/>
          <w:szCs w:val="24"/>
        </w:rPr>
        <w:t xml:space="preserve"> </w:t>
      </w:r>
    </w:p>
    <w:p w14:paraId="41A63A41" w14:textId="300399DC" w:rsidR="00EF02C8" w:rsidRPr="00097875" w:rsidRDefault="00EF02C8" w:rsidP="00097875">
      <w:pPr>
        <w:pStyle w:val="ListParagraph"/>
        <w:numPr>
          <w:ilvl w:val="0"/>
          <w:numId w:val="11"/>
        </w:numPr>
        <w:spacing w:line="480" w:lineRule="auto"/>
        <w:jc w:val="both"/>
        <w:rPr>
          <w:rFonts w:ascii="Arial" w:hAnsi="Arial" w:cs="Arial"/>
          <w:sz w:val="24"/>
          <w:szCs w:val="24"/>
        </w:rPr>
      </w:pPr>
      <w:r w:rsidRPr="00097875">
        <w:rPr>
          <w:rFonts w:ascii="Arial" w:hAnsi="Arial" w:cs="Arial"/>
          <w:sz w:val="24"/>
          <w:szCs w:val="24"/>
        </w:rPr>
        <w:t xml:space="preserve">Long, N. (2022) </w:t>
      </w:r>
      <w:r w:rsidRPr="00097875">
        <w:rPr>
          <w:rFonts w:ascii="Arial" w:hAnsi="Arial" w:cs="Arial"/>
          <w:i/>
          <w:iCs/>
          <w:sz w:val="24"/>
          <w:szCs w:val="24"/>
        </w:rPr>
        <w:t>Public Consultation on Increasing the Minimum Age of Criminal Responsibility in Northern Ireland from 10 Years to 14 Years</w:t>
      </w:r>
      <w:r w:rsidRPr="00097875">
        <w:rPr>
          <w:rFonts w:ascii="Arial" w:hAnsi="Arial" w:cs="Arial"/>
          <w:sz w:val="24"/>
          <w:szCs w:val="24"/>
        </w:rPr>
        <w:t>. Belfast: Department of Justice, pp. 1-15.</w:t>
      </w:r>
    </w:p>
    <w:p w14:paraId="20EC21B3" w14:textId="5FA22687" w:rsidR="00883854" w:rsidRPr="00097875" w:rsidRDefault="00883854" w:rsidP="00097875">
      <w:pPr>
        <w:pStyle w:val="ListParagraph"/>
        <w:numPr>
          <w:ilvl w:val="0"/>
          <w:numId w:val="11"/>
        </w:numPr>
        <w:spacing w:line="480" w:lineRule="auto"/>
        <w:jc w:val="both"/>
        <w:rPr>
          <w:rFonts w:ascii="Arial" w:hAnsi="Arial" w:cs="Arial"/>
          <w:sz w:val="24"/>
          <w:szCs w:val="24"/>
        </w:rPr>
      </w:pPr>
      <w:r w:rsidRPr="00097875">
        <w:rPr>
          <w:rFonts w:ascii="Arial" w:hAnsi="Arial" w:cs="Arial"/>
          <w:sz w:val="24"/>
          <w:szCs w:val="24"/>
        </w:rPr>
        <w:t xml:space="preserve">Ministry of Justice (2021a) </w:t>
      </w:r>
      <w:r w:rsidRPr="00097875">
        <w:rPr>
          <w:rFonts w:ascii="Arial" w:hAnsi="Arial" w:cs="Arial"/>
          <w:i/>
          <w:iCs/>
          <w:sz w:val="24"/>
          <w:szCs w:val="24"/>
        </w:rPr>
        <w:t>Assessing the needs of sentenced children in the Youth Justice System 2019/20.</w:t>
      </w:r>
      <w:r w:rsidRPr="00097875">
        <w:rPr>
          <w:rFonts w:ascii="Arial" w:hAnsi="Arial" w:cs="Arial"/>
          <w:sz w:val="24"/>
          <w:szCs w:val="24"/>
        </w:rPr>
        <w:t xml:space="preserve"> Available: &lt; </w:t>
      </w:r>
      <w:hyperlink r:id="rId26" w:history="1">
        <w:r w:rsidRPr="00097875">
          <w:rPr>
            <w:rStyle w:val="Hyperlink"/>
            <w:rFonts w:ascii="Arial" w:hAnsi="Arial" w:cs="Arial"/>
            <w:sz w:val="24"/>
            <w:szCs w:val="24"/>
          </w:rPr>
          <w:t>https://assets.publishing.service.gov.uk/government/uploads/system/uploads/attachment_data/file/968700/experimental-statistics-assessing-needs-sentenced-children-youth-justice-system-2019-20.pdf</w:t>
        </w:r>
      </w:hyperlink>
      <w:r w:rsidRPr="00097875">
        <w:rPr>
          <w:rFonts w:ascii="Arial" w:hAnsi="Arial" w:cs="Arial"/>
          <w:sz w:val="24"/>
          <w:szCs w:val="24"/>
        </w:rPr>
        <w:t xml:space="preserve"> &gt; [Accessed: 8</w:t>
      </w:r>
      <w:r w:rsidRPr="00097875">
        <w:rPr>
          <w:rFonts w:ascii="Arial" w:hAnsi="Arial" w:cs="Arial"/>
          <w:sz w:val="24"/>
          <w:szCs w:val="24"/>
          <w:vertAlign w:val="superscript"/>
        </w:rPr>
        <w:t>th</w:t>
      </w:r>
      <w:r w:rsidRPr="00097875">
        <w:rPr>
          <w:rFonts w:ascii="Arial" w:hAnsi="Arial" w:cs="Arial"/>
          <w:sz w:val="24"/>
          <w:szCs w:val="24"/>
        </w:rPr>
        <w:t xml:space="preserve"> November 2022].</w:t>
      </w:r>
    </w:p>
    <w:p w14:paraId="0B43209F" w14:textId="65155780" w:rsidR="00DB5584" w:rsidRPr="00097875" w:rsidRDefault="00DB5584" w:rsidP="00097875">
      <w:pPr>
        <w:pStyle w:val="ListParagraph"/>
        <w:numPr>
          <w:ilvl w:val="0"/>
          <w:numId w:val="11"/>
        </w:numPr>
        <w:spacing w:line="480" w:lineRule="auto"/>
        <w:jc w:val="both"/>
        <w:rPr>
          <w:rFonts w:ascii="Arial" w:hAnsi="Arial" w:cs="Arial"/>
          <w:sz w:val="24"/>
          <w:szCs w:val="24"/>
        </w:rPr>
      </w:pPr>
      <w:r w:rsidRPr="00097875">
        <w:rPr>
          <w:rFonts w:ascii="Arial" w:hAnsi="Arial" w:cs="Arial"/>
          <w:sz w:val="24"/>
          <w:szCs w:val="24"/>
        </w:rPr>
        <w:t>Ministry of Justice (2021</w:t>
      </w:r>
      <w:r w:rsidR="00883854" w:rsidRPr="00097875">
        <w:rPr>
          <w:rFonts w:ascii="Arial" w:hAnsi="Arial" w:cs="Arial"/>
          <w:sz w:val="24"/>
          <w:szCs w:val="24"/>
        </w:rPr>
        <w:t>b</w:t>
      </w:r>
      <w:r w:rsidRPr="00097875">
        <w:rPr>
          <w:rFonts w:ascii="Arial" w:hAnsi="Arial" w:cs="Arial"/>
          <w:sz w:val="24"/>
          <w:szCs w:val="24"/>
        </w:rPr>
        <w:t xml:space="preserve">) </w:t>
      </w:r>
      <w:r w:rsidRPr="00097875">
        <w:rPr>
          <w:rFonts w:ascii="Arial" w:hAnsi="Arial" w:cs="Arial"/>
          <w:i/>
          <w:iCs/>
          <w:sz w:val="24"/>
          <w:szCs w:val="24"/>
        </w:rPr>
        <w:t>Youth Justice Statistics 2019/20</w:t>
      </w:r>
      <w:r w:rsidRPr="00097875">
        <w:rPr>
          <w:rFonts w:ascii="Arial" w:hAnsi="Arial" w:cs="Arial"/>
          <w:sz w:val="24"/>
          <w:szCs w:val="24"/>
        </w:rPr>
        <w:t xml:space="preserve">. Available: &lt; </w:t>
      </w:r>
      <w:hyperlink r:id="rId27" w:history="1">
        <w:r w:rsidRPr="00097875">
          <w:rPr>
            <w:rStyle w:val="Hyperlink"/>
            <w:rFonts w:ascii="Arial" w:hAnsi="Arial" w:cs="Arial"/>
            <w:sz w:val="24"/>
            <w:szCs w:val="24"/>
          </w:rPr>
          <w:t>https://assets.publishing.service.gov.uk/government/uploads/system/uploads/attachment_data/file/956621/youth-justice-statistics-2019-2020.pdf</w:t>
        </w:r>
      </w:hyperlink>
      <w:r w:rsidRPr="00097875">
        <w:rPr>
          <w:rFonts w:ascii="Arial" w:hAnsi="Arial" w:cs="Arial"/>
          <w:sz w:val="24"/>
          <w:szCs w:val="24"/>
        </w:rPr>
        <w:t xml:space="preserve"> &gt; [Accessed: 7</w:t>
      </w:r>
      <w:r w:rsidRPr="00097875">
        <w:rPr>
          <w:rFonts w:ascii="Arial" w:hAnsi="Arial" w:cs="Arial"/>
          <w:sz w:val="24"/>
          <w:szCs w:val="24"/>
          <w:vertAlign w:val="superscript"/>
        </w:rPr>
        <w:t>th</w:t>
      </w:r>
      <w:r w:rsidRPr="00097875">
        <w:rPr>
          <w:rFonts w:ascii="Arial" w:hAnsi="Arial" w:cs="Arial"/>
          <w:sz w:val="24"/>
          <w:szCs w:val="24"/>
        </w:rPr>
        <w:t xml:space="preserve"> November 2022].</w:t>
      </w:r>
    </w:p>
    <w:p w14:paraId="7ECAC534" w14:textId="7D4C8B25" w:rsidR="00831142" w:rsidRPr="00097875" w:rsidRDefault="00831142" w:rsidP="00097875">
      <w:pPr>
        <w:pStyle w:val="ListParagraph"/>
        <w:numPr>
          <w:ilvl w:val="0"/>
          <w:numId w:val="11"/>
        </w:numPr>
        <w:spacing w:line="480" w:lineRule="auto"/>
        <w:jc w:val="both"/>
        <w:rPr>
          <w:rFonts w:ascii="Arial" w:hAnsi="Arial" w:cs="Arial"/>
          <w:sz w:val="24"/>
          <w:szCs w:val="24"/>
        </w:rPr>
      </w:pPr>
      <w:r w:rsidRPr="00097875">
        <w:rPr>
          <w:rFonts w:ascii="Arial" w:hAnsi="Arial" w:cs="Arial"/>
          <w:sz w:val="24"/>
          <w:szCs w:val="24"/>
        </w:rPr>
        <w:t xml:space="preserve">National Governors Association (2021) </w:t>
      </w:r>
      <w:r w:rsidRPr="00097875">
        <w:rPr>
          <w:rFonts w:ascii="Arial" w:hAnsi="Arial" w:cs="Arial"/>
          <w:i/>
          <w:iCs/>
          <w:sz w:val="24"/>
          <w:szCs w:val="24"/>
        </w:rPr>
        <w:t>Age boundaries in Juvenile Justice Systems.</w:t>
      </w:r>
      <w:r w:rsidRPr="00097875">
        <w:rPr>
          <w:rFonts w:ascii="Arial" w:hAnsi="Arial" w:cs="Arial"/>
          <w:sz w:val="24"/>
          <w:szCs w:val="24"/>
        </w:rPr>
        <w:t xml:space="preserve"> Available: &lt; </w:t>
      </w:r>
      <w:hyperlink r:id="rId28" w:history="1">
        <w:r w:rsidRPr="00097875">
          <w:rPr>
            <w:rStyle w:val="Hyperlink"/>
            <w:rFonts w:ascii="Arial" w:hAnsi="Arial" w:cs="Arial"/>
            <w:sz w:val="24"/>
            <w:szCs w:val="24"/>
          </w:rPr>
          <w:t>https://www.nga.org/publications/age-boundaries-in-juvenile-justice-systems/</w:t>
        </w:r>
      </w:hyperlink>
      <w:r w:rsidRPr="00097875">
        <w:rPr>
          <w:rFonts w:ascii="Arial" w:hAnsi="Arial" w:cs="Arial"/>
          <w:sz w:val="24"/>
          <w:szCs w:val="24"/>
        </w:rPr>
        <w:t xml:space="preserve"> &gt; [Accessed: 13</w:t>
      </w:r>
      <w:r w:rsidRPr="00097875">
        <w:rPr>
          <w:rFonts w:ascii="Arial" w:hAnsi="Arial" w:cs="Arial"/>
          <w:sz w:val="24"/>
          <w:szCs w:val="24"/>
          <w:vertAlign w:val="superscript"/>
        </w:rPr>
        <w:t>th</w:t>
      </w:r>
      <w:r w:rsidRPr="00097875">
        <w:rPr>
          <w:rFonts w:ascii="Arial" w:hAnsi="Arial" w:cs="Arial"/>
          <w:sz w:val="24"/>
          <w:szCs w:val="24"/>
        </w:rPr>
        <w:t xml:space="preserve"> November 2022].</w:t>
      </w:r>
    </w:p>
    <w:p w14:paraId="7C82F49D" w14:textId="3FB8DA9A" w:rsidR="00D14187" w:rsidRPr="00097875" w:rsidRDefault="00D14187" w:rsidP="00097875">
      <w:pPr>
        <w:pStyle w:val="ListParagraph"/>
        <w:numPr>
          <w:ilvl w:val="0"/>
          <w:numId w:val="11"/>
        </w:numPr>
        <w:spacing w:line="480" w:lineRule="auto"/>
        <w:jc w:val="both"/>
        <w:rPr>
          <w:rFonts w:ascii="Arial" w:hAnsi="Arial" w:cs="Arial"/>
          <w:sz w:val="24"/>
          <w:szCs w:val="24"/>
        </w:rPr>
      </w:pPr>
      <w:r w:rsidRPr="00097875">
        <w:rPr>
          <w:rFonts w:ascii="Arial" w:hAnsi="Arial" w:cs="Arial"/>
          <w:sz w:val="24"/>
          <w:szCs w:val="24"/>
        </w:rPr>
        <w:t xml:space="preserve">Newson, N. (2017) </w:t>
      </w:r>
      <w:r w:rsidRPr="00097875">
        <w:rPr>
          <w:rFonts w:ascii="Arial" w:hAnsi="Arial" w:cs="Arial"/>
          <w:i/>
          <w:iCs/>
          <w:sz w:val="24"/>
          <w:szCs w:val="24"/>
        </w:rPr>
        <w:t>Age of Criminal Responsibility Bill [HL] (HL Bill 3 of 2017-19)</w:t>
      </w:r>
      <w:r w:rsidRPr="00097875">
        <w:rPr>
          <w:rFonts w:ascii="Arial" w:hAnsi="Arial" w:cs="Arial"/>
          <w:sz w:val="24"/>
          <w:szCs w:val="24"/>
        </w:rPr>
        <w:t xml:space="preserve">. Available: &lt; </w:t>
      </w:r>
      <w:hyperlink r:id="rId29" w:history="1">
        <w:r w:rsidRPr="00097875">
          <w:rPr>
            <w:rStyle w:val="Hyperlink"/>
            <w:rFonts w:ascii="Arial" w:hAnsi="Arial" w:cs="Arial"/>
            <w:sz w:val="24"/>
            <w:szCs w:val="24"/>
          </w:rPr>
          <w:t>https://researchbriefings.files.parliament.uk/documents/LLN-2017-0054/LLN-2017-0054.pdf</w:t>
        </w:r>
      </w:hyperlink>
      <w:r w:rsidRPr="00097875">
        <w:rPr>
          <w:rFonts w:ascii="Arial" w:hAnsi="Arial" w:cs="Arial"/>
          <w:sz w:val="24"/>
          <w:szCs w:val="24"/>
        </w:rPr>
        <w:t xml:space="preserve"> &gt; [Accessed: 16</w:t>
      </w:r>
      <w:r w:rsidRPr="00097875">
        <w:rPr>
          <w:rFonts w:ascii="Arial" w:hAnsi="Arial" w:cs="Arial"/>
          <w:sz w:val="24"/>
          <w:szCs w:val="24"/>
          <w:vertAlign w:val="superscript"/>
        </w:rPr>
        <w:t>th</w:t>
      </w:r>
      <w:r w:rsidRPr="00097875">
        <w:rPr>
          <w:rFonts w:ascii="Arial" w:hAnsi="Arial" w:cs="Arial"/>
          <w:sz w:val="24"/>
          <w:szCs w:val="24"/>
        </w:rPr>
        <w:t xml:space="preserve"> November 2022].</w:t>
      </w:r>
    </w:p>
    <w:p w14:paraId="31A70E67" w14:textId="248AB7CE" w:rsidR="004278BA" w:rsidRPr="00097875" w:rsidRDefault="004278BA" w:rsidP="00097875">
      <w:pPr>
        <w:pStyle w:val="ListParagraph"/>
        <w:numPr>
          <w:ilvl w:val="0"/>
          <w:numId w:val="11"/>
        </w:numPr>
        <w:spacing w:line="480" w:lineRule="auto"/>
        <w:jc w:val="both"/>
        <w:rPr>
          <w:rFonts w:ascii="Arial" w:hAnsi="Arial" w:cs="Arial"/>
          <w:sz w:val="24"/>
          <w:szCs w:val="24"/>
        </w:rPr>
      </w:pPr>
      <w:proofErr w:type="spellStart"/>
      <w:r w:rsidRPr="00097875">
        <w:rPr>
          <w:rFonts w:ascii="Arial" w:hAnsi="Arial" w:cs="Arial"/>
          <w:sz w:val="24"/>
          <w:szCs w:val="24"/>
        </w:rPr>
        <w:lastRenderedPageBreak/>
        <w:t>Omand</w:t>
      </w:r>
      <w:proofErr w:type="spellEnd"/>
      <w:r w:rsidRPr="00097875">
        <w:rPr>
          <w:rFonts w:ascii="Arial" w:hAnsi="Arial" w:cs="Arial"/>
          <w:sz w:val="24"/>
          <w:szCs w:val="24"/>
        </w:rPr>
        <w:t xml:space="preserve">, D. (2010) </w:t>
      </w:r>
      <w:r w:rsidRPr="00097875">
        <w:rPr>
          <w:rFonts w:ascii="Arial" w:hAnsi="Arial" w:cs="Arial"/>
          <w:i/>
          <w:iCs/>
          <w:sz w:val="24"/>
          <w:szCs w:val="24"/>
        </w:rPr>
        <w:t>OMAND REVIEW Independent Serious Further Offence Review: The Case of Jon Venables</w:t>
      </w:r>
      <w:r w:rsidRPr="00097875">
        <w:rPr>
          <w:rFonts w:ascii="Arial" w:hAnsi="Arial" w:cs="Arial"/>
          <w:sz w:val="24"/>
          <w:szCs w:val="24"/>
        </w:rPr>
        <w:t xml:space="preserve">. Available: &lt; </w:t>
      </w:r>
      <w:hyperlink r:id="rId30" w:history="1">
        <w:r w:rsidRPr="00097875">
          <w:rPr>
            <w:rStyle w:val="Hyperlink"/>
            <w:rFonts w:ascii="Arial" w:hAnsi="Arial" w:cs="Arial"/>
            <w:sz w:val="24"/>
            <w:szCs w:val="24"/>
          </w:rPr>
          <w:t>https://www.justice.gov.uk/downloads/publications/corporate-reports/MoJ/2010/omand-review-web.pdf</w:t>
        </w:r>
      </w:hyperlink>
      <w:r w:rsidRPr="00097875">
        <w:rPr>
          <w:rFonts w:ascii="Arial" w:hAnsi="Arial" w:cs="Arial"/>
          <w:sz w:val="24"/>
          <w:szCs w:val="24"/>
        </w:rPr>
        <w:t xml:space="preserve"> &gt; [Accessed: 16</w:t>
      </w:r>
      <w:r w:rsidRPr="00097875">
        <w:rPr>
          <w:rFonts w:ascii="Arial" w:hAnsi="Arial" w:cs="Arial"/>
          <w:sz w:val="24"/>
          <w:szCs w:val="24"/>
          <w:vertAlign w:val="superscript"/>
        </w:rPr>
        <w:t>th</w:t>
      </w:r>
      <w:r w:rsidRPr="00097875">
        <w:rPr>
          <w:rFonts w:ascii="Arial" w:hAnsi="Arial" w:cs="Arial"/>
          <w:sz w:val="24"/>
          <w:szCs w:val="24"/>
        </w:rPr>
        <w:t xml:space="preserve"> November 2022].</w:t>
      </w:r>
    </w:p>
    <w:p w14:paraId="230AF426" w14:textId="6900A75A" w:rsidR="00D14187" w:rsidRPr="00097875" w:rsidRDefault="00D14187" w:rsidP="00097875">
      <w:pPr>
        <w:pStyle w:val="ListParagraph"/>
        <w:numPr>
          <w:ilvl w:val="0"/>
          <w:numId w:val="11"/>
        </w:numPr>
        <w:spacing w:line="480" w:lineRule="auto"/>
        <w:jc w:val="both"/>
        <w:rPr>
          <w:rFonts w:ascii="Arial" w:hAnsi="Arial" w:cs="Arial"/>
          <w:sz w:val="24"/>
          <w:szCs w:val="24"/>
        </w:rPr>
      </w:pPr>
      <w:r w:rsidRPr="00097875">
        <w:rPr>
          <w:rFonts w:ascii="Arial" w:hAnsi="Arial" w:cs="Arial"/>
          <w:sz w:val="24"/>
          <w:szCs w:val="24"/>
        </w:rPr>
        <w:t xml:space="preserve">Parliamentary Office of Science and Technology (2018) </w:t>
      </w:r>
      <w:r w:rsidRPr="00097875">
        <w:rPr>
          <w:rFonts w:ascii="Arial" w:hAnsi="Arial" w:cs="Arial"/>
          <w:i/>
          <w:iCs/>
          <w:sz w:val="24"/>
          <w:szCs w:val="24"/>
        </w:rPr>
        <w:t>Age of Criminal Responsibility</w:t>
      </w:r>
      <w:r w:rsidRPr="00097875">
        <w:rPr>
          <w:rFonts w:ascii="Arial" w:hAnsi="Arial" w:cs="Arial"/>
          <w:sz w:val="24"/>
          <w:szCs w:val="24"/>
        </w:rPr>
        <w:t xml:space="preserve">. Available: &lt; </w:t>
      </w:r>
      <w:hyperlink r:id="rId31" w:history="1">
        <w:r w:rsidRPr="00097875">
          <w:rPr>
            <w:rStyle w:val="Hyperlink"/>
            <w:rFonts w:ascii="Arial" w:hAnsi="Arial" w:cs="Arial"/>
            <w:sz w:val="24"/>
            <w:szCs w:val="24"/>
          </w:rPr>
          <w:t>https://researchbriefings.files.parliament.uk/documents/POST-PN-0577/POST-PN-0577.pdf</w:t>
        </w:r>
      </w:hyperlink>
      <w:r w:rsidRPr="00097875">
        <w:rPr>
          <w:rFonts w:ascii="Arial" w:hAnsi="Arial" w:cs="Arial"/>
          <w:sz w:val="24"/>
          <w:szCs w:val="24"/>
        </w:rPr>
        <w:t xml:space="preserve"> &gt; [Accessed: 16</w:t>
      </w:r>
      <w:r w:rsidRPr="00097875">
        <w:rPr>
          <w:rFonts w:ascii="Arial" w:hAnsi="Arial" w:cs="Arial"/>
          <w:sz w:val="24"/>
          <w:szCs w:val="24"/>
          <w:vertAlign w:val="superscript"/>
        </w:rPr>
        <w:t>th</w:t>
      </w:r>
      <w:r w:rsidRPr="00097875">
        <w:rPr>
          <w:rFonts w:ascii="Arial" w:hAnsi="Arial" w:cs="Arial"/>
          <w:sz w:val="24"/>
          <w:szCs w:val="24"/>
        </w:rPr>
        <w:t xml:space="preserve"> November 2022].</w:t>
      </w:r>
    </w:p>
    <w:p w14:paraId="3AA4C54A" w14:textId="45452CB3" w:rsidR="00F4208B" w:rsidRPr="00097875" w:rsidRDefault="00F4208B" w:rsidP="00097875">
      <w:pPr>
        <w:pStyle w:val="ListParagraph"/>
        <w:numPr>
          <w:ilvl w:val="0"/>
          <w:numId w:val="11"/>
        </w:numPr>
        <w:spacing w:line="480" w:lineRule="auto"/>
        <w:jc w:val="both"/>
        <w:rPr>
          <w:rFonts w:ascii="Arial" w:hAnsi="Arial" w:cs="Arial"/>
          <w:sz w:val="24"/>
          <w:szCs w:val="24"/>
        </w:rPr>
      </w:pPr>
      <w:r w:rsidRPr="00097875">
        <w:rPr>
          <w:rFonts w:ascii="Arial" w:hAnsi="Arial" w:cs="Arial"/>
          <w:sz w:val="24"/>
          <w:szCs w:val="24"/>
        </w:rPr>
        <w:t xml:space="preserve">Platts, C. (2020) </w:t>
      </w:r>
      <w:r w:rsidRPr="00097875">
        <w:rPr>
          <w:rFonts w:ascii="Arial" w:hAnsi="Arial" w:cs="Arial"/>
          <w:i/>
          <w:iCs/>
          <w:sz w:val="24"/>
          <w:szCs w:val="24"/>
        </w:rPr>
        <w:t xml:space="preserve">James and </w:t>
      </w:r>
      <w:proofErr w:type="spellStart"/>
      <w:r w:rsidRPr="00097875">
        <w:rPr>
          <w:rFonts w:ascii="Arial" w:hAnsi="Arial" w:cs="Arial"/>
          <w:i/>
          <w:iCs/>
          <w:sz w:val="24"/>
          <w:szCs w:val="24"/>
        </w:rPr>
        <w:t>Silje</w:t>
      </w:r>
      <w:proofErr w:type="spellEnd"/>
      <w:r w:rsidRPr="00097875">
        <w:rPr>
          <w:rFonts w:ascii="Arial" w:hAnsi="Arial" w:cs="Arial"/>
          <w:sz w:val="24"/>
          <w:szCs w:val="24"/>
        </w:rPr>
        <w:t xml:space="preserve">. Available: &lt; </w:t>
      </w:r>
      <w:hyperlink r:id="rId32" w:history="1">
        <w:r w:rsidRPr="00097875">
          <w:rPr>
            <w:rStyle w:val="Hyperlink"/>
            <w:rFonts w:ascii="Arial" w:hAnsi="Arial" w:cs="Arial"/>
            <w:sz w:val="24"/>
            <w:szCs w:val="24"/>
          </w:rPr>
          <w:t>https://charlieplatts.medium.com/james-and-silje-b495ae164263</w:t>
        </w:r>
      </w:hyperlink>
      <w:r w:rsidRPr="00097875">
        <w:rPr>
          <w:rFonts w:ascii="Arial" w:hAnsi="Arial" w:cs="Arial"/>
          <w:sz w:val="24"/>
          <w:szCs w:val="24"/>
        </w:rPr>
        <w:t xml:space="preserve"> &gt; [Accessed: 16</w:t>
      </w:r>
      <w:r w:rsidRPr="00097875">
        <w:rPr>
          <w:rFonts w:ascii="Arial" w:hAnsi="Arial" w:cs="Arial"/>
          <w:sz w:val="24"/>
          <w:szCs w:val="24"/>
          <w:vertAlign w:val="superscript"/>
        </w:rPr>
        <w:t>th</w:t>
      </w:r>
      <w:r w:rsidRPr="00097875">
        <w:rPr>
          <w:rFonts w:ascii="Arial" w:hAnsi="Arial" w:cs="Arial"/>
          <w:sz w:val="24"/>
          <w:szCs w:val="24"/>
        </w:rPr>
        <w:t xml:space="preserve"> November 2022].</w:t>
      </w:r>
    </w:p>
    <w:p w14:paraId="21454BD6" w14:textId="4A295738" w:rsidR="003E0B74" w:rsidRPr="00097875" w:rsidRDefault="003E0B74" w:rsidP="00097875">
      <w:pPr>
        <w:pStyle w:val="ListParagraph"/>
        <w:numPr>
          <w:ilvl w:val="0"/>
          <w:numId w:val="11"/>
        </w:numPr>
        <w:spacing w:line="480" w:lineRule="auto"/>
        <w:jc w:val="both"/>
        <w:rPr>
          <w:rFonts w:ascii="Arial" w:hAnsi="Arial" w:cs="Arial"/>
          <w:sz w:val="24"/>
          <w:szCs w:val="24"/>
        </w:rPr>
      </w:pPr>
      <w:r w:rsidRPr="00097875">
        <w:rPr>
          <w:rFonts w:ascii="Arial" w:hAnsi="Arial" w:cs="Arial"/>
          <w:sz w:val="24"/>
          <w:szCs w:val="24"/>
        </w:rPr>
        <w:t xml:space="preserve">Stripe, N. (2021) Homicide in England and Wales: Year Ending March 2020. </w:t>
      </w:r>
      <w:r w:rsidRPr="00097875">
        <w:rPr>
          <w:rFonts w:ascii="Arial" w:hAnsi="Arial" w:cs="Arial"/>
          <w:i/>
          <w:iCs/>
          <w:sz w:val="24"/>
          <w:szCs w:val="24"/>
        </w:rPr>
        <w:t>Office for National Statistics</w:t>
      </w:r>
      <w:r w:rsidRPr="00097875">
        <w:rPr>
          <w:rFonts w:ascii="Arial" w:hAnsi="Arial" w:cs="Arial"/>
          <w:sz w:val="24"/>
          <w:szCs w:val="24"/>
        </w:rPr>
        <w:t xml:space="preserve">. Available: &lt; </w:t>
      </w:r>
      <w:hyperlink r:id="rId33" w:history="1">
        <w:r w:rsidRPr="00097875">
          <w:rPr>
            <w:rStyle w:val="Hyperlink"/>
            <w:rFonts w:ascii="Arial" w:hAnsi="Arial" w:cs="Arial"/>
            <w:sz w:val="24"/>
            <w:szCs w:val="24"/>
          </w:rPr>
          <w:t>https://www.ons.gov.uk/peoplepopulationandcommunity/crimeandjustice/articles/homicideinenglandandwales/yearendingmarch2020</w:t>
        </w:r>
      </w:hyperlink>
      <w:r w:rsidRPr="00097875">
        <w:rPr>
          <w:rFonts w:ascii="Arial" w:hAnsi="Arial" w:cs="Arial"/>
          <w:sz w:val="24"/>
          <w:szCs w:val="24"/>
        </w:rPr>
        <w:t xml:space="preserve"> &gt; [Accessed: 7</w:t>
      </w:r>
      <w:r w:rsidRPr="00097875">
        <w:rPr>
          <w:rFonts w:ascii="Arial" w:hAnsi="Arial" w:cs="Arial"/>
          <w:sz w:val="24"/>
          <w:szCs w:val="24"/>
          <w:vertAlign w:val="superscript"/>
        </w:rPr>
        <w:t>th</w:t>
      </w:r>
      <w:r w:rsidRPr="00097875">
        <w:rPr>
          <w:rFonts w:ascii="Arial" w:hAnsi="Arial" w:cs="Arial"/>
          <w:sz w:val="24"/>
          <w:szCs w:val="24"/>
        </w:rPr>
        <w:t xml:space="preserve"> November 2022].</w:t>
      </w:r>
    </w:p>
    <w:p w14:paraId="2F03D9DC" w14:textId="2018F099" w:rsidR="00BA7330" w:rsidRPr="00097875" w:rsidRDefault="00BA7330" w:rsidP="00097875">
      <w:pPr>
        <w:pStyle w:val="ListParagraph"/>
        <w:numPr>
          <w:ilvl w:val="0"/>
          <w:numId w:val="11"/>
        </w:numPr>
        <w:spacing w:line="480" w:lineRule="auto"/>
        <w:jc w:val="both"/>
        <w:rPr>
          <w:rFonts w:ascii="Arial" w:hAnsi="Arial" w:cs="Arial"/>
          <w:sz w:val="24"/>
          <w:szCs w:val="24"/>
        </w:rPr>
      </w:pPr>
      <w:r w:rsidRPr="00097875">
        <w:rPr>
          <w:rFonts w:ascii="Arial" w:hAnsi="Arial" w:cs="Arial"/>
          <w:sz w:val="24"/>
          <w:szCs w:val="24"/>
        </w:rPr>
        <w:t xml:space="preserve">United Nations Committee on the Rights of the Child (UNCRC) (2007) </w:t>
      </w:r>
      <w:r w:rsidRPr="00097875">
        <w:rPr>
          <w:rFonts w:ascii="Arial" w:hAnsi="Arial" w:cs="Arial"/>
          <w:i/>
          <w:iCs/>
          <w:sz w:val="24"/>
          <w:szCs w:val="24"/>
        </w:rPr>
        <w:t>General Comment No. 10 (2007)</w:t>
      </w:r>
      <w:r w:rsidR="001601A0" w:rsidRPr="00097875">
        <w:rPr>
          <w:rFonts w:ascii="Arial" w:hAnsi="Arial" w:cs="Arial"/>
          <w:i/>
          <w:iCs/>
          <w:sz w:val="24"/>
          <w:szCs w:val="24"/>
        </w:rPr>
        <w:t>: Children’s Rights in Juvenile Justice</w:t>
      </w:r>
      <w:r w:rsidR="001601A0" w:rsidRPr="00097875">
        <w:rPr>
          <w:rFonts w:ascii="Arial" w:hAnsi="Arial" w:cs="Arial"/>
          <w:sz w:val="24"/>
          <w:szCs w:val="24"/>
        </w:rPr>
        <w:t xml:space="preserve">. Available: &lt; </w:t>
      </w:r>
      <w:hyperlink r:id="rId34" w:history="1">
        <w:r w:rsidR="001601A0" w:rsidRPr="00097875">
          <w:rPr>
            <w:rStyle w:val="Hyperlink"/>
            <w:rFonts w:ascii="Arial" w:hAnsi="Arial" w:cs="Arial"/>
            <w:sz w:val="24"/>
            <w:szCs w:val="24"/>
          </w:rPr>
          <w:t>https://www2.ohchr.org/english/bodies/crc/docs/CRC.C.GC.10.pdf</w:t>
        </w:r>
      </w:hyperlink>
      <w:r w:rsidR="001601A0" w:rsidRPr="00097875">
        <w:rPr>
          <w:rFonts w:ascii="Arial" w:hAnsi="Arial" w:cs="Arial"/>
          <w:sz w:val="24"/>
          <w:szCs w:val="24"/>
        </w:rPr>
        <w:t xml:space="preserve"> &gt; [Accessed: 13</w:t>
      </w:r>
      <w:r w:rsidR="001601A0" w:rsidRPr="00097875">
        <w:rPr>
          <w:rFonts w:ascii="Arial" w:hAnsi="Arial" w:cs="Arial"/>
          <w:sz w:val="24"/>
          <w:szCs w:val="24"/>
          <w:vertAlign w:val="superscript"/>
        </w:rPr>
        <w:t>th</w:t>
      </w:r>
      <w:r w:rsidR="001601A0" w:rsidRPr="00097875">
        <w:rPr>
          <w:rFonts w:ascii="Arial" w:hAnsi="Arial" w:cs="Arial"/>
          <w:sz w:val="24"/>
          <w:szCs w:val="24"/>
        </w:rPr>
        <w:t xml:space="preserve"> November 2022].</w:t>
      </w:r>
    </w:p>
    <w:p w14:paraId="4F628874" w14:textId="33A50060" w:rsidR="00AD0917" w:rsidRPr="00097875" w:rsidRDefault="00AD0917" w:rsidP="00097875">
      <w:pPr>
        <w:pStyle w:val="ListParagraph"/>
        <w:numPr>
          <w:ilvl w:val="0"/>
          <w:numId w:val="11"/>
        </w:numPr>
        <w:spacing w:line="480" w:lineRule="auto"/>
        <w:jc w:val="both"/>
        <w:rPr>
          <w:rFonts w:ascii="Arial" w:hAnsi="Arial" w:cs="Arial"/>
          <w:sz w:val="24"/>
          <w:szCs w:val="24"/>
        </w:rPr>
      </w:pPr>
      <w:r w:rsidRPr="00097875">
        <w:rPr>
          <w:rFonts w:ascii="Arial" w:hAnsi="Arial" w:cs="Arial"/>
          <w:sz w:val="24"/>
          <w:szCs w:val="24"/>
        </w:rPr>
        <w:t xml:space="preserve">United Nations Committee on the Rights of the Child (UNCRC) (2018) </w:t>
      </w:r>
      <w:r w:rsidRPr="00097875">
        <w:rPr>
          <w:rFonts w:ascii="Arial" w:hAnsi="Arial" w:cs="Arial"/>
          <w:i/>
          <w:iCs/>
          <w:sz w:val="24"/>
          <w:szCs w:val="24"/>
        </w:rPr>
        <w:t>General Comment No. 24 (201X), Replacing General Comment No. 10 (2007): Children’s Rights in Juvenile Justice.</w:t>
      </w:r>
      <w:r w:rsidRPr="00097875">
        <w:rPr>
          <w:rFonts w:ascii="Arial" w:hAnsi="Arial" w:cs="Arial"/>
          <w:sz w:val="24"/>
          <w:szCs w:val="24"/>
        </w:rPr>
        <w:t xml:space="preserve"> Available: &lt; </w:t>
      </w:r>
      <w:hyperlink r:id="rId35" w:history="1">
        <w:r w:rsidRPr="00097875">
          <w:rPr>
            <w:rStyle w:val="Hyperlink"/>
            <w:rFonts w:ascii="Arial" w:hAnsi="Arial" w:cs="Arial"/>
            <w:sz w:val="24"/>
            <w:szCs w:val="24"/>
          </w:rPr>
          <w:t>https://www.ohchr.org/sites/default/files/Documents/HRBodies/CRC/GC24/GeneralComment24.pdf</w:t>
        </w:r>
      </w:hyperlink>
      <w:r w:rsidRPr="00097875">
        <w:rPr>
          <w:rFonts w:ascii="Arial" w:hAnsi="Arial" w:cs="Arial"/>
          <w:sz w:val="24"/>
          <w:szCs w:val="24"/>
        </w:rPr>
        <w:t xml:space="preserve"> &gt; [Accessed: 13</w:t>
      </w:r>
      <w:r w:rsidRPr="00097875">
        <w:rPr>
          <w:rFonts w:ascii="Arial" w:hAnsi="Arial" w:cs="Arial"/>
          <w:sz w:val="24"/>
          <w:szCs w:val="24"/>
          <w:vertAlign w:val="superscript"/>
        </w:rPr>
        <w:t>th</w:t>
      </w:r>
      <w:r w:rsidRPr="00097875">
        <w:rPr>
          <w:rFonts w:ascii="Arial" w:hAnsi="Arial" w:cs="Arial"/>
          <w:sz w:val="24"/>
          <w:szCs w:val="24"/>
        </w:rPr>
        <w:t xml:space="preserve"> November 2022].</w:t>
      </w:r>
    </w:p>
    <w:p w14:paraId="1F83E9FA" w14:textId="49CBA223" w:rsidR="00B0357E" w:rsidRPr="00097875" w:rsidRDefault="00B0357E" w:rsidP="00097875">
      <w:pPr>
        <w:pStyle w:val="ListParagraph"/>
        <w:numPr>
          <w:ilvl w:val="0"/>
          <w:numId w:val="11"/>
        </w:numPr>
        <w:spacing w:line="480" w:lineRule="auto"/>
        <w:jc w:val="both"/>
        <w:rPr>
          <w:rFonts w:ascii="Arial" w:hAnsi="Arial" w:cs="Arial"/>
          <w:sz w:val="24"/>
          <w:szCs w:val="24"/>
        </w:rPr>
      </w:pPr>
      <w:r w:rsidRPr="00097875">
        <w:rPr>
          <w:rFonts w:ascii="Arial" w:hAnsi="Arial" w:cs="Arial"/>
          <w:sz w:val="24"/>
          <w:szCs w:val="24"/>
        </w:rPr>
        <w:lastRenderedPageBreak/>
        <w:t xml:space="preserve">University of South Wales (2021) </w:t>
      </w:r>
      <w:r w:rsidRPr="00097875">
        <w:rPr>
          <w:rFonts w:ascii="Arial" w:hAnsi="Arial" w:cs="Arial"/>
          <w:i/>
          <w:iCs/>
          <w:sz w:val="24"/>
          <w:szCs w:val="24"/>
        </w:rPr>
        <w:t>Why ten-year-old children should not be held criminally responsible</w:t>
      </w:r>
      <w:r w:rsidRPr="00097875">
        <w:rPr>
          <w:rFonts w:ascii="Arial" w:hAnsi="Arial" w:cs="Arial"/>
          <w:sz w:val="24"/>
          <w:szCs w:val="24"/>
        </w:rPr>
        <w:t xml:space="preserve">. Available: &lt; </w:t>
      </w:r>
      <w:hyperlink r:id="rId36" w:history="1">
        <w:r w:rsidRPr="00097875">
          <w:rPr>
            <w:rStyle w:val="Hyperlink"/>
            <w:rFonts w:ascii="Arial" w:hAnsi="Arial" w:cs="Arial"/>
            <w:sz w:val="24"/>
            <w:szCs w:val="24"/>
          </w:rPr>
          <w:t>https://www.southwales.ac.uk/news/news-2021/why-ten-year-old-children-should-not-be-held-criminally-responsible/</w:t>
        </w:r>
      </w:hyperlink>
      <w:r w:rsidRPr="00097875">
        <w:rPr>
          <w:rFonts w:ascii="Arial" w:hAnsi="Arial" w:cs="Arial"/>
          <w:sz w:val="24"/>
          <w:szCs w:val="24"/>
        </w:rPr>
        <w:t xml:space="preserve">  &gt; [Accessed: 7</w:t>
      </w:r>
      <w:r w:rsidRPr="00097875">
        <w:rPr>
          <w:rFonts w:ascii="Arial" w:hAnsi="Arial" w:cs="Arial"/>
          <w:sz w:val="24"/>
          <w:szCs w:val="24"/>
          <w:vertAlign w:val="superscript"/>
        </w:rPr>
        <w:t>th</w:t>
      </w:r>
      <w:r w:rsidRPr="00097875">
        <w:rPr>
          <w:rFonts w:ascii="Arial" w:hAnsi="Arial" w:cs="Arial"/>
          <w:sz w:val="24"/>
          <w:szCs w:val="24"/>
        </w:rPr>
        <w:t xml:space="preserve"> November 2022].</w:t>
      </w:r>
    </w:p>
    <w:p w14:paraId="5CC263E1" w14:textId="621BF42A" w:rsidR="00220C12" w:rsidRPr="00097875" w:rsidRDefault="007D3F14" w:rsidP="00097875">
      <w:pPr>
        <w:pStyle w:val="ListParagraph"/>
        <w:numPr>
          <w:ilvl w:val="0"/>
          <w:numId w:val="11"/>
        </w:numPr>
        <w:spacing w:line="480" w:lineRule="auto"/>
        <w:jc w:val="both"/>
        <w:rPr>
          <w:rFonts w:ascii="Arial" w:hAnsi="Arial" w:cs="Arial"/>
          <w:sz w:val="24"/>
          <w:szCs w:val="24"/>
        </w:rPr>
      </w:pPr>
      <w:r w:rsidRPr="00097875">
        <w:rPr>
          <w:rFonts w:ascii="Arial" w:hAnsi="Arial" w:cs="Arial"/>
          <w:sz w:val="24"/>
          <w:szCs w:val="24"/>
        </w:rPr>
        <w:t xml:space="preserve">Vaswani, N. (2018) </w:t>
      </w:r>
      <w:r w:rsidRPr="00097875">
        <w:rPr>
          <w:rFonts w:ascii="Arial" w:hAnsi="Arial" w:cs="Arial"/>
          <w:i/>
          <w:iCs/>
          <w:sz w:val="24"/>
          <w:szCs w:val="24"/>
        </w:rPr>
        <w:t>Adverse Childhood Experiences in children at high risk of harm to others, A gendered perspective</w:t>
      </w:r>
      <w:r w:rsidRPr="00097875">
        <w:rPr>
          <w:rFonts w:ascii="Arial" w:hAnsi="Arial" w:cs="Arial"/>
          <w:sz w:val="24"/>
          <w:szCs w:val="24"/>
        </w:rPr>
        <w:t xml:space="preserve">. Available: &lt; </w:t>
      </w:r>
      <w:hyperlink r:id="rId37" w:history="1">
        <w:r w:rsidRPr="00097875">
          <w:rPr>
            <w:rStyle w:val="Hyperlink"/>
            <w:rFonts w:ascii="Arial" w:hAnsi="Arial" w:cs="Arial"/>
            <w:sz w:val="24"/>
            <w:szCs w:val="24"/>
          </w:rPr>
          <w:t>https://cycj.org.uk/wp-content/uploads/2018/08/Adverse-Childhood-Experiences-in-high-risk_CYCJ-_Final-Version-proofed.pdf</w:t>
        </w:r>
      </w:hyperlink>
      <w:r w:rsidRPr="00097875">
        <w:rPr>
          <w:rFonts w:ascii="Arial" w:hAnsi="Arial" w:cs="Arial"/>
          <w:sz w:val="24"/>
          <w:szCs w:val="24"/>
        </w:rPr>
        <w:t xml:space="preserve"> &gt; [Accessed: 13</w:t>
      </w:r>
      <w:r w:rsidRPr="00097875">
        <w:rPr>
          <w:rFonts w:ascii="Arial" w:hAnsi="Arial" w:cs="Arial"/>
          <w:sz w:val="24"/>
          <w:szCs w:val="24"/>
          <w:vertAlign w:val="superscript"/>
        </w:rPr>
        <w:t>th</w:t>
      </w:r>
      <w:r w:rsidRPr="00097875">
        <w:rPr>
          <w:rFonts w:ascii="Arial" w:hAnsi="Arial" w:cs="Arial"/>
          <w:sz w:val="24"/>
          <w:szCs w:val="24"/>
        </w:rPr>
        <w:t xml:space="preserve"> November 2022].</w:t>
      </w:r>
    </w:p>
    <w:p w14:paraId="03E6843A" w14:textId="6600F500" w:rsidR="00220C12" w:rsidRPr="00097875" w:rsidRDefault="00220C12" w:rsidP="00097875">
      <w:pPr>
        <w:pStyle w:val="ListParagraph"/>
        <w:numPr>
          <w:ilvl w:val="0"/>
          <w:numId w:val="11"/>
        </w:numPr>
        <w:spacing w:line="480" w:lineRule="auto"/>
        <w:jc w:val="both"/>
        <w:rPr>
          <w:rFonts w:ascii="Arial" w:hAnsi="Arial" w:cs="Arial"/>
          <w:sz w:val="24"/>
          <w:szCs w:val="24"/>
        </w:rPr>
      </w:pPr>
      <w:r w:rsidRPr="00097875">
        <w:rPr>
          <w:rFonts w:ascii="Arial" w:hAnsi="Arial" w:cs="Arial"/>
          <w:sz w:val="24"/>
          <w:szCs w:val="24"/>
        </w:rPr>
        <w:t>Walsh, C. (1999) “Imposing</w:t>
      </w:r>
      <w:r w:rsidR="00674CEA" w:rsidRPr="00097875">
        <w:rPr>
          <w:rFonts w:ascii="Arial" w:hAnsi="Arial" w:cs="Arial"/>
          <w:sz w:val="24"/>
          <w:szCs w:val="24"/>
        </w:rPr>
        <w:t xml:space="preserve"> order: Child safety orders and local child curfew schemes,” </w:t>
      </w:r>
      <w:r w:rsidR="00674CEA" w:rsidRPr="00097875">
        <w:rPr>
          <w:rFonts w:ascii="Arial" w:hAnsi="Arial" w:cs="Arial"/>
          <w:i/>
          <w:iCs/>
          <w:sz w:val="24"/>
          <w:szCs w:val="24"/>
        </w:rPr>
        <w:t>Journal of Social Welfare</w:t>
      </w:r>
      <w:r w:rsidR="00007964" w:rsidRPr="00097875">
        <w:rPr>
          <w:rFonts w:ascii="Arial" w:hAnsi="Arial" w:cs="Arial"/>
          <w:i/>
          <w:iCs/>
          <w:sz w:val="24"/>
          <w:szCs w:val="24"/>
        </w:rPr>
        <w:t xml:space="preserve"> and Family Law</w:t>
      </w:r>
      <w:r w:rsidR="00007964" w:rsidRPr="00097875">
        <w:rPr>
          <w:rFonts w:ascii="Arial" w:hAnsi="Arial" w:cs="Arial"/>
          <w:sz w:val="24"/>
          <w:szCs w:val="24"/>
        </w:rPr>
        <w:t xml:space="preserve">, 21(2), pp. 135-149. Available: &lt; </w:t>
      </w:r>
      <w:hyperlink r:id="rId38" w:history="1">
        <w:r w:rsidR="00BD53F1" w:rsidRPr="00097875">
          <w:rPr>
            <w:rStyle w:val="Hyperlink"/>
            <w:rFonts w:ascii="Arial" w:hAnsi="Arial" w:cs="Arial"/>
            <w:sz w:val="24"/>
            <w:szCs w:val="24"/>
          </w:rPr>
          <w:t>https://www-tandfonline-com.ezproxy.uwtsd.ac.uk/doi/pdf/10.1080/09649069908410561?needAccess=true</w:t>
        </w:r>
      </w:hyperlink>
      <w:r w:rsidR="00BD53F1" w:rsidRPr="00097875">
        <w:rPr>
          <w:rFonts w:ascii="Arial" w:hAnsi="Arial" w:cs="Arial"/>
          <w:sz w:val="24"/>
          <w:szCs w:val="24"/>
        </w:rPr>
        <w:t xml:space="preserve"> &gt; [Accessed: 17</w:t>
      </w:r>
      <w:r w:rsidR="00BD53F1" w:rsidRPr="00097875">
        <w:rPr>
          <w:rFonts w:ascii="Arial" w:hAnsi="Arial" w:cs="Arial"/>
          <w:sz w:val="24"/>
          <w:szCs w:val="24"/>
          <w:vertAlign w:val="superscript"/>
        </w:rPr>
        <w:t>th</w:t>
      </w:r>
      <w:r w:rsidR="00BD53F1" w:rsidRPr="00097875">
        <w:rPr>
          <w:rFonts w:ascii="Arial" w:hAnsi="Arial" w:cs="Arial"/>
          <w:sz w:val="24"/>
          <w:szCs w:val="24"/>
        </w:rPr>
        <w:t xml:space="preserve"> November 2022].</w:t>
      </w:r>
    </w:p>
    <w:sectPr w:rsidR="00220C12" w:rsidRPr="00097875" w:rsidSect="00BE698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D1871"/>
    <w:multiLevelType w:val="hybridMultilevel"/>
    <w:tmpl w:val="C1B48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BD039B"/>
    <w:multiLevelType w:val="hybridMultilevel"/>
    <w:tmpl w:val="F6A00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DF3A6C"/>
    <w:multiLevelType w:val="hybridMultilevel"/>
    <w:tmpl w:val="E9120E1C"/>
    <w:lvl w:ilvl="0" w:tplc="8766BB50">
      <w:start w:val="1"/>
      <w:numFmt w:val="bullet"/>
      <w:lvlText w:val="•"/>
      <w:lvlJc w:val="left"/>
      <w:pPr>
        <w:tabs>
          <w:tab w:val="num" w:pos="720"/>
        </w:tabs>
        <w:ind w:left="720" w:hanging="360"/>
      </w:pPr>
      <w:rPr>
        <w:rFonts w:ascii="Arial" w:hAnsi="Arial" w:hint="default"/>
      </w:rPr>
    </w:lvl>
    <w:lvl w:ilvl="1" w:tplc="98A67D32" w:tentative="1">
      <w:start w:val="1"/>
      <w:numFmt w:val="bullet"/>
      <w:lvlText w:val="•"/>
      <w:lvlJc w:val="left"/>
      <w:pPr>
        <w:tabs>
          <w:tab w:val="num" w:pos="1440"/>
        </w:tabs>
        <w:ind w:left="1440" w:hanging="360"/>
      </w:pPr>
      <w:rPr>
        <w:rFonts w:ascii="Arial" w:hAnsi="Arial" w:hint="default"/>
      </w:rPr>
    </w:lvl>
    <w:lvl w:ilvl="2" w:tplc="5FA6C06A" w:tentative="1">
      <w:start w:val="1"/>
      <w:numFmt w:val="bullet"/>
      <w:lvlText w:val="•"/>
      <w:lvlJc w:val="left"/>
      <w:pPr>
        <w:tabs>
          <w:tab w:val="num" w:pos="2160"/>
        </w:tabs>
        <w:ind w:left="2160" w:hanging="360"/>
      </w:pPr>
      <w:rPr>
        <w:rFonts w:ascii="Arial" w:hAnsi="Arial" w:hint="default"/>
      </w:rPr>
    </w:lvl>
    <w:lvl w:ilvl="3" w:tplc="4816C3D4" w:tentative="1">
      <w:start w:val="1"/>
      <w:numFmt w:val="bullet"/>
      <w:lvlText w:val="•"/>
      <w:lvlJc w:val="left"/>
      <w:pPr>
        <w:tabs>
          <w:tab w:val="num" w:pos="2880"/>
        </w:tabs>
        <w:ind w:left="2880" w:hanging="360"/>
      </w:pPr>
      <w:rPr>
        <w:rFonts w:ascii="Arial" w:hAnsi="Arial" w:hint="default"/>
      </w:rPr>
    </w:lvl>
    <w:lvl w:ilvl="4" w:tplc="2330309C" w:tentative="1">
      <w:start w:val="1"/>
      <w:numFmt w:val="bullet"/>
      <w:lvlText w:val="•"/>
      <w:lvlJc w:val="left"/>
      <w:pPr>
        <w:tabs>
          <w:tab w:val="num" w:pos="3600"/>
        </w:tabs>
        <w:ind w:left="3600" w:hanging="360"/>
      </w:pPr>
      <w:rPr>
        <w:rFonts w:ascii="Arial" w:hAnsi="Arial" w:hint="default"/>
      </w:rPr>
    </w:lvl>
    <w:lvl w:ilvl="5" w:tplc="31308596" w:tentative="1">
      <w:start w:val="1"/>
      <w:numFmt w:val="bullet"/>
      <w:lvlText w:val="•"/>
      <w:lvlJc w:val="left"/>
      <w:pPr>
        <w:tabs>
          <w:tab w:val="num" w:pos="4320"/>
        </w:tabs>
        <w:ind w:left="4320" w:hanging="360"/>
      </w:pPr>
      <w:rPr>
        <w:rFonts w:ascii="Arial" w:hAnsi="Arial" w:hint="default"/>
      </w:rPr>
    </w:lvl>
    <w:lvl w:ilvl="6" w:tplc="56D466C4" w:tentative="1">
      <w:start w:val="1"/>
      <w:numFmt w:val="bullet"/>
      <w:lvlText w:val="•"/>
      <w:lvlJc w:val="left"/>
      <w:pPr>
        <w:tabs>
          <w:tab w:val="num" w:pos="5040"/>
        </w:tabs>
        <w:ind w:left="5040" w:hanging="360"/>
      </w:pPr>
      <w:rPr>
        <w:rFonts w:ascii="Arial" w:hAnsi="Arial" w:hint="default"/>
      </w:rPr>
    </w:lvl>
    <w:lvl w:ilvl="7" w:tplc="C7E63F8A" w:tentative="1">
      <w:start w:val="1"/>
      <w:numFmt w:val="bullet"/>
      <w:lvlText w:val="•"/>
      <w:lvlJc w:val="left"/>
      <w:pPr>
        <w:tabs>
          <w:tab w:val="num" w:pos="5760"/>
        </w:tabs>
        <w:ind w:left="5760" w:hanging="360"/>
      </w:pPr>
      <w:rPr>
        <w:rFonts w:ascii="Arial" w:hAnsi="Arial" w:hint="default"/>
      </w:rPr>
    </w:lvl>
    <w:lvl w:ilvl="8" w:tplc="FD6819A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19E1731"/>
    <w:multiLevelType w:val="hybridMultilevel"/>
    <w:tmpl w:val="B62A1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580319"/>
    <w:multiLevelType w:val="hybridMultilevel"/>
    <w:tmpl w:val="F2CC4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28141E"/>
    <w:multiLevelType w:val="hybridMultilevel"/>
    <w:tmpl w:val="045ECF3A"/>
    <w:lvl w:ilvl="0" w:tplc="31EA4EA2">
      <w:start w:val="1"/>
      <w:numFmt w:val="decimal"/>
      <w:lvlText w:val="%1."/>
      <w:lvlJc w:val="left"/>
      <w:pPr>
        <w:ind w:left="720" w:hanging="360"/>
      </w:pPr>
      <w:rPr>
        <w:rFonts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DB6638F"/>
    <w:multiLevelType w:val="hybridMultilevel"/>
    <w:tmpl w:val="6AACC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A883B37"/>
    <w:multiLevelType w:val="hybridMultilevel"/>
    <w:tmpl w:val="C324C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6A86D93"/>
    <w:multiLevelType w:val="hybridMultilevel"/>
    <w:tmpl w:val="CF28B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B46CAC"/>
    <w:multiLevelType w:val="hybridMultilevel"/>
    <w:tmpl w:val="4EDE09A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758255967">
    <w:abstractNumId w:val="9"/>
  </w:num>
  <w:num w:numId="2" w16cid:durableId="889683422">
    <w:abstractNumId w:val="2"/>
  </w:num>
  <w:num w:numId="3" w16cid:durableId="618991353">
    <w:abstractNumId w:val="9"/>
  </w:num>
  <w:num w:numId="4" w16cid:durableId="1142426679">
    <w:abstractNumId w:val="6"/>
  </w:num>
  <w:num w:numId="5" w16cid:durableId="1820271577">
    <w:abstractNumId w:val="8"/>
  </w:num>
  <w:num w:numId="6" w16cid:durableId="258024566">
    <w:abstractNumId w:val="0"/>
  </w:num>
  <w:num w:numId="7" w16cid:durableId="782766135">
    <w:abstractNumId w:val="4"/>
  </w:num>
  <w:num w:numId="8" w16cid:durableId="1188373853">
    <w:abstractNumId w:val="1"/>
  </w:num>
  <w:num w:numId="9" w16cid:durableId="1591741589">
    <w:abstractNumId w:val="7"/>
  </w:num>
  <w:num w:numId="10" w16cid:durableId="1992172079">
    <w:abstractNumId w:val="5"/>
  </w:num>
  <w:num w:numId="11" w16cid:durableId="17134549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0912"/>
    <w:rsid w:val="00007964"/>
    <w:rsid w:val="00007E66"/>
    <w:rsid w:val="0001467E"/>
    <w:rsid w:val="00017D3E"/>
    <w:rsid w:val="000214CF"/>
    <w:rsid w:val="00031FD1"/>
    <w:rsid w:val="00042D7B"/>
    <w:rsid w:val="00050824"/>
    <w:rsid w:val="00050E9F"/>
    <w:rsid w:val="00056AAE"/>
    <w:rsid w:val="00077D31"/>
    <w:rsid w:val="00081B72"/>
    <w:rsid w:val="00083C71"/>
    <w:rsid w:val="00094E4F"/>
    <w:rsid w:val="00097875"/>
    <w:rsid w:val="000C22F3"/>
    <w:rsid w:val="000C6CC4"/>
    <w:rsid w:val="000E5E88"/>
    <w:rsid w:val="000F72D8"/>
    <w:rsid w:val="00124D45"/>
    <w:rsid w:val="00126761"/>
    <w:rsid w:val="00141597"/>
    <w:rsid w:val="001601A0"/>
    <w:rsid w:val="00176C46"/>
    <w:rsid w:val="001B1705"/>
    <w:rsid w:val="001E236D"/>
    <w:rsid w:val="001E6819"/>
    <w:rsid w:val="001F1B8B"/>
    <w:rsid w:val="0020402C"/>
    <w:rsid w:val="0020798A"/>
    <w:rsid w:val="002115E2"/>
    <w:rsid w:val="00216496"/>
    <w:rsid w:val="00220C12"/>
    <w:rsid w:val="002233A9"/>
    <w:rsid w:val="002448D9"/>
    <w:rsid w:val="00256CD6"/>
    <w:rsid w:val="002641FC"/>
    <w:rsid w:val="00267A37"/>
    <w:rsid w:val="002700F4"/>
    <w:rsid w:val="002706AC"/>
    <w:rsid w:val="00271281"/>
    <w:rsid w:val="002764C1"/>
    <w:rsid w:val="0028046C"/>
    <w:rsid w:val="00282C50"/>
    <w:rsid w:val="00292D36"/>
    <w:rsid w:val="002C765F"/>
    <w:rsid w:val="002F1276"/>
    <w:rsid w:val="002F4E7D"/>
    <w:rsid w:val="002F761F"/>
    <w:rsid w:val="00304951"/>
    <w:rsid w:val="00321A6C"/>
    <w:rsid w:val="00324FE4"/>
    <w:rsid w:val="003437CF"/>
    <w:rsid w:val="00354101"/>
    <w:rsid w:val="0035675B"/>
    <w:rsid w:val="003637AF"/>
    <w:rsid w:val="00375948"/>
    <w:rsid w:val="00381165"/>
    <w:rsid w:val="0038116E"/>
    <w:rsid w:val="003A2DE5"/>
    <w:rsid w:val="003D00B8"/>
    <w:rsid w:val="003E0B74"/>
    <w:rsid w:val="003E6A59"/>
    <w:rsid w:val="003F71FA"/>
    <w:rsid w:val="004109C2"/>
    <w:rsid w:val="004124C5"/>
    <w:rsid w:val="004213CE"/>
    <w:rsid w:val="004278BA"/>
    <w:rsid w:val="00460E52"/>
    <w:rsid w:val="00477D57"/>
    <w:rsid w:val="00486AA3"/>
    <w:rsid w:val="004917CF"/>
    <w:rsid w:val="004955AD"/>
    <w:rsid w:val="004B6076"/>
    <w:rsid w:val="004C0845"/>
    <w:rsid w:val="004E2D2F"/>
    <w:rsid w:val="00537B53"/>
    <w:rsid w:val="005407A1"/>
    <w:rsid w:val="005437CC"/>
    <w:rsid w:val="00550E16"/>
    <w:rsid w:val="00554A7B"/>
    <w:rsid w:val="00557699"/>
    <w:rsid w:val="005611F1"/>
    <w:rsid w:val="0056140F"/>
    <w:rsid w:val="0056446F"/>
    <w:rsid w:val="005644DC"/>
    <w:rsid w:val="00571CE2"/>
    <w:rsid w:val="005737FC"/>
    <w:rsid w:val="005764AB"/>
    <w:rsid w:val="005801F5"/>
    <w:rsid w:val="00582FB3"/>
    <w:rsid w:val="00583ED9"/>
    <w:rsid w:val="00586ECD"/>
    <w:rsid w:val="00593DD3"/>
    <w:rsid w:val="00596F0B"/>
    <w:rsid w:val="005A41F2"/>
    <w:rsid w:val="005B0912"/>
    <w:rsid w:val="005C5E9E"/>
    <w:rsid w:val="005D03A3"/>
    <w:rsid w:val="005D2EA1"/>
    <w:rsid w:val="005D3CEB"/>
    <w:rsid w:val="005E1DDD"/>
    <w:rsid w:val="00614466"/>
    <w:rsid w:val="0061544F"/>
    <w:rsid w:val="00644ED1"/>
    <w:rsid w:val="00667816"/>
    <w:rsid w:val="00674CEA"/>
    <w:rsid w:val="00684284"/>
    <w:rsid w:val="006E4722"/>
    <w:rsid w:val="006E5192"/>
    <w:rsid w:val="006F72C1"/>
    <w:rsid w:val="00703AF6"/>
    <w:rsid w:val="00706AC2"/>
    <w:rsid w:val="00715235"/>
    <w:rsid w:val="00723CB4"/>
    <w:rsid w:val="00750453"/>
    <w:rsid w:val="007627F9"/>
    <w:rsid w:val="00782634"/>
    <w:rsid w:val="0079579D"/>
    <w:rsid w:val="00796772"/>
    <w:rsid w:val="007A43DA"/>
    <w:rsid w:val="007B5AD6"/>
    <w:rsid w:val="007C4559"/>
    <w:rsid w:val="007D3F14"/>
    <w:rsid w:val="007D405E"/>
    <w:rsid w:val="007F616D"/>
    <w:rsid w:val="0081573F"/>
    <w:rsid w:val="00825AF1"/>
    <w:rsid w:val="00831142"/>
    <w:rsid w:val="008377A4"/>
    <w:rsid w:val="00843366"/>
    <w:rsid w:val="00845AC1"/>
    <w:rsid w:val="00847246"/>
    <w:rsid w:val="00856150"/>
    <w:rsid w:val="0088226B"/>
    <w:rsid w:val="00882CD1"/>
    <w:rsid w:val="00883854"/>
    <w:rsid w:val="008B62F9"/>
    <w:rsid w:val="008D527B"/>
    <w:rsid w:val="008E5C1D"/>
    <w:rsid w:val="00914176"/>
    <w:rsid w:val="00927E59"/>
    <w:rsid w:val="00942300"/>
    <w:rsid w:val="00946CD7"/>
    <w:rsid w:val="00974A88"/>
    <w:rsid w:val="00975AE9"/>
    <w:rsid w:val="00984BEE"/>
    <w:rsid w:val="009866B5"/>
    <w:rsid w:val="00992459"/>
    <w:rsid w:val="009B5B37"/>
    <w:rsid w:val="009E0EAA"/>
    <w:rsid w:val="009F2572"/>
    <w:rsid w:val="009F651C"/>
    <w:rsid w:val="009F7616"/>
    <w:rsid w:val="00A10899"/>
    <w:rsid w:val="00A349A7"/>
    <w:rsid w:val="00A46CA0"/>
    <w:rsid w:val="00A5405A"/>
    <w:rsid w:val="00A727E4"/>
    <w:rsid w:val="00A72D3E"/>
    <w:rsid w:val="00A82DB3"/>
    <w:rsid w:val="00AA386C"/>
    <w:rsid w:val="00AA6FE8"/>
    <w:rsid w:val="00AA787E"/>
    <w:rsid w:val="00AA797B"/>
    <w:rsid w:val="00AB01F3"/>
    <w:rsid w:val="00AB3AED"/>
    <w:rsid w:val="00AC341F"/>
    <w:rsid w:val="00AC5827"/>
    <w:rsid w:val="00AD0917"/>
    <w:rsid w:val="00AD22F6"/>
    <w:rsid w:val="00AD4D76"/>
    <w:rsid w:val="00AE059C"/>
    <w:rsid w:val="00AE269C"/>
    <w:rsid w:val="00B0357E"/>
    <w:rsid w:val="00B06040"/>
    <w:rsid w:val="00B152CB"/>
    <w:rsid w:val="00B30E50"/>
    <w:rsid w:val="00B7431B"/>
    <w:rsid w:val="00B824BA"/>
    <w:rsid w:val="00B8362A"/>
    <w:rsid w:val="00B85BCC"/>
    <w:rsid w:val="00BA4AC5"/>
    <w:rsid w:val="00BA7330"/>
    <w:rsid w:val="00BB7D9B"/>
    <w:rsid w:val="00BD53F1"/>
    <w:rsid w:val="00BE6987"/>
    <w:rsid w:val="00BF1242"/>
    <w:rsid w:val="00BF40A5"/>
    <w:rsid w:val="00C02DEA"/>
    <w:rsid w:val="00C03C3C"/>
    <w:rsid w:val="00C16C4C"/>
    <w:rsid w:val="00C17F4D"/>
    <w:rsid w:val="00C24304"/>
    <w:rsid w:val="00C27C9D"/>
    <w:rsid w:val="00C40B67"/>
    <w:rsid w:val="00C5182B"/>
    <w:rsid w:val="00C65750"/>
    <w:rsid w:val="00C727D2"/>
    <w:rsid w:val="00C73AC3"/>
    <w:rsid w:val="00C7715A"/>
    <w:rsid w:val="00C90E72"/>
    <w:rsid w:val="00CA33A9"/>
    <w:rsid w:val="00CB05DA"/>
    <w:rsid w:val="00CC0267"/>
    <w:rsid w:val="00CC6ABF"/>
    <w:rsid w:val="00CD223E"/>
    <w:rsid w:val="00CD59BA"/>
    <w:rsid w:val="00CF5A2E"/>
    <w:rsid w:val="00CF7B5E"/>
    <w:rsid w:val="00D0339D"/>
    <w:rsid w:val="00D0772D"/>
    <w:rsid w:val="00D14187"/>
    <w:rsid w:val="00D2461C"/>
    <w:rsid w:val="00D33EC1"/>
    <w:rsid w:val="00D36745"/>
    <w:rsid w:val="00D425E7"/>
    <w:rsid w:val="00D42E90"/>
    <w:rsid w:val="00D74F85"/>
    <w:rsid w:val="00DA7262"/>
    <w:rsid w:val="00DB2A4A"/>
    <w:rsid w:val="00DB5584"/>
    <w:rsid w:val="00DE0EF6"/>
    <w:rsid w:val="00DE740D"/>
    <w:rsid w:val="00DF1302"/>
    <w:rsid w:val="00E058F5"/>
    <w:rsid w:val="00E11ACF"/>
    <w:rsid w:val="00E32088"/>
    <w:rsid w:val="00E464A0"/>
    <w:rsid w:val="00E60BCD"/>
    <w:rsid w:val="00E6532B"/>
    <w:rsid w:val="00E71239"/>
    <w:rsid w:val="00E77276"/>
    <w:rsid w:val="00E936B6"/>
    <w:rsid w:val="00EA1A67"/>
    <w:rsid w:val="00EA5C17"/>
    <w:rsid w:val="00ED2771"/>
    <w:rsid w:val="00ED2952"/>
    <w:rsid w:val="00ED7B9C"/>
    <w:rsid w:val="00EE5380"/>
    <w:rsid w:val="00EF02C8"/>
    <w:rsid w:val="00EF2CCE"/>
    <w:rsid w:val="00F26D4B"/>
    <w:rsid w:val="00F4208B"/>
    <w:rsid w:val="00F46897"/>
    <w:rsid w:val="00F5643A"/>
    <w:rsid w:val="00F655F2"/>
    <w:rsid w:val="00F77579"/>
    <w:rsid w:val="00F96CD5"/>
    <w:rsid w:val="00FA353F"/>
    <w:rsid w:val="00FB5563"/>
    <w:rsid w:val="00FC5B1D"/>
    <w:rsid w:val="00FD1A5A"/>
    <w:rsid w:val="00FD5CDE"/>
    <w:rsid w:val="00FD63D4"/>
    <w:rsid w:val="00FE10D5"/>
    <w:rsid w:val="00FE49B8"/>
    <w:rsid w:val="00FF01E4"/>
    <w:rsid w:val="00FF26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C65368"/>
  <w15:docId w15:val="{B97147FD-DB39-426A-8D7A-7A187EC6E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0912"/>
    <w:pPr>
      <w:spacing w:after="0" w:line="240" w:lineRule="auto"/>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5B0912"/>
    <w:rPr>
      <w:color w:val="0563C1" w:themeColor="hyperlink"/>
      <w:u w:val="single"/>
    </w:rPr>
  </w:style>
  <w:style w:type="character" w:styleId="UnresolvedMention">
    <w:name w:val="Unresolved Mention"/>
    <w:basedOn w:val="DefaultParagraphFont"/>
    <w:uiPriority w:val="99"/>
    <w:semiHidden/>
    <w:unhideWhenUsed/>
    <w:rsid w:val="005B0912"/>
    <w:rPr>
      <w:color w:val="605E5C"/>
      <w:shd w:val="clear" w:color="auto" w:fill="E1DFDD"/>
    </w:rPr>
  </w:style>
  <w:style w:type="character" w:styleId="FollowedHyperlink">
    <w:name w:val="FollowedHyperlink"/>
    <w:basedOn w:val="DefaultParagraphFont"/>
    <w:uiPriority w:val="99"/>
    <w:semiHidden/>
    <w:unhideWhenUsed/>
    <w:rsid w:val="005611F1"/>
    <w:rPr>
      <w:color w:val="954F72" w:themeColor="followedHyperlink"/>
      <w:u w:val="single"/>
    </w:rPr>
  </w:style>
  <w:style w:type="paragraph" w:styleId="NormalWeb">
    <w:name w:val="Normal (Web)"/>
    <w:basedOn w:val="Normal"/>
    <w:uiPriority w:val="99"/>
    <w:semiHidden/>
    <w:unhideWhenUsed/>
    <w:rsid w:val="00FD1A5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D1A5A"/>
    <w:rPr>
      <w:b/>
      <w:bCs/>
    </w:rPr>
  </w:style>
  <w:style w:type="paragraph" w:styleId="NoSpacing">
    <w:name w:val="No Spacing"/>
    <w:link w:val="NoSpacingChar"/>
    <w:uiPriority w:val="1"/>
    <w:qFormat/>
    <w:rsid w:val="00BE698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E6987"/>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3219523">
      <w:bodyDiv w:val="1"/>
      <w:marLeft w:val="0"/>
      <w:marRight w:val="0"/>
      <w:marTop w:val="0"/>
      <w:marBottom w:val="0"/>
      <w:divBdr>
        <w:top w:val="none" w:sz="0" w:space="0" w:color="auto"/>
        <w:left w:val="none" w:sz="0" w:space="0" w:color="auto"/>
        <w:bottom w:val="none" w:sz="0" w:space="0" w:color="auto"/>
        <w:right w:val="none" w:sz="0" w:space="0" w:color="auto"/>
      </w:divBdr>
    </w:div>
    <w:div w:id="1197352405">
      <w:bodyDiv w:val="1"/>
      <w:marLeft w:val="0"/>
      <w:marRight w:val="0"/>
      <w:marTop w:val="0"/>
      <w:marBottom w:val="0"/>
      <w:divBdr>
        <w:top w:val="none" w:sz="0" w:space="0" w:color="auto"/>
        <w:left w:val="none" w:sz="0" w:space="0" w:color="auto"/>
        <w:bottom w:val="none" w:sz="0" w:space="0" w:color="auto"/>
        <w:right w:val="none" w:sz="0" w:space="0" w:color="auto"/>
      </w:divBdr>
    </w:div>
    <w:div w:id="1261991506">
      <w:bodyDiv w:val="1"/>
      <w:marLeft w:val="0"/>
      <w:marRight w:val="0"/>
      <w:marTop w:val="0"/>
      <w:marBottom w:val="0"/>
      <w:divBdr>
        <w:top w:val="none" w:sz="0" w:space="0" w:color="auto"/>
        <w:left w:val="none" w:sz="0" w:space="0" w:color="auto"/>
        <w:bottom w:val="none" w:sz="0" w:space="0" w:color="auto"/>
        <w:right w:val="none" w:sz="0" w:space="0" w:color="auto"/>
      </w:divBdr>
      <w:divsChild>
        <w:div w:id="898832228">
          <w:marLeft w:val="360"/>
          <w:marRight w:val="0"/>
          <w:marTop w:val="200"/>
          <w:marBottom w:val="0"/>
          <w:divBdr>
            <w:top w:val="none" w:sz="0" w:space="0" w:color="auto"/>
            <w:left w:val="none" w:sz="0" w:space="0" w:color="auto"/>
            <w:bottom w:val="none" w:sz="0" w:space="0" w:color="auto"/>
            <w:right w:val="none" w:sz="0" w:space="0" w:color="auto"/>
          </w:divBdr>
        </w:div>
        <w:div w:id="1456484963">
          <w:marLeft w:val="360"/>
          <w:marRight w:val="0"/>
          <w:marTop w:val="200"/>
          <w:marBottom w:val="0"/>
          <w:divBdr>
            <w:top w:val="none" w:sz="0" w:space="0" w:color="auto"/>
            <w:left w:val="none" w:sz="0" w:space="0" w:color="auto"/>
            <w:bottom w:val="none" w:sz="0" w:space="0" w:color="auto"/>
            <w:right w:val="none" w:sz="0" w:space="0" w:color="auto"/>
          </w:divBdr>
        </w:div>
        <w:div w:id="1954432894">
          <w:marLeft w:val="360"/>
          <w:marRight w:val="0"/>
          <w:marTop w:val="200"/>
          <w:marBottom w:val="0"/>
          <w:divBdr>
            <w:top w:val="none" w:sz="0" w:space="0" w:color="auto"/>
            <w:left w:val="none" w:sz="0" w:space="0" w:color="auto"/>
            <w:bottom w:val="none" w:sz="0" w:space="0" w:color="auto"/>
            <w:right w:val="none" w:sz="0" w:space="0" w:color="auto"/>
          </w:divBdr>
        </w:div>
      </w:divsChild>
    </w:div>
    <w:div w:id="16279297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archive2021.parliament.scot/S5_Bills/Age%20of%20Criminal%20Responsibility%20(Scotland)%20Bill/SPBill29PMS052018.pdf" TargetMode="External"/><Relationship Id="rId13" Type="http://schemas.openxmlformats.org/officeDocument/2006/relationships/hyperlink" Target="http://sites.southglos.gov.uk/safeguarding/wp-content/uploads/sites/221/2015/05/County-Lines-and-Looked-After-Children-Crest.pdf" TargetMode="External"/><Relationship Id="rId18" Type="http://schemas.openxmlformats.org/officeDocument/2006/relationships/hyperlink" Target="https://weeklyworker.co.uk/worker/828/rehabilitation-failure-shows-failure-of-whole-pris/" TargetMode="External"/><Relationship Id="rId26" Type="http://schemas.openxmlformats.org/officeDocument/2006/relationships/hyperlink" Target="https://assets.publishing.service.gov.uk/government/uploads/system/uploads/attachment_data/file/968700/experimental-statistics-assessing-needs-sentenced-children-youth-justice-system-2019-20.pdf"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academia.edu/25661841/COUNTERBLAST_Difficult_to_Understand_or_Defend_A_Reasoned_Case_for_Raising_the_Age_of_Criminal_Responsibility_1" TargetMode="External"/><Relationship Id="rId34" Type="http://schemas.openxmlformats.org/officeDocument/2006/relationships/hyperlink" Target="https://www2.ohchr.org/english/bodies/crc/docs/CRC.C.GC.10.pdf" TargetMode="External"/><Relationship Id="rId7" Type="http://schemas.openxmlformats.org/officeDocument/2006/relationships/image" Target="media/image2.png"/><Relationship Id="rId12" Type="http://schemas.openxmlformats.org/officeDocument/2006/relationships/hyperlink" Target="https://journals-sagepub-com.ezproxy.uwtsd.ac.uk/doi/full/10.1177/1473225419893782" TargetMode="External"/><Relationship Id="rId17" Type="http://schemas.openxmlformats.org/officeDocument/2006/relationships/hyperlink" Target="https://www.pengreen.org/2018/03/20/adverse-childhood-experiences-aces/" TargetMode="External"/><Relationship Id="rId25" Type="http://schemas.openxmlformats.org/officeDocument/2006/relationships/hyperlink" Target="https://www.news.com.au/lifestyle/real-life/news-life/bulger-killers-could-have-been-motivated-by-envy-of-a-child-who-was-loved-new-doco-claims/news-story/f0f2bb0542857daaa51c47b0ffba1156" TargetMode="External"/><Relationship Id="rId33" Type="http://schemas.openxmlformats.org/officeDocument/2006/relationships/hyperlink" Target="https://www.ons.gov.uk/peoplepopulationandcommunity/crimeandjustice/articles/homicideinenglandandwales/yearendingmarch2020" TargetMode="External"/><Relationship Id="rId38" Type="http://schemas.openxmlformats.org/officeDocument/2006/relationships/hyperlink" Target="https://www-tandfonline-com.ezproxy.uwtsd.ac.uk/doi/pdf/10.1080/09649069908410561?needAccess=true" TargetMode="External"/><Relationship Id="rId2" Type="http://schemas.openxmlformats.org/officeDocument/2006/relationships/numbering" Target="numbering.xml"/><Relationship Id="rId16" Type="http://schemas.openxmlformats.org/officeDocument/2006/relationships/hyperlink" Target="https://www.cypnow.co.uk/other/article/age-of-criminal-responsibility" TargetMode="External"/><Relationship Id="rId20" Type="http://schemas.openxmlformats.org/officeDocument/2006/relationships/hyperlink" Target="https://www.manchestereveningnews.co.uk/news/uk-news/robert-venables-james-bulger-parole-25263035" TargetMode="External"/><Relationship Id="rId29" Type="http://schemas.openxmlformats.org/officeDocument/2006/relationships/hyperlink" Target="https://researchbriefings.files.parliament.uk/documents/LLN-2017-0054/LLN-2017-0054.pdf"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researchonline.ljmu.ac.uk/id/eprint/2648/1/ACE%20Report%20FINAL%20%28E%29.pdf" TargetMode="External"/><Relationship Id="rId24" Type="http://schemas.openxmlformats.org/officeDocument/2006/relationships/hyperlink" Target="https://www.gov.uk/child-under-10-breaks-law" TargetMode="External"/><Relationship Id="rId32" Type="http://schemas.openxmlformats.org/officeDocument/2006/relationships/hyperlink" Target="https://charlieplatts.medium.com/james-and-silje-b495ae164263" TargetMode="External"/><Relationship Id="rId37" Type="http://schemas.openxmlformats.org/officeDocument/2006/relationships/hyperlink" Target="https://cycj.org.uk/wp-content/uploads/2018/08/Adverse-Childhood-Experiences-in-high-risk_CYCJ-_Final-Version-proofed.pdf"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cypcs.org.uk/positions/age-of-criminal-responsibility/" TargetMode="External"/><Relationship Id="rId23" Type="http://schemas.openxmlformats.org/officeDocument/2006/relationships/hyperlink" Target="https://www.gov.uk/age-of-criminal-responsibility" TargetMode="External"/><Relationship Id="rId28" Type="http://schemas.openxmlformats.org/officeDocument/2006/relationships/hyperlink" Target="https://www.nga.org/publications/age-boundaries-in-juvenile-justice-systems/" TargetMode="External"/><Relationship Id="rId36" Type="http://schemas.openxmlformats.org/officeDocument/2006/relationships/hyperlink" Target="https://www.southwales.ac.uk/news/news-2021/why-ten-year-old-children-should-not-be-held-criminally-responsible/" TargetMode="External"/><Relationship Id="rId10" Type="http://schemas.openxmlformats.org/officeDocument/2006/relationships/hyperlink" Target="https://www.crimeandjustice.org.uk/sites/crimeandjustice.org.uk/files/09627251.2015.1143641.pdf" TargetMode="External"/><Relationship Id="rId19" Type="http://schemas.openxmlformats.org/officeDocument/2006/relationships/hyperlink" Target="https://www.centerforfutureconsciousness.com/pdf_files/2008_Essays/Freedom%20%20Determisnism%20and%20the%20Case%20for%20Moral%20Responsibility%20in%20the%20Murder%20of%20Jamie%20Bulger.pdf" TargetMode="External"/><Relationship Id="rId31" Type="http://schemas.openxmlformats.org/officeDocument/2006/relationships/hyperlink" Target="https://researchbriefings.files.parliament.uk/documents/POST-PN-0577/POST-PN-0577.pdf" TargetMode="External"/><Relationship Id="rId4" Type="http://schemas.openxmlformats.org/officeDocument/2006/relationships/settings" Target="settings.xml"/><Relationship Id="rId9" Type="http://schemas.openxmlformats.org/officeDocument/2006/relationships/hyperlink" Target="https://www.ojp.gov/ncjrs/virtual-library/abstracts/abolition-presumption-doli-incapax-and-criminalization-children" TargetMode="External"/><Relationship Id="rId14" Type="http://schemas.openxmlformats.org/officeDocument/2006/relationships/hyperlink" Target="https://www.standard.co.uk/news/crime/james-bulger-denise-fergus-jon-venables-murderer-prison-parole-hearing-b1032070.html" TargetMode="External"/><Relationship Id="rId22" Type="http://schemas.openxmlformats.org/officeDocument/2006/relationships/hyperlink" Target="https://www.oblaw.co.uk/the-age-of-criminal-responsibility-should-it-be-increased/" TargetMode="External"/><Relationship Id="rId27" Type="http://schemas.openxmlformats.org/officeDocument/2006/relationships/hyperlink" Target="https://assets.publishing.service.gov.uk/government/uploads/system/uploads/attachment_data/file/956621/youth-justice-statistics-2019-2020.pdf" TargetMode="External"/><Relationship Id="rId30" Type="http://schemas.openxmlformats.org/officeDocument/2006/relationships/hyperlink" Target="https://www.justice.gov.uk/downloads/publications/corporate-reports/MoJ/2010/omand-review-web.pdf" TargetMode="External"/><Relationship Id="rId35" Type="http://schemas.openxmlformats.org/officeDocument/2006/relationships/hyperlink" Target="https://www.ohchr.org/sites/default/files/Documents/HRBodies/CRC/GC24/GeneralComment2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2C5F5F-D90E-4362-AB24-62B844B104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4390</Words>
  <Characters>25026</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Parry</dc:creator>
  <cp:keywords/>
  <dc:description/>
  <cp:lastModifiedBy> </cp:lastModifiedBy>
  <cp:revision>2</cp:revision>
  <dcterms:created xsi:type="dcterms:W3CDTF">2022-11-18T18:32:00Z</dcterms:created>
  <dcterms:modified xsi:type="dcterms:W3CDTF">2022-11-18T18:32:00Z</dcterms:modified>
</cp:coreProperties>
</file>