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5263818"/>
        <w:docPartObj>
          <w:docPartGallery w:val="Cover Pages"/>
          <w:docPartUnique/>
        </w:docPartObj>
      </w:sdtPr>
      <w:sdtEndPr>
        <w:rPr>
          <w:rFonts w:ascii="Arial" w:hAnsi="Arial" w:cs="Arial"/>
          <w:sz w:val="24"/>
          <w:szCs w:val="24"/>
        </w:rPr>
      </w:sdtEndPr>
      <w:sdtContent>
        <w:p w14:paraId="50F7E726" w14:textId="496135AD" w:rsidR="0027412C" w:rsidRDefault="0027412C"/>
        <w:p w14:paraId="229E3ABE" w14:textId="50E4DD6D" w:rsidR="0027412C" w:rsidRDefault="0027412C">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2357423E" wp14:editId="5A92F383">
                    <wp:simplePos x="0" y="0"/>
                    <wp:positionH relativeFrom="margin">
                      <wp:align>center</wp:align>
                    </wp:positionH>
                    <wp:positionV relativeFrom="page">
                      <wp:posOffset>2840355</wp:posOffset>
                    </wp:positionV>
                    <wp:extent cx="4686300" cy="6720840"/>
                    <wp:effectExtent l="0" t="0" r="5715" b="4445"/>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E32A09" w14:textId="4644F825" w:rsidR="0027412C" w:rsidRPr="0027412C" w:rsidRDefault="0027412C">
                                <w:pPr>
                                  <w:pStyle w:val="NoSpacing"/>
                                  <w:spacing w:before="40" w:after="560" w:line="216" w:lineRule="auto"/>
                                  <w:rPr>
                                    <w:color w:val="156082" w:themeColor="accent1"/>
                                    <w:sz w:val="56"/>
                                    <w:szCs w:val="56"/>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7412C">
                                      <w:rPr>
                                        <w:rFonts w:ascii="Arial Black" w:hAnsi="Arial Black"/>
                                        <w:color w:val="156082" w:themeColor="accent1"/>
                                        <w:sz w:val="56"/>
                                        <w:szCs w:val="56"/>
                                      </w:rPr>
                                      <w:t>Appraisal of Swansea</w:t>
                                    </w:r>
                                  </w:sdtContent>
                                </w:sdt>
                              </w:p>
                              <w:sdt>
                                <w:sdtPr>
                                  <w:rPr>
                                    <w:rFonts w:ascii="Arial Black" w:hAnsi="Arial Black"/>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602263" w14:textId="5DE57A98" w:rsidR="0027412C" w:rsidRPr="0027412C" w:rsidRDefault="0027412C" w:rsidP="0027412C">
                                    <w:pPr>
                                      <w:pStyle w:val="NoSpacing"/>
                                      <w:spacing w:before="40" w:after="40"/>
                                      <w:rPr>
                                        <w:caps/>
                                        <w:color w:val="501549" w:themeColor="accent5" w:themeShade="80"/>
                                        <w:sz w:val="28"/>
                                        <w:szCs w:val="28"/>
                                      </w:rPr>
                                    </w:pPr>
                                    <w:r w:rsidRPr="0027412C">
                                      <w:rPr>
                                        <w:rFonts w:ascii="Arial Black" w:hAnsi="Arial Black"/>
                                        <w:caps/>
                                        <w:color w:val="501549" w:themeColor="accent5" w:themeShade="80"/>
                                        <w:sz w:val="28"/>
                                        <w:szCs w:val="28"/>
                                      </w:rPr>
                                      <w:t xml:space="preserve">                              report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357423E" id="_x0000_t202" coordsize="21600,21600" o:spt="202" path="m,l,21600r21600,l21600,xe">
                    <v:stroke joinstyle="miter"/>
                    <v:path gradientshapeok="t" o:connecttype="rect"/>
                  </v:shapetype>
                  <v:shape id="Text Box 32" o:spid="_x0000_s1026" type="#_x0000_t202" style="position:absolute;margin-left:0;margin-top:223.65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" filled="f" stroked="f" strokeweight=".5pt">
                    <v:textbox style="mso-fit-shape-to-text:t" inset="0,0,0,0">
                      <w:txbxContent>
                        <w:p w14:paraId="5FE32A09" w14:textId="4644F825" w:rsidR="0027412C" w:rsidRPr="0027412C" w:rsidRDefault="0027412C">
                          <w:pPr>
                            <w:pStyle w:val="NoSpacing"/>
                            <w:spacing w:before="40" w:after="560" w:line="216" w:lineRule="auto"/>
                            <w:rPr>
                              <w:color w:val="156082" w:themeColor="accent1"/>
                              <w:sz w:val="56"/>
                              <w:szCs w:val="56"/>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7412C">
                                <w:rPr>
                                  <w:rFonts w:ascii="Arial Black" w:hAnsi="Arial Black"/>
                                  <w:color w:val="156082" w:themeColor="accent1"/>
                                  <w:sz w:val="56"/>
                                  <w:szCs w:val="56"/>
                                </w:rPr>
                                <w:t>Appraisal of Swansea</w:t>
                              </w:r>
                            </w:sdtContent>
                          </w:sdt>
                        </w:p>
                        <w:sdt>
                          <w:sdtPr>
                            <w:rPr>
                              <w:rFonts w:ascii="Arial Black" w:hAnsi="Arial Black"/>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602263" w14:textId="5DE57A98" w:rsidR="0027412C" w:rsidRPr="0027412C" w:rsidRDefault="0027412C" w:rsidP="0027412C">
                              <w:pPr>
                                <w:pStyle w:val="NoSpacing"/>
                                <w:spacing w:before="40" w:after="40"/>
                                <w:rPr>
                                  <w:caps/>
                                  <w:color w:val="501549" w:themeColor="accent5" w:themeShade="80"/>
                                  <w:sz w:val="28"/>
                                  <w:szCs w:val="28"/>
                                </w:rPr>
                              </w:pPr>
                              <w:r w:rsidRPr="0027412C">
                                <w:rPr>
                                  <w:rFonts w:ascii="Arial Black" w:hAnsi="Arial Black"/>
                                  <w:caps/>
                                  <w:color w:val="501549" w:themeColor="accent5" w:themeShade="80"/>
                                  <w:sz w:val="28"/>
                                  <w:szCs w:val="28"/>
                                </w:rPr>
                                <w:t xml:space="preserve">                              report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3F45062" wp14:editId="6EBC826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3-01T00:00:00Z">
                                    <w:dateFormat w:val="yyyy"/>
                                    <w:lid w:val="en-US"/>
                                    <w:storeMappedDataAs w:val="dateTime"/>
                                    <w:calendar w:val="gregorian"/>
                                  </w:date>
                                </w:sdtPr>
                                <w:sdtContent>
                                  <w:p w14:paraId="127B5901" w14:textId="370366B9" w:rsidR="0027412C" w:rsidRPr="0027412C" w:rsidRDefault="0027412C">
                                    <w:pPr>
                                      <w:pStyle w:val="NoSpacing"/>
                                      <w:jc w:val="right"/>
                                      <w:rPr>
                                        <w:rFonts w:ascii="Arial Black" w:hAnsi="Arial Black"/>
                                        <w:color w:val="FFFFFF" w:themeColor="background1"/>
                                        <w:sz w:val="24"/>
                                        <w:szCs w:val="24"/>
                                      </w:rPr>
                                    </w:pPr>
                                    <w:r w:rsidRPr="0027412C">
                                      <w:rPr>
                                        <w:rFonts w:ascii="Arial Black" w:hAnsi="Arial Black"/>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F45062"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3-01T00:00:00Z">
                              <w:dateFormat w:val="yyyy"/>
                              <w:lid w:val="en-US"/>
                              <w:storeMappedDataAs w:val="dateTime"/>
                              <w:calendar w:val="gregorian"/>
                            </w:date>
                          </w:sdtPr>
                          <w:sdtContent>
                            <w:p w14:paraId="127B5901" w14:textId="370366B9" w:rsidR="0027412C" w:rsidRPr="0027412C" w:rsidRDefault="0027412C">
                              <w:pPr>
                                <w:pStyle w:val="NoSpacing"/>
                                <w:jc w:val="right"/>
                                <w:rPr>
                                  <w:rFonts w:ascii="Arial Black" w:hAnsi="Arial Black"/>
                                  <w:color w:val="FFFFFF" w:themeColor="background1"/>
                                  <w:sz w:val="24"/>
                                  <w:szCs w:val="24"/>
                                </w:rPr>
                              </w:pPr>
                              <w:r w:rsidRPr="0027412C">
                                <w:rPr>
                                  <w:rFonts w:ascii="Arial Black" w:hAnsi="Arial Black"/>
                                  <w:color w:val="FFFFFF" w:themeColor="background1"/>
                                  <w:sz w:val="24"/>
                                  <w:szCs w:val="24"/>
                                </w:rPr>
                                <w:t>2024</w:t>
                              </w:r>
                            </w:p>
                          </w:sdtContent>
                        </w:sdt>
                      </w:txbxContent>
                    </v:textbox>
                    <w10:wrap anchorx="margin" anchory="page"/>
                  </v:rect>
                </w:pict>
              </mc:Fallback>
            </mc:AlternateContent>
          </w:r>
          <w:r>
            <w:rPr>
              <w:rFonts w:ascii="Arial" w:hAnsi="Arial" w:cs="Arial"/>
              <w:sz w:val="24"/>
              <w:szCs w:val="24"/>
            </w:rPr>
            <w:br w:type="page"/>
          </w:r>
        </w:p>
      </w:sdtContent>
    </w:sdt>
    <w:p w14:paraId="7DF62940" w14:textId="52F881F3" w:rsidR="007F530A" w:rsidRPr="0027412C" w:rsidRDefault="007F530A">
      <w:pPr>
        <w:rPr>
          <w:rFonts w:ascii="Arial Black" w:hAnsi="Arial Black" w:cs="Arial"/>
          <w:sz w:val="24"/>
          <w:szCs w:val="24"/>
        </w:rPr>
      </w:pPr>
      <w:r w:rsidRPr="0027412C">
        <w:rPr>
          <w:rFonts w:ascii="Arial Black" w:hAnsi="Arial Black" w:cs="Arial"/>
          <w:sz w:val="24"/>
          <w:szCs w:val="24"/>
        </w:rPr>
        <w:lastRenderedPageBreak/>
        <w:t xml:space="preserve">Introduction </w:t>
      </w:r>
    </w:p>
    <w:p w14:paraId="08A69667" w14:textId="74486114" w:rsidR="003A2F4E" w:rsidRDefault="00625026">
      <w:pPr>
        <w:rPr>
          <w:rFonts w:ascii="Arial" w:hAnsi="Arial" w:cs="Arial"/>
          <w:sz w:val="24"/>
          <w:szCs w:val="24"/>
        </w:rPr>
      </w:pPr>
      <w:r w:rsidRPr="00625026">
        <w:rPr>
          <w:rFonts w:ascii="Arial" w:hAnsi="Arial" w:cs="Arial"/>
          <w:sz w:val="24"/>
          <w:szCs w:val="24"/>
        </w:rPr>
        <w:t>In this re</w:t>
      </w:r>
      <w:r>
        <w:rPr>
          <w:rFonts w:ascii="Arial" w:hAnsi="Arial" w:cs="Arial"/>
          <w:sz w:val="24"/>
          <w:szCs w:val="24"/>
        </w:rPr>
        <w:t>port</w:t>
      </w:r>
      <w:r w:rsidRPr="00625026">
        <w:rPr>
          <w:rFonts w:ascii="Arial" w:hAnsi="Arial" w:cs="Arial"/>
          <w:sz w:val="24"/>
          <w:szCs w:val="24"/>
        </w:rPr>
        <w:t xml:space="preserve">, we look at the transforming path of urban regeneration, with a focus on Swansea, a city that exemplifies the problems and opportunities that come with renewing post-industrial urban settings. Urban regeneration is an important way to revitalize places impacted by economic decline, environmental degradation, and social dislocation, </w:t>
      </w:r>
      <w:r>
        <w:rPr>
          <w:rFonts w:ascii="Arial" w:hAnsi="Arial" w:cs="Arial"/>
          <w:sz w:val="24"/>
          <w:szCs w:val="24"/>
        </w:rPr>
        <w:t>to create</w:t>
      </w:r>
      <w:r w:rsidRPr="00625026">
        <w:rPr>
          <w:rFonts w:ascii="Arial" w:hAnsi="Arial" w:cs="Arial"/>
          <w:sz w:val="24"/>
          <w:szCs w:val="24"/>
        </w:rPr>
        <w:t xml:space="preserve"> sustainable communities, </w:t>
      </w:r>
      <w:r>
        <w:rPr>
          <w:rFonts w:ascii="Arial" w:hAnsi="Arial" w:cs="Arial"/>
          <w:sz w:val="24"/>
          <w:szCs w:val="24"/>
        </w:rPr>
        <w:t>increase</w:t>
      </w:r>
      <w:r w:rsidRPr="00625026">
        <w:rPr>
          <w:rFonts w:ascii="Arial" w:hAnsi="Arial" w:cs="Arial"/>
          <w:sz w:val="24"/>
          <w:szCs w:val="24"/>
        </w:rPr>
        <w:t xml:space="preserve"> economic viability, and </w:t>
      </w:r>
      <w:r>
        <w:rPr>
          <w:rFonts w:ascii="Arial" w:hAnsi="Arial" w:cs="Arial"/>
          <w:sz w:val="24"/>
          <w:szCs w:val="24"/>
        </w:rPr>
        <w:t>improve</w:t>
      </w:r>
      <w:r w:rsidRPr="00625026">
        <w:rPr>
          <w:rFonts w:ascii="Arial" w:hAnsi="Arial" w:cs="Arial"/>
          <w:sz w:val="24"/>
          <w:szCs w:val="24"/>
        </w:rPr>
        <w:t xml:space="preserve"> quality of life. Swansea, with its rich industrial background and subsequent economic transitions, provides an engaging case study for investigating the complexities of urban redevelopment.</w:t>
      </w:r>
      <w:r w:rsidRPr="00625026">
        <w:t xml:space="preserve"> </w:t>
      </w:r>
      <w:r w:rsidRPr="00625026">
        <w:rPr>
          <w:rFonts w:ascii="Arial" w:hAnsi="Arial" w:cs="Arial"/>
          <w:sz w:val="24"/>
          <w:szCs w:val="24"/>
        </w:rPr>
        <w:t xml:space="preserve">The city was formerly thriving as a copper smelting </w:t>
      </w:r>
      <w:r>
        <w:rPr>
          <w:rFonts w:ascii="Arial" w:hAnsi="Arial" w:cs="Arial"/>
          <w:sz w:val="24"/>
          <w:szCs w:val="24"/>
        </w:rPr>
        <w:t>centre</w:t>
      </w:r>
      <w:r w:rsidRPr="00625026">
        <w:rPr>
          <w:rFonts w:ascii="Arial" w:hAnsi="Arial" w:cs="Arial"/>
          <w:sz w:val="24"/>
          <w:szCs w:val="24"/>
        </w:rPr>
        <w:t xml:space="preserve"> but has since seen enormous economic shifts, resulting in periods of collapse and the need for strategic intervention. This</w:t>
      </w:r>
      <w:r w:rsidR="00001389">
        <w:rPr>
          <w:rFonts w:ascii="Arial" w:hAnsi="Arial" w:cs="Arial"/>
          <w:sz w:val="24"/>
          <w:szCs w:val="24"/>
        </w:rPr>
        <w:t xml:space="preserve"> report</w:t>
      </w:r>
      <w:r w:rsidRPr="00625026">
        <w:rPr>
          <w:rFonts w:ascii="Arial" w:hAnsi="Arial" w:cs="Arial"/>
          <w:sz w:val="24"/>
          <w:szCs w:val="24"/>
        </w:rPr>
        <w:t xml:space="preserve"> seeks to evaluate Swansea's shifting fortunes, current assets and structures, and the dynamics of local and regional development policies. By combining theoretical insights with practical considerations, the </w:t>
      </w:r>
      <w:r w:rsidR="00001389">
        <w:rPr>
          <w:rFonts w:ascii="Arial" w:hAnsi="Arial" w:cs="Arial"/>
          <w:sz w:val="24"/>
          <w:szCs w:val="24"/>
        </w:rPr>
        <w:t>report</w:t>
      </w:r>
      <w:r w:rsidRPr="00625026">
        <w:rPr>
          <w:rFonts w:ascii="Arial" w:hAnsi="Arial" w:cs="Arial"/>
          <w:sz w:val="24"/>
          <w:szCs w:val="24"/>
        </w:rPr>
        <w:t xml:space="preserve"> lays the groundwork for proposing creative regeneration strategies. These programs aim not only to address Swansea's immediate issues, but also to capitalise on its particular advantages, promoting a resilient, vibrant, and sustainable urban future. This investigation emphasizes the significance of holistic regeneration efforts that consider the socioeconomic and environmental fabric of urban regions such as Swansea.</w:t>
      </w:r>
    </w:p>
    <w:p w14:paraId="320A6284" w14:textId="6C4E04B4" w:rsidR="00A714D4" w:rsidRPr="0027412C" w:rsidRDefault="007F530A">
      <w:pPr>
        <w:rPr>
          <w:rFonts w:ascii="Arial Black" w:hAnsi="Arial Black" w:cs="Arial"/>
          <w:sz w:val="24"/>
          <w:szCs w:val="24"/>
        </w:rPr>
      </w:pPr>
      <w:r w:rsidRPr="0027412C">
        <w:rPr>
          <w:rFonts w:ascii="Arial Black" w:hAnsi="Arial Black" w:cs="Arial"/>
          <w:sz w:val="24"/>
          <w:szCs w:val="24"/>
        </w:rPr>
        <w:t>Theoretical Framework</w:t>
      </w:r>
    </w:p>
    <w:p w14:paraId="42EF939F" w14:textId="77777777" w:rsidR="00A714D4" w:rsidRDefault="00A714D4">
      <w:r w:rsidRPr="00A714D4">
        <w:rPr>
          <w:rFonts w:ascii="Arial" w:hAnsi="Arial" w:cs="Arial"/>
          <w:sz w:val="24"/>
          <w:szCs w:val="24"/>
        </w:rPr>
        <w:t>The theoretical framework for urban regeneration takes a multidisciplinary approach, drawing on principles from geography, urban planning, sociology, and environmental studies. The regeneration process is fundamentally informed by place-making ideas and the socioeconomic revival of urban places. Jones and Evans (2012) introduce the notion of "Rescue Geography," which emphasizes the importance of place-making in establishing spaces that promote community identity, involvement, and well-being. This approach is critical in recreating metropolitan areas like Swansea, where the relationship between people and space is essential for effective redevelopment.</w:t>
      </w:r>
      <w:r w:rsidRPr="00A714D4">
        <w:t xml:space="preserve"> </w:t>
      </w:r>
    </w:p>
    <w:p w14:paraId="5D4AB080" w14:textId="5CA8631F" w:rsidR="00A714D4" w:rsidRDefault="00A714D4">
      <w:pPr>
        <w:rPr>
          <w:rFonts w:ascii="Arial" w:hAnsi="Arial" w:cs="Arial"/>
          <w:sz w:val="24"/>
          <w:szCs w:val="24"/>
        </w:rPr>
      </w:pPr>
      <w:r w:rsidRPr="00A714D4">
        <w:rPr>
          <w:rFonts w:ascii="Arial" w:hAnsi="Arial" w:cs="Arial"/>
          <w:sz w:val="24"/>
          <w:szCs w:val="24"/>
        </w:rPr>
        <w:t>The legacy of industrial decline, as investigated by Mah (2012), provides an important backdrop for understanding urban regeneration. Mah's debate on "Industrial Ruination, Community, and Place" emphasizes the significance of resolving historical industrial consequences while planning for future rehabilitation. This viewpoint is critical for Swansea, where the old industrial base has shaped both the physical terrain and the community's identity.</w:t>
      </w:r>
    </w:p>
    <w:p w14:paraId="05CE7237" w14:textId="367165F1" w:rsidR="00A714D4" w:rsidRDefault="00A714D4">
      <w:pPr>
        <w:rPr>
          <w:rFonts w:ascii="Arial" w:hAnsi="Arial" w:cs="Arial"/>
          <w:sz w:val="24"/>
          <w:szCs w:val="24"/>
        </w:rPr>
      </w:pPr>
      <w:r w:rsidRPr="00A714D4">
        <w:rPr>
          <w:rFonts w:ascii="Arial" w:hAnsi="Arial" w:cs="Arial"/>
          <w:sz w:val="24"/>
          <w:szCs w:val="24"/>
        </w:rPr>
        <w:t xml:space="preserve">Dixon (2007) articulates sustainable development concepts in "Sustainable </w:t>
      </w:r>
      <w:r>
        <w:rPr>
          <w:rFonts w:ascii="Arial" w:hAnsi="Arial" w:cs="Arial"/>
          <w:sz w:val="24"/>
          <w:szCs w:val="24"/>
        </w:rPr>
        <w:t>Brownfield Regeneration</w:t>
      </w:r>
      <w:r w:rsidRPr="00A714D4">
        <w:rPr>
          <w:rFonts w:ascii="Arial" w:hAnsi="Arial" w:cs="Arial"/>
          <w:sz w:val="24"/>
          <w:szCs w:val="24"/>
        </w:rPr>
        <w:t xml:space="preserve">: </w:t>
      </w:r>
      <w:r>
        <w:rPr>
          <w:rFonts w:ascii="Arial" w:hAnsi="Arial" w:cs="Arial"/>
          <w:sz w:val="24"/>
          <w:szCs w:val="24"/>
        </w:rPr>
        <w:t>Liveable Places</w:t>
      </w:r>
      <w:r w:rsidRPr="00A714D4">
        <w:rPr>
          <w:rFonts w:ascii="Arial" w:hAnsi="Arial" w:cs="Arial"/>
          <w:sz w:val="24"/>
          <w:szCs w:val="24"/>
        </w:rPr>
        <w:t xml:space="preserve"> from </w:t>
      </w:r>
      <w:r>
        <w:rPr>
          <w:rFonts w:ascii="Arial" w:hAnsi="Arial" w:cs="Arial"/>
          <w:sz w:val="24"/>
          <w:szCs w:val="24"/>
        </w:rPr>
        <w:t>Problem Spaces</w:t>
      </w:r>
      <w:r w:rsidRPr="00A714D4">
        <w:rPr>
          <w:rFonts w:ascii="Arial" w:hAnsi="Arial" w:cs="Arial"/>
          <w:sz w:val="24"/>
          <w:szCs w:val="24"/>
        </w:rPr>
        <w:t xml:space="preserve">," which </w:t>
      </w:r>
      <w:r>
        <w:rPr>
          <w:rFonts w:ascii="Arial" w:hAnsi="Arial" w:cs="Arial"/>
          <w:sz w:val="24"/>
          <w:szCs w:val="24"/>
        </w:rPr>
        <w:t>provides</w:t>
      </w:r>
      <w:r w:rsidRPr="00A714D4">
        <w:rPr>
          <w:rFonts w:ascii="Arial" w:hAnsi="Arial" w:cs="Arial"/>
          <w:sz w:val="24"/>
          <w:szCs w:val="24"/>
        </w:rPr>
        <w:t xml:space="preserve"> a framework for taking environmental and social sustainability into account in regeneration projects. Dixon's emphasis on transforming brownfield lands into vibrant, liveable places is consistent </w:t>
      </w:r>
      <w:r>
        <w:rPr>
          <w:rFonts w:ascii="Arial" w:hAnsi="Arial" w:cs="Arial"/>
          <w:sz w:val="24"/>
          <w:szCs w:val="24"/>
        </w:rPr>
        <w:t>with achieving</w:t>
      </w:r>
      <w:r w:rsidRPr="00A714D4">
        <w:rPr>
          <w:rFonts w:ascii="Arial" w:hAnsi="Arial" w:cs="Arial"/>
          <w:sz w:val="24"/>
          <w:szCs w:val="24"/>
        </w:rPr>
        <w:t xml:space="preserve"> sustainable urban development by balancing economic growth, environmental stewardship, and social fairness.</w:t>
      </w:r>
    </w:p>
    <w:p w14:paraId="6DCDAB76" w14:textId="491406DE" w:rsidR="007F530A" w:rsidRPr="007F530A" w:rsidRDefault="007F530A" w:rsidP="007F530A">
      <w:pPr>
        <w:rPr>
          <w:rFonts w:ascii="Arial" w:hAnsi="Arial" w:cs="Arial"/>
          <w:sz w:val="24"/>
          <w:szCs w:val="24"/>
        </w:rPr>
      </w:pPr>
      <w:r w:rsidRPr="007F530A">
        <w:rPr>
          <w:rFonts w:ascii="Arial" w:hAnsi="Arial" w:cs="Arial"/>
          <w:sz w:val="24"/>
          <w:szCs w:val="24"/>
        </w:rPr>
        <w:t xml:space="preserve">Viken (2016) discusses the concept of place reinvention, which gives a theoretical lens through which to examine urban space transformation. This concept is </w:t>
      </w:r>
      <w:r w:rsidRPr="007F530A">
        <w:rPr>
          <w:rFonts w:ascii="Arial" w:hAnsi="Arial" w:cs="Arial"/>
          <w:sz w:val="24"/>
          <w:szCs w:val="24"/>
        </w:rPr>
        <w:lastRenderedPageBreak/>
        <w:t xml:space="preserve">especially pertinent to Swansea, implying that regeneration can be a dynamic process of reinvention that addresses current difficulties while </w:t>
      </w:r>
      <w:r w:rsidR="00CA7206">
        <w:rPr>
          <w:rFonts w:ascii="Arial" w:hAnsi="Arial" w:cs="Arial"/>
          <w:sz w:val="24"/>
          <w:szCs w:val="24"/>
        </w:rPr>
        <w:t>maximising</w:t>
      </w:r>
      <w:r w:rsidRPr="007F530A">
        <w:rPr>
          <w:rFonts w:ascii="Arial" w:hAnsi="Arial" w:cs="Arial"/>
          <w:sz w:val="24"/>
          <w:szCs w:val="24"/>
        </w:rPr>
        <w:t xml:space="preserve"> existing assets and opportunities.</w:t>
      </w:r>
    </w:p>
    <w:p w14:paraId="6602A501" w14:textId="26455626" w:rsidR="007F530A" w:rsidRDefault="007F530A" w:rsidP="007F530A">
      <w:pPr>
        <w:rPr>
          <w:rFonts w:ascii="Arial" w:hAnsi="Arial" w:cs="Arial"/>
          <w:sz w:val="24"/>
          <w:szCs w:val="24"/>
        </w:rPr>
      </w:pPr>
      <w:r w:rsidRPr="007F530A">
        <w:rPr>
          <w:rFonts w:ascii="Arial" w:hAnsi="Arial" w:cs="Arial"/>
          <w:sz w:val="24"/>
          <w:szCs w:val="24"/>
        </w:rPr>
        <w:t>Together, these theoretical views provide a comprehensive framework for comprehending and implementing urban regeneration. They emphasize the necessity of place-making, acknowledging industrial legacies, pursuing sustainable development, and the possibility of place regeneration. This framework serves as the foundation for Swansea's analysis and recommendations, directing the investigation of options that are theoretically sound but adaptable to the city's specific situation and needs.</w:t>
      </w:r>
    </w:p>
    <w:p w14:paraId="16E8C255" w14:textId="55F2ECD1" w:rsidR="007F530A" w:rsidRPr="0027412C" w:rsidRDefault="007F530A" w:rsidP="007F530A">
      <w:pPr>
        <w:rPr>
          <w:rFonts w:ascii="Arial Black" w:hAnsi="Arial Black" w:cs="Arial"/>
          <w:sz w:val="24"/>
          <w:szCs w:val="24"/>
        </w:rPr>
      </w:pPr>
      <w:r w:rsidRPr="0027412C">
        <w:rPr>
          <w:rFonts w:ascii="Arial Black" w:hAnsi="Arial Black" w:cs="Arial"/>
          <w:sz w:val="24"/>
          <w:szCs w:val="24"/>
        </w:rPr>
        <w:t>Historical Context and Analysis of Swansea</w:t>
      </w:r>
    </w:p>
    <w:p w14:paraId="270DEF77" w14:textId="47AD968F" w:rsidR="00A714D4" w:rsidRDefault="007F530A">
      <w:pPr>
        <w:rPr>
          <w:rFonts w:ascii="Arial" w:hAnsi="Arial" w:cs="Arial"/>
          <w:sz w:val="24"/>
          <w:szCs w:val="24"/>
        </w:rPr>
      </w:pPr>
      <w:r w:rsidRPr="007F530A">
        <w:rPr>
          <w:rFonts w:ascii="Arial" w:hAnsi="Arial" w:cs="Arial"/>
          <w:sz w:val="24"/>
          <w:szCs w:val="24"/>
        </w:rPr>
        <w:t xml:space="preserve">Swansea's history is a tapestry of industrial prowess and economic instability, both of which have had a considerable impact on the city's urban landscape and identity. The city's history is inextricably linked to its position throughout the Industrial Revolution, particularly as a global leader in copper smelting, garnering it the nickname "Copperopolis" (Mah, 2012). This industrial period impacted not only Swansea's economic fortunes but also its social and physical infrastructure, setting the framework for a society profoundly entrenched in industrial </w:t>
      </w:r>
      <w:r>
        <w:rPr>
          <w:rFonts w:ascii="Arial" w:hAnsi="Arial" w:cs="Arial"/>
          <w:sz w:val="24"/>
          <w:szCs w:val="24"/>
        </w:rPr>
        <w:t>labour</w:t>
      </w:r>
      <w:r w:rsidRPr="007F530A">
        <w:rPr>
          <w:rFonts w:ascii="Arial" w:hAnsi="Arial" w:cs="Arial"/>
          <w:sz w:val="24"/>
          <w:szCs w:val="24"/>
        </w:rPr>
        <w:t xml:space="preserve"> and creativity.</w:t>
      </w:r>
    </w:p>
    <w:p w14:paraId="67CF956E" w14:textId="4188FA07" w:rsidR="007F530A" w:rsidRDefault="007F530A">
      <w:pPr>
        <w:rPr>
          <w:rFonts w:ascii="Arial" w:hAnsi="Arial" w:cs="Arial"/>
          <w:sz w:val="24"/>
          <w:szCs w:val="24"/>
        </w:rPr>
      </w:pPr>
      <w:r w:rsidRPr="007F530A">
        <w:rPr>
          <w:rFonts w:ascii="Arial" w:hAnsi="Arial" w:cs="Arial"/>
          <w:sz w:val="24"/>
          <w:szCs w:val="24"/>
        </w:rPr>
        <w:t>However, the fall of heavy industries in the twentieth century was a watershed moment in Swansea's history, mirroring broader deindustrialization patterns seen in the UK and other Western economies. Mah (2012) investigates the notion of "Industrial Ruination" to characterize the far-reaching consequences of such decreases, which include not just economic downturns but also the destruction of communal fabrics and identities. In Swansea, the collapse of old industries resulted in major employment losses, social upheaval, and physical deterioration, as seen by abandoned factories and polluted landscapes that formerly represented the city's economic might.</w:t>
      </w:r>
    </w:p>
    <w:p w14:paraId="1A929777" w14:textId="7D9629C7" w:rsidR="007F530A" w:rsidRDefault="007F530A">
      <w:pPr>
        <w:rPr>
          <w:rFonts w:ascii="Arial" w:hAnsi="Arial" w:cs="Arial"/>
          <w:sz w:val="24"/>
          <w:szCs w:val="24"/>
        </w:rPr>
      </w:pPr>
      <w:r w:rsidRPr="007F530A">
        <w:rPr>
          <w:rFonts w:ascii="Arial" w:hAnsi="Arial" w:cs="Arial"/>
          <w:sz w:val="24"/>
          <w:szCs w:val="24"/>
        </w:rPr>
        <w:t xml:space="preserve">Swansea had significant challenges throughout the post-industrial era, needing a reinvention of its economic base and urban character. The shift from a manufacturing-based economy to one </w:t>
      </w:r>
      <w:r>
        <w:rPr>
          <w:rFonts w:ascii="Arial" w:hAnsi="Arial" w:cs="Arial"/>
          <w:sz w:val="24"/>
          <w:szCs w:val="24"/>
        </w:rPr>
        <w:t>centred</w:t>
      </w:r>
      <w:r w:rsidRPr="007F530A">
        <w:rPr>
          <w:rFonts w:ascii="Arial" w:hAnsi="Arial" w:cs="Arial"/>
          <w:sz w:val="24"/>
          <w:szCs w:val="24"/>
        </w:rPr>
        <w:t xml:space="preserve"> on services, education, and technology has been gradual and complex. This change entailed tackling the consequences of industrial decline, such as environmental degradation, social inequality, and economic restructuring.</w:t>
      </w:r>
    </w:p>
    <w:p w14:paraId="41D7F4CC" w14:textId="4B270428" w:rsidR="00DE6315" w:rsidRDefault="00DE6315">
      <w:pPr>
        <w:rPr>
          <w:rFonts w:ascii="Arial" w:hAnsi="Arial" w:cs="Arial"/>
          <w:sz w:val="24"/>
          <w:szCs w:val="24"/>
        </w:rPr>
      </w:pPr>
      <w:r w:rsidRPr="00DE6315">
        <w:rPr>
          <w:rFonts w:ascii="Arial" w:hAnsi="Arial" w:cs="Arial"/>
          <w:sz w:val="24"/>
          <w:szCs w:val="24"/>
        </w:rPr>
        <w:t xml:space="preserve">Swansea's regeneration efforts have been driven by its historical setting, </w:t>
      </w:r>
      <w:r>
        <w:rPr>
          <w:rFonts w:ascii="Arial" w:hAnsi="Arial" w:cs="Arial"/>
          <w:sz w:val="24"/>
          <w:szCs w:val="24"/>
        </w:rPr>
        <w:t>to capitalise</w:t>
      </w:r>
      <w:r w:rsidRPr="00DE6315">
        <w:rPr>
          <w:rFonts w:ascii="Arial" w:hAnsi="Arial" w:cs="Arial"/>
          <w:sz w:val="24"/>
          <w:szCs w:val="24"/>
        </w:rPr>
        <w:t xml:space="preserve"> on its industrial past while also creating new chances for growth and development. The city's waterfront, previously home to bustling ports and smelters, has become a focal point for regeneration efforts, </w:t>
      </w:r>
      <w:r>
        <w:rPr>
          <w:rFonts w:ascii="Arial" w:hAnsi="Arial" w:cs="Arial"/>
          <w:sz w:val="24"/>
          <w:szCs w:val="24"/>
        </w:rPr>
        <w:t>to transform</w:t>
      </w:r>
      <w:r w:rsidRPr="00DE6315">
        <w:rPr>
          <w:rFonts w:ascii="Arial" w:hAnsi="Arial" w:cs="Arial"/>
          <w:sz w:val="24"/>
          <w:szCs w:val="24"/>
        </w:rPr>
        <w:t xml:space="preserve"> industrial ruins into dynamic public spaces, cultural institutions, and residential areas. These efforts are part of a larger trend of urban regeneration that recognizes the past while working toward a more sustainable and inclusive future.</w:t>
      </w:r>
    </w:p>
    <w:p w14:paraId="5EC57BA3" w14:textId="77777777" w:rsidR="00DE6315" w:rsidRDefault="00DE6315">
      <w:pPr>
        <w:rPr>
          <w:rFonts w:ascii="Arial" w:hAnsi="Arial" w:cs="Arial"/>
          <w:sz w:val="24"/>
          <w:szCs w:val="24"/>
        </w:rPr>
      </w:pPr>
    </w:p>
    <w:p w14:paraId="7BE8F2C5" w14:textId="77777777" w:rsidR="00DE6315" w:rsidRDefault="00DE6315">
      <w:pPr>
        <w:rPr>
          <w:rFonts w:ascii="Arial" w:hAnsi="Arial" w:cs="Arial"/>
          <w:sz w:val="24"/>
          <w:szCs w:val="24"/>
        </w:rPr>
      </w:pPr>
    </w:p>
    <w:p w14:paraId="074F190F" w14:textId="592502CA" w:rsidR="00DE6315" w:rsidRPr="003B5304" w:rsidRDefault="00DE6315">
      <w:pPr>
        <w:rPr>
          <w:rFonts w:ascii="Arial Black" w:hAnsi="Arial Black" w:cs="Arial"/>
          <w:sz w:val="24"/>
          <w:szCs w:val="24"/>
        </w:rPr>
      </w:pPr>
      <w:r w:rsidRPr="003B5304">
        <w:rPr>
          <w:rFonts w:ascii="Arial Black" w:hAnsi="Arial Black" w:cs="Arial"/>
          <w:sz w:val="24"/>
          <w:szCs w:val="24"/>
        </w:rPr>
        <w:lastRenderedPageBreak/>
        <w:t>Sustainable Regeneration Strategies</w:t>
      </w:r>
    </w:p>
    <w:p w14:paraId="0C3D27D1" w14:textId="35F05ADA" w:rsidR="00DE6315" w:rsidRDefault="00DE6315" w:rsidP="00DE6315">
      <w:pPr>
        <w:rPr>
          <w:rFonts w:ascii="Arial" w:hAnsi="Arial" w:cs="Arial"/>
          <w:sz w:val="24"/>
          <w:szCs w:val="24"/>
        </w:rPr>
      </w:pPr>
      <w:r w:rsidRPr="00DE6315">
        <w:rPr>
          <w:rFonts w:ascii="Arial" w:hAnsi="Arial" w:cs="Arial"/>
          <w:sz w:val="24"/>
          <w:szCs w:val="24"/>
        </w:rPr>
        <w:t xml:space="preserve">Sustainable regeneration solutions are critical for changing urban landscapes into healthy, resilient communities while minimizing environmental </w:t>
      </w:r>
      <w:r>
        <w:rPr>
          <w:rFonts w:ascii="Arial" w:hAnsi="Arial" w:cs="Arial"/>
          <w:sz w:val="24"/>
          <w:szCs w:val="24"/>
        </w:rPr>
        <w:t>effects</w:t>
      </w:r>
      <w:r w:rsidRPr="00DE6315">
        <w:rPr>
          <w:rFonts w:ascii="Arial" w:hAnsi="Arial" w:cs="Arial"/>
          <w:sz w:val="24"/>
          <w:szCs w:val="24"/>
        </w:rPr>
        <w:t>. Dixon (2007) emphasizes the significance of sustainable brownfield regeneration, which entails repurposing formerly used or industrial lands for new, economic uses. This technique not only inhibits the spread of urban growth onto greenfield sites but also addresses the environmental contamination that is frequently linked with previous industrial zones. Dixon advocates for a comprehensive approach that includes environmental cleanup, social inclusion, and economic sustainability in brownfield redevelopment projects. This viewpoint is especially pertinent in Swansea, where industrial legacies have left several brownfield areas that, if rehabilitated properly, may considerably contribute to the city's development.</w:t>
      </w:r>
    </w:p>
    <w:p w14:paraId="2D67527D" w14:textId="5EA4F730" w:rsidR="00DE6315" w:rsidRDefault="00DE6315" w:rsidP="00DE6315">
      <w:pPr>
        <w:rPr>
          <w:rFonts w:ascii="Arial" w:hAnsi="Arial" w:cs="Arial"/>
          <w:sz w:val="24"/>
          <w:szCs w:val="24"/>
        </w:rPr>
      </w:pPr>
      <w:r w:rsidRPr="00DE6315">
        <w:rPr>
          <w:rFonts w:ascii="Arial" w:hAnsi="Arial" w:cs="Arial"/>
          <w:sz w:val="24"/>
          <w:szCs w:val="24"/>
        </w:rPr>
        <w:t>Viken (2016) broadens the definition of sustainable regeneration by introducing the concept of place reinvention. This includes rethinking urban places to promote innovation, cultural vibrancy, and environmental sustainability. Swansea could benefit from utilizing its coastal location and historical assets to promote new economic sectors such as renewable energy, tourism, and the digital industry. According to Viken's concept, place reinvention entails not just physical rebuilding, but also the creation of new narratives and identities that appeal to both residents and visitors. This method is consistent with sustainable principles since it emphasizes the importance of regeneration initiatives that are adaptive, forward-thinking, and grounded in the unique qualities of the location.</w:t>
      </w:r>
    </w:p>
    <w:p w14:paraId="524650E6" w14:textId="6A648161" w:rsidR="00DE6315" w:rsidRDefault="00DE6315" w:rsidP="00DE6315">
      <w:pPr>
        <w:rPr>
          <w:rFonts w:ascii="Arial" w:hAnsi="Arial" w:cs="Arial"/>
          <w:sz w:val="24"/>
          <w:szCs w:val="24"/>
        </w:rPr>
      </w:pPr>
      <w:r w:rsidRPr="00DE6315">
        <w:rPr>
          <w:rFonts w:ascii="Arial" w:hAnsi="Arial" w:cs="Arial"/>
          <w:sz w:val="24"/>
          <w:szCs w:val="24"/>
        </w:rPr>
        <w:t xml:space="preserve">Using Dixon and Viken's ideas, sustainable regeneration in Swansea might include </w:t>
      </w:r>
      <w:r>
        <w:rPr>
          <w:rFonts w:ascii="Arial" w:hAnsi="Arial" w:cs="Arial"/>
          <w:sz w:val="24"/>
          <w:szCs w:val="24"/>
        </w:rPr>
        <w:t>several</w:t>
      </w:r>
      <w:r w:rsidRPr="00DE6315">
        <w:rPr>
          <w:rFonts w:ascii="Arial" w:hAnsi="Arial" w:cs="Arial"/>
          <w:sz w:val="24"/>
          <w:szCs w:val="24"/>
        </w:rPr>
        <w:t xml:space="preserve"> essential initiatives. To begin, brownfield redevelopment should embrace green technologies and sustainable urban design principles like green roofs, energy-efficient buildings, and pedestrian-friendly spaces. This not only revitalizes underused land but also helps the city meet its environmental goals.</w:t>
      </w:r>
    </w:p>
    <w:p w14:paraId="0D1A597A" w14:textId="77777777" w:rsidR="00DE6315" w:rsidRPr="00DE6315" w:rsidRDefault="00DE6315" w:rsidP="00DE6315">
      <w:pPr>
        <w:rPr>
          <w:rFonts w:ascii="Arial" w:hAnsi="Arial" w:cs="Arial"/>
          <w:sz w:val="24"/>
          <w:szCs w:val="24"/>
        </w:rPr>
      </w:pPr>
      <w:r w:rsidRPr="00DE6315">
        <w:rPr>
          <w:rFonts w:ascii="Arial" w:hAnsi="Arial" w:cs="Arial"/>
          <w:sz w:val="24"/>
          <w:szCs w:val="24"/>
        </w:rPr>
        <w:t>Second, supporting innovation by establishing hubs or clusters that bring together university, business, and community organizations can boost economic growth while also tackling social and environmental issues. Such hubs might focus on areas such as clean energy, which would take advantage of Swansea's coastal assets for wind and tidal power, in line with Dixon's (2007) emphasis on environmental sustainability in regeneration initiatives.</w:t>
      </w:r>
    </w:p>
    <w:p w14:paraId="6305A605" w14:textId="31A66435" w:rsidR="00DE6315" w:rsidRDefault="00DE6315" w:rsidP="00DE6315">
      <w:pPr>
        <w:rPr>
          <w:rFonts w:ascii="Arial" w:hAnsi="Arial" w:cs="Arial"/>
          <w:sz w:val="24"/>
          <w:szCs w:val="24"/>
        </w:rPr>
      </w:pPr>
      <w:r w:rsidRPr="00DE6315">
        <w:rPr>
          <w:rFonts w:ascii="Arial" w:hAnsi="Arial" w:cs="Arial"/>
          <w:sz w:val="24"/>
          <w:szCs w:val="24"/>
        </w:rPr>
        <w:t>Finally, involving the community in the regeneration process is critical to ensuring that redevelopment activities address local needs and ambitions. This involves making public areas more inclusive, building affordable housing, and providing possibilities for local employment and business. Swansea may use these sustainable regeneration ideas to turn its industrial heritage into the foundation for a dynamic, sustainable future, echoing Viken's (2016) call for imaginative place reinvention.</w:t>
      </w:r>
    </w:p>
    <w:p w14:paraId="24B45A13" w14:textId="77777777" w:rsidR="00DE6315" w:rsidRPr="00DE6315" w:rsidRDefault="00DE6315" w:rsidP="00DE6315">
      <w:pPr>
        <w:rPr>
          <w:rFonts w:ascii="Arial" w:hAnsi="Arial" w:cs="Arial"/>
          <w:sz w:val="24"/>
          <w:szCs w:val="24"/>
        </w:rPr>
      </w:pPr>
    </w:p>
    <w:p w14:paraId="212D3546" w14:textId="77777777" w:rsidR="00DE6315" w:rsidRPr="00DE6315" w:rsidRDefault="00DE6315" w:rsidP="00DE6315">
      <w:pPr>
        <w:rPr>
          <w:rFonts w:ascii="Arial" w:hAnsi="Arial" w:cs="Arial"/>
          <w:sz w:val="24"/>
          <w:szCs w:val="24"/>
        </w:rPr>
      </w:pPr>
    </w:p>
    <w:p w14:paraId="401196F1" w14:textId="77777777" w:rsidR="00DE6315" w:rsidRDefault="00DE6315">
      <w:pPr>
        <w:rPr>
          <w:rFonts w:ascii="Arial" w:hAnsi="Arial" w:cs="Arial"/>
          <w:sz w:val="24"/>
          <w:szCs w:val="24"/>
        </w:rPr>
      </w:pPr>
    </w:p>
    <w:p w14:paraId="6A4495FE" w14:textId="0B916B21" w:rsidR="00A714D4" w:rsidRPr="003B5304" w:rsidRDefault="00DE6315">
      <w:pPr>
        <w:rPr>
          <w:rFonts w:ascii="Arial Black" w:hAnsi="Arial Black" w:cs="Arial"/>
          <w:sz w:val="24"/>
          <w:szCs w:val="24"/>
        </w:rPr>
      </w:pPr>
      <w:r w:rsidRPr="003B5304">
        <w:rPr>
          <w:rFonts w:ascii="Arial Black" w:hAnsi="Arial Black" w:cs="Arial"/>
          <w:sz w:val="24"/>
          <w:szCs w:val="24"/>
        </w:rPr>
        <w:lastRenderedPageBreak/>
        <w:t>Community Involvement and Social Sustainability</w:t>
      </w:r>
    </w:p>
    <w:p w14:paraId="270820C3" w14:textId="7EFF6688" w:rsidR="00ED6EFB" w:rsidRDefault="00ED6EFB">
      <w:pPr>
        <w:rPr>
          <w:rFonts w:ascii="Arial" w:hAnsi="Arial" w:cs="Arial"/>
          <w:sz w:val="24"/>
          <w:szCs w:val="24"/>
        </w:rPr>
      </w:pPr>
      <w:r w:rsidRPr="00ED6EFB">
        <w:rPr>
          <w:rFonts w:ascii="Arial" w:hAnsi="Arial" w:cs="Arial"/>
          <w:sz w:val="24"/>
          <w:szCs w:val="24"/>
        </w:rPr>
        <w:t xml:space="preserve">Community involvement and social sustainability are critical components of the urban regeneration framework, ensuring that redevelopment initiatives not only regenerate physical environments but also promote social cohesion, inclusivity, and resident well-being. Pemberton (2019) emphasizes the need </w:t>
      </w:r>
      <w:r>
        <w:rPr>
          <w:rFonts w:ascii="Arial" w:hAnsi="Arial" w:cs="Arial"/>
          <w:sz w:val="24"/>
          <w:szCs w:val="24"/>
        </w:rPr>
        <w:t>to include</w:t>
      </w:r>
      <w:r w:rsidRPr="00ED6EFB">
        <w:rPr>
          <w:rFonts w:ascii="Arial" w:hAnsi="Arial" w:cs="Arial"/>
          <w:sz w:val="24"/>
          <w:szCs w:val="24"/>
        </w:rPr>
        <w:t xml:space="preserve"> local communities in regeneration programs, claiming that doing so promotes the long-term viability of these efforts by aligning them with the needs, aspirations, and values of those they are supposed to help. This method differs from top-down regeneration initiatives, which frequently disregard the complex needs of local communities, potentially resulting </w:t>
      </w:r>
      <w:r>
        <w:rPr>
          <w:rFonts w:ascii="Arial" w:hAnsi="Arial" w:cs="Arial"/>
          <w:sz w:val="24"/>
          <w:szCs w:val="24"/>
        </w:rPr>
        <w:t>in</w:t>
      </w:r>
      <w:r w:rsidRPr="00ED6EFB">
        <w:rPr>
          <w:rFonts w:ascii="Arial" w:hAnsi="Arial" w:cs="Arial"/>
          <w:sz w:val="24"/>
          <w:szCs w:val="24"/>
        </w:rPr>
        <w:t xml:space="preserve"> alienation and socioeconomic inequities.</w:t>
      </w:r>
    </w:p>
    <w:p w14:paraId="1F382303" w14:textId="328C989A" w:rsidR="00ED6EFB" w:rsidRDefault="00ED6EFB">
      <w:pPr>
        <w:rPr>
          <w:rFonts w:ascii="Arial" w:hAnsi="Arial" w:cs="Arial"/>
          <w:sz w:val="24"/>
          <w:szCs w:val="24"/>
        </w:rPr>
      </w:pPr>
      <w:r w:rsidRPr="00ED6EFB">
        <w:rPr>
          <w:rFonts w:ascii="Arial" w:hAnsi="Arial" w:cs="Arial"/>
          <w:sz w:val="24"/>
          <w:szCs w:val="24"/>
        </w:rPr>
        <w:t xml:space="preserve">Heise (2008) broadens the discussion about community engagement to the broader concept of social sustainability, which includes a feeling of place and global environmental conscience in local regeneration programs. Heise advocates for regeneration strategies that not only </w:t>
      </w:r>
      <w:r w:rsidRPr="00ED6EFB">
        <w:rPr>
          <w:rFonts w:ascii="Arial" w:hAnsi="Arial" w:cs="Arial"/>
          <w:sz w:val="24"/>
          <w:szCs w:val="24"/>
        </w:rPr>
        <w:t>consider</w:t>
      </w:r>
      <w:r w:rsidRPr="00ED6EFB">
        <w:rPr>
          <w:rFonts w:ascii="Arial" w:hAnsi="Arial" w:cs="Arial"/>
          <w:sz w:val="24"/>
          <w:szCs w:val="24"/>
        </w:rPr>
        <w:t xml:space="preserve"> the environmental impact of urban development but also work to preserve and improve communities' cultural and social fabric. This combined focus on environmental and social sustainability is critical for developing liveable, resilient urban environments capable of coping with and adapting to 21st-century problems such as climate change and urbanization.</w:t>
      </w:r>
    </w:p>
    <w:p w14:paraId="7F072D61" w14:textId="77777777" w:rsidR="00ED6EFB" w:rsidRPr="00ED6EFB" w:rsidRDefault="00ED6EFB" w:rsidP="00ED6EFB">
      <w:pPr>
        <w:rPr>
          <w:rFonts w:ascii="Arial" w:hAnsi="Arial" w:cs="Arial"/>
          <w:sz w:val="24"/>
          <w:szCs w:val="24"/>
        </w:rPr>
      </w:pPr>
      <w:r w:rsidRPr="00ED6EFB">
        <w:rPr>
          <w:rFonts w:ascii="Arial" w:hAnsi="Arial" w:cs="Arial"/>
          <w:sz w:val="24"/>
          <w:szCs w:val="24"/>
        </w:rPr>
        <w:t>Incorporating Pemberton and Heise's observations, effective community engagement in regeneration efforts in Swansea could take several forms. Public discussions, participatory planning sessions, and collaborative decision-making processes can empower locals by giving them a say in the city's renovation. Such participatory approaches can elicit vital local knowledge and preferences, ensuring that regeneration projects are both relevant and helpful to communities.</w:t>
      </w:r>
    </w:p>
    <w:p w14:paraId="48D8CCEB" w14:textId="4838140F" w:rsidR="00ED6EFB" w:rsidRDefault="00ED6EFB" w:rsidP="00ED6EFB">
      <w:pPr>
        <w:rPr>
          <w:rFonts w:ascii="Arial" w:hAnsi="Arial" w:cs="Arial"/>
          <w:sz w:val="24"/>
          <w:szCs w:val="24"/>
        </w:rPr>
      </w:pPr>
      <w:r w:rsidRPr="00ED6EFB">
        <w:rPr>
          <w:rFonts w:ascii="Arial" w:hAnsi="Arial" w:cs="Arial"/>
          <w:sz w:val="24"/>
          <w:szCs w:val="24"/>
        </w:rPr>
        <w:t xml:space="preserve">Furthermore, promoting social sustainability entails establishing inclusive public places, affordable housing, and accessible services that serve a varied community. Initiatives should seek to strengthen community relationships, promote cultural expression, and improve social fairness. For example, incorporating green areas and community </w:t>
      </w:r>
      <w:r>
        <w:rPr>
          <w:rFonts w:ascii="Arial" w:hAnsi="Arial" w:cs="Arial"/>
          <w:sz w:val="24"/>
          <w:szCs w:val="24"/>
        </w:rPr>
        <w:t>centres</w:t>
      </w:r>
      <w:r w:rsidRPr="00ED6EFB">
        <w:rPr>
          <w:rFonts w:ascii="Arial" w:hAnsi="Arial" w:cs="Arial"/>
          <w:sz w:val="24"/>
          <w:szCs w:val="24"/>
        </w:rPr>
        <w:t xml:space="preserve"> into regeneration plans can provide venues for social interaction, cultural activities, and educational programs, thus developing a feeling of community.</w:t>
      </w:r>
    </w:p>
    <w:p w14:paraId="26A06CF5" w14:textId="516F5F07" w:rsidR="00ED6EFB" w:rsidRPr="00ED6EFB" w:rsidRDefault="00ED6EFB" w:rsidP="00ED6EFB">
      <w:pPr>
        <w:rPr>
          <w:rFonts w:ascii="Arial" w:hAnsi="Arial" w:cs="Arial"/>
          <w:sz w:val="24"/>
          <w:szCs w:val="24"/>
        </w:rPr>
      </w:pPr>
      <w:r w:rsidRPr="00ED6EFB">
        <w:rPr>
          <w:rFonts w:ascii="Arial" w:hAnsi="Arial" w:cs="Arial"/>
          <w:sz w:val="24"/>
          <w:szCs w:val="24"/>
        </w:rPr>
        <w:t xml:space="preserve">In Swansea, using the city's strong industrial legacy and seaside environment </w:t>
      </w:r>
      <w:r>
        <w:rPr>
          <w:rFonts w:ascii="Arial" w:hAnsi="Arial" w:cs="Arial"/>
          <w:sz w:val="24"/>
          <w:szCs w:val="24"/>
        </w:rPr>
        <w:t>in</w:t>
      </w:r>
      <w:r w:rsidRPr="00ED6EFB">
        <w:rPr>
          <w:rFonts w:ascii="Arial" w:hAnsi="Arial" w:cs="Arial"/>
          <w:sz w:val="24"/>
          <w:szCs w:val="24"/>
        </w:rPr>
        <w:t xml:space="preserve"> redevelopment efforts can help to ensure social sustainability. Projects that highlight Swansea's history and natural beauty can create pride in inhabitants and attract visitors, supporting local economies and cultivating community identity.</w:t>
      </w:r>
    </w:p>
    <w:p w14:paraId="326964D3" w14:textId="68C2462F" w:rsidR="00ED6EFB" w:rsidRDefault="00ED6EFB" w:rsidP="00ED6EFB">
      <w:pPr>
        <w:rPr>
          <w:rFonts w:ascii="Arial" w:hAnsi="Arial" w:cs="Arial"/>
          <w:sz w:val="24"/>
          <w:szCs w:val="24"/>
        </w:rPr>
      </w:pPr>
      <w:r>
        <w:rPr>
          <w:rFonts w:ascii="Arial" w:hAnsi="Arial" w:cs="Arial"/>
          <w:sz w:val="24"/>
          <w:szCs w:val="24"/>
        </w:rPr>
        <w:t>S</w:t>
      </w:r>
      <w:r w:rsidRPr="00ED6EFB">
        <w:rPr>
          <w:rFonts w:ascii="Arial" w:hAnsi="Arial" w:cs="Arial"/>
          <w:sz w:val="24"/>
          <w:szCs w:val="24"/>
        </w:rPr>
        <w:t>ustainable urban redevelopment requires community involvement and social sustainability. By prioritizing these aspects, Swansea's regeneration activities can achieve not just physical space renewal but also community spirit rejuvenation, assuring a sustainable and inclusive future for all people.</w:t>
      </w:r>
    </w:p>
    <w:p w14:paraId="0A454F63" w14:textId="5D58F4A4" w:rsidR="00ED6EFB" w:rsidRPr="003B5304" w:rsidRDefault="00ED6EFB" w:rsidP="00ED6EFB">
      <w:pPr>
        <w:rPr>
          <w:rFonts w:ascii="Arial Black" w:hAnsi="Arial Black" w:cs="Arial"/>
          <w:sz w:val="24"/>
          <w:szCs w:val="24"/>
        </w:rPr>
      </w:pPr>
      <w:r w:rsidRPr="003B5304">
        <w:rPr>
          <w:rFonts w:ascii="Arial Black" w:hAnsi="Arial Black" w:cs="Arial"/>
          <w:sz w:val="24"/>
          <w:szCs w:val="24"/>
        </w:rPr>
        <w:t>Policy Implications and Recommendations</w:t>
      </w:r>
    </w:p>
    <w:p w14:paraId="09A27EC1" w14:textId="18B53F88" w:rsidR="00ED6EFB" w:rsidRDefault="00ED6EFB" w:rsidP="00ED6EFB">
      <w:pPr>
        <w:rPr>
          <w:rFonts w:ascii="Arial" w:hAnsi="Arial" w:cs="Arial"/>
          <w:sz w:val="24"/>
          <w:szCs w:val="24"/>
        </w:rPr>
      </w:pPr>
      <w:r w:rsidRPr="00ED6EFB">
        <w:rPr>
          <w:rFonts w:ascii="Arial" w:hAnsi="Arial" w:cs="Arial"/>
          <w:sz w:val="24"/>
          <w:szCs w:val="24"/>
        </w:rPr>
        <w:t xml:space="preserve">The literature on urban regeneration emphasizes the crucial importance of policies that are not only integrated and multifaceted, but also strongly entrenched in community-based approaches. Hordern (2013) underlines the necessity of </w:t>
      </w:r>
      <w:r w:rsidRPr="00ED6EFB">
        <w:rPr>
          <w:rFonts w:ascii="Arial" w:hAnsi="Arial" w:cs="Arial"/>
          <w:sz w:val="24"/>
          <w:szCs w:val="24"/>
        </w:rPr>
        <w:lastRenderedPageBreak/>
        <w:t>evaluation and implementation methodologies that are tailored to the unique demands and dynamics of urban areas. This viewpoint contends that successful regeneration programs must go beyond standard economic and physical development paradigms to include social, cultural, and environmental issues. Similarly, Dobson (2015) demonstrates the importance of "urban translations" in regeneration, in which actor-networking theories are used to comprehend and negotiate the complex interplay of stakeholders in urban redevelopment projects. This approach emphasizes the importance of implementing flexible, responsive policies that may accommodate varied interests and encourage collaborative efforts to achieve common goals.</w:t>
      </w:r>
    </w:p>
    <w:p w14:paraId="4D3F6584" w14:textId="77777777" w:rsidR="005F0BF0" w:rsidRPr="005F0BF0" w:rsidRDefault="005F0BF0" w:rsidP="005F0BF0">
      <w:pPr>
        <w:rPr>
          <w:rFonts w:ascii="Arial" w:hAnsi="Arial" w:cs="Arial"/>
          <w:sz w:val="24"/>
          <w:szCs w:val="24"/>
        </w:rPr>
      </w:pPr>
      <w:r w:rsidRPr="005F0BF0">
        <w:rPr>
          <w:rFonts w:ascii="Arial" w:hAnsi="Arial" w:cs="Arial"/>
          <w:sz w:val="24"/>
          <w:szCs w:val="24"/>
        </w:rPr>
        <w:t>Based on these findings, numerous policy implications and recommendations emerge for Swansea's regeneration efforts:</w:t>
      </w:r>
    </w:p>
    <w:p w14:paraId="5012CB12" w14:textId="5CEE8AB5" w:rsidR="005F0BF0" w:rsidRDefault="005F0BF0" w:rsidP="005F0BF0">
      <w:pPr>
        <w:rPr>
          <w:rFonts w:ascii="Arial" w:hAnsi="Arial" w:cs="Arial"/>
          <w:sz w:val="24"/>
          <w:szCs w:val="24"/>
        </w:rPr>
      </w:pPr>
      <w:r w:rsidRPr="005F0BF0">
        <w:rPr>
          <w:rFonts w:ascii="Arial" w:hAnsi="Arial" w:cs="Arial"/>
          <w:sz w:val="24"/>
          <w:szCs w:val="24"/>
        </w:rPr>
        <w:t xml:space="preserve">Integrated Policy Framework: Create an integrated policy framework that addresses the economic, social, environmental, and cultural aspects of regeneration. This comprehensive strategy should attempt to balance </w:t>
      </w:r>
      <w:r>
        <w:rPr>
          <w:rFonts w:ascii="Arial" w:hAnsi="Arial" w:cs="Arial"/>
          <w:sz w:val="24"/>
          <w:szCs w:val="24"/>
        </w:rPr>
        <w:t xml:space="preserve">the </w:t>
      </w:r>
      <w:r w:rsidRPr="005F0BF0">
        <w:rPr>
          <w:rFonts w:ascii="Arial" w:hAnsi="Arial" w:cs="Arial"/>
          <w:sz w:val="24"/>
          <w:szCs w:val="24"/>
        </w:rPr>
        <w:t>physical rebuilding of areas with improved community well-being, environmental sustainability, and cultural vibrancy. Policies should be developed to foster a broad economy, encompassing sectors such as technology, creative industries, and green energy while exploiting Swansea's particular strengths and history</w:t>
      </w:r>
      <w:r>
        <w:rPr>
          <w:rFonts w:ascii="Arial" w:hAnsi="Arial" w:cs="Arial"/>
          <w:sz w:val="24"/>
          <w:szCs w:val="24"/>
        </w:rPr>
        <w:t>.</w:t>
      </w:r>
    </w:p>
    <w:p w14:paraId="750FB6BE" w14:textId="68B422BE" w:rsidR="005F0BF0" w:rsidRDefault="005F0BF0" w:rsidP="005F0BF0">
      <w:pPr>
        <w:rPr>
          <w:rFonts w:ascii="Arial" w:hAnsi="Arial" w:cs="Arial"/>
          <w:sz w:val="24"/>
          <w:szCs w:val="24"/>
        </w:rPr>
      </w:pPr>
      <w:r w:rsidRPr="005F0BF0">
        <w:rPr>
          <w:rFonts w:ascii="Arial" w:hAnsi="Arial" w:cs="Arial"/>
          <w:sz w:val="24"/>
          <w:szCs w:val="24"/>
        </w:rPr>
        <w:t>Community Participation and Engagement: Throughout the entire regeneration process, give priority to community participation and engagement. Policies should make it easier for local companies, citizens, and community organizations to participate meaningfully in planning and decision-making processes so that community needs and goals are reflected in regeneration programs. This could entail putting in place participatory planning workshops, holding frequent public discussions, and creating community advisory boards.</w:t>
      </w:r>
    </w:p>
    <w:p w14:paraId="2D7AB9B9" w14:textId="2577C101" w:rsidR="005F0BF0" w:rsidRDefault="005F0BF0" w:rsidP="005F0BF0">
      <w:pPr>
        <w:rPr>
          <w:rFonts w:ascii="Arial" w:hAnsi="Arial" w:cs="Arial"/>
          <w:sz w:val="24"/>
          <w:szCs w:val="24"/>
        </w:rPr>
      </w:pPr>
      <w:r w:rsidRPr="005F0BF0">
        <w:rPr>
          <w:rFonts w:ascii="Arial" w:hAnsi="Arial" w:cs="Arial"/>
          <w:sz w:val="24"/>
          <w:szCs w:val="24"/>
        </w:rPr>
        <w:t xml:space="preserve">Collaborative Governance: Implement a form of collaborative governance that unites several governmental branches, business associates, educational institutions, and community-based organizations. Dobson (2015) and Hordern (2013) both stress the need </w:t>
      </w:r>
      <w:r>
        <w:rPr>
          <w:rFonts w:ascii="Arial" w:hAnsi="Arial" w:cs="Arial"/>
          <w:sz w:val="24"/>
          <w:szCs w:val="24"/>
        </w:rPr>
        <w:t>to build</w:t>
      </w:r>
      <w:r w:rsidRPr="005F0BF0">
        <w:rPr>
          <w:rFonts w:ascii="Arial" w:hAnsi="Arial" w:cs="Arial"/>
          <w:sz w:val="24"/>
          <w:szCs w:val="24"/>
        </w:rPr>
        <w:t xml:space="preserve"> networks and collaborations to maximize resources, knowledge, and creative solutions. Cross-sector collaboration, information transfer, and the exchange of best practices should all be encouraged by policy.</w:t>
      </w:r>
    </w:p>
    <w:p w14:paraId="309D2BB9" w14:textId="77777777" w:rsidR="005F0BF0" w:rsidRPr="005F0BF0" w:rsidRDefault="005F0BF0" w:rsidP="005F0BF0">
      <w:pPr>
        <w:rPr>
          <w:rFonts w:ascii="Arial" w:hAnsi="Arial" w:cs="Arial"/>
          <w:sz w:val="24"/>
          <w:szCs w:val="24"/>
        </w:rPr>
      </w:pPr>
      <w:r w:rsidRPr="005F0BF0">
        <w:rPr>
          <w:rFonts w:ascii="Arial" w:hAnsi="Arial" w:cs="Arial"/>
          <w:sz w:val="24"/>
          <w:szCs w:val="24"/>
        </w:rPr>
        <w:t>Sustainability and Resilience: Integrate resilience and sustainability concepts into policies for policy regeneration to make sure that projects support long-term environmental objectives and can adjust to shifting social and economic circumstances. This entails encouraging energy-efficient buildings, environmentally friendly transportation, and green infrastructure in addition to supporting programs that improve social justice and community resilience.</w:t>
      </w:r>
    </w:p>
    <w:p w14:paraId="2F48B176" w14:textId="44656ED4" w:rsidR="005F0BF0" w:rsidRDefault="005F0BF0" w:rsidP="005F0BF0">
      <w:pPr>
        <w:rPr>
          <w:rFonts w:ascii="Arial" w:hAnsi="Arial" w:cs="Arial"/>
          <w:sz w:val="24"/>
          <w:szCs w:val="24"/>
        </w:rPr>
      </w:pPr>
      <w:r w:rsidRPr="005F0BF0">
        <w:rPr>
          <w:rFonts w:ascii="Arial" w:hAnsi="Arial" w:cs="Arial"/>
          <w:sz w:val="24"/>
          <w:szCs w:val="24"/>
        </w:rPr>
        <w:t xml:space="preserve">Monitoring and Evaluation: To determine the effects of policies and programs for regeneration, put in place strong monitoring and evaluation systems. Indicators of social cohesiveness, environmental enhancement, economic revival, and cultural enrichment should be included. Frequent evaluation helps guarantee that </w:t>
      </w:r>
      <w:r w:rsidRPr="005F0BF0">
        <w:rPr>
          <w:rFonts w:ascii="Arial" w:hAnsi="Arial" w:cs="Arial"/>
          <w:sz w:val="24"/>
          <w:szCs w:val="24"/>
        </w:rPr>
        <w:lastRenderedPageBreak/>
        <w:t>regeneration activities stay in line with community goals and needs and can help inform policy changes.</w:t>
      </w:r>
    </w:p>
    <w:p w14:paraId="42EC9901" w14:textId="5ADCF0FB" w:rsidR="005F0BF0" w:rsidRDefault="005F0BF0" w:rsidP="005F0BF0">
      <w:pPr>
        <w:rPr>
          <w:rFonts w:ascii="Arial" w:hAnsi="Arial" w:cs="Arial"/>
          <w:sz w:val="24"/>
          <w:szCs w:val="24"/>
        </w:rPr>
      </w:pPr>
      <w:r w:rsidRPr="005F0BF0">
        <w:rPr>
          <w:rFonts w:ascii="Arial" w:hAnsi="Arial" w:cs="Arial"/>
          <w:sz w:val="24"/>
          <w:szCs w:val="24"/>
        </w:rPr>
        <w:t>Swansea can move closer to a future that reflects a holistic approach to urban renewal and is not just physically restored but also socially and economically dynamic, environmentally sustainable, and varied. This may be achieved by adopting these policy implications and recommendations.</w:t>
      </w:r>
    </w:p>
    <w:p w14:paraId="2D2465B1" w14:textId="0715D02D" w:rsidR="006B5E01" w:rsidRPr="003B5304" w:rsidRDefault="006B5E01" w:rsidP="005F0BF0">
      <w:pPr>
        <w:rPr>
          <w:rFonts w:ascii="Arial Black" w:hAnsi="Arial Black" w:cs="Arial"/>
          <w:sz w:val="24"/>
          <w:szCs w:val="24"/>
        </w:rPr>
      </w:pPr>
      <w:r w:rsidRPr="003B5304">
        <w:rPr>
          <w:rFonts w:ascii="Arial Black" w:hAnsi="Arial Black" w:cs="Arial"/>
          <w:sz w:val="24"/>
          <w:szCs w:val="24"/>
        </w:rPr>
        <w:t>Case Studies and Applications</w:t>
      </w:r>
    </w:p>
    <w:p w14:paraId="7336EBFB" w14:textId="650F2DE9" w:rsidR="006B5E01" w:rsidRPr="006B5E01" w:rsidRDefault="006B5E01" w:rsidP="006B5E01">
      <w:pPr>
        <w:rPr>
          <w:rFonts w:ascii="Arial" w:hAnsi="Arial" w:cs="Arial"/>
          <w:sz w:val="24"/>
          <w:szCs w:val="24"/>
        </w:rPr>
      </w:pPr>
      <w:r w:rsidRPr="006B5E01">
        <w:rPr>
          <w:rFonts w:ascii="Arial" w:hAnsi="Arial" w:cs="Arial"/>
          <w:sz w:val="24"/>
          <w:szCs w:val="24"/>
        </w:rPr>
        <w:t>Numerous case studies that successfully apply theoretical principles and techniques in real-world situations can be found in the literature on urban regeneration, which might provide significant insights for Swansea's regeneration initiatives.</w:t>
      </w:r>
    </w:p>
    <w:p w14:paraId="2CB8E416" w14:textId="3087CEA4" w:rsidR="006B5E01" w:rsidRDefault="006B5E01" w:rsidP="006B5E01">
      <w:pPr>
        <w:rPr>
          <w:rFonts w:ascii="Arial" w:hAnsi="Arial" w:cs="Arial"/>
          <w:sz w:val="24"/>
          <w:szCs w:val="24"/>
        </w:rPr>
      </w:pPr>
      <w:r w:rsidRPr="006B5E01">
        <w:rPr>
          <w:rFonts w:ascii="Arial" w:hAnsi="Arial" w:cs="Arial"/>
          <w:sz w:val="24"/>
          <w:szCs w:val="24"/>
        </w:rPr>
        <w:t xml:space="preserve">The revitalization of New York City's High Line, a project that turned an abandoned elevated railroad into a bustling public park, is one noteworthy example. This case study transforms an unusable place into a </w:t>
      </w:r>
      <w:r w:rsidRPr="006B5E01">
        <w:rPr>
          <w:rFonts w:ascii="Arial" w:hAnsi="Arial" w:cs="Arial"/>
          <w:sz w:val="24"/>
          <w:szCs w:val="24"/>
        </w:rPr>
        <w:t>liveable</w:t>
      </w:r>
      <w:r w:rsidRPr="006B5E01">
        <w:rPr>
          <w:rFonts w:ascii="Arial" w:hAnsi="Arial" w:cs="Arial"/>
          <w:sz w:val="24"/>
          <w:szCs w:val="24"/>
        </w:rPr>
        <w:t>, green urban area by putting Dixon's (2007) sustainable brownfield regeneration concepts into practice. The significance of public-private partnerships and community engagement is also reflected in the High Line project. Pemberton (2019) discussed the importance of incorporating local communities in regeneration programs.</w:t>
      </w:r>
    </w:p>
    <w:p w14:paraId="367AC444" w14:textId="24391695" w:rsidR="006B5E01" w:rsidRDefault="006B5E01" w:rsidP="006B5E01">
      <w:pPr>
        <w:rPr>
          <w:rFonts w:ascii="Arial" w:hAnsi="Arial" w:cs="Arial"/>
          <w:sz w:val="24"/>
          <w:szCs w:val="24"/>
        </w:rPr>
      </w:pPr>
      <w:r w:rsidRPr="006B5E01">
        <w:rPr>
          <w:rFonts w:ascii="Arial" w:hAnsi="Arial" w:cs="Arial"/>
          <w:sz w:val="24"/>
          <w:szCs w:val="24"/>
        </w:rPr>
        <w:t>A</w:t>
      </w:r>
      <w:r w:rsidRPr="006B5E01">
        <w:rPr>
          <w:rFonts w:ascii="Arial" w:hAnsi="Arial" w:cs="Arial"/>
          <w:sz w:val="24"/>
          <w:szCs w:val="24"/>
        </w:rPr>
        <w:t xml:space="preserve"> further illustration is the restoration of Emscher Park in Germany's Ruhr Valley, which transformed a highly industrialized region into a verdant recreational and cultural environment. This project demonstrates how post-industrial places can be creatively repurposed to increase social, economic, and environmental well-being, which is in line with Viken's (2016) concept of place reinvention. As an example of how environmental remediation and cultural and social regeneration can coexist, the Emscher Park program echoes Heise's (2008) focus on social sustainability and the value of creating a sense of place.</w:t>
      </w:r>
    </w:p>
    <w:p w14:paraId="2B3F8E3D" w14:textId="4D2D1895" w:rsidR="006B5E01" w:rsidRDefault="006B5E01" w:rsidP="006B5E01">
      <w:pPr>
        <w:rPr>
          <w:rFonts w:ascii="Arial" w:hAnsi="Arial" w:cs="Arial"/>
          <w:sz w:val="24"/>
          <w:szCs w:val="24"/>
        </w:rPr>
      </w:pPr>
      <w:r w:rsidRPr="003B5304">
        <w:rPr>
          <w:rFonts w:ascii="Arial Black" w:hAnsi="Arial Black" w:cs="Arial"/>
          <w:sz w:val="24"/>
          <w:szCs w:val="24"/>
        </w:rPr>
        <w:t>Conclusio</w:t>
      </w:r>
      <w:r w:rsidRPr="006B5E01">
        <w:rPr>
          <w:rFonts w:ascii="Arial" w:hAnsi="Arial" w:cs="Arial"/>
          <w:sz w:val="24"/>
          <w:szCs w:val="24"/>
        </w:rPr>
        <w:t>n</w:t>
      </w:r>
    </w:p>
    <w:p w14:paraId="7AB8CD69" w14:textId="6EE223B5" w:rsidR="006B5E01" w:rsidRDefault="0027412C" w:rsidP="006B5E01">
      <w:pPr>
        <w:rPr>
          <w:rFonts w:ascii="Arial" w:hAnsi="Arial" w:cs="Arial"/>
          <w:sz w:val="24"/>
          <w:szCs w:val="24"/>
        </w:rPr>
      </w:pPr>
      <w:r w:rsidRPr="0027412C">
        <w:rPr>
          <w:rFonts w:ascii="Arial" w:hAnsi="Arial" w:cs="Arial"/>
          <w:sz w:val="24"/>
          <w:szCs w:val="24"/>
        </w:rPr>
        <w:t>The report highlighted the multifaceted problems and opportunities inherent in Swansea's urban renewal, drawing on a rich tapestry of theoretical insights and practical case studies. The analysis emphasizes the crucial importance of sustainable development, community participation, and creative repurposing of urban spaces as key pillars of successful regeneration. Swansea's plans include embracing its industrial past in the context of environmental sustainability, social inclusion, and economic diversification. The High Line and Emscher Park case studies serve as inspirational models, showcasing the transformative power of combining community desires with environmentally friendly techniques.</w:t>
      </w:r>
    </w:p>
    <w:p w14:paraId="00AEB642" w14:textId="75CDAFE7" w:rsidR="0027412C" w:rsidRDefault="0027412C" w:rsidP="006B5E01">
      <w:pPr>
        <w:rPr>
          <w:rFonts w:ascii="Arial" w:hAnsi="Arial" w:cs="Arial"/>
          <w:sz w:val="24"/>
          <w:szCs w:val="24"/>
        </w:rPr>
      </w:pPr>
      <w:r w:rsidRPr="0027412C">
        <w:rPr>
          <w:rFonts w:ascii="Arial" w:hAnsi="Arial" w:cs="Arial"/>
          <w:sz w:val="24"/>
          <w:szCs w:val="24"/>
        </w:rPr>
        <w:t>The High Line and Emscher Park case studies serve as inspirational models, showcasing the transformative power of combining community desires with environmentally friendly techniques. Finally, the future of urban redevelopment in Swansea and other post-industrial towns depends on policies and programs that are deeply entrenched in place, motivated by its people's collective ambitions, and devoted to the principles of sustainability and resilience.</w:t>
      </w:r>
    </w:p>
    <w:p w14:paraId="01D65E46" w14:textId="1BAB9663" w:rsidR="003B5304" w:rsidRPr="00CA7206" w:rsidRDefault="003B5304" w:rsidP="006B5E01">
      <w:pPr>
        <w:rPr>
          <w:rFonts w:ascii="Arial Black" w:hAnsi="Arial Black" w:cs="Arial"/>
          <w:sz w:val="24"/>
          <w:szCs w:val="24"/>
        </w:rPr>
      </w:pPr>
      <w:r w:rsidRPr="00CA7206">
        <w:rPr>
          <w:rFonts w:ascii="Arial Black" w:hAnsi="Arial Black" w:cs="Arial"/>
          <w:sz w:val="24"/>
          <w:szCs w:val="24"/>
        </w:rPr>
        <w:lastRenderedPageBreak/>
        <w:t xml:space="preserve">References </w:t>
      </w:r>
    </w:p>
    <w:p w14:paraId="4339F96E" w14:textId="77777777" w:rsidR="00CA7206" w:rsidRDefault="00CA7206" w:rsidP="006B5E01">
      <w:pPr>
        <w:rPr>
          <w:rFonts w:ascii="Arial" w:hAnsi="Arial" w:cs="Arial"/>
          <w:sz w:val="24"/>
          <w:szCs w:val="24"/>
        </w:rPr>
      </w:pPr>
    </w:p>
    <w:p w14:paraId="7616DFD5" w14:textId="07108F7F" w:rsidR="00CA7206" w:rsidRDefault="00CA7206" w:rsidP="00CA7206">
      <w:pPr>
        <w:rPr>
          <w:rFonts w:ascii="Arial" w:hAnsi="Arial" w:cs="Arial"/>
          <w:sz w:val="24"/>
          <w:szCs w:val="24"/>
        </w:rPr>
      </w:pPr>
      <w:r w:rsidRPr="00CA7206">
        <w:rPr>
          <w:rFonts w:ascii="Arial" w:hAnsi="Arial" w:cs="Arial"/>
          <w:sz w:val="24"/>
          <w:szCs w:val="24"/>
        </w:rPr>
        <w:t xml:space="preserve">Conraux, E. (2011) 'Christensen P. et O’Brien M. (eds) (2003), Children in the City: Home, Neighbourhood and Community', Carnets De Géographes, (3). Available at: </w:t>
      </w:r>
      <w:hyperlink r:id="rId5" w:history="1">
        <w:r w:rsidRPr="00671EB6">
          <w:rPr>
            <w:rStyle w:val="Hyperlink"/>
            <w:rFonts w:ascii="Arial" w:hAnsi="Arial" w:cs="Arial"/>
            <w:sz w:val="24"/>
            <w:szCs w:val="24"/>
          </w:rPr>
          <w:t>https://doi.org/10.4000/cdg.2366</w:t>
        </w:r>
      </w:hyperlink>
      <w:r w:rsidRPr="00CA7206">
        <w:rPr>
          <w:rFonts w:ascii="Arial" w:hAnsi="Arial" w:cs="Arial"/>
          <w:sz w:val="24"/>
          <w:szCs w:val="24"/>
        </w:rPr>
        <w:t>.</w:t>
      </w:r>
    </w:p>
    <w:p w14:paraId="5B35B338" w14:textId="13877B11" w:rsidR="00CA7206" w:rsidRDefault="00CA7206" w:rsidP="00CA7206">
      <w:pPr>
        <w:rPr>
          <w:rFonts w:ascii="Arial" w:hAnsi="Arial" w:cs="Arial"/>
          <w:sz w:val="24"/>
          <w:szCs w:val="24"/>
        </w:rPr>
      </w:pPr>
      <w:r w:rsidRPr="00CA7206">
        <w:rPr>
          <w:rFonts w:ascii="Arial" w:hAnsi="Arial" w:cs="Arial"/>
          <w:sz w:val="24"/>
          <w:szCs w:val="24"/>
        </w:rPr>
        <w:t xml:space="preserve">Granceri, M. (2019) 'Urban regeneration. A manifesto for transforming UK cities in the age of climate </w:t>
      </w:r>
      <w:r>
        <w:rPr>
          <w:rFonts w:ascii="Arial" w:hAnsi="Arial" w:cs="Arial"/>
          <w:sz w:val="24"/>
          <w:szCs w:val="24"/>
        </w:rPr>
        <w:t>change</w:t>
      </w:r>
      <w:r w:rsidRPr="00CA7206">
        <w:rPr>
          <w:rFonts w:ascii="Arial" w:hAnsi="Arial" w:cs="Arial"/>
          <w:sz w:val="24"/>
          <w:szCs w:val="24"/>
        </w:rPr>
        <w:t xml:space="preserve">, Urban Research &amp; Practice, 12(3), pp. 298–300. Available at: </w:t>
      </w:r>
      <w:hyperlink r:id="rId6" w:history="1">
        <w:r w:rsidRPr="00671EB6">
          <w:rPr>
            <w:rStyle w:val="Hyperlink"/>
            <w:rFonts w:ascii="Arial" w:hAnsi="Arial" w:cs="Arial"/>
            <w:sz w:val="24"/>
            <w:szCs w:val="24"/>
          </w:rPr>
          <w:t>https://doi.org/10.1080/17535069.2019.1639380</w:t>
        </w:r>
      </w:hyperlink>
      <w:r w:rsidRPr="00CA7206">
        <w:rPr>
          <w:rFonts w:ascii="Arial" w:hAnsi="Arial" w:cs="Arial"/>
          <w:sz w:val="24"/>
          <w:szCs w:val="24"/>
        </w:rPr>
        <w:t>.</w:t>
      </w:r>
    </w:p>
    <w:p w14:paraId="632B8956" w14:textId="77777777" w:rsidR="00CA7206" w:rsidRDefault="00CA7206" w:rsidP="00CA7206">
      <w:pPr>
        <w:rPr>
          <w:rFonts w:ascii="Arial" w:hAnsi="Arial" w:cs="Arial"/>
          <w:sz w:val="24"/>
          <w:szCs w:val="24"/>
        </w:rPr>
      </w:pPr>
      <w:r w:rsidRPr="00CA7206">
        <w:rPr>
          <w:rFonts w:ascii="Arial" w:hAnsi="Arial" w:cs="Arial"/>
          <w:sz w:val="24"/>
          <w:szCs w:val="24"/>
        </w:rPr>
        <w:t>Harris, E. (1934) Swansea: Its Port and Trade and their Development. Cardiff: Western Mail and Echo Ltd, pp. 175-176.</w:t>
      </w:r>
    </w:p>
    <w:p w14:paraId="27D37BEC" w14:textId="34EE2DE7" w:rsidR="00CA7206" w:rsidRDefault="00CA7206" w:rsidP="00CA7206">
      <w:pPr>
        <w:rPr>
          <w:rFonts w:ascii="Arial" w:hAnsi="Arial" w:cs="Arial"/>
          <w:sz w:val="24"/>
          <w:szCs w:val="24"/>
        </w:rPr>
      </w:pPr>
      <w:r w:rsidRPr="00CA7206">
        <w:rPr>
          <w:rFonts w:ascii="Arial" w:hAnsi="Arial" w:cs="Arial"/>
          <w:sz w:val="24"/>
          <w:szCs w:val="24"/>
        </w:rPr>
        <w:t xml:space="preserve">Hibbard, M. (2020) 'Pemberton: Rural Regeneration in the UK', Journal of the American Planning Association, 86(1), pp. 131–132. Available at: </w:t>
      </w:r>
      <w:hyperlink r:id="rId7" w:history="1">
        <w:r w:rsidRPr="00671EB6">
          <w:rPr>
            <w:rStyle w:val="Hyperlink"/>
            <w:rFonts w:ascii="Arial" w:hAnsi="Arial" w:cs="Arial"/>
            <w:sz w:val="24"/>
            <w:szCs w:val="24"/>
          </w:rPr>
          <w:t>https://doi.org/10.1080/01944363.2019.1689021</w:t>
        </w:r>
      </w:hyperlink>
      <w:r w:rsidRPr="00CA7206">
        <w:rPr>
          <w:rFonts w:ascii="Arial" w:hAnsi="Arial" w:cs="Arial"/>
          <w:sz w:val="24"/>
          <w:szCs w:val="24"/>
        </w:rPr>
        <w:t>.</w:t>
      </w:r>
    </w:p>
    <w:p w14:paraId="00D98EB0" w14:textId="36CC8862" w:rsidR="00CA7206" w:rsidRDefault="00CA7206" w:rsidP="00CA7206">
      <w:pPr>
        <w:rPr>
          <w:rFonts w:ascii="Arial" w:hAnsi="Arial" w:cs="Arial"/>
          <w:sz w:val="24"/>
          <w:szCs w:val="24"/>
        </w:rPr>
      </w:pPr>
      <w:r w:rsidRPr="00CA7206">
        <w:rPr>
          <w:rFonts w:ascii="Arial" w:hAnsi="Arial" w:cs="Arial"/>
          <w:sz w:val="24"/>
          <w:szCs w:val="24"/>
        </w:rPr>
        <w:t xml:space="preserve">Johansson, M. (2012) 'Place Branding and the Imaginary: The Politics of Re-imagining a Garden City', Urban Studies, 49(16), pp. 3611–3626. Available at: </w:t>
      </w:r>
      <w:hyperlink r:id="rId8" w:history="1">
        <w:r w:rsidRPr="00671EB6">
          <w:rPr>
            <w:rStyle w:val="Hyperlink"/>
            <w:rFonts w:ascii="Arial" w:hAnsi="Arial" w:cs="Arial"/>
            <w:sz w:val="24"/>
            <w:szCs w:val="24"/>
          </w:rPr>
          <w:t>https://doi.org/10.1177/0042098012446991</w:t>
        </w:r>
      </w:hyperlink>
      <w:r w:rsidRPr="00CA7206">
        <w:rPr>
          <w:rFonts w:ascii="Arial" w:hAnsi="Arial" w:cs="Arial"/>
          <w:sz w:val="24"/>
          <w:szCs w:val="24"/>
        </w:rPr>
        <w:t>.</w:t>
      </w:r>
    </w:p>
    <w:p w14:paraId="09DA28AE" w14:textId="38E7E59B" w:rsidR="00CA7206" w:rsidRDefault="00CA7206" w:rsidP="00CA7206">
      <w:pPr>
        <w:rPr>
          <w:rFonts w:ascii="Arial" w:hAnsi="Arial" w:cs="Arial"/>
          <w:sz w:val="24"/>
          <w:szCs w:val="24"/>
        </w:rPr>
      </w:pPr>
      <w:r w:rsidRPr="00CA7206">
        <w:rPr>
          <w:rFonts w:ascii="Arial" w:hAnsi="Arial" w:cs="Arial"/>
          <w:sz w:val="24"/>
          <w:szCs w:val="24"/>
        </w:rPr>
        <w:t xml:space="preserve">Jones, P. and Evans, J. (2006) 'Urban Regeneration, Governance, and the State: Exploring Notions of Distance and Proximity', Urban Studies, 43(9), pp. 1491–1509. Available at: </w:t>
      </w:r>
      <w:hyperlink r:id="rId9" w:history="1">
        <w:r w:rsidRPr="00671EB6">
          <w:rPr>
            <w:rStyle w:val="Hyperlink"/>
            <w:rFonts w:ascii="Arial" w:hAnsi="Arial" w:cs="Arial"/>
            <w:sz w:val="24"/>
            <w:szCs w:val="24"/>
          </w:rPr>
          <w:t>https://doi.org/10.1080/00420980600749951</w:t>
        </w:r>
      </w:hyperlink>
      <w:r w:rsidRPr="00CA7206">
        <w:rPr>
          <w:rFonts w:ascii="Arial" w:hAnsi="Arial" w:cs="Arial"/>
          <w:sz w:val="24"/>
          <w:szCs w:val="24"/>
        </w:rPr>
        <w:t>.</w:t>
      </w:r>
    </w:p>
    <w:p w14:paraId="1C8C9313" w14:textId="2509A23F" w:rsidR="00CA7206" w:rsidRDefault="00CA7206" w:rsidP="00CA7206">
      <w:pPr>
        <w:rPr>
          <w:rFonts w:ascii="Arial" w:hAnsi="Arial" w:cs="Arial"/>
          <w:sz w:val="24"/>
          <w:szCs w:val="24"/>
        </w:rPr>
      </w:pPr>
      <w:r w:rsidRPr="00CA7206">
        <w:rPr>
          <w:rFonts w:ascii="Arial" w:hAnsi="Arial" w:cs="Arial"/>
          <w:sz w:val="24"/>
          <w:szCs w:val="24"/>
        </w:rPr>
        <w:t xml:space="preserve">Jones, P. and Evans, J. (2011) 'Rescue Geography: Place Making, Affect and Regeneration', Urban Studies, 49(11), pp. 2315–2330. Available at: </w:t>
      </w:r>
      <w:hyperlink r:id="rId10" w:history="1">
        <w:r w:rsidRPr="00671EB6">
          <w:rPr>
            <w:rStyle w:val="Hyperlink"/>
            <w:rFonts w:ascii="Arial" w:hAnsi="Arial" w:cs="Arial"/>
            <w:sz w:val="24"/>
            <w:szCs w:val="24"/>
          </w:rPr>
          <w:t>https://doi.org/10.1177/0042098011428177</w:t>
        </w:r>
      </w:hyperlink>
      <w:r w:rsidRPr="00CA7206">
        <w:rPr>
          <w:rFonts w:ascii="Arial" w:hAnsi="Arial" w:cs="Arial"/>
          <w:sz w:val="24"/>
          <w:szCs w:val="24"/>
        </w:rPr>
        <w:t>.</w:t>
      </w:r>
    </w:p>
    <w:p w14:paraId="45F282F8" w14:textId="086A1C64" w:rsidR="00CA7206" w:rsidRDefault="00CA7206" w:rsidP="00CA7206">
      <w:pPr>
        <w:rPr>
          <w:rFonts w:ascii="Arial" w:hAnsi="Arial" w:cs="Arial"/>
          <w:sz w:val="24"/>
          <w:szCs w:val="24"/>
        </w:rPr>
      </w:pPr>
      <w:r w:rsidRPr="00CA7206">
        <w:rPr>
          <w:rFonts w:ascii="Arial" w:hAnsi="Arial" w:cs="Arial"/>
          <w:sz w:val="24"/>
          <w:szCs w:val="24"/>
        </w:rPr>
        <w:t xml:space="preserve">Mah, A. (2012) 'Book Review: Rural People and Communities in the 21st Century: Resilience and Transformation', The Sociological Review, 60(1), pp. 175–178. Available at: </w:t>
      </w:r>
      <w:hyperlink r:id="rId11" w:history="1">
        <w:r w:rsidRPr="00671EB6">
          <w:rPr>
            <w:rStyle w:val="Hyperlink"/>
            <w:rFonts w:ascii="Arial" w:hAnsi="Arial" w:cs="Arial"/>
            <w:sz w:val="24"/>
            <w:szCs w:val="24"/>
          </w:rPr>
          <w:t>https://doi.org/10.1111/j.1467-954x.2012.02064.x</w:t>
        </w:r>
      </w:hyperlink>
      <w:r w:rsidRPr="00CA7206">
        <w:rPr>
          <w:rFonts w:ascii="Arial" w:hAnsi="Arial" w:cs="Arial"/>
          <w:sz w:val="24"/>
          <w:szCs w:val="24"/>
        </w:rPr>
        <w:t>.</w:t>
      </w:r>
    </w:p>
    <w:p w14:paraId="176632FD" w14:textId="10EE6297" w:rsidR="00CA7206" w:rsidRDefault="00CA7206" w:rsidP="00CA7206">
      <w:pPr>
        <w:rPr>
          <w:rFonts w:ascii="Arial" w:hAnsi="Arial" w:cs="Arial"/>
          <w:sz w:val="24"/>
          <w:szCs w:val="24"/>
        </w:rPr>
      </w:pPr>
      <w:r w:rsidRPr="00CA7206">
        <w:rPr>
          <w:rFonts w:ascii="Arial" w:hAnsi="Arial" w:cs="Arial"/>
          <w:sz w:val="24"/>
          <w:szCs w:val="24"/>
        </w:rPr>
        <w:t xml:space="preserve">Mah, D. N. and Hills, P. (2012) 'Collaborative governance for sustainable development: wind resource assessment in Xinjiang and Guangdong Provinces, China', Sustainable Development, 20(2), pp. 85–97. Available at: </w:t>
      </w:r>
      <w:hyperlink r:id="rId12" w:history="1">
        <w:r w:rsidRPr="00671EB6">
          <w:rPr>
            <w:rStyle w:val="Hyperlink"/>
            <w:rFonts w:ascii="Arial" w:hAnsi="Arial" w:cs="Arial"/>
            <w:sz w:val="24"/>
            <w:szCs w:val="24"/>
          </w:rPr>
          <w:t>https://doi.org/10.1002/sd.466</w:t>
        </w:r>
      </w:hyperlink>
      <w:r w:rsidRPr="00CA7206">
        <w:rPr>
          <w:rFonts w:ascii="Arial" w:hAnsi="Arial" w:cs="Arial"/>
          <w:sz w:val="24"/>
          <w:szCs w:val="24"/>
        </w:rPr>
        <w:t>.</w:t>
      </w:r>
    </w:p>
    <w:p w14:paraId="36E14877" w14:textId="65054CF5" w:rsidR="00CA7206" w:rsidRPr="00CA7206" w:rsidRDefault="00CA7206" w:rsidP="00CA7206">
      <w:pPr>
        <w:rPr>
          <w:rFonts w:ascii="Arial" w:hAnsi="Arial" w:cs="Arial"/>
          <w:sz w:val="24"/>
          <w:szCs w:val="24"/>
        </w:rPr>
      </w:pPr>
      <w:r w:rsidRPr="00CA7206">
        <w:rPr>
          <w:rFonts w:ascii="Arial" w:hAnsi="Arial" w:cs="Arial"/>
          <w:sz w:val="24"/>
          <w:szCs w:val="24"/>
        </w:rPr>
        <w:t>Miskell, L. (2004) Swansea Bay 1904, Old Ordnance Survey Maps. England &amp; Wales Sheet 247.</w:t>
      </w:r>
    </w:p>
    <w:p w14:paraId="21A09D16" w14:textId="77777777" w:rsidR="00CA7206" w:rsidRPr="00CA7206" w:rsidRDefault="00CA7206" w:rsidP="00CA7206">
      <w:pPr>
        <w:rPr>
          <w:rFonts w:ascii="Arial" w:hAnsi="Arial" w:cs="Arial"/>
          <w:sz w:val="24"/>
          <w:szCs w:val="24"/>
        </w:rPr>
      </w:pPr>
      <w:r w:rsidRPr="00CA7206">
        <w:rPr>
          <w:rFonts w:ascii="Arial" w:hAnsi="Arial" w:cs="Arial"/>
          <w:sz w:val="24"/>
          <w:szCs w:val="24"/>
        </w:rPr>
        <w:t>Miskell, L. (2006) ‘Intelligent Town’: An Urban History of Swansea, 1780-1855. Cardiff: University of Wales Press, pp. 13, 192.</w:t>
      </w:r>
    </w:p>
    <w:p w14:paraId="375021D4" w14:textId="3A393BFB" w:rsidR="00CA7206" w:rsidRDefault="00CA7206" w:rsidP="00CA7206">
      <w:pPr>
        <w:rPr>
          <w:rFonts w:ascii="Arial" w:hAnsi="Arial" w:cs="Arial"/>
          <w:sz w:val="24"/>
          <w:szCs w:val="24"/>
        </w:rPr>
      </w:pPr>
      <w:r w:rsidRPr="00CA7206">
        <w:rPr>
          <w:rFonts w:ascii="Arial" w:hAnsi="Arial" w:cs="Arial"/>
          <w:sz w:val="24"/>
          <w:szCs w:val="24"/>
        </w:rPr>
        <w:t xml:space="preserve">Osborne, S., Williamson, A. and Beattie, R. (2002) 'Community involvement in rural regeneration partnerships in the UK: Key issues from a three-nation study', Regional Studies, 36(9), pp. 1083–1092. Available at: </w:t>
      </w:r>
      <w:hyperlink r:id="rId13" w:history="1">
        <w:r w:rsidRPr="00671EB6">
          <w:rPr>
            <w:rStyle w:val="Hyperlink"/>
            <w:rFonts w:ascii="Arial" w:hAnsi="Arial" w:cs="Arial"/>
            <w:sz w:val="24"/>
            <w:szCs w:val="24"/>
          </w:rPr>
          <w:t>https://doi.org/10.1080/0034340022000024303</w:t>
        </w:r>
      </w:hyperlink>
      <w:r w:rsidRPr="00CA7206">
        <w:rPr>
          <w:rFonts w:ascii="Arial" w:hAnsi="Arial" w:cs="Arial"/>
          <w:sz w:val="24"/>
          <w:szCs w:val="24"/>
        </w:rPr>
        <w:t>.</w:t>
      </w:r>
    </w:p>
    <w:p w14:paraId="4A17C79A" w14:textId="77C507DE" w:rsidR="00CA7206" w:rsidRDefault="00CA7206" w:rsidP="00CA7206">
      <w:pPr>
        <w:rPr>
          <w:rFonts w:ascii="Arial" w:hAnsi="Arial" w:cs="Arial"/>
          <w:sz w:val="24"/>
          <w:szCs w:val="24"/>
        </w:rPr>
      </w:pPr>
      <w:r w:rsidRPr="00CA7206">
        <w:rPr>
          <w:rFonts w:ascii="Arial" w:hAnsi="Arial" w:cs="Arial"/>
          <w:sz w:val="24"/>
          <w:szCs w:val="24"/>
        </w:rPr>
        <w:t xml:space="preserve">Swansea Museum (n.d.) Swansea: A Brief History. Available at: </w:t>
      </w:r>
      <w:hyperlink r:id="rId14" w:history="1">
        <w:r w:rsidRPr="00671EB6">
          <w:rPr>
            <w:rStyle w:val="Hyperlink"/>
            <w:rFonts w:ascii="Arial" w:hAnsi="Arial" w:cs="Arial"/>
            <w:sz w:val="24"/>
            <w:szCs w:val="24"/>
          </w:rPr>
          <w:t>http://www.swanseamuseum.co.uk/swansea-a-brief-history</w:t>
        </w:r>
      </w:hyperlink>
      <w:r w:rsidRPr="00CA7206">
        <w:rPr>
          <w:rFonts w:ascii="Arial" w:hAnsi="Arial" w:cs="Arial"/>
          <w:sz w:val="24"/>
          <w:szCs w:val="24"/>
        </w:rPr>
        <w:t>.</w:t>
      </w:r>
    </w:p>
    <w:p w14:paraId="0E64FA9D" w14:textId="5F9049F0" w:rsidR="00CA7206" w:rsidRDefault="00CA7206" w:rsidP="00CA7206">
      <w:pPr>
        <w:rPr>
          <w:rFonts w:ascii="Arial" w:hAnsi="Arial" w:cs="Arial"/>
          <w:sz w:val="24"/>
          <w:szCs w:val="24"/>
        </w:rPr>
      </w:pPr>
      <w:r w:rsidRPr="00CA7206">
        <w:rPr>
          <w:rFonts w:ascii="Arial" w:hAnsi="Arial" w:cs="Arial"/>
          <w:sz w:val="24"/>
          <w:szCs w:val="24"/>
        </w:rPr>
        <w:lastRenderedPageBreak/>
        <w:t xml:space="preserve">Swansea Museum (n.d.) Archaeology: Medieval Swansea. Available at: </w:t>
      </w:r>
      <w:hyperlink r:id="rId15" w:history="1">
        <w:r w:rsidRPr="00671EB6">
          <w:rPr>
            <w:rStyle w:val="Hyperlink"/>
            <w:rFonts w:ascii="Arial" w:hAnsi="Arial" w:cs="Arial"/>
            <w:sz w:val="24"/>
            <w:szCs w:val="24"/>
          </w:rPr>
          <w:t>http://www.swanseamuseum.co.uk/swansea-a-brief-history/archaeology/medieval-swansea</w:t>
        </w:r>
      </w:hyperlink>
      <w:r w:rsidRPr="00CA7206">
        <w:rPr>
          <w:rFonts w:ascii="Arial" w:hAnsi="Arial" w:cs="Arial"/>
          <w:sz w:val="24"/>
          <w:szCs w:val="24"/>
        </w:rPr>
        <w:t>.</w:t>
      </w:r>
    </w:p>
    <w:p w14:paraId="7CC7AAEA" w14:textId="1D8AA753" w:rsidR="00CA7206" w:rsidRDefault="00CA7206" w:rsidP="00CA7206">
      <w:pPr>
        <w:rPr>
          <w:rFonts w:ascii="Arial" w:hAnsi="Arial" w:cs="Arial"/>
          <w:sz w:val="24"/>
          <w:szCs w:val="24"/>
        </w:rPr>
      </w:pPr>
      <w:r w:rsidRPr="00CA7206">
        <w:rPr>
          <w:rFonts w:ascii="Arial" w:hAnsi="Arial" w:cs="Arial"/>
          <w:sz w:val="24"/>
          <w:szCs w:val="24"/>
        </w:rPr>
        <w:t xml:space="preserve">Swansea.gov.uk (n.d.) Local History. Available at: </w:t>
      </w:r>
      <w:hyperlink r:id="rId16" w:history="1">
        <w:r w:rsidRPr="00671EB6">
          <w:rPr>
            <w:rStyle w:val="Hyperlink"/>
            <w:rFonts w:ascii="Arial" w:hAnsi="Arial" w:cs="Arial"/>
            <w:sz w:val="24"/>
            <w:szCs w:val="24"/>
          </w:rPr>
          <w:t>https://www.swansea.gov.uk/localhistory</w:t>
        </w:r>
      </w:hyperlink>
      <w:r w:rsidRPr="00CA7206">
        <w:rPr>
          <w:rFonts w:ascii="Arial" w:hAnsi="Arial" w:cs="Arial"/>
          <w:sz w:val="24"/>
          <w:szCs w:val="24"/>
        </w:rPr>
        <w:t>.</w:t>
      </w:r>
    </w:p>
    <w:p w14:paraId="19FA6709" w14:textId="0ED51EEF" w:rsidR="00CA7206" w:rsidRDefault="00CA7206" w:rsidP="00CA7206">
      <w:pPr>
        <w:rPr>
          <w:rFonts w:ascii="Arial" w:hAnsi="Arial" w:cs="Arial"/>
          <w:sz w:val="24"/>
          <w:szCs w:val="24"/>
        </w:rPr>
      </w:pPr>
      <w:r w:rsidRPr="00CA7206">
        <w:rPr>
          <w:rFonts w:ascii="Arial" w:hAnsi="Arial" w:cs="Arial"/>
          <w:sz w:val="24"/>
          <w:szCs w:val="24"/>
        </w:rPr>
        <w:t>Wales Online</w:t>
      </w:r>
      <w:r w:rsidRPr="00CA7206">
        <w:rPr>
          <w:rFonts w:ascii="Arial" w:hAnsi="Arial" w:cs="Arial"/>
          <w:sz w:val="24"/>
          <w:szCs w:val="24"/>
        </w:rPr>
        <w:t xml:space="preserve"> (n.d.) Swansea. Available at: </w:t>
      </w:r>
      <w:hyperlink r:id="rId17" w:history="1">
        <w:r w:rsidRPr="00671EB6">
          <w:rPr>
            <w:rStyle w:val="Hyperlink"/>
            <w:rFonts w:ascii="Arial" w:hAnsi="Arial" w:cs="Arial"/>
            <w:sz w:val="24"/>
            <w:szCs w:val="24"/>
          </w:rPr>
          <w:t>https://www.walesonline.co.uk/all-about/swansea</w:t>
        </w:r>
      </w:hyperlink>
      <w:r w:rsidRPr="00CA7206">
        <w:rPr>
          <w:rFonts w:ascii="Arial" w:hAnsi="Arial" w:cs="Arial"/>
          <w:sz w:val="24"/>
          <w:szCs w:val="24"/>
        </w:rPr>
        <w:t>.</w:t>
      </w:r>
    </w:p>
    <w:p w14:paraId="5E19088C" w14:textId="4D5F979F" w:rsidR="00CA7206" w:rsidRDefault="00CA7206" w:rsidP="00CA7206">
      <w:pPr>
        <w:rPr>
          <w:rFonts w:ascii="Arial" w:hAnsi="Arial" w:cs="Arial"/>
          <w:sz w:val="24"/>
          <w:szCs w:val="24"/>
        </w:rPr>
      </w:pPr>
      <w:r w:rsidRPr="00CA7206">
        <w:rPr>
          <w:rFonts w:ascii="Arial" w:hAnsi="Arial" w:cs="Arial"/>
          <w:sz w:val="24"/>
          <w:szCs w:val="24"/>
        </w:rPr>
        <w:t xml:space="preserve">InYourArea.co.uk (n.d.) West Glamorgan/Swansea. Available at: </w:t>
      </w:r>
      <w:hyperlink r:id="rId18" w:history="1">
        <w:r w:rsidRPr="00671EB6">
          <w:rPr>
            <w:rStyle w:val="Hyperlink"/>
            <w:rFonts w:ascii="Arial" w:hAnsi="Arial" w:cs="Arial"/>
            <w:sz w:val="24"/>
            <w:szCs w:val="24"/>
          </w:rPr>
          <w:t>https://www.inyourarea.co.uk/areas-we-cover/Wales/West%20Glamorgan/Swansea/</w:t>
        </w:r>
      </w:hyperlink>
      <w:r w:rsidRPr="00CA7206">
        <w:rPr>
          <w:rFonts w:ascii="Arial" w:hAnsi="Arial" w:cs="Arial"/>
          <w:sz w:val="24"/>
          <w:szCs w:val="24"/>
        </w:rPr>
        <w:t>.</w:t>
      </w:r>
    </w:p>
    <w:p w14:paraId="26B32ADD" w14:textId="24315A41" w:rsidR="00CA7206" w:rsidRDefault="00CA7206" w:rsidP="00CA7206">
      <w:pPr>
        <w:rPr>
          <w:rFonts w:ascii="Arial" w:hAnsi="Arial" w:cs="Arial"/>
          <w:sz w:val="24"/>
          <w:szCs w:val="24"/>
        </w:rPr>
      </w:pPr>
      <w:r w:rsidRPr="00CA7206">
        <w:rPr>
          <w:rFonts w:ascii="Arial" w:hAnsi="Arial" w:cs="Arial"/>
          <w:sz w:val="24"/>
          <w:szCs w:val="24"/>
        </w:rPr>
        <w:t xml:space="preserve">Facebook Group (n.d.) Available at: </w:t>
      </w:r>
      <w:hyperlink r:id="rId19" w:history="1">
        <w:r w:rsidRPr="00671EB6">
          <w:rPr>
            <w:rStyle w:val="Hyperlink"/>
            <w:rFonts w:ascii="Arial" w:hAnsi="Arial" w:cs="Arial"/>
            <w:sz w:val="24"/>
            <w:szCs w:val="24"/>
          </w:rPr>
          <w:t>https://www.facebook.com/groups/173890846323554/</w:t>
        </w:r>
      </w:hyperlink>
      <w:r w:rsidRPr="00CA7206">
        <w:rPr>
          <w:rFonts w:ascii="Arial" w:hAnsi="Arial" w:cs="Arial"/>
          <w:sz w:val="24"/>
          <w:szCs w:val="24"/>
        </w:rPr>
        <w:t>.</w:t>
      </w:r>
    </w:p>
    <w:p w14:paraId="4BBE0685" w14:textId="3B71B484" w:rsidR="00CA7206" w:rsidRDefault="00CA7206" w:rsidP="00CA7206">
      <w:pPr>
        <w:rPr>
          <w:rFonts w:ascii="Arial" w:hAnsi="Arial" w:cs="Arial"/>
          <w:sz w:val="24"/>
          <w:szCs w:val="24"/>
        </w:rPr>
      </w:pPr>
      <w:r w:rsidRPr="00CA7206">
        <w:rPr>
          <w:rFonts w:ascii="Arial" w:hAnsi="Arial" w:cs="Arial"/>
          <w:sz w:val="24"/>
          <w:szCs w:val="24"/>
        </w:rPr>
        <w:t xml:space="preserve">Britannica (n.d.) Thomas Bowdler. Available at: </w:t>
      </w:r>
      <w:hyperlink r:id="rId20" w:history="1">
        <w:r w:rsidRPr="00671EB6">
          <w:rPr>
            <w:rStyle w:val="Hyperlink"/>
            <w:rFonts w:ascii="Arial" w:hAnsi="Arial" w:cs="Arial"/>
            <w:sz w:val="24"/>
            <w:szCs w:val="24"/>
          </w:rPr>
          <w:t>https://www.britannica.com/biography/Thomas-Bowdler</w:t>
        </w:r>
      </w:hyperlink>
    </w:p>
    <w:p w14:paraId="17E36EEC" w14:textId="1427039F" w:rsidR="002F29A2" w:rsidRPr="00625026" w:rsidRDefault="002F29A2" w:rsidP="00CA7206">
      <w:pPr>
        <w:rPr>
          <w:rFonts w:ascii="Arial" w:hAnsi="Arial" w:cs="Arial"/>
          <w:sz w:val="24"/>
          <w:szCs w:val="24"/>
        </w:rPr>
      </w:pPr>
    </w:p>
    <w:sectPr w:rsidR="002F29A2" w:rsidRPr="00625026" w:rsidSect="00CC09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026"/>
    <w:rsid w:val="00001389"/>
    <w:rsid w:val="0027412C"/>
    <w:rsid w:val="002D317C"/>
    <w:rsid w:val="002F29A2"/>
    <w:rsid w:val="003A2F4E"/>
    <w:rsid w:val="003B5304"/>
    <w:rsid w:val="00536180"/>
    <w:rsid w:val="005F0BF0"/>
    <w:rsid w:val="00625026"/>
    <w:rsid w:val="006B5E01"/>
    <w:rsid w:val="007A1C6A"/>
    <w:rsid w:val="007F530A"/>
    <w:rsid w:val="0083464D"/>
    <w:rsid w:val="009445EF"/>
    <w:rsid w:val="009553A0"/>
    <w:rsid w:val="009652AE"/>
    <w:rsid w:val="00A334F3"/>
    <w:rsid w:val="00A714D4"/>
    <w:rsid w:val="00CA7206"/>
    <w:rsid w:val="00CC090B"/>
    <w:rsid w:val="00D85B48"/>
    <w:rsid w:val="00DA5D03"/>
    <w:rsid w:val="00DE6315"/>
    <w:rsid w:val="00E228FB"/>
    <w:rsid w:val="00ED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392BE3"/>
  <w15:chartTrackingRefBased/>
  <w15:docId w15:val="{2203AC96-9C0B-4EB5-91E0-B0F32263A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0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0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0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0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0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0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0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0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0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0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0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0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0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0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0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0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0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026"/>
    <w:rPr>
      <w:rFonts w:eastAsiaTheme="majorEastAsia" w:cstheme="majorBidi"/>
      <w:color w:val="272727" w:themeColor="text1" w:themeTint="D8"/>
    </w:rPr>
  </w:style>
  <w:style w:type="paragraph" w:styleId="Title">
    <w:name w:val="Title"/>
    <w:basedOn w:val="Normal"/>
    <w:next w:val="Normal"/>
    <w:link w:val="TitleChar"/>
    <w:uiPriority w:val="10"/>
    <w:qFormat/>
    <w:rsid w:val="006250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0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0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0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026"/>
    <w:pPr>
      <w:spacing w:before="160"/>
      <w:jc w:val="center"/>
    </w:pPr>
    <w:rPr>
      <w:i/>
      <w:iCs/>
      <w:color w:val="404040" w:themeColor="text1" w:themeTint="BF"/>
    </w:rPr>
  </w:style>
  <w:style w:type="character" w:customStyle="1" w:styleId="QuoteChar">
    <w:name w:val="Quote Char"/>
    <w:basedOn w:val="DefaultParagraphFont"/>
    <w:link w:val="Quote"/>
    <w:uiPriority w:val="29"/>
    <w:rsid w:val="00625026"/>
    <w:rPr>
      <w:i/>
      <w:iCs/>
      <w:color w:val="404040" w:themeColor="text1" w:themeTint="BF"/>
    </w:rPr>
  </w:style>
  <w:style w:type="paragraph" w:styleId="ListParagraph">
    <w:name w:val="List Paragraph"/>
    <w:basedOn w:val="Normal"/>
    <w:uiPriority w:val="34"/>
    <w:qFormat/>
    <w:rsid w:val="00625026"/>
    <w:pPr>
      <w:ind w:left="720"/>
      <w:contextualSpacing/>
    </w:pPr>
  </w:style>
  <w:style w:type="character" w:styleId="IntenseEmphasis">
    <w:name w:val="Intense Emphasis"/>
    <w:basedOn w:val="DefaultParagraphFont"/>
    <w:uiPriority w:val="21"/>
    <w:qFormat/>
    <w:rsid w:val="00625026"/>
    <w:rPr>
      <w:i/>
      <w:iCs/>
      <w:color w:val="0F4761" w:themeColor="accent1" w:themeShade="BF"/>
    </w:rPr>
  </w:style>
  <w:style w:type="paragraph" w:styleId="IntenseQuote">
    <w:name w:val="Intense Quote"/>
    <w:basedOn w:val="Normal"/>
    <w:next w:val="Normal"/>
    <w:link w:val="IntenseQuoteChar"/>
    <w:uiPriority w:val="30"/>
    <w:qFormat/>
    <w:rsid w:val="006250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026"/>
    <w:rPr>
      <w:i/>
      <w:iCs/>
      <w:color w:val="0F4761" w:themeColor="accent1" w:themeShade="BF"/>
    </w:rPr>
  </w:style>
  <w:style w:type="character" w:styleId="IntenseReference">
    <w:name w:val="Intense Reference"/>
    <w:basedOn w:val="DefaultParagraphFont"/>
    <w:uiPriority w:val="32"/>
    <w:qFormat/>
    <w:rsid w:val="00625026"/>
    <w:rPr>
      <w:b/>
      <w:bCs/>
      <w:smallCaps/>
      <w:color w:val="0F4761" w:themeColor="accent1" w:themeShade="BF"/>
      <w:spacing w:val="5"/>
    </w:rPr>
  </w:style>
  <w:style w:type="paragraph" w:styleId="NoSpacing">
    <w:name w:val="No Spacing"/>
    <w:link w:val="NoSpacingChar"/>
    <w:uiPriority w:val="1"/>
    <w:qFormat/>
    <w:rsid w:val="0027412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7412C"/>
    <w:rPr>
      <w:rFonts w:eastAsiaTheme="minorEastAsia"/>
      <w:kern w:val="0"/>
      <w:lang w:val="en-US"/>
      <w14:ligatures w14:val="none"/>
    </w:rPr>
  </w:style>
  <w:style w:type="character" w:styleId="Hyperlink">
    <w:name w:val="Hyperlink"/>
    <w:basedOn w:val="DefaultParagraphFont"/>
    <w:uiPriority w:val="99"/>
    <w:unhideWhenUsed/>
    <w:rsid w:val="00D85B48"/>
    <w:rPr>
      <w:color w:val="467886" w:themeColor="hyperlink"/>
      <w:u w:val="single"/>
    </w:rPr>
  </w:style>
  <w:style w:type="character" w:styleId="UnresolvedMention">
    <w:name w:val="Unresolved Mention"/>
    <w:basedOn w:val="DefaultParagraphFont"/>
    <w:uiPriority w:val="99"/>
    <w:semiHidden/>
    <w:unhideWhenUsed/>
    <w:rsid w:val="00D85B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42098012446991" TargetMode="External"/><Relationship Id="rId13" Type="http://schemas.openxmlformats.org/officeDocument/2006/relationships/hyperlink" Target="https://doi.org/10.1080/0034340022000024303" TargetMode="External"/><Relationship Id="rId18" Type="http://schemas.openxmlformats.org/officeDocument/2006/relationships/hyperlink" Target="https://www.inyourarea.co.uk/areas-we-cover/Wales/West%20Glamorgan/Swanse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80/01944363.2019.1689021" TargetMode="External"/><Relationship Id="rId12" Type="http://schemas.openxmlformats.org/officeDocument/2006/relationships/hyperlink" Target="https://doi.org/10.1002/sd.466" TargetMode="External"/><Relationship Id="rId17" Type="http://schemas.openxmlformats.org/officeDocument/2006/relationships/hyperlink" Target="https://www.walesonline.co.uk/all-about/swansea" TargetMode="External"/><Relationship Id="rId2" Type="http://schemas.openxmlformats.org/officeDocument/2006/relationships/styles" Target="styles.xml"/><Relationship Id="rId16" Type="http://schemas.openxmlformats.org/officeDocument/2006/relationships/hyperlink" Target="https://www.swansea.gov.uk/localhistory" TargetMode="External"/><Relationship Id="rId20" Type="http://schemas.openxmlformats.org/officeDocument/2006/relationships/hyperlink" Target="https://www.britannica.com/biography/Thomas-Bowdler" TargetMode="External"/><Relationship Id="rId1" Type="http://schemas.openxmlformats.org/officeDocument/2006/relationships/customXml" Target="../customXml/item1.xml"/><Relationship Id="rId6" Type="http://schemas.openxmlformats.org/officeDocument/2006/relationships/hyperlink" Target="https://doi.org/10.1080/17535069.2019.1639380" TargetMode="External"/><Relationship Id="rId11" Type="http://schemas.openxmlformats.org/officeDocument/2006/relationships/hyperlink" Target="https://doi.org/10.1111/j.1467-954x.2012.02064.x" TargetMode="External"/><Relationship Id="rId5" Type="http://schemas.openxmlformats.org/officeDocument/2006/relationships/hyperlink" Target="https://doi.org/10.4000/cdg.2366" TargetMode="External"/><Relationship Id="rId15" Type="http://schemas.openxmlformats.org/officeDocument/2006/relationships/hyperlink" Target="http://www.swanseamuseum.co.uk/swansea-a-brief-history/archaeology/medieval-swansea" TargetMode="External"/><Relationship Id="rId10" Type="http://schemas.openxmlformats.org/officeDocument/2006/relationships/hyperlink" Target="https://doi.org/10.1177/0042098011428177" TargetMode="External"/><Relationship Id="rId19" Type="http://schemas.openxmlformats.org/officeDocument/2006/relationships/hyperlink" Target="https://www.facebook.com/groups/173890846323554/" TargetMode="External"/><Relationship Id="rId4" Type="http://schemas.openxmlformats.org/officeDocument/2006/relationships/webSettings" Target="webSettings.xml"/><Relationship Id="rId9" Type="http://schemas.openxmlformats.org/officeDocument/2006/relationships/hyperlink" Target="https://doi.org/10.1080/00420980600749951" TargetMode="External"/><Relationship Id="rId14" Type="http://schemas.openxmlformats.org/officeDocument/2006/relationships/hyperlink" Target="http://www.swanseamuseum.co.uk/swansea-a-brief-histo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2786</Words>
  <Characters>18836</Characters>
  <Application>Microsoft Office Word</Application>
  <DocSecurity>0</DocSecurity>
  <Lines>306</Lines>
  <Paragraphs>62</Paragraphs>
  <ScaleCrop>false</ScaleCrop>
  <HeadingPairs>
    <vt:vector size="2" baseType="variant">
      <vt:variant>
        <vt:lpstr>Title</vt:lpstr>
      </vt:variant>
      <vt:variant>
        <vt:i4>1</vt:i4>
      </vt:variant>
    </vt:vector>
  </HeadingPairs>
  <TitlesOfParts>
    <vt:vector size="1" baseType="lpstr">
      <vt:lpstr>Appraisal of Swansea</vt:lpstr>
    </vt:vector>
  </TitlesOfParts>
  <Company/>
  <LinksUpToDate>false</LinksUpToDate>
  <CharactersWithSpaces>21555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Appraisal of Swansea</dc:title>
  <dc:subject>report</dc:subject>
  <dc:creator>Mirabela Voican (1907947)</dc:creator>
  <cp:keywords/>
  <dc:description/>
  <cp:lastModifiedBy>Mirabela Voican (1907947)</cp:lastModifiedBy>
  <cp:revision>2</cp:revision>
  <dcterms:created xsi:type="dcterms:W3CDTF">2024-02-19T17:15:00Z</dcterms:created>
  <dcterms:modified xsi:type="dcterms:W3CDTF">2024-02-19T17:15:00Z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72d8b8ee-1df4-45df-aae8-255a88b35cee</vt:lpwstr>
  </property>
</Properties>
</file>