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012413" w14:textId="16208253" w:rsidR="003226B4" w:rsidRPr="009A224F" w:rsidRDefault="0040099C" w:rsidP="009A224F">
      <w:pPr>
        <w:spacing w:line="360" w:lineRule="auto"/>
        <w:rPr>
          <w:rFonts w:ascii="Arial" w:eastAsia="Times New Roman" w:hAnsi="Arial" w:cs="Arial"/>
          <w:color w:val="1F1F1F"/>
          <w:sz w:val="40"/>
          <w:szCs w:val="40"/>
        </w:rPr>
      </w:pPr>
      <w:r w:rsidRPr="0040099C">
        <w:rPr>
          <w:rFonts w:ascii="Arial" w:eastAsia="Times New Roman" w:hAnsi="Arial" w:cs="Arial"/>
          <w:noProof/>
          <w:color w:val="1F1F1F"/>
        </w:rPr>
        <mc:AlternateContent>
          <mc:Choice Requires="wps">
            <w:drawing>
              <wp:anchor distT="45720" distB="45720" distL="114300" distR="114300" simplePos="0" relativeHeight="251665408" behindDoc="0" locked="0" layoutInCell="1" allowOverlap="1" wp14:anchorId="78346CE9" wp14:editId="0D3E8AD2">
                <wp:simplePos x="0" y="0"/>
                <wp:positionH relativeFrom="column">
                  <wp:posOffset>3939540</wp:posOffset>
                </wp:positionH>
                <wp:positionV relativeFrom="paragraph">
                  <wp:posOffset>784860</wp:posOffset>
                </wp:positionV>
                <wp:extent cx="2461260" cy="1021080"/>
                <wp:effectExtent l="0" t="0" r="15240" b="26670"/>
                <wp:wrapSquare wrapText="bothSides"/>
                <wp:docPr id="102086856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1260" cy="1021080"/>
                        </a:xfrm>
                        <a:prstGeom prst="rect">
                          <a:avLst/>
                        </a:prstGeom>
                        <a:solidFill>
                          <a:srgbClr val="FFFFFF"/>
                        </a:solidFill>
                        <a:ln w="9525">
                          <a:solidFill>
                            <a:srgbClr val="000000"/>
                          </a:solidFill>
                          <a:miter lim="800000"/>
                          <a:headEnd/>
                          <a:tailEnd/>
                        </a:ln>
                      </wps:spPr>
                      <wps:txbx>
                        <w:txbxContent>
                          <w:p w14:paraId="295B7BB1" w14:textId="4A364FE2" w:rsidR="0040099C" w:rsidRPr="0040099C" w:rsidRDefault="0040099C">
                            <w:pPr>
                              <w:rPr>
                                <w:b/>
                                <w:bCs/>
                                <w:sz w:val="32"/>
                                <w:szCs w:val="32"/>
                              </w:rPr>
                            </w:pPr>
                            <w:r w:rsidRPr="0040099C">
                              <w:rPr>
                                <w:b/>
                                <w:bCs/>
                                <w:sz w:val="32"/>
                                <w:szCs w:val="32"/>
                              </w:rPr>
                              <w:t>University of Wales Trinity Saint Davids.</w:t>
                            </w:r>
                          </w:p>
                          <w:p w14:paraId="3702BFF7" w14:textId="73CC9CBD" w:rsidR="0040099C" w:rsidRDefault="0040099C">
                            <w:r>
                              <w:t>Quay place: Birmingham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8346CE9" id="_x0000_t202" coordsize="21600,21600" o:spt="202" path="m,l,21600r21600,l21600,xe">
                <v:stroke joinstyle="miter"/>
                <v:path gradientshapeok="t" o:connecttype="rect"/>
              </v:shapetype>
              <v:shape id="Text Box 2" o:spid="_x0000_s1026" type="#_x0000_t202" style="position:absolute;margin-left:310.2pt;margin-top:61.8pt;width:193.8pt;height:80.4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">
                <v:textbox>
                  <w:txbxContent>
                    <w:p w14:paraId="295B7BB1" w14:textId="4A364FE2" w:rsidR="0040099C" w:rsidRPr="0040099C" w:rsidRDefault="0040099C">
                      <w:pPr>
                        <w:rPr>
                          <w:b/>
                          <w:bCs/>
                          <w:sz w:val="32"/>
                          <w:szCs w:val="32"/>
                        </w:rPr>
                      </w:pPr>
                      <w:r w:rsidRPr="0040099C">
                        <w:rPr>
                          <w:b/>
                          <w:bCs/>
                          <w:sz w:val="32"/>
                          <w:szCs w:val="32"/>
                        </w:rPr>
                        <w:t>University of Wales Trinity Saint Davids.</w:t>
                      </w:r>
                    </w:p>
                    <w:p w14:paraId="3702BFF7" w14:textId="73CC9CBD" w:rsidR="0040099C" w:rsidRDefault="0040099C">
                      <w:r>
                        <w:t>Quay place: Birmingham</w:t>
                      </w:r>
                    </w:p>
                  </w:txbxContent>
                </v:textbox>
                <w10:wrap type="square"/>
              </v:shape>
            </w:pict>
          </mc:Fallback>
        </mc:AlternateContent>
      </w:r>
      <w:r w:rsidRPr="00C0407E">
        <w:rPr>
          <w:rFonts w:ascii="Arial" w:eastAsia="Times New Roman" w:hAnsi="Arial" w:cs="Arial"/>
          <w:noProof/>
          <w:color w:val="1F1F1F"/>
        </w:rPr>
        <mc:AlternateContent>
          <mc:Choice Requires="wps">
            <w:drawing>
              <wp:anchor distT="45720" distB="45720" distL="114300" distR="114300" simplePos="0" relativeHeight="251661312" behindDoc="0" locked="0" layoutInCell="1" allowOverlap="1" wp14:anchorId="7068065B" wp14:editId="7177A78B">
                <wp:simplePos x="0" y="0"/>
                <wp:positionH relativeFrom="column">
                  <wp:posOffset>-441960</wp:posOffset>
                </wp:positionH>
                <wp:positionV relativeFrom="paragraph">
                  <wp:posOffset>297180</wp:posOffset>
                </wp:positionV>
                <wp:extent cx="4221480" cy="1356360"/>
                <wp:effectExtent l="0" t="0" r="2667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21480" cy="1356360"/>
                        </a:xfrm>
                        <a:prstGeom prst="rect">
                          <a:avLst/>
                        </a:prstGeom>
                        <a:solidFill>
                          <a:srgbClr val="FFFFFF"/>
                        </a:solidFill>
                        <a:ln w="9525">
                          <a:solidFill>
                            <a:srgbClr val="000000"/>
                          </a:solidFill>
                          <a:miter lim="800000"/>
                          <a:headEnd/>
                          <a:tailEnd/>
                        </a:ln>
                      </wps:spPr>
                      <wps:txbx>
                        <w:txbxContent>
                          <w:p w14:paraId="25017CB1" w14:textId="1EE37D7D" w:rsidR="00C0407E" w:rsidRPr="00C0407E" w:rsidRDefault="00C0407E">
                            <w:pPr>
                              <w:rPr>
                                <w:b/>
                                <w:bCs/>
                                <w:sz w:val="32"/>
                                <w:szCs w:val="32"/>
                              </w:rPr>
                            </w:pPr>
                            <w:proofErr w:type="gramStart"/>
                            <w:r w:rsidRPr="00C0407E">
                              <w:rPr>
                                <w:b/>
                                <w:bCs/>
                                <w:sz w:val="32"/>
                                <w:szCs w:val="32"/>
                              </w:rPr>
                              <w:t>Masters of Business Administration</w:t>
                            </w:r>
                            <w:proofErr w:type="gramEnd"/>
                          </w:p>
                          <w:p w14:paraId="71C782A5" w14:textId="6ED8E868" w:rsidR="00C0407E" w:rsidRDefault="00C0407E">
                            <w:r>
                              <w:t xml:space="preserve">Lecturer: </w:t>
                            </w:r>
                            <w:r w:rsidRPr="00C0407E">
                              <w:rPr>
                                <w:b/>
                                <w:bCs/>
                                <w:i/>
                                <w:iCs/>
                              </w:rPr>
                              <w:t>Chung Lai Johnny Wan</w:t>
                            </w:r>
                          </w:p>
                          <w:p w14:paraId="3A1209C5" w14:textId="31D7C42B" w:rsidR="00C0407E" w:rsidRPr="00C0407E" w:rsidRDefault="00C0407E">
                            <w:pPr>
                              <w:rPr>
                                <w:b/>
                                <w:bCs/>
                              </w:rPr>
                            </w:pPr>
                            <w:r w:rsidRPr="00C0407E">
                              <w:t>Module code</w:t>
                            </w:r>
                            <w:r>
                              <w:rPr>
                                <w:b/>
                                <w:bCs/>
                              </w:rPr>
                              <w:t xml:space="preserve">: </w:t>
                            </w:r>
                            <w:r w:rsidRPr="00C0407E">
                              <w:rPr>
                                <w:b/>
                                <w:bCs/>
                                <w:sz w:val="28"/>
                                <w:szCs w:val="28"/>
                              </w:rPr>
                              <w:t>LCMB7034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68065B" id="_x0000_s1027" type="#_x0000_t202" style="position:absolute;margin-left:-34.8pt;margin-top:23.4pt;width:332.4pt;height:106.8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">
                <v:textbox>
                  <w:txbxContent>
                    <w:p w14:paraId="25017CB1" w14:textId="1EE37D7D" w:rsidR="00C0407E" w:rsidRPr="00C0407E" w:rsidRDefault="00C0407E">
                      <w:pPr>
                        <w:rPr>
                          <w:b/>
                          <w:bCs/>
                          <w:sz w:val="32"/>
                          <w:szCs w:val="32"/>
                        </w:rPr>
                      </w:pPr>
                      <w:proofErr w:type="gramStart"/>
                      <w:r w:rsidRPr="00C0407E">
                        <w:rPr>
                          <w:b/>
                          <w:bCs/>
                          <w:sz w:val="32"/>
                          <w:szCs w:val="32"/>
                        </w:rPr>
                        <w:t>Masters of Business Administration</w:t>
                      </w:r>
                      <w:proofErr w:type="gramEnd"/>
                    </w:p>
                    <w:p w14:paraId="71C782A5" w14:textId="6ED8E868" w:rsidR="00C0407E" w:rsidRDefault="00C0407E">
                      <w:r>
                        <w:t xml:space="preserve">Lecturer: </w:t>
                      </w:r>
                      <w:r w:rsidRPr="00C0407E">
                        <w:rPr>
                          <w:b/>
                          <w:bCs/>
                          <w:i/>
                          <w:iCs/>
                        </w:rPr>
                        <w:t>Chung Lai Johnny Wan</w:t>
                      </w:r>
                    </w:p>
                    <w:p w14:paraId="3A1209C5" w14:textId="31D7C42B" w:rsidR="00C0407E" w:rsidRPr="00C0407E" w:rsidRDefault="00C0407E">
                      <w:pPr>
                        <w:rPr>
                          <w:b/>
                          <w:bCs/>
                        </w:rPr>
                      </w:pPr>
                      <w:r w:rsidRPr="00C0407E">
                        <w:t>Module code</w:t>
                      </w:r>
                      <w:r>
                        <w:rPr>
                          <w:b/>
                          <w:bCs/>
                        </w:rPr>
                        <w:t xml:space="preserve">: </w:t>
                      </w:r>
                      <w:r w:rsidRPr="00C0407E">
                        <w:rPr>
                          <w:b/>
                          <w:bCs/>
                          <w:sz w:val="28"/>
                          <w:szCs w:val="28"/>
                        </w:rPr>
                        <w:t>LCMB7034</w:t>
                      </w:r>
                    </w:p>
                  </w:txbxContent>
                </v:textbox>
                <w10:wrap type="square"/>
              </v:shape>
            </w:pict>
          </mc:Fallback>
        </mc:AlternateContent>
      </w:r>
      <w:r w:rsidRPr="0040099C">
        <w:rPr>
          <w:rFonts w:ascii="Arial" w:eastAsia="Times New Roman" w:hAnsi="Arial" w:cs="Arial"/>
          <w:noProof/>
          <w:color w:val="1F1F1F"/>
        </w:rPr>
        <mc:AlternateContent>
          <mc:Choice Requires="wps">
            <w:drawing>
              <wp:anchor distT="45720" distB="45720" distL="114300" distR="114300" simplePos="0" relativeHeight="251663360" behindDoc="0" locked="0" layoutInCell="1" allowOverlap="1" wp14:anchorId="326F6393" wp14:editId="38BB058F">
                <wp:simplePos x="0" y="0"/>
                <wp:positionH relativeFrom="column">
                  <wp:posOffset>3924300</wp:posOffset>
                </wp:positionH>
                <wp:positionV relativeFrom="paragraph">
                  <wp:posOffset>45720</wp:posOffset>
                </wp:positionV>
                <wp:extent cx="2476500" cy="1097280"/>
                <wp:effectExtent l="0" t="0" r="19050" b="26670"/>
                <wp:wrapSquare wrapText="bothSides"/>
                <wp:docPr id="21062447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0" cy="1097280"/>
                        </a:xfrm>
                        <a:prstGeom prst="rect">
                          <a:avLst/>
                        </a:prstGeom>
                        <a:solidFill>
                          <a:srgbClr val="FFFFFF"/>
                        </a:solidFill>
                        <a:ln w="9525">
                          <a:solidFill>
                            <a:srgbClr val="000000"/>
                          </a:solidFill>
                          <a:miter lim="800000"/>
                          <a:headEnd/>
                          <a:tailEnd/>
                        </a:ln>
                      </wps:spPr>
                      <wps:txbx>
                        <w:txbxContent>
                          <w:p w14:paraId="549CE17C" w14:textId="0B459D8E" w:rsidR="0040099C" w:rsidRDefault="0040099C">
                            <w:r w:rsidRPr="0040099C">
                              <w:drawing>
                                <wp:inline distT="0" distB="0" distL="0" distR="0" wp14:anchorId="44CF1995" wp14:editId="14BBFF80">
                                  <wp:extent cx="1813560" cy="723900"/>
                                  <wp:effectExtent l="0" t="0" r="0" b="0"/>
                                  <wp:docPr id="1879751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6F6393" id="_x0000_s1028" type="#_x0000_t202" style="position:absolute;margin-left:309pt;margin-top:3.6pt;width:195pt;height:86.4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">
                <v:textbox>
                  <w:txbxContent>
                    <w:p w14:paraId="549CE17C" w14:textId="0B459D8E" w:rsidR="0040099C" w:rsidRDefault="0040099C">
                      <w:r w:rsidRPr="0040099C">
                        <w:drawing>
                          <wp:inline distT="0" distB="0" distL="0" distR="0" wp14:anchorId="44CF1995" wp14:editId="14BBFF80">
                            <wp:extent cx="1813560" cy="723900"/>
                            <wp:effectExtent l="0" t="0" r="0" b="0"/>
                            <wp:docPr id="1879751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txbxContent>
                </v:textbox>
                <w10:wrap type="square"/>
              </v:shape>
            </w:pict>
          </mc:Fallback>
        </mc:AlternateContent>
      </w:r>
      <w:sdt>
        <w:sdtPr>
          <w:rPr>
            <w:rFonts w:ascii="Arial" w:eastAsia="Times New Roman" w:hAnsi="Arial" w:cs="Arial"/>
            <w:color w:val="1F1F1F"/>
          </w:rPr>
          <w:id w:val="621653743"/>
          <w:docPartObj>
            <w:docPartGallery w:val="Cover Pages"/>
            <w:docPartUnique/>
          </w:docPartObj>
        </w:sdtPr>
        <w:sdtContent>
          <w:r w:rsidR="003226B4" w:rsidRPr="003226B4">
            <w:rPr>
              <w:rFonts w:ascii="Arial" w:eastAsia="Times New Roman" w:hAnsi="Arial" w:cs="Arial"/>
              <w:noProof/>
              <w:color w:val="1F1F1F"/>
              <w:sz w:val="40"/>
              <w:szCs w:val="40"/>
            </w:rPr>
            <mc:AlternateContent>
              <mc:Choice Requires="wps">
                <w:drawing>
                  <wp:anchor distT="0" distB="0" distL="114300" distR="114300" simplePos="0" relativeHeight="251659264" behindDoc="0" locked="0" layoutInCell="1" allowOverlap="1" wp14:anchorId="3809044A" wp14:editId="4CF64FE4">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211"/>
                                  <w:gridCol w:w="2375"/>
                                </w:tblGrid>
                                <w:tr w:rsidR="003B54FC" w14:paraId="1675B970" w14:textId="77777777" w:rsidTr="003B54FC">
                                  <w:trPr>
                                    <w:jc w:val="center"/>
                                  </w:trPr>
                                  <w:tc>
                                    <w:tcPr>
                                      <w:tcW w:w="2568" w:type="pct"/>
                                      <w:vAlign w:val="center"/>
                                    </w:tcPr>
                                    <w:p w14:paraId="5A153DEC" w14:textId="29DA8ED9" w:rsidR="003226B4" w:rsidRDefault="003B54FC">
                                      <w:pPr>
                                        <w:jc w:val="right"/>
                                      </w:pPr>
                                      <w:r>
                                        <w:rPr>
                                          <w:noProof/>
                                        </w:rPr>
                                        <w:drawing>
                                          <wp:inline distT="0" distB="0" distL="0" distR="0" wp14:anchorId="40A6EEAD" wp14:editId="6479BC73">
                                            <wp:extent cx="4121962" cy="2062480"/>
                                            <wp:effectExtent l="0" t="0" r="0" b="0"/>
                                            <wp:docPr id="2" name="Picture 1" descr="The Success Story of Nestle India - InnovativeZ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Success Story of Nestle India - InnovativeZon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58622" cy="2080823"/>
                                                    </a:xfrm>
                                                    <a:prstGeom prst="rect">
                                                      <a:avLst/>
                                                    </a:prstGeom>
                                                    <a:noFill/>
                                                    <a:ln>
                                                      <a:noFill/>
                                                    </a:ln>
                                                  </pic:spPr>
                                                </pic:pic>
                                              </a:graphicData>
                                            </a:graphic>
                                          </wp:inline>
                                        </w:drawing>
                                      </w:r>
                                    </w:p>
                                    <w:sdt>
                                      <w:sdtPr>
                                        <w:rPr>
                                          <w:rFonts w:ascii="Arial" w:hAnsi="Arial" w:cs="Arial"/>
                                          <w:b/>
                                          <w:bCs/>
                                          <w:color w:val="1F1F1F"/>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BF57D6B" w14:textId="70EE7FB9" w:rsidR="003226B4" w:rsidRDefault="003226B4">
                                          <w:pPr>
                                            <w:pStyle w:val="NoSpacing"/>
                                            <w:spacing w:line="312" w:lineRule="auto"/>
                                            <w:jc w:val="right"/>
                                            <w:rPr>
                                              <w:caps/>
                                              <w:color w:val="191919" w:themeColor="text1" w:themeTint="E6"/>
                                              <w:sz w:val="72"/>
                                              <w:szCs w:val="72"/>
                                            </w:rPr>
                                          </w:pPr>
                                          <w:r w:rsidRPr="003226B4">
                                            <w:rPr>
                                              <w:rFonts w:ascii="Arial" w:hAnsi="Arial" w:cs="Arial"/>
                                              <w:b/>
                                              <w:bCs/>
                                              <w:color w:val="1F1F1F"/>
                                              <w:sz w:val="44"/>
                                              <w:szCs w:val="44"/>
                                            </w:rPr>
                                            <w:t>International Business Consultancy Report:</w:t>
                                          </w:r>
                                        </w:p>
                                      </w:sdtContent>
                                    </w:sdt>
                                    <w:sdt>
                                      <w:sdtPr>
                                        <w:rPr>
                                          <w:color w:val="000000" w:themeColor="text1"/>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D96749" w14:textId="078FA102" w:rsidR="003226B4" w:rsidRDefault="003226B4">
                                          <w:pPr>
                                            <w:jc w:val="right"/>
                                          </w:pPr>
                                          <w:r w:rsidRPr="003226B4">
                                            <w:rPr>
                                              <w:color w:val="000000" w:themeColor="text1"/>
                                              <w:sz w:val="36"/>
                                              <w:szCs w:val="36"/>
                                            </w:rPr>
                                            <w:t>Strategic Alignment and Operational Resilience of Nestlé S.A. in the Indian Emerging Market</w:t>
                                          </w:r>
                                        </w:p>
                                      </w:sdtContent>
                                    </w:sdt>
                                  </w:tc>
                                  <w:tc>
                                    <w:tcPr>
                                      <w:tcW w:w="2432" w:type="pct"/>
                                      <w:vAlign w:val="center"/>
                                    </w:tcPr>
                                    <w:p w14:paraId="165C2746" w14:textId="77777777" w:rsidR="003226B4" w:rsidRDefault="003226B4">
                                      <w:pPr>
                                        <w:pStyle w:val="NoSpacing"/>
                                        <w:rPr>
                                          <w:caps/>
                                          <w:color w:val="E97132" w:themeColor="accent2"/>
                                          <w:sz w:val="26"/>
                                          <w:szCs w:val="26"/>
                                        </w:rPr>
                                      </w:pPr>
                                      <w:r>
                                        <w:rPr>
                                          <w:caps/>
                                          <w:color w:val="E97132" w:themeColor="accent2"/>
                                          <w:sz w:val="26"/>
                                          <w:szCs w:val="26"/>
                                        </w:rPr>
                                        <w:t>Abstract</w:t>
                                      </w:r>
                                    </w:p>
                                    <w:sdt>
                                      <w:sdtPr>
                                        <w:rPr>
                                          <w:rFonts w:ascii="Arial" w:hAnsi="Arial" w:cs="Arial"/>
                                          <w:color w:val="1F1F1F"/>
                                          <w:kern w:val="0"/>
                                          <w14:ligatures w14:val="none"/>
                                        </w:rPr>
                                        <w:alias w:val="Abstract"/>
                                        <w:tag w:val=""/>
                                        <w:id w:val="-2036181933"/>
                                        <w:dataBinding w:prefixMappings="xmlns:ns0='http://schemas.microsoft.com/office/2006/coverPageProps' " w:xpath="/ns0:CoverPageProperties[1]/ns0:Abstract[1]" w:storeItemID="{55AF091B-3C7A-41E3-B477-F2FDAA23CFDA}"/>
                                        <w:text/>
                                      </w:sdtPr>
                                      <w:sdtContent>
                                        <w:p w14:paraId="685B7468" w14:textId="5FDB0890" w:rsidR="003226B4" w:rsidRDefault="003226B4">
                                          <w:pPr>
                                            <w:rPr>
                                              <w:color w:val="000000" w:themeColor="text1"/>
                                            </w:rPr>
                                          </w:pPr>
                                          <w:r w:rsidRPr="003226B4">
                                            <w:rPr>
                                              <w:rFonts w:ascii="Arial" w:hAnsi="Arial" w:cs="Arial"/>
                                              <w:color w:val="1F1F1F"/>
                                              <w:kern w:val="0"/>
                                              <w14:ligatures w14:val="none"/>
                                            </w:rPr>
                                            <w:t>This report assesses the international business strategy of Nestlé S.A., a Transnational Corporation (TNC) headquartered in Switzerland, focusing on its market operations in the emerging economy of India. Nestlé’s status as a TNC is confirmed by its vast global footprint and highly decentralized, polycentric management structure (Bartlett &amp; Ghoshal 1989; Hill 2020).</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78D9AAB" w14:textId="29E8E6CF" w:rsidR="003226B4" w:rsidRDefault="003226B4">
                                          <w:pPr>
                                            <w:pStyle w:val="NoSpacing"/>
                                            <w:rPr>
                                              <w:color w:val="E97132" w:themeColor="accent2"/>
                                              <w:sz w:val="26"/>
                                              <w:szCs w:val="26"/>
                                            </w:rPr>
                                          </w:pPr>
                                          <w:r>
                                            <w:rPr>
                                              <w:color w:val="E97132" w:themeColor="accent2"/>
                                              <w:sz w:val="26"/>
                                              <w:szCs w:val="26"/>
                                            </w:rPr>
                                            <w:t>Boyd Malcolm (2128536)</w:t>
                                          </w:r>
                                        </w:p>
                                      </w:sdtContent>
                                    </w:sdt>
                                    <w:p w14:paraId="2E734047" w14:textId="6B5B8143" w:rsidR="003226B4" w:rsidRDefault="003226B4">
                                      <w:pPr>
                                        <w:pStyle w:val="NoSpacing"/>
                                      </w:pPr>
                                      <w:sdt>
                                        <w:sdtPr>
                                          <w:rPr>
                                            <w:b/>
                                            <w:bCs/>
                                            <w:color w:val="0E2841"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C0407E" w:rsidRPr="00C0407E">
                                            <w:rPr>
                                              <w:b/>
                                              <w:bCs/>
                                              <w:color w:val="0E2841" w:themeColor="text2"/>
                                              <w:sz w:val="28"/>
                                              <w:szCs w:val="28"/>
                                            </w:rPr>
                                            <w:t>International Business Concepts</w:t>
                                          </w:r>
                                        </w:sdtContent>
                                      </w:sdt>
                                    </w:p>
                                  </w:tc>
                                </w:tr>
                              </w:tbl>
                              <w:p w14:paraId="3D57C8C4" w14:textId="300478BF" w:rsidR="003226B4" w:rsidRDefault="003B54FC">
                                <w:r>
                                  <w:rPr>
                                    <w:noProof/>
                                  </w:rPr>
                                  <w:drawing>
                                    <wp:inline distT="0" distB="0" distL="0" distR="0" wp14:anchorId="36990CA8" wp14:editId="187A259A">
                                      <wp:extent cx="2781300" cy="1082070"/>
                                      <wp:effectExtent l="0" t="0" r="0" b="3810"/>
                                      <wp:docPr id="139" name="Picture 137"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descr="A close up of a logo&#10;&#10;AI-generated content may be incorrect."/>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2902501" cy="1129223"/>
                                              </a:xfrm>
                                              <a:prstGeom prst="rect">
                                                <a:avLst/>
                                              </a:prstGeom>
                                            </pic:spPr>
                                          </pic:pic>
                                        </a:graphicData>
                                      </a:graphic>
                                    </wp:inline>
                                  </w:drawing>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3809044A" id="Text Box 139" o:spid="_x0000_s1029"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4993"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7211"/>
                            <w:gridCol w:w="2375"/>
                          </w:tblGrid>
                          <w:tr w:rsidR="003B54FC" w14:paraId="1675B970" w14:textId="77777777" w:rsidTr="003B54FC">
                            <w:trPr>
                              <w:jc w:val="center"/>
                            </w:trPr>
                            <w:tc>
                              <w:tcPr>
                                <w:tcW w:w="2568" w:type="pct"/>
                                <w:vAlign w:val="center"/>
                              </w:tcPr>
                              <w:p w14:paraId="5A153DEC" w14:textId="29DA8ED9" w:rsidR="003226B4" w:rsidRDefault="003B54FC">
                                <w:pPr>
                                  <w:jc w:val="right"/>
                                </w:pPr>
                                <w:r>
                                  <w:rPr>
                                    <w:noProof/>
                                  </w:rPr>
                                  <w:drawing>
                                    <wp:inline distT="0" distB="0" distL="0" distR="0" wp14:anchorId="40A6EEAD" wp14:editId="6479BC73">
                                      <wp:extent cx="4121962" cy="2062480"/>
                                      <wp:effectExtent l="0" t="0" r="0" b="0"/>
                                      <wp:docPr id="2" name="Picture 1" descr="The Success Story of Nestle India - InnovativeZ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Success Story of Nestle India - InnovativeZon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58622" cy="2080823"/>
                                              </a:xfrm>
                                              <a:prstGeom prst="rect">
                                                <a:avLst/>
                                              </a:prstGeom>
                                              <a:noFill/>
                                              <a:ln>
                                                <a:noFill/>
                                              </a:ln>
                                            </pic:spPr>
                                          </pic:pic>
                                        </a:graphicData>
                                      </a:graphic>
                                    </wp:inline>
                                  </w:drawing>
                                </w:r>
                              </w:p>
                              <w:sdt>
                                <w:sdtPr>
                                  <w:rPr>
                                    <w:rFonts w:ascii="Arial" w:hAnsi="Arial" w:cs="Arial"/>
                                    <w:b/>
                                    <w:bCs/>
                                    <w:color w:val="1F1F1F"/>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7BF57D6B" w14:textId="70EE7FB9" w:rsidR="003226B4" w:rsidRDefault="003226B4">
                                    <w:pPr>
                                      <w:pStyle w:val="NoSpacing"/>
                                      <w:spacing w:line="312" w:lineRule="auto"/>
                                      <w:jc w:val="right"/>
                                      <w:rPr>
                                        <w:caps/>
                                        <w:color w:val="191919" w:themeColor="text1" w:themeTint="E6"/>
                                        <w:sz w:val="72"/>
                                        <w:szCs w:val="72"/>
                                      </w:rPr>
                                    </w:pPr>
                                    <w:r w:rsidRPr="003226B4">
                                      <w:rPr>
                                        <w:rFonts w:ascii="Arial" w:hAnsi="Arial" w:cs="Arial"/>
                                        <w:b/>
                                        <w:bCs/>
                                        <w:color w:val="1F1F1F"/>
                                        <w:sz w:val="44"/>
                                        <w:szCs w:val="44"/>
                                      </w:rPr>
                                      <w:t>International Business Consultancy Report:</w:t>
                                    </w:r>
                                  </w:p>
                                </w:sdtContent>
                              </w:sdt>
                              <w:sdt>
                                <w:sdtPr>
                                  <w:rPr>
                                    <w:color w:val="000000" w:themeColor="text1"/>
                                    <w:sz w:val="36"/>
                                    <w:szCs w:val="36"/>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D96749" w14:textId="078FA102" w:rsidR="003226B4" w:rsidRDefault="003226B4">
                                    <w:pPr>
                                      <w:jc w:val="right"/>
                                    </w:pPr>
                                    <w:r w:rsidRPr="003226B4">
                                      <w:rPr>
                                        <w:color w:val="000000" w:themeColor="text1"/>
                                        <w:sz w:val="36"/>
                                        <w:szCs w:val="36"/>
                                      </w:rPr>
                                      <w:t>Strategic Alignment and Operational Resilience of Nestlé S.A. in the Indian Emerging Market</w:t>
                                    </w:r>
                                  </w:p>
                                </w:sdtContent>
                              </w:sdt>
                            </w:tc>
                            <w:tc>
                              <w:tcPr>
                                <w:tcW w:w="2432" w:type="pct"/>
                                <w:vAlign w:val="center"/>
                              </w:tcPr>
                              <w:p w14:paraId="165C2746" w14:textId="77777777" w:rsidR="003226B4" w:rsidRDefault="003226B4">
                                <w:pPr>
                                  <w:pStyle w:val="NoSpacing"/>
                                  <w:rPr>
                                    <w:caps/>
                                    <w:color w:val="E97132" w:themeColor="accent2"/>
                                    <w:sz w:val="26"/>
                                    <w:szCs w:val="26"/>
                                  </w:rPr>
                                </w:pPr>
                                <w:r>
                                  <w:rPr>
                                    <w:caps/>
                                    <w:color w:val="E97132" w:themeColor="accent2"/>
                                    <w:sz w:val="26"/>
                                    <w:szCs w:val="26"/>
                                  </w:rPr>
                                  <w:t>Abstract</w:t>
                                </w:r>
                              </w:p>
                              <w:sdt>
                                <w:sdtPr>
                                  <w:rPr>
                                    <w:rFonts w:ascii="Arial" w:hAnsi="Arial" w:cs="Arial"/>
                                    <w:color w:val="1F1F1F"/>
                                    <w:kern w:val="0"/>
                                    <w14:ligatures w14:val="none"/>
                                  </w:rPr>
                                  <w:alias w:val="Abstract"/>
                                  <w:tag w:val=""/>
                                  <w:id w:val="-2036181933"/>
                                  <w:dataBinding w:prefixMappings="xmlns:ns0='http://schemas.microsoft.com/office/2006/coverPageProps' " w:xpath="/ns0:CoverPageProperties[1]/ns0:Abstract[1]" w:storeItemID="{55AF091B-3C7A-41E3-B477-F2FDAA23CFDA}"/>
                                  <w:text/>
                                </w:sdtPr>
                                <w:sdtContent>
                                  <w:p w14:paraId="685B7468" w14:textId="5FDB0890" w:rsidR="003226B4" w:rsidRDefault="003226B4">
                                    <w:pPr>
                                      <w:rPr>
                                        <w:color w:val="000000" w:themeColor="text1"/>
                                      </w:rPr>
                                    </w:pPr>
                                    <w:r w:rsidRPr="003226B4">
                                      <w:rPr>
                                        <w:rFonts w:ascii="Arial" w:hAnsi="Arial" w:cs="Arial"/>
                                        <w:color w:val="1F1F1F"/>
                                        <w:kern w:val="0"/>
                                        <w14:ligatures w14:val="none"/>
                                      </w:rPr>
                                      <w:t>This report assesses the international business strategy of Nestlé S.A., a Transnational Corporation (TNC) headquartered in Switzerland, focusing on its market operations in the emerging economy of India. Nestlé’s status as a TNC is confirmed by its vast global footprint and highly decentralized, polycentric management structure (Bartlett &amp; Ghoshal 1989; Hill 2020).</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78D9AAB" w14:textId="29E8E6CF" w:rsidR="003226B4" w:rsidRDefault="003226B4">
                                    <w:pPr>
                                      <w:pStyle w:val="NoSpacing"/>
                                      <w:rPr>
                                        <w:color w:val="E97132" w:themeColor="accent2"/>
                                        <w:sz w:val="26"/>
                                        <w:szCs w:val="26"/>
                                      </w:rPr>
                                    </w:pPr>
                                    <w:r>
                                      <w:rPr>
                                        <w:color w:val="E97132" w:themeColor="accent2"/>
                                        <w:sz w:val="26"/>
                                        <w:szCs w:val="26"/>
                                      </w:rPr>
                                      <w:t>Boyd Malcolm (2128536)</w:t>
                                    </w:r>
                                  </w:p>
                                </w:sdtContent>
                              </w:sdt>
                              <w:p w14:paraId="2E734047" w14:textId="6B5B8143" w:rsidR="003226B4" w:rsidRDefault="003226B4">
                                <w:pPr>
                                  <w:pStyle w:val="NoSpacing"/>
                                </w:pPr>
                                <w:sdt>
                                  <w:sdtPr>
                                    <w:rPr>
                                      <w:b/>
                                      <w:bCs/>
                                      <w:color w:val="0E2841" w:themeColor="text2"/>
                                      <w:sz w:val="28"/>
                                      <w:szCs w:val="28"/>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C0407E" w:rsidRPr="00C0407E">
                                      <w:rPr>
                                        <w:b/>
                                        <w:bCs/>
                                        <w:color w:val="0E2841" w:themeColor="text2"/>
                                        <w:sz w:val="28"/>
                                        <w:szCs w:val="28"/>
                                      </w:rPr>
                                      <w:t>International Business Concepts</w:t>
                                    </w:r>
                                  </w:sdtContent>
                                </w:sdt>
                              </w:p>
                            </w:tc>
                          </w:tr>
                        </w:tbl>
                        <w:p w14:paraId="3D57C8C4" w14:textId="300478BF" w:rsidR="003226B4" w:rsidRDefault="003B54FC">
                          <w:r>
                            <w:rPr>
                              <w:noProof/>
                            </w:rPr>
                            <w:drawing>
                              <wp:inline distT="0" distB="0" distL="0" distR="0" wp14:anchorId="36990CA8" wp14:editId="187A259A">
                                <wp:extent cx="2781300" cy="1082070"/>
                                <wp:effectExtent l="0" t="0" r="0" b="3810"/>
                                <wp:docPr id="139" name="Picture 137" descr="A close 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descr="A close up of a logo&#10;&#10;AI-generated content may be incorrect."/>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2902501" cy="1129223"/>
                                        </a:xfrm>
                                        <a:prstGeom prst="rect">
                                          <a:avLst/>
                                        </a:prstGeom>
                                      </pic:spPr>
                                    </pic:pic>
                                  </a:graphicData>
                                </a:graphic>
                              </wp:inline>
                            </w:drawing>
                          </w:r>
                        </w:p>
                      </w:txbxContent>
                    </v:textbox>
                    <w10:wrap anchorx="page" anchory="page"/>
                  </v:shape>
                </w:pict>
              </mc:Fallback>
            </mc:AlternateContent>
          </w:r>
          <w:r w:rsidR="003226B4">
            <w:rPr>
              <w:rFonts w:ascii="Arial" w:eastAsia="Times New Roman" w:hAnsi="Arial" w:cs="Arial"/>
              <w:color w:val="1F1F1F"/>
            </w:rPr>
            <w:br w:type="page"/>
          </w:r>
        </w:sdtContent>
      </w:sdt>
      <w:r w:rsidR="003B54FC" w:rsidRPr="003B54FC">
        <w:rPr>
          <w:noProof/>
        </w:rPr>
        <w:t xml:space="preserve"> </w:t>
      </w:r>
    </w:p>
    <w:sdt>
      <w:sdtPr>
        <w:rPr>
          <w:rFonts w:ascii="Arial" w:hAnsi="Arial" w:cs="Arial"/>
        </w:rPr>
        <w:id w:val="-1818796224"/>
        <w:docPartObj>
          <w:docPartGallery w:val="Table of Contents"/>
          <w:docPartUnique/>
        </w:docPartObj>
      </w:sdtPr>
      <w:sdtEndPr>
        <w:rPr>
          <w:rFonts w:eastAsiaTheme="minorEastAsia"/>
          <w:b/>
          <w:bCs/>
          <w:noProof/>
          <w:color w:val="auto"/>
          <w:kern w:val="2"/>
          <w:sz w:val="24"/>
          <w:szCs w:val="24"/>
          <w:lang w:val="en-GB" w:eastAsia="en-GB"/>
          <w14:ligatures w14:val="standardContextual"/>
        </w:rPr>
      </w:sdtEndPr>
      <w:sdtContent>
        <w:p w14:paraId="5D7CF045" w14:textId="7BD587E9" w:rsidR="000F222F" w:rsidRPr="009A224F" w:rsidRDefault="000F222F" w:rsidP="009A224F">
          <w:pPr>
            <w:pStyle w:val="TOCHeading"/>
            <w:spacing w:line="360" w:lineRule="auto"/>
            <w:rPr>
              <w:rFonts w:ascii="Arial" w:hAnsi="Arial" w:cs="Arial"/>
            </w:rPr>
          </w:pPr>
          <w:r w:rsidRPr="009A224F">
            <w:rPr>
              <w:rFonts w:ascii="Arial" w:hAnsi="Arial" w:cs="Arial"/>
            </w:rPr>
            <w:t>Table of Contents</w:t>
          </w:r>
        </w:p>
        <w:p w14:paraId="641A4DEF" w14:textId="0F986FA2" w:rsidR="000F222F" w:rsidRPr="009A224F" w:rsidRDefault="000F222F" w:rsidP="009A224F">
          <w:pPr>
            <w:pStyle w:val="TOC1"/>
            <w:tabs>
              <w:tab w:val="right" w:leader="dot" w:pos="9016"/>
            </w:tabs>
            <w:spacing w:line="360" w:lineRule="auto"/>
            <w:rPr>
              <w:rFonts w:ascii="Arial" w:hAnsi="Arial" w:cs="Arial"/>
              <w:noProof/>
            </w:rPr>
          </w:pPr>
          <w:r w:rsidRPr="009A224F">
            <w:rPr>
              <w:rFonts w:ascii="Arial" w:hAnsi="Arial" w:cs="Arial"/>
            </w:rPr>
            <w:fldChar w:fldCharType="begin"/>
          </w:r>
          <w:r w:rsidRPr="009A224F">
            <w:rPr>
              <w:rFonts w:ascii="Arial" w:hAnsi="Arial" w:cs="Arial"/>
            </w:rPr>
            <w:instrText xml:space="preserve"> TOC \o "1-3" \h \z \u </w:instrText>
          </w:r>
          <w:r w:rsidRPr="009A224F">
            <w:rPr>
              <w:rFonts w:ascii="Arial" w:hAnsi="Arial" w:cs="Arial"/>
            </w:rPr>
            <w:fldChar w:fldCharType="separate"/>
          </w:r>
          <w:hyperlink w:anchor="_Toc214898127" w:history="1">
            <w:r w:rsidRPr="009A224F">
              <w:rPr>
                <w:rStyle w:val="Hyperlink"/>
                <w:rFonts w:ascii="Arial" w:eastAsia="Times New Roman" w:hAnsi="Arial" w:cs="Arial"/>
                <w:noProof/>
              </w:rPr>
              <w:t>1. Executive Summary</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_Toc214898127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3</w:t>
            </w:r>
            <w:r w:rsidRPr="009A224F">
              <w:rPr>
                <w:rFonts w:ascii="Arial" w:hAnsi="Arial" w:cs="Arial"/>
                <w:noProof/>
                <w:webHidden/>
              </w:rPr>
              <w:fldChar w:fldCharType="end"/>
            </w:r>
          </w:hyperlink>
        </w:p>
        <w:p w14:paraId="602CB485" w14:textId="0DCDA69F" w:rsidR="000F222F" w:rsidRPr="009A224F" w:rsidRDefault="000F222F" w:rsidP="009A224F">
          <w:pPr>
            <w:pStyle w:val="TOC1"/>
            <w:tabs>
              <w:tab w:val="right" w:leader="dot" w:pos="9016"/>
            </w:tabs>
            <w:spacing w:line="360" w:lineRule="auto"/>
            <w:rPr>
              <w:rFonts w:ascii="Arial" w:hAnsi="Arial" w:cs="Arial"/>
              <w:noProof/>
            </w:rPr>
          </w:pPr>
          <w:hyperlink w:anchor="_Toc214898128" w:history="1">
            <w:r w:rsidRPr="009A224F">
              <w:rPr>
                <w:rStyle w:val="Hyperlink"/>
                <w:rFonts w:ascii="Arial" w:eastAsia="Times New Roman" w:hAnsi="Arial" w:cs="Arial"/>
                <w:noProof/>
              </w:rPr>
              <w:t>2. Introduction.</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_Toc214898128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4</w:t>
            </w:r>
            <w:r w:rsidRPr="009A224F">
              <w:rPr>
                <w:rFonts w:ascii="Arial" w:hAnsi="Arial" w:cs="Arial"/>
                <w:noProof/>
                <w:webHidden/>
              </w:rPr>
              <w:fldChar w:fldCharType="end"/>
            </w:r>
          </w:hyperlink>
        </w:p>
        <w:p w14:paraId="2E164555" w14:textId="6A4A35B9" w:rsidR="000F222F" w:rsidRPr="009A224F" w:rsidRDefault="000F222F" w:rsidP="009A224F">
          <w:pPr>
            <w:pStyle w:val="TOC2"/>
            <w:tabs>
              <w:tab w:val="right" w:leader="dot" w:pos="9016"/>
            </w:tabs>
            <w:spacing w:line="360" w:lineRule="auto"/>
            <w:rPr>
              <w:rFonts w:ascii="Arial" w:hAnsi="Arial" w:cs="Arial"/>
              <w:noProof/>
            </w:rPr>
          </w:pPr>
          <w:hyperlink w:anchor="_Toc214898129" w:history="1">
            <w:r w:rsidRPr="009A224F">
              <w:rPr>
                <w:rStyle w:val="Hyperlink"/>
                <w:rFonts w:ascii="Arial" w:eastAsia="Times New Roman" w:hAnsi="Arial" w:cs="Arial"/>
                <w:noProof/>
              </w:rPr>
              <w:t>2.1. Background on Nestlé S.A. and Global Scope</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_Toc214898129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4</w:t>
            </w:r>
            <w:r w:rsidRPr="009A224F">
              <w:rPr>
                <w:rFonts w:ascii="Arial" w:hAnsi="Arial" w:cs="Arial"/>
                <w:noProof/>
                <w:webHidden/>
              </w:rPr>
              <w:fldChar w:fldCharType="end"/>
            </w:r>
          </w:hyperlink>
        </w:p>
        <w:p w14:paraId="276EA0C0" w14:textId="49D141B3" w:rsidR="000F222F" w:rsidRPr="009A224F" w:rsidRDefault="000F222F" w:rsidP="009A224F">
          <w:pPr>
            <w:pStyle w:val="TOC2"/>
            <w:tabs>
              <w:tab w:val="right" w:leader="dot" w:pos="9016"/>
            </w:tabs>
            <w:spacing w:line="360" w:lineRule="auto"/>
            <w:rPr>
              <w:rFonts w:ascii="Arial" w:hAnsi="Arial" w:cs="Arial"/>
              <w:noProof/>
            </w:rPr>
          </w:pPr>
          <w:hyperlink w:anchor="_Toc214898130" w:history="1">
            <w:r w:rsidRPr="009A224F">
              <w:rPr>
                <w:rStyle w:val="Hyperlink"/>
                <w:rFonts w:ascii="Arial" w:eastAsia="Times New Roman" w:hAnsi="Arial" w:cs="Arial"/>
                <w:noProof/>
              </w:rPr>
              <w:t>2.2. Selection Rationale (Nestlé &amp; India)</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_Toc214898130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4</w:t>
            </w:r>
            <w:r w:rsidRPr="009A224F">
              <w:rPr>
                <w:rFonts w:ascii="Arial" w:hAnsi="Arial" w:cs="Arial"/>
                <w:noProof/>
                <w:webHidden/>
              </w:rPr>
              <w:fldChar w:fldCharType="end"/>
            </w:r>
          </w:hyperlink>
        </w:p>
        <w:p w14:paraId="5A19BB8B" w14:textId="4E2C1287" w:rsidR="000F222F" w:rsidRPr="009A224F" w:rsidRDefault="000F222F" w:rsidP="009A224F">
          <w:pPr>
            <w:pStyle w:val="TOC2"/>
            <w:tabs>
              <w:tab w:val="right" w:leader="dot" w:pos="9016"/>
            </w:tabs>
            <w:spacing w:line="360" w:lineRule="auto"/>
            <w:rPr>
              <w:rFonts w:ascii="Arial" w:hAnsi="Arial" w:cs="Arial"/>
              <w:noProof/>
            </w:rPr>
          </w:pPr>
          <w:hyperlink w:anchor="_Toc214898131" w:history="1">
            <w:r w:rsidRPr="009A224F">
              <w:rPr>
                <w:rStyle w:val="Hyperlink"/>
                <w:rFonts w:ascii="Arial" w:eastAsia="Times New Roman" w:hAnsi="Arial" w:cs="Arial"/>
                <w:noProof/>
              </w:rPr>
              <w:t>2.3. Report Structure and Objectives</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_Toc214898131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4</w:t>
            </w:r>
            <w:r w:rsidRPr="009A224F">
              <w:rPr>
                <w:rFonts w:ascii="Arial" w:hAnsi="Arial" w:cs="Arial"/>
                <w:noProof/>
                <w:webHidden/>
              </w:rPr>
              <w:fldChar w:fldCharType="end"/>
            </w:r>
          </w:hyperlink>
        </w:p>
        <w:p w14:paraId="283C9C83" w14:textId="35432A77" w:rsidR="000F222F" w:rsidRPr="009A224F" w:rsidRDefault="000F222F" w:rsidP="009A224F">
          <w:pPr>
            <w:pStyle w:val="TOC2"/>
            <w:tabs>
              <w:tab w:val="right" w:leader="dot" w:pos="9016"/>
            </w:tabs>
            <w:spacing w:line="360" w:lineRule="auto"/>
            <w:rPr>
              <w:rFonts w:ascii="Arial" w:hAnsi="Arial" w:cs="Arial"/>
              <w:noProof/>
            </w:rPr>
          </w:pPr>
          <w:hyperlink w:anchor="_Toc214898132" w:history="1">
            <w:r w:rsidRPr="009A224F">
              <w:rPr>
                <w:rStyle w:val="Hyperlink"/>
                <w:rFonts w:ascii="Arial" w:hAnsi="Arial" w:cs="Arial"/>
                <w:noProof/>
              </w:rPr>
              <w:t>3. Global Operations: Benefits, Challenges, and Entry Modes</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_Toc214898132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5</w:t>
            </w:r>
            <w:r w:rsidRPr="009A224F">
              <w:rPr>
                <w:rFonts w:ascii="Arial" w:hAnsi="Arial" w:cs="Arial"/>
                <w:noProof/>
                <w:webHidden/>
              </w:rPr>
              <w:fldChar w:fldCharType="end"/>
            </w:r>
          </w:hyperlink>
        </w:p>
        <w:p w14:paraId="384D1F56" w14:textId="41EFC592" w:rsidR="000F222F" w:rsidRPr="009A224F" w:rsidRDefault="000F222F" w:rsidP="009A224F">
          <w:pPr>
            <w:pStyle w:val="TOC2"/>
            <w:tabs>
              <w:tab w:val="right" w:leader="dot" w:pos="9016"/>
            </w:tabs>
            <w:spacing w:line="360" w:lineRule="auto"/>
            <w:rPr>
              <w:rFonts w:ascii="Arial" w:hAnsi="Arial" w:cs="Arial"/>
              <w:noProof/>
            </w:rPr>
          </w:pPr>
          <w:hyperlink w:anchor="_Toc214898133" w:history="1">
            <w:r w:rsidRPr="009A224F">
              <w:rPr>
                <w:rStyle w:val="Hyperlink"/>
                <w:rFonts w:ascii="Arial" w:eastAsia="Times New Roman" w:hAnsi="Arial" w:cs="Arial"/>
                <w:noProof/>
              </w:rPr>
              <w:t>3.1. MNC/TNC Designation of Nestlé</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_Toc214898133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5</w:t>
            </w:r>
            <w:r w:rsidRPr="009A224F">
              <w:rPr>
                <w:rFonts w:ascii="Arial" w:hAnsi="Arial" w:cs="Arial"/>
                <w:noProof/>
                <w:webHidden/>
              </w:rPr>
              <w:fldChar w:fldCharType="end"/>
            </w:r>
          </w:hyperlink>
        </w:p>
        <w:p w14:paraId="01B8069B" w14:textId="64F23333" w:rsidR="000F222F" w:rsidRPr="009A224F" w:rsidRDefault="000F222F" w:rsidP="009A224F">
          <w:pPr>
            <w:pStyle w:val="TOC3"/>
            <w:tabs>
              <w:tab w:val="right" w:leader="dot" w:pos="9016"/>
            </w:tabs>
            <w:spacing w:line="360" w:lineRule="auto"/>
            <w:rPr>
              <w:rFonts w:ascii="Arial" w:hAnsi="Arial" w:cs="Arial"/>
              <w:noProof/>
            </w:rPr>
          </w:pPr>
          <w:hyperlink w:anchor="_Toc214898134" w:history="1">
            <w:r w:rsidRPr="009A224F">
              <w:rPr>
                <w:rStyle w:val="Hyperlink"/>
                <w:rFonts w:ascii="Arial" w:eastAsia="Times New Roman" w:hAnsi="Arial" w:cs="Arial"/>
                <w:noProof/>
              </w:rPr>
              <w:t>3.1.1. TNC Status Defined by Decentralization and Local Responsiveness</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_Toc214898134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5</w:t>
            </w:r>
            <w:r w:rsidRPr="009A224F">
              <w:rPr>
                <w:rFonts w:ascii="Arial" w:hAnsi="Arial" w:cs="Arial"/>
                <w:noProof/>
                <w:webHidden/>
              </w:rPr>
              <w:fldChar w:fldCharType="end"/>
            </w:r>
          </w:hyperlink>
        </w:p>
        <w:p w14:paraId="0BE20C0E" w14:textId="1D33E040" w:rsidR="000F222F" w:rsidRPr="009A224F" w:rsidRDefault="000F222F" w:rsidP="009A224F">
          <w:pPr>
            <w:pStyle w:val="TOC3"/>
            <w:tabs>
              <w:tab w:val="right" w:leader="dot" w:pos="9016"/>
            </w:tabs>
            <w:spacing w:line="360" w:lineRule="auto"/>
            <w:rPr>
              <w:rFonts w:ascii="Arial" w:hAnsi="Arial" w:cs="Arial"/>
              <w:noProof/>
            </w:rPr>
          </w:pPr>
          <w:hyperlink w:anchor="_Toc214898135" w:history="1">
            <w:r w:rsidRPr="009A224F">
              <w:rPr>
                <w:rStyle w:val="Hyperlink"/>
                <w:rFonts w:ascii="Arial" w:eastAsia="Times New Roman" w:hAnsi="Arial" w:cs="Arial"/>
                <w:noProof/>
              </w:rPr>
              <w:t>3.1.2. Empirical Evidence of Global Scale and Integration</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_Toc214898135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5</w:t>
            </w:r>
            <w:r w:rsidRPr="009A224F">
              <w:rPr>
                <w:rFonts w:ascii="Arial" w:hAnsi="Arial" w:cs="Arial"/>
                <w:noProof/>
                <w:webHidden/>
              </w:rPr>
              <w:fldChar w:fldCharType="end"/>
            </w:r>
          </w:hyperlink>
        </w:p>
        <w:p w14:paraId="79F51AD9" w14:textId="1EAB4CF7" w:rsidR="000F222F" w:rsidRPr="009A224F" w:rsidRDefault="000F222F" w:rsidP="009A224F">
          <w:pPr>
            <w:pStyle w:val="TOC2"/>
            <w:tabs>
              <w:tab w:val="right" w:leader="dot" w:pos="9016"/>
            </w:tabs>
            <w:spacing w:line="360" w:lineRule="auto"/>
            <w:rPr>
              <w:rFonts w:ascii="Arial" w:hAnsi="Arial" w:cs="Arial"/>
              <w:noProof/>
            </w:rPr>
          </w:pPr>
          <w:hyperlink w:anchor="_Toc214898136" w:history="1">
            <w:r w:rsidRPr="009A224F">
              <w:rPr>
                <w:rStyle w:val="Hyperlink"/>
                <w:rFonts w:ascii="Arial" w:eastAsia="Times New Roman" w:hAnsi="Arial" w:cs="Arial"/>
                <w:noProof/>
              </w:rPr>
              <w:t>3.2. Mapping the Global Value Chain</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_Toc214898136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5</w:t>
            </w:r>
            <w:r w:rsidRPr="009A224F">
              <w:rPr>
                <w:rFonts w:ascii="Arial" w:hAnsi="Arial" w:cs="Arial"/>
                <w:noProof/>
                <w:webHidden/>
              </w:rPr>
              <w:fldChar w:fldCharType="end"/>
            </w:r>
          </w:hyperlink>
        </w:p>
        <w:p w14:paraId="4B13FCA5" w14:textId="1E029D41" w:rsidR="000F222F" w:rsidRPr="009A224F" w:rsidRDefault="000F222F" w:rsidP="009A224F">
          <w:pPr>
            <w:pStyle w:val="TOC3"/>
            <w:tabs>
              <w:tab w:val="right" w:leader="dot" w:pos="9016"/>
            </w:tabs>
            <w:spacing w:line="360" w:lineRule="auto"/>
            <w:rPr>
              <w:rFonts w:ascii="Arial" w:hAnsi="Arial" w:cs="Arial"/>
              <w:noProof/>
            </w:rPr>
          </w:pPr>
          <w:hyperlink w:anchor="_Toc214898137" w:history="1">
            <w:r w:rsidRPr="009A224F">
              <w:rPr>
                <w:rStyle w:val="Hyperlink"/>
                <w:rFonts w:ascii="Arial" w:eastAsia="Times New Roman" w:hAnsi="Arial" w:cs="Arial"/>
                <w:noProof/>
              </w:rPr>
              <w:t>3.2.1. Research and Development (R&amp;D): The Shift to Localized Innovation Hubs</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_Toc214898137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5</w:t>
            </w:r>
            <w:r w:rsidRPr="009A224F">
              <w:rPr>
                <w:rFonts w:ascii="Arial" w:hAnsi="Arial" w:cs="Arial"/>
                <w:noProof/>
                <w:webHidden/>
              </w:rPr>
              <w:fldChar w:fldCharType="end"/>
            </w:r>
          </w:hyperlink>
        </w:p>
        <w:p w14:paraId="58D02061" w14:textId="6A99F781" w:rsidR="000F222F" w:rsidRPr="009A224F" w:rsidRDefault="000F222F" w:rsidP="009A224F">
          <w:pPr>
            <w:pStyle w:val="TOC3"/>
            <w:tabs>
              <w:tab w:val="right" w:leader="dot" w:pos="9016"/>
            </w:tabs>
            <w:spacing w:line="360" w:lineRule="auto"/>
            <w:rPr>
              <w:rFonts w:ascii="Arial" w:hAnsi="Arial" w:cs="Arial"/>
              <w:noProof/>
            </w:rPr>
          </w:pPr>
          <w:hyperlink w:anchor="_Toc214898138" w:history="1">
            <w:r w:rsidRPr="009A224F">
              <w:rPr>
                <w:rStyle w:val="Hyperlink"/>
                <w:rFonts w:ascii="Arial" w:eastAsia="Times New Roman" w:hAnsi="Arial" w:cs="Arial"/>
                <w:noProof/>
              </w:rPr>
              <w:t>3.2.2. Sourcing and Procurement: Deep Integration and Supplier Development</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_Toc214898138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6</w:t>
            </w:r>
            <w:r w:rsidRPr="009A224F">
              <w:rPr>
                <w:rFonts w:ascii="Arial" w:hAnsi="Arial" w:cs="Arial"/>
                <w:noProof/>
                <w:webHidden/>
              </w:rPr>
              <w:fldChar w:fldCharType="end"/>
            </w:r>
          </w:hyperlink>
        </w:p>
        <w:p w14:paraId="43770C4B" w14:textId="679385E6" w:rsidR="000F222F" w:rsidRPr="009A224F" w:rsidRDefault="000F222F" w:rsidP="009A224F">
          <w:pPr>
            <w:pStyle w:val="TOC3"/>
            <w:tabs>
              <w:tab w:val="right" w:leader="dot" w:pos="9016"/>
            </w:tabs>
            <w:spacing w:line="360" w:lineRule="auto"/>
            <w:rPr>
              <w:rFonts w:ascii="Arial" w:hAnsi="Arial" w:cs="Arial"/>
              <w:noProof/>
            </w:rPr>
          </w:pPr>
          <w:hyperlink w:anchor="_Toc214898139" w:history="1">
            <w:r w:rsidRPr="009A224F">
              <w:rPr>
                <w:rStyle w:val="Hyperlink"/>
                <w:rFonts w:ascii="Arial" w:eastAsia="Times New Roman" w:hAnsi="Arial" w:cs="Arial"/>
                <w:noProof/>
              </w:rPr>
              <w:t>3.2.3. Production, Logistics, and Decentralized Efficiency</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_Toc214898139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6</w:t>
            </w:r>
            <w:r w:rsidRPr="009A224F">
              <w:rPr>
                <w:rFonts w:ascii="Arial" w:hAnsi="Arial" w:cs="Arial"/>
                <w:noProof/>
                <w:webHidden/>
              </w:rPr>
              <w:fldChar w:fldCharType="end"/>
            </w:r>
          </w:hyperlink>
        </w:p>
        <w:p w14:paraId="491F7808" w14:textId="7DE88E37" w:rsidR="000F222F" w:rsidRPr="009A224F" w:rsidRDefault="000F222F" w:rsidP="009A224F">
          <w:pPr>
            <w:pStyle w:val="TOC3"/>
            <w:tabs>
              <w:tab w:val="right" w:leader="dot" w:pos="9016"/>
            </w:tabs>
            <w:spacing w:line="360" w:lineRule="auto"/>
            <w:rPr>
              <w:rFonts w:ascii="Arial" w:hAnsi="Arial" w:cs="Arial"/>
              <w:noProof/>
            </w:rPr>
          </w:pPr>
          <w:hyperlink w:anchor="_Toc214898140" w:history="1">
            <w:r w:rsidRPr="009A224F">
              <w:rPr>
                <w:rStyle w:val="Hyperlink"/>
                <w:rFonts w:ascii="Arial" w:eastAsia="Times New Roman" w:hAnsi="Arial" w:cs="Arial"/>
                <w:noProof/>
              </w:rPr>
              <w:t>3.2.4. Sales, Marketing, and Financing</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_Toc214898140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6</w:t>
            </w:r>
            <w:r w:rsidRPr="009A224F">
              <w:rPr>
                <w:rFonts w:ascii="Arial" w:hAnsi="Arial" w:cs="Arial"/>
                <w:noProof/>
                <w:webHidden/>
              </w:rPr>
              <w:fldChar w:fldCharType="end"/>
            </w:r>
          </w:hyperlink>
        </w:p>
        <w:p w14:paraId="574C9C21" w14:textId="15BDB439" w:rsidR="000F222F" w:rsidRPr="009A224F" w:rsidRDefault="000F222F" w:rsidP="009A224F">
          <w:pPr>
            <w:pStyle w:val="TOC2"/>
            <w:tabs>
              <w:tab w:val="right" w:leader="dot" w:pos="9016"/>
            </w:tabs>
            <w:spacing w:line="360" w:lineRule="auto"/>
            <w:rPr>
              <w:rFonts w:ascii="Arial" w:hAnsi="Arial" w:cs="Arial"/>
              <w:noProof/>
            </w:rPr>
          </w:pPr>
          <w:hyperlink w:anchor="_Toc214898141" w:history="1">
            <w:r w:rsidRPr="009A224F">
              <w:rPr>
                <w:rStyle w:val="Hyperlink"/>
                <w:rFonts w:ascii="Arial" w:eastAsia="Times New Roman" w:hAnsi="Arial" w:cs="Arial"/>
                <w:noProof/>
              </w:rPr>
              <w:t>3.3. International Market Entry Modes</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_Toc214898141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6</w:t>
            </w:r>
            <w:r w:rsidRPr="009A224F">
              <w:rPr>
                <w:rFonts w:ascii="Arial" w:hAnsi="Arial" w:cs="Arial"/>
                <w:noProof/>
                <w:webHidden/>
              </w:rPr>
              <w:fldChar w:fldCharType="end"/>
            </w:r>
          </w:hyperlink>
        </w:p>
        <w:p w14:paraId="310E73EF" w14:textId="067683FF" w:rsidR="000F222F" w:rsidRPr="009A224F" w:rsidRDefault="000F222F" w:rsidP="009A224F">
          <w:pPr>
            <w:pStyle w:val="TOC2"/>
            <w:tabs>
              <w:tab w:val="right" w:leader="dot" w:pos="9016"/>
            </w:tabs>
            <w:spacing w:line="360" w:lineRule="auto"/>
            <w:rPr>
              <w:rFonts w:ascii="Arial" w:hAnsi="Arial" w:cs="Arial"/>
              <w:noProof/>
            </w:rPr>
          </w:pPr>
          <w:hyperlink w:anchor="_Toc214898142" w:history="1">
            <w:r w:rsidRPr="009A224F">
              <w:rPr>
                <w:rStyle w:val="Hyperlink"/>
                <w:rFonts w:ascii="Arial" w:hAnsi="Arial" w:cs="Arial"/>
                <w:noProof/>
              </w:rPr>
              <w:t>3.3.1. Identification of Dominant Entry Mode in India: Wholly Owned Subsidiary (WOS</w:t>
            </w:r>
            <w:r w:rsidRPr="009A224F">
              <w:rPr>
                <w:rStyle w:val="Hyperlink"/>
                <w:rFonts w:ascii="Arial" w:eastAsia="Times New Roman" w:hAnsi="Arial" w:cs="Arial"/>
                <w:noProof/>
              </w:rPr>
              <w:t>)</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_Toc214898142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7</w:t>
            </w:r>
            <w:r w:rsidRPr="009A224F">
              <w:rPr>
                <w:rFonts w:ascii="Arial" w:hAnsi="Arial" w:cs="Arial"/>
                <w:noProof/>
                <w:webHidden/>
              </w:rPr>
              <w:fldChar w:fldCharType="end"/>
            </w:r>
          </w:hyperlink>
        </w:p>
        <w:p w14:paraId="1282586A" w14:textId="5C6E8BEB" w:rsidR="000F222F" w:rsidRPr="009A224F" w:rsidRDefault="000F222F" w:rsidP="009A224F">
          <w:pPr>
            <w:pStyle w:val="TOC2"/>
            <w:tabs>
              <w:tab w:val="right" w:leader="dot" w:pos="9016"/>
            </w:tabs>
            <w:spacing w:line="360" w:lineRule="auto"/>
            <w:rPr>
              <w:rFonts w:ascii="Arial" w:hAnsi="Arial" w:cs="Arial"/>
              <w:noProof/>
            </w:rPr>
          </w:pPr>
          <w:hyperlink w:anchor="_Toc214898143" w:history="1">
            <w:r w:rsidRPr="009A224F">
              <w:rPr>
                <w:rStyle w:val="Hyperlink"/>
                <w:rFonts w:ascii="Arial" w:eastAsia="Times New Roman" w:hAnsi="Arial" w:cs="Arial"/>
                <w:noProof/>
              </w:rPr>
              <w:t>3.4. Key Benefits and Challenges of International Operations</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_Toc214898143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7</w:t>
            </w:r>
            <w:r w:rsidRPr="009A224F">
              <w:rPr>
                <w:rFonts w:ascii="Arial" w:hAnsi="Arial" w:cs="Arial"/>
                <w:noProof/>
                <w:webHidden/>
              </w:rPr>
              <w:fldChar w:fldCharType="end"/>
            </w:r>
          </w:hyperlink>
        </w:p>
        <w:p w14:paraId="2D86A404" w14:textId="045583F4" w:rsidR="000F222F" w:rsidRPr="009A224F" w:rsidRDefault="000F222F" w:rsidP="009A224F">
          <w:pPr>
            <w:pStyle w:val="TOC3"/>
            <w:tabs>
              <w:tab w:val="right" w:leader="dot" w:pos="9016"/>
            </w:tabs>
            <w:spacing w:line="360" w:lineRule="auto"/>
            <w:rPr>
              <w:rFonts w:ascii="Arial" w:hAnsi="Arial" w:cs="Arial"/>
              <w:noProof/>
            </w:rPr>
          </w:pPr>
          <w:hyperlink w:anchor="_Toc214898144" w:history="1">
            <w:r w:rsidRPr="009A224F">
              <w:rPr>
                <w:rStyle w:val="Hyperlink"/>
                <w:rFonts w:ascii="Arial" w:eastAsia="Times New Roman" w:hAnsi="Arial" w:cs="Arial"/>
                <w:noProof/>
              </w:rPr>
              <w:t>3.4.1. Benefits</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_Toc214898144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7</w:t>
            </w:r>
            <w:r w:rsidRPr="009A224F">
              <w:rPr>
                <w:rFonts w:ascii="Arial" w:hAnsi="Arial" w:cs="Arial"/>
                <w:noProof/>
                <w:webHidden/>
              </w:rPr>
              <w:fldChar w:fldCharType="end"/>
            </w:r>
          </w:hyperlink>
        </w:p>
        <w:p w14:paraId="214EE833" w14:textId="136DEE1D" w:rsidR="000F222F" w:rsidRPr="009A224F" w:rsidRDefault="000F222F" w:rsidP="009A224F">
          <w:pPr>
            <w:pStyle w:val="TOC3"/>
            <w:tabs>
              <w:tab w:val="right" w:leader="dot" w:pos="9016"/>
            </w:tabs>
            <w:spacing w:line="360" w:lineRule="auto"/>
            <w:rPr>
              <w:rFonts w:ascii="Arial" w:hAnsi="Arial" w:cs="Arial"/>
              <w:noProof/>
            </w:rPr>
          </w:pPr>
          <w:hyperlink w:anchor="_Toc214898145" w:history="1">
            <w:r w:rsidRPr="009A224F">
              <w:rPr>
                <w:rStyle w:val="Hyperlink"/>
                <w:rFonts w:ascii="Arial" w:eastAsia="Times New Roman" w:hAnsi="Arial" w:cs="Arial"/>
                <w:noProof/>
              </w:rPr>
              <w:t>3.4.2. Challenges</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_Toc214898145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7</w:t>
            </w:r>
            <w:r w:rsidRPr="009A224F">
              <w:rPr>
                <w:rFonts w:ascii="Arial" w:hAnsi="Arial" w:cs="Arial"/>
                <w:noProof/>
                <w:webHidden/>
              </w:rPr>
              <w:fldChar w:fldCharType="end"/>
            </w:r>
          </w:hyperlink>
        </w:p>
        <w:p w14:paraId="6B2EAF96" w14:textId="76D83E8E" w:rsidR="000F222F" w:rsidRPr="009A224F" w:rsidRDefault="000F222F" w:rsidP="009A224F">
          <w:pPr>
            <w:pStyle w:val="TOC2"/>
            <w:tabs>
              <w:tab w:val="right" w:leader="dot" w:pos="9016"/>
            </w:tabs>
            <w:spacing w:line="360" w:lineRule="auto"/>
            <w:rPr>
              <w:rFonts w:ascii="Arial" w:hAnsi="Arial" w:cs="Arial"/>
              <w:noProof/>
            </w:rPr>
          </w:pPr>
          <w:hyperlink w:anchor="_Toc214898146" w:history="1">
            <w:r w:rsidRPr="009A224F">
              <w:rPr>
                <w:rStyle w:val="Hyperlink"/>
                <w:rFonts w:ascii="Arial" w:hAnsi="Arial" w:cs="Arial"/>
                <w:noProof/>
              </w:rPr>
              <w:t>4. The Eclectic Paradigm (OLI) and Market Entry Mode in India</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_Toc214898146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7</w:t>
            </w:r>
            <w:r w:rsidRPr="009A224F">
              <w:rPr>
                <w:rFonts w:ascii="Arial" w:hAnsi="Arial" w:cs="Arial"/>
                <w:noProof/>
                <w:webHidden/>
              </w:rPr>
              <w:fldChar w:fldCharType="end"/>
            </w:r>
          </w:hyperlink>
        </w:p>
        <w:p w14:paraId="7912FD22" w14:textId="461C0018" w:rsidR="000F222F" w:rsidRPr="009A224F" w:rsidRDefault="000F222F" w:rsidP="009A224F">
          <w:pPr>
            <w:pStyle w:val="TOC2"/>
            <w:tabs>
              <w:tab w:val="right" w:leader="dot" w:pos="9016"/>
            </w:tabs>
            <w:spacing w:line="360" w:lineRule="auto"/>
            <w:rPr>
              <w:rFonts w:ascii="Arial" w:hAnsi="Arial" w:cs="Arial"/>
              <w:noProof/>
            </w:rPr>
          </w:pPr>
          <w:hyperlink w:anchor="_Toc214898147" w:history="1">
            <w:r w:rsidRPr="009A224F">
              <w:rPr>
                <w:rStyle w:val="Hyperlink"/>
                <w:rFonts w:ascii="Arial" w:eastAsia="Times New Roman" w:hAnsi="Arial" w:cs="Arial"/>
                <w:noProof/>
              </w:rPr>
              <w:t>4.1. Critical Introduction to Dunning’s OLI Framework</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_Toc214898147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7</w:t>
            </w:r>
            <w:r w:rsidRPr="009A224F">
              <w:rPr>
                <w:rFonts w:ascii="Arial" w:hAnsi="Arial" w:cs="Arial"/>
                <w:noProof/>
                <w:webHidden/>
              </w:rPr>
              <w:fldChar w:fldCharType="end"/>
            </w:r>
          </w:hyperlink>
        </w:p>
        <w:p w14:paraId="6885F411" w14:textId="18265395" w:rsidR="000F222F" w:rsidRPr="009A224F" w:rsidRDefault="000F222F" w:rsidP="009A224F">
          <w:pPr>
            <w:pStyle w:val="TOC2"/>
            <w:tabs>
              <w:tab w:val="right" w:leader="dot" w:pos="9016"/>
            </w:tabs>
            <w:spacing w:line="360" w:lineRule="auto"/>
            <w:rPr>
              <w:rFonts w:ascii="Arial" w:hAnsi="Arial" w:cs="Arial"/>
              <w:noProof/>
            </w:rPr>
          </w:pPr>
          <w:hyperlink w:anchor="_Toc214898148" w:history="1">
            <w:r w:rsidRPr="009A224F">
              <w:rPr>
                <w:rStyle w:val="Hyperlink"/>
                <w:rFonts w:ascii="Arial" w:eastAsia="Times New Roman" w:hAnsi="Arial" w:cs="Arial"/>
                <w:noProof/>
              </w:rPr>
              <w:t>4.2. Ownership (O) Advantages: Nestlé’s Non-Transferable Strengths</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_Toc214898148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8</w:t>
            </w:r>
            <w:r w:rsidRPr="009A224F">
              <w:rPr>
                <w:rFonts w:ascii="Arial" w:hAnsi="Arial" w:cs="Arial"/>
                <w:noProof/>
                <w:webHidden/>
              </w:rPr>
              <w:fldChar w:fldCharType="end"/>
            </w:r>
          </w:hyperlink>
        </w:p>
        <w:p w14:paraId="75F10D9C" w14:textId="59C410C7" w:rsidR="000F222F" w:rsidRPr="009A224F" w:rsidRDefault="000F222F" w:rsidP="009A224F">
          <w:pPr>
            <w:pStyle w:val="TOC2"/>
            <w:tabs>
              <w:tab w:val="right" w:leader="dot" w:pos="9016"/>
            </w:tabs>
            <w:spacing w:line="360" w:lineRule="auto"/>
            <w:rPr>
              <w:rFonts w:ascii="Arial" w:hAnsi="Arial" w:cs="Arial"/>
              <w:noProof/>
            </w:rPr>
          </w:pPr>
          <w:hyperlink w:anchor="_Toc214898149" w:history="1">
            <w:r w:rsidRPr="009A224F">
              <w:rPr>
                <w:rStyle w:val="Hyperlink"/>
                <w:rFonts w:ascii="Arial" w:eastAsia="Times New Roman" w:hAnsi="Arial" w:cs="Arial"/>
                <w:noProof/>
              </w:rPr>
              <w:t>4.3. Location (L) Advantages: India’s Strategic Attractiveness</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_Toc214898149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8</w:t>
            </w:r>
            <w:r w:rsidRPr="009A224F">
              <w:rPr>
                <w:rFonts w:ascii="Arial" w:hAnsi="Arial" w:cs="Arial"/>
                <w:noProof/>
                <w:webHidden/>
              </w:rPr>
              <w:fldChar w:fldCharType="end"/>
            </w:r>
          </w:hyperlink>
        </w:p>
        <w:p w14:paraId="3BA406EB" w14:textId="7DE2E798" w:rsidR="000F222F" w:rsidRPr="009A224F" w:rsidRDefault="000F222F" w:rsidP="009A224F">
          <w:pPr>
            <w:pStyle w:val="TOC2"/>
            <w:tabs>
              <w:tab w:val="right" w:leader="dot" w:pos="9016"/>
            </w:tabs>
            <w:spacing w:line="360" w:lineRule="auto"/>
            <w:rPr>
              <w:rFonts w:ascii="Arial" w:hAnsi="Arial" w:cs="Arial"/>
              <w:noProof/>
            </w:rPr>
          </w:pPr>
          <w:hyperlink w:anchor="_Toc214898150" w:history="1">
            <w:r w:rsidRPr="009A224F">
              <w:rPr>
                <w:rStyle w:val="Hyperlink"/>
                <w:rFonts w:ascii="Arial" w:eastAsia="Times New Roman" w:hAnsi="Arial" w:cs="Arial"/>
                <w:noProof/>
              </w:rPr>
              <w:t>4.4. Internalisation (I) Advantages: Justifying Maximum Control (WOS)</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_Toc214898150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8</w:t>
            </w:r>
            <w:r w:rsidRPr="009A224F">
              <w:rPr>
                <w:rFonts w:ascii="Arial" w:hAnsi="Arial" w:cs="Arial"/>
                <w:noProof/>
                <w:webHidden/>
              </w:rPr>
              <w:fldChar w:fldCharType="end"/>
            </w:r>
          </w:hyperlink>
        </w:p>
        <w:p w14:paraId="1EAA38EB" w14:textId="7808B10E" w:rsidR="000F222F" w:rsidRPr="009A224F" w:rsidRDefault="000F222F" w:rsidP="009A224F">
          <w:pPr>
            <w:pStyle w:val="TOC2"/>
            <w:tabs>
              <w:tab w:val="right" w:leader="dot" w:pos="9016"/>
            </w:tabs>
            <w:spacing w:line="360" w:lineRule="auto"/>
            <w:rPr>
              <w:rFonts w:ascii="Arial" w:hAnsi="Arial" w:cs="Arial"/>
              <w:noProof/>
            </w:rPr>
          </w:pPr>
          <w:hyperlink w:anchor="_Toc214898151" w:history="1">
            <w:r w:rsidRPr="009A224F">
              <w:rPr>
                <w:rStyle w:val="Hyperlink"/>
                <w:rFonts w:ascii="Arial" w:eastAsia="Times New Roman" w:hAnsi="Arial" w:cs="Arial"/>
                <w:noProof/>
              </w:rPr>
              <w:t>4.5. Synthesis: OLI Impact on WOS Selection for Nestlé India</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_Toc214898151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9</w:t>
            </w:r>
            <w:r w:rsidRPr="009A224F">
              <w:rPr>
                <w:rFonts w:ascii="Arial" w:hAnsi="Arial" w:cs="Arial"/>
                <w:noProof/>
                <w:webHidden/>
              </w:rPr>
              <w:fldChar w:fldCharType="end"/>
            </w:r>
          </w:hyperlink>
        </w:p>
        <w:p w14:paraId="03565728" w14:textId="63EFAC0B" w:rsidR="000F222F" w:rsidRPr="009A224F" w:rsidRDefault="000F222F" w:rsidP="009A224F">
          <w:pPr>
            <w:pStyle w:val="TOC3"/>
            <w:tabs>
              <w:tab w:val="right" w:leader="dot" w:pos="9016"/>
            </w:tabs>
            <w:spacing w:line="360" w:lineRule="auto"/>
            <w:rPr>
              <w:rFonts w:ascii="Arial" w:hAnsi="Arial" w:cs="Arial"/>
              <w:noProof/>
            </w:rPr>
          </w:pPr>
          <w:hyperlink w:anchor="_Toc214898152" w:history="1">
            <w:r w:rsidRPr="009A224F">
              <w:rPr>
                <w:rStyle w:val="Hyperlink"/>
                <w:rFonts w:ascii="Arial" w:hAnsi="Arial" w:cs="Arial"/>
                <w:noProof/>
              </w:rPr>
              <w:t>Table 4.1: OLI Justification for Nestlé’s Wholly Owned Subsidiary (WOS) in India</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_Toc214898152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9</w:t>
            </w:r>
            <w:r w:rsidRPr="009A224F">
              <w:rPr>
                <w:rFonts w:ascii="Arial" w:hAnsi="Arial" w:cs="Arial"/>
                <w:noProof/>
                <w:webHidden/>
              </w:rPr>
              <w:fldChar w:fldCharType="end"/>
            </w:r>
          </w:hyperlink>
        </w:p>
        <w:p w14:paraId="225A4D75" w14:textId="53E538D5" w:rsidR="000F222F" w:rsidRPr="009A224F" w:rsidRDefault="000F222F" w:rsidP="009A224F">
          <w:pPr>
            <w:pStyle w:val="TOC2"/>
            <w:tabs>
              <w:tab w:val="right" w:leader="dot" w:pos="9016"/>
            </w:tabs>
            <w:spacing w:line="360" w:lineRule="auto"/>
            <w:rPr>
              <w:rFonts w:ascii="Arial" w:hAnsi="Arial" w:cs="Arial"/>
              <w:noProof/>
            </w:rPr>
          </w:pPr>
          <w:hyperlink w:anchor="_Toc214898153" w:history="1">
            <w:r w:rsidRPr="009A224F">
              <w:rPr>
                <w:rStyle w:val="Hyperlink"/>
                <w:rFonts w:ascii="Arial" w:hAnsi="Arial" w:cs="Arial"/>
                <w:noProof/>
              </w:rPr>
              <w:t>5. Cultural Differences and Impact on Strategy</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_Toc214898153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10</w:t>
            </w:r>
            <w:r w:rsidRPr="009A224F">
              <w:rPr>
                <w:rFonts w:ascii="Arial" w:hAnsi="Arial" w:cs="Arial"/>
                <w:noProof/>
                <w:webHidden/>
              </w:rPr>
              <w:fldChar w:fldCharType="end"/>
            </w:r>
          </w:hyperlink>
        </w:p>
        <w:p w14:paraId="7D5A569E" w14:textId="045197B4" w:rsidR="000F222F" w:rsidRPr="009A224F" w:rsidRDefault="000F222F" w:rsidP="009A224F">
          <w:pPr>
            <w:pStyle w:val="TOC2"/>
            <w:tabs>
              <w:tab w:val="right" w:leader="dot" w:pos="9016"/>
            </w:tabs>
            <w:spacing w:line="360" w:lineRule="auto"/>
            <w:rPr>
              <w:rFonts w:ascii="Arial" w:hAnsi="Arial" w:cs="Arial"/>
              <w:noProof/>
            </w:rPr>
          </w:pPr>
          <w:hyperlink w:anchor="_Toc214898154" w:history="1">
            <w:r w:rsidRPr="009A224F">
              <w:rPr>
                <w:rStyle w:val="Hyperlink"/>
                <w:rFonts w:ascii="Arial" w:eastAsia="Times New Roman" w:hAnsi="Arial" w:cs="Arial"/>
                <w:noProof/>
              </w:rPr>
              <w:t>5.1. Switzerland vs. India: A Hofstede Comparison</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_Toc214898154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10</w:t>
            </w:r>
            <w:r w:rsidRPr="009A224F">
              <w:rPr>
                <w:rFonts w:ascii="Arial" w:hAnsi="Arial" w:cs="Arial"/>
                <w:noProof/>
                <w:webHidden/>
              </w:rPr>
              <w:fldChar w:fldCharType="end"/>
            </w:r>
          </w:hyperlink>
        </w:p>
        <w:p w14:paraId="0DB9F8CB" w14:textId="2792CB56" w:rsidR="000F222F" w:rsidRPr="009A224F" w:rsidRDefault="000F222F" w:rsidP="009A224F">
          <w:pPr>
            <w:pStyle w:val="TOC3"/>
            <w:tabs>
              <w:tab w:val="right" w:leader="dot" w:pos="9016"/>
            </w:tabs>
            <w:spacing w:line="360" w:lineRule="auto"/>
            <w:rPr>
              <w:rFonts w:ascii="Arial" w:hAnsi="Arial" w:cs="Arial"/>
              <w:noProof/>
            </w:rPr>
          </w:pPr>
          <w:hyperlink w:anchor="_Toc214898155" w:history="1">
            <w:r w:rsidRPr="009A224F">
              <w:rPr>
                <w:rStyle w:val="Hyperlink"/>
                <w:rFonts w:ascii="Arial" w:eastAsia="Times New Roman" w:hAnsi="Arial" w:cs="Arial"/>
                <w:noProof/>
              </w:rPr>
              <w:t>5.1.1. Power Distance Index (PDI): The Hierarchy Conflict</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_Toc214898155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10</w:t>
            </w:r>
            <w:r w:rsidRPr="009A224F">
              <w:rPr>
                <w:rFonts w:ascii="Arial" w:hAnsi="Arial" w:cs="Arial"/>
                <w:noProof/>
                <w:webHidden/>
              </w:rPr>
              <w:fldChar w:fldCharType="end"/>
            </w:r>
          </w:hyperlink>
        </w:p>
        <w:p w14:paraId="328A2DEF" w14:textId="2B059568" w:rsidR="000F222F" w:rsidRPr="009A224F" w:rsidRDefault="000F222F" w:rsidP="009A224F">
          <w:pPr>
            <w:pStyle w:val="TOC3"/>
            <w:tabs>
              <w:tab w:val="right" w:leader="dot" w:pos="9016"/>
            </w:tabs>
            <w:spacing w:line="360" w:lineRule="auto"/>
            <w:rPr>
              <w:rFonts w:ascii="Arial" w:hAnsi="Arial" w:cs="Arial"/>
              <w:noProof/>
            </w:rPr>
          </w:pPr>
          <w:hyperlink w:anchor="_Toc214898156" w:history="1">
            <w:r w:rsidRPr="009A224F">
              <w:rPr>
                <w:rStyle w:val="Hyperlink"/>
                <w:rFonts w:ascii="Arial" w:eastAsia="Times New Roman" w:hAnsi="Arial" w:cs="Arial"/>
                <w:noProof/>
              </w:rPr>
              <w:t>5.1.2. Individualism versus Collectivism (IDV): Relationships Over Contract</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_Toc214898156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10</w:t>
            </w:r>
            <w:r w:rsidRPr="009A224F">
              <w:rPr>
                <w:rFonts w:ascii="Arial" w:hAnsi="Arial" w:cs="Arial"/>
                <w:noProof/>
                <w:webHidden/>
              </w:rPr>
              <w:fldChar w:fldCharType="end"/>
            </w:r>
          </w:hyperlink>
        </w:p>
        <w:p w14:paraId="7A10E769" w14:textId="3E7E33A0" w:rsidR="000F222F" w:rsidRPr="009A224F" w:rsidRDefault="000F222F" w:rsidP="009A224F">
          <w:pPr>
            <w:pStyle w:val="TOC2"/>
            <w:tabs>
              <w:tab w:val="right" w:leader="dot" w:pos="9016"/>
            </w:tabs>
            <w:spacing w:line="360" w:lineRule="auto"/>
            <w:rPr>
              <w:rFonts w:ascii="Arial" w:hAnsi="Arial" w:cs="Arial"/>
              <w:noProof/>
            </w:rPr>
          </w:pPr>
          <w:hyperlink w:anchor="_Toc214898157" w:history="1">
            <w:r w:rsidRPr="009A224F">
              <w:rPr>
                <w:rStyle w:val="Hyperlink"/>
                <w:rFonts w:ascii="Arial" w:eastAsia="Times New Roman" w:hAnsi="Arial" w:cs="Arial"/>
                <w:noProof/>
              </w:rPr>
              <w:t>5.2. Impact on Market Entry Strategy</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_Toc214898157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11</w:t>
            </w:r>
            <w:r w:rsidRPr="009A224F">
              <w:rPr>
                <w:rFonts w:ascii="Arial" w:hAnsi="Arial" w:cs="Arial"/>
                <w:noProof/>
                <w:webHidden/>
              </w:rPr>
              <w:fldChar w:fldCharType="end"/>
            </w:r>
          </w:hyperlink>
        </w:p>
        <w:p w14:paraId="758AB32F" w14:textId="35AAA98C" w:rsidR="000F222F" w:rsidRPr="009A224F" w:rsidRDefault="000F222F" w:rsidP="009A224F">
          <w:pPr>
            <w:pStyle w:val="TOC3"/>
            <w:tabs>
              <w:tab w:val="right" w:leader="dot" w:pos="9016"/>
            </w:tabs>
            <w:spacing w:line="360" w:lineRule="auto"/>
            <w:rPr>
              <w:rFonts w:ascii="Arial" w:hAnsi="Arial" w:cs="Arial"/>
              <w:noProof/>
            </w:rPr>
          </w:pPr>
          <w:hyperlink w:anchor="_Toc214898158" w:history="1">
            <w:r w:rsidRPr="009A224F">
              <w:rPr>
                <w:rStyle w:val="Hyperlink"/>
                <w:rFonts w:ascii="Arial" w:eastAsia="Times New Roman" w:hAnsi="Arial" w:cs="Arial"/>
                <w:noProof/>
              </w:rPr>
              <w:t>5.2.1. Trust and Partnership Formation</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_Toc214898158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11</w:t>
            </w:r>
            <w:r w:rsidRPr="009A224F">
              <w:rPr>
                <w:rFonts w:ascii="Arial" w:hAnsi="Arial" w:cs="Arial"/>
                <w:noProof/>
                <w:webHidden/>
              </w:rPr>
              <w:fldChar w:fldCharType="end"/>
            </w:r>
          </w:hyperlink>
        </w:p>
        <w:p w14:paraId="6508FEA5" w14:textId="30ED44E5" w:rsidR="000F222F" w:rsidRPr="009A224F" w:rsidRDefault="000F222F" w:rsidP="009A224F">
          <w:pPr>
            <w:pStyle w:val="TOC3"/>
            <w:tabs>
              <w:tab w:val="right" w:leader="dot" w:pos="9016"/>
            </w:tabs>
            <w:spacing w:line="360" w:lineRule="auto"/>
            <w:rPr>
              <w:rFonts w:ascii="Arial" w:hAnsi="Arial" w:cs="Arial"/>
              <w:noProof/>
            </w:rPr>
          </w:pPr>
          <w:hyperlink w:anchor="_Toc214898159" w:history="1">
            <w:r w:rsidRPr="009A224F">
              <w:rPr>
                <w:rStyle w:val="Hyperlink"/>
                <w:rFonts w:ascii="Arial" w:eastAsia="Times New Roman" w:hAnsi="Arial" w:cs="Arial"/>
                <w:noProof/>
              </w:rPr>
              <w:t>5.2.2. Marketing and Product Adaptation</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_Toc214898159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11</w:t>
            </w:r>
            <w:r w:rsidRPr="009A224F">
              <w:rPr>
                <w:rFonts w:ascii="Arial" w:hAnsi="Arial" w:cs="Arial"/>
                <w:noProof/>
                <w:webHidden/>
              </w:rPr>
              <w:fldChar w:fldCharType="end"/>
            </w:r>
          </w:hyperlink>
        </w:p>
        <w:p w14:paraId="251DE16D" w14:textId="4C4D905F" w:rsidR="000F222F" w:rsidRPr="009A224F" w:rsidRDefault="000F222F" w:rsidP="009A224F">
          <w:pPr>
            <w:pStyle w:val="TOC2"/>
            <w:tabs>
              <w:tab w:val="right" w:leader="dot" w:pos="9016"/>
            </w:tabs>
            <w:spacing w:line="360" w:lineRule="auto"/>
            <w:rPr>
              <w:rFonts w:ascii="Arial" w:hAnsi="Arial" w:cs="Arial"/>
              <w:noProof/>
            </w:rPr>
          </w:pPr>
          <w:hyperlink w:anchor="_Toc214898160" w:history="1">
            <w:r w:rsidRPr="009A224F">
              <w:rPr>
                <w:rStyle w:val="Hyperlink"/>
                <w:rFonts w:ascii="Arial" w:eastAsia="Times New Roman" w:hAnsi="Arial" w:cs="Arial"/>
                <w:noProof/>
              </w:rPr>
              <w:t>5.3. Impact on Organizational Success and Internal Management</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_Toc214898160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11</w:t>
            </w:r>
            <w:r w:rsidRPr="009A224F">
              <w:rPr>
                <w:rFonts w:ascii="Arial" w:hAnsi="Arial" w:cs="Arial"/>
                <w:noProof/>
                <w:webHidden/>
              </w:rPr>
              <w:fldChar w:fldCharType="end"/>
            </w:r>
          </w:hyperlink>
        </w:p>
        <w:p w14:paraId="065DD224" w14:textId="171A88F9" w:rsidR="000F222F" w:rsidRPr="009A224F" w:rsidRDefault="000F222F" w:rsidP="009A224F">
          <w:pPr>
            <w:pStyle w:val="TOC3"/>
            <w:tabs>
              <w:tab w:val="right" w:leader="dot" w:pos="9016"/>
            </w:tabs>
            <w:spacing w:line="360" w:lineRule="auto"/>
            <w:rPr>
              <w:rFonts w:ascii="Arial" w:hAnsi="Arial" w:cs="Arial"/>
              <w:noProof/>
            </w:rPr>
          </w:pPr>
          <w:hyperlink w:anchor="_Toc214898161" w:history="1">
            <w:r w:rsidRPr="009A224F">
              <w:rPr>
                <w:rStyle w:val="Hyperlink"/>
                <w:rFonts w:ascii="Arial" w:eastAsia="Times New Roman" w:hAnsi="Arial" w:cs="Arial"/>
                <w:noProof/>
              </w:rPr>
              <w:t>5.3.1. Leadership Style and Communication</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_Toc214898161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11</w:t>
            </w:r>
            <w:r w:rsidRPr="009A224F">
              <w:rPr>
                <w:rFonts w:ascii="Arial" w:hAnsi="Arial" w:cs="Arial"/>
                <w:noProof/>
                <w:webHidden/>
              </w:rPr>
              <w:fldChar w:fldCharType="end"/>
            </w:r>
          </w:hyperlink>
        </w:p>
        <w:p w14:paraId="585363C0" w14:textId="1A5289C7" w:rsidR="000F222F" w:rsidRPr="009A224F" w:rsidRDefault="000F222F" w:rsidP="009A224F">
          <w:pPr>
            <w:pStyle w:val="TOC3"/>
            <w:tabs>
              <w:tab w:val="right" w:leader="dot" w:pos="9016"/>
            </w:tabs>
            <w:spacing w:line="360" w:lineRule="auto"/>
            <w:rPr>
              <w:rFonts w:ascii="Arial" w:hAnsi="Arial" w:cs="Arial"/>
              <w:noProof/>
            </w:rPr>
          </w:pPr>
          <w:hyperlink w:anchor="_Toc214898162" w:history="1">
            <w:r w:rsidRPr="009A224F">
              <w:rPr>
                <w:rStyle w:val="Hyperlink"/>
                <w:rFonts w:ascii="Arial" w:eastAsia="Times New Roman" w:hAnsi="Arial" w:cs="Arial"/>
                <w:noProof/>
              </w:rPr>
              <w:t>5.3.2. Crisis Communication Failure (Cultural Insight)</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_Toc214898162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11</w:t>
            </w:r>
            <w:r w:rsidRPr="009A224F">
              <w:rPr>
                <w:rFonts w:ascii="Arial" w:hAnsi="Arial" w:cs="Arial"/>
                <w:noProof/>
                <w:webHidden/>
              </w:rPr>
              <w:fldChar w:fldCharType="end"/>
            </w:r>
          </w:hyperlink>
        </w:p>
        <w:p w14:paraId="1226B131" w14:textId="1989C209" w:rsidR="000F222F" w:rsidRPr="009A224F" w:rsidRDefault="000F222F" w:rsidP="009A224F">
          <w:pPr>
            <w:pStyle w:val="TOC3"/>
            <w:tabs>
              <w:tab w:val="right" w:leader="dot" w:pos="9016"/>
            </w:tabs>
            <w:spacing w:line="360" w:lineRule="auto"/>
            <w:rPr>
              <w:rFonts w:ascii="Arial" w:hAnsi="Arial" w:cs="Arial"/>
              <w:noProof/>
            </w:rPr>
          </w:pPr>
          <w:hyperlink w:anchor="_Toc214898163" w:history="1">
            <w:r w:rsidRPr="009A224F">
              <w:rPr>
                <w:rStyle w:val="Hyperlink"/>
                <w:rFonts w:ascii="Arial" w:hAnsi="Arial" w:cs="Arial"/>
                <w:noProof/>
              </w:rPr>
              <w:t>Table 5.1: Comparative Cultural Dimensions: Switzerland (Home) vs. India (Host)</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_Toc214898163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12</w:t>
            </w:r>
            <w:r w:rsidRPr="009A224F">
              <w:rPr>
                <w:rFonts w:ascii="Arial" w:hAnsi="Arial" w:cs="Arial"/>
                <w:noProof/>
                <w:webHidden/>
              </w:rPr>
              <w:fldChar w:fldCharType="end"/>
            </w:r>
          </w:hyperlink>
        </w:p>
        <w:p w14:paraId="7168629D" w14:textId="06240B68" w:rsidR="000F222F" w:rsidRPr="009A224F" w:rsidRDefault="000F222F" w:rsidP="009A224F">
          <w:pPr>
            <w:pStyle w:val="TOC1"/>
            <w:tabs>
              <w:tab w:val="right" w:leader="dot" w:pos="9016"/>
            </w:tabs>
            <w:spacing w:line="360" w:lineRule="auto"/>
            <w:rPr>
              <w:rFonts w:ascii="Arial" w:hAnsi="Arial" w:cs="Arial"/>
              <w:noProof/>
            </w:rPr>
          </w:pPr>
          <w:hyperlink w:anchor="_Toc214898164" w:history="1">
            <w:r w:rsidRPr="009A224F">
              <w:rPr>
                <w:rStyle w:val="Hyperlink"/>
                <w:rFonts w:ascii="Arial" w:eastAsia="Times New Roman" w:hAnsi="Arial" w:cs="Arial"/>
                <w:noProof/>
              </w:rPr>
              <w:t>6. Recommended Adjustments to Standard Operating Procedures (SOPs)</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_Toc214898164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13</w:t>
            </w:r>
            <w:r w:rsidRPr="009A224F">
              <w:rPr>
                <w:rFonts w:ascii="Arial" w:hAnsi="Arial" w:cs="Arial"/>
                <w:noProof/>
                <w:webHidden/>
              </w:rPr>
              <w:fldChar w:fldCharType="end"/>
            </w:r>
          </w:hyperlink>
        </w:p>
        <w:p w14:paraId="4C9C1B9E" w14:textId="48AAB427" w:rsidR="000F222F" w:rsidRPr="009A224F" w:rsidRDefault="000F222F" w:rsidP="009A224F">
          <w:pPr>
            <w:pStyle w:val="TOC2"/>
            <w:tabs>
              <w:tab w:val="right" w:leader="dot" w:pos="9016"/>
            </w:tabs>
            <w:spacing w:line="360" w:lineRule="auto"/>
            <w:rPr>
              <w:rFonts w:ascii="Arial" w:hAnsi="Arial" w:cs="Arial"/>
              <w:noProof/>
            </w:rPr>
          </w:pPr>
          <w:hyperlink w:anchor="_Toc214898165" w:history="1">
            <w:r w:rsidRPr="009A224F">
              <w:rPr>
                <w:rStyle w:val="Hyperlink"/>
                <w:rFonts w:ascii="Arial" w:eastAsia="Times New Roman" w:hAnsi="Arial" w:cs="Arial"/>
                <w:noProof/>
              </w:rPr>
              <w:t>6.1. Recommendation 1: Enhanced and Localized Quality Control and Compliance SOPs</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_Toc214898165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13</w:t>
            </w:r>
            <w:r w:rsidRPr="009A224F">
              <w:rPr>
                <w:rFonts w:ascii="Arial" w:hAnsi="Arial" w:cs="Arial"/>
                <w:noProof/>
                <w:webHidden/>
              </w:rPr>
              <w:fldChar w:fldCharType="end"/>
            </w:r>
          </w:hyperlink>
        </w:p>
        <w:p w14:paraId="1BDC5C89" w14:textId="1657B19C" w:rsidR="000F222F" w:rsidRPr="009A224F" w:rsidRDefault="000F222F" w:rsidP="009A224F">
          <w:pPr>
            <w:pStyle w:val="TOC3"/>
            <w:tabs>
              <w:tab w:val="right" w:leader="dot" w:pos="9016"/>
            </w:tabs>
            <w:spacing w:line="360" w:lineRule="auto"/>
            <w:rPr>
              <w:rFonts w:ascii="Arial" w:hAnsi="Arial" w:cs="Arial"/>
              <w:noProof/>
            </w:rPr>
          </w:pPr>
          <w:hyperlink w:anchor="_Toc214898166" w:history="1">
            <w:r w:rsidRPr="009A224F">
              <w:rPr>
                <w:rStyle w:val="Hyperlink"/>
                <w:rFonts w:ascii="Arial" w:eastAsia="Times New Roman" w:hAnsi="Arial" w:cs="Arial"/>
                <w:noProof/>
              </w:rPr>
              <w:t>6.1.1. Justification (I-Advantage Protection and Regulatory Risk Mitigation)</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_Toc214898166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13</w:t>
            </w:r>
            <w:r w:rsidRPr="009A224F">
              <w:rPr>
                <w:rFonts w:ascii="Arial" w:hAnsi="Arial" w:cs="Arial"/>
                <w:noProof/>
                <w:webHidden/>
              </w:rPr>
              <w:fldChar w:fldCharType="end"/>
            </w:r>
          </w:hyperlink>
        </w:p>
        <w:p w14:paraId="6FD6A8F7" w14:textId="2D27D863" w:rsidR="000F222F" w:rsidRPr="009A224F" w:rsidRDefault="000F222F" w:rsidP="009A224F">
          <w:pPr>
            <w:pStyle w:val="TOC3"/>
            <w:tabs>
              <w:tab w:val="right" w:leader="dot" w:pos="9016"/>
            </w:tabs>
            <w:spacing w:line="360" w:lineRule="auto"/>
            <w:rPr>
              <w:rFonts w:ascii="Arial" w:hAnsi="Arial" w:cs="Arial"/>
              <w:noProof/>
            </w:rPr>
          </w:pPr>
          <w:hyperlink w:anchor="_Toc214898167" w:history="1">
            <w:r w:rsidRPr="009A224F">
              <w:rPr>
                <w:rStyle w:val="Hyperlink"/>
                <w:rFonts w:ascii="Arial" w:eastAsia="Times New Roman" w:hAnsi="Arial" w:cs="Arial"/>
                <w:noProof/>
              </w:rPr>
              <w:t>6.1.2. Proposed Adjustment: Institutionalization of a Regulatory Foresight SOP</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_Toc214898167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13</w:t>
            </w:r>
            <w:r w:rsidRPr="009A224F">
              <w:rPr>
                <w:rFonts w:ascii="Arial" w:hAnsi="Arial" w:cs="Arial"/>
                <w:noProof/>
                <w:webHidden/>
              </w:rPr>
              <w:fldChar w:fldCharType="end"/>
            </w:r>
          </w:hyperlink>
        </w:p>
        <w:p w14:paraId="191D0A96" w14:textId="1528F034" w:rsidR="000F222F" w:rsidRPr="009A224F" w:rsidRDefault="000F222F" w:rsidP="009A224F">
          <w:pPr>
            <w:pStyle w:val="TOC2"/>
            <w:tabs>
              <w:tab w:val="right" w:leader="dot" w:pos="9016"/>
            </w:tabs>
            <w:spacing w:line="360" w:lineRule="auto"/>
            <w:rPr>
              <w:rFonts w:ascii="Arial" w:hAnsi="Arial" w:cs="Arial"/>
              <w:noProof/>
            </w:rPr>
          </w:pPr>
          <w:hyperlink w:anchor="_Toc214898168" w:history="1">
            <w:r w:rsidRPr="009A224F">
              <w:rPr>
                <w:rStyle w:val="Hyperlink"/>
                <w:rFonts w:ascii="Arial" w:eastAsia="Times New Roman" w:hAnsi="Arial" w:cs="Arial"/>
                <w:noProof/>
              </w:rPr>
              <w:t>6.2. Recommendation 2: Restructuring Internal Communication and Decision-Making SOPs</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_Toc214898168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14</w:t>
            </w:r>
            <w:r w:rsidRPr="009A224F">
              <w:rPr>
                <w:rFonts w:ascii="Arial" w:hAnsi="Arial" w:cs="Arial"/>
                <w:noProof/>
                <w:webHidden/>
              </w:rPr>
              <w:fldChar w:fldCharType="end"/>
            </w:r>
          </w:hyperlink>
        </w:p>
        <w:p w14:paraId="0A2BE3E7" w14:textId="639D91EC" w:rsidR="000F222F" w:rsidRPr="009A224F" w:rsidRDefault="000F222F" w:rsidP="009A224F">
          <w:pPr>
            <w:pStyle w:val="TOC3"/>
            <w:tabs>
              <w:tab w:val="right" w:leader="dot" w:pos="9016"/>
            </w:tabs>
            <w:spacing w:line="360" w:lineRule="auto"/>
            <w:rPr>
              <w:rFonts w:ascii="Arial" w:hAnsi="Arial" w:cs="Arial"/>
              <w:noProof/>
            </w:rPr>
          </w:pPr>
          <w:hyperlink w:anchor="_Toc214898169" w:history="1">
            <w:r w:rsidRPr="009A224F">
              <w:rPr>
                <w:rStyle w:val="Hyperlink"/>
                <w:rFonts w:ascii="Arial" w:eastAsia="Times New Roman" w:hAnsi="Arial" w:cs="Arial"/>
                <w:noProof/>
              </w:rPr>
              <w:t>6.2.1. Justification (PDI and Crisis Response)</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_Toc214898169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14</w:t>
            </w:r>
            <w:r w:rsidRPr="009A224F">
              <w:rPr>
                <w:rFonts w:ascii="Arial" w:hAnsi="Arial" w:cs="Arial"/>
                <w:noProof/>
                <w:webHidden/>
              </w:rPr>
              <w:fldChar w:fldCharType="end"/>
            </w:r>
          </w:hyperlink>
        </w:p>
        <w:p w14:paraId="50D2CC5D" w14:textId="5E2FE617" w:rsidR="000F222F" w:rsidRPr="009A224F" w:rsidRDefault="000F222F" w:rsidP="009A224F">
          <w:pPr>
            <w:pStyle w:val="TOC3"/>
            <w:tabs>
              <w:tab w:val="right" w:leader="dot" w:pos="9016"/>
            </w:tabs>
            <w:spacing w:line="360" w:lineRule="auto"/>
            <w:rPr>
              <w:rFonts w:ascii="Arial" w:hAnsi="Arial" w:cs="Arial"/>
              <w:noProof/>
            </w:rPr>
          </w:pPr>
          <w:hyperlink w:anchor="_Toc214898170" w:history="1">
            <w:r w:rsidRPr="009A224F">
              <w:rPr>
                <w:rStyle w:val="Hyperlink"/>
                <w:rFonts w:ascii="Arial" w:eastAsia="Times New Roman" w:hAnsi="Arial" w:cs="Arial"/>
                <w:noProof/>
              </w:rPr>
              <w:t>6.2.2. Proposed Adjustment: Formalized Consultative Authority and Triage SOPs</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_Toc214898170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14</w:t>
            </w:r>
            <w:r w:rsidRPr="009A224F">
              <w:rPr>
                <w:rFonts w:ascii="Arial" w:hAnsi="Arial" w:cs="Arial"/>
                <w:noProof/>
                <w:webHidden/>
              </w:rPr>
              <w:fldChar w:fldCharType="end"/>
            </w:r>
          </w:hyperlink>
        </w:p>
        <w:p w14:paraId="41F6F582" w14:textId="46C5756C" w:rsidR="000F222F" w:rsidRPr="009A224F" w:rsidRDefault="000F222F" w:rsidP="009A224F">
          <w:pPr>
            <w:pStyle w:val="TOC2"/>
            <w:tabs>
              <w:tab w:val="right" w:leader="dot" w:pos="9016"/>
            </w:tabs>
            <w:spacing w:line="360" w:lineRule="auto"/>
            <w:rPr>
              <w:rFonts w:ascii="Arial" w:hAnsi="Arial" w:cs="Arial"/>
              <w:noProof/>
            </w:rPr>
          </w:pPr>
          <w:hyperlink w:anchor="_Toc214898171" w:history="1">
            <w:r w:rsidRPr="009A224F">
              <w:rPr>
                <w:rStyle w:val="Hyperlink"/>
                <w:rFonts w:ascii="Arial" w:eastAsia="Times New Roman" w:hAnsi="Arial" w:cs="Arial"/>
                <w:noProof/>
              </w:rPr>
              <w:t>6.3. Recommendation 3: Localizing Human Resource Management (HRM) SOPs and Training</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_Toc214898171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14</w:t>
            </w:r>
            <w:r w:rsidRPr="009A224F">
              <w:rPr>
                <w:rFonts w:ascii="Arial" w:hAnsi="Arial" w:cs="Arial"/>
                <w:noProof/>
                <w:webHidden/>
              </w:rPr>
              <w:fldChar w:fldCharType="end"/>
            </w:r>
          </w:hyperlink>
        </w:p>
        <w:p w14:paraId="3A356161" w14:textId="658461C8" w:rsidR="000F222F" w:rsidRPr="009A224F" w:rsidRDefault="000F222F" w:rsidP="009A224F">
          <w:pPr>
            <w:pStyle w:val="TOC3"/>
            <w:tabs>
              <w:tab w:val="right" w:leader="dot" w:pos="9016"/>
            </w:tabs>
            <w:spacing w:line="360" w:lineRule="auto"/>
            <w:rPr>
              <w:rFonts w:ascii="Arial" w:hAnsi="Arial" w:cs="Arial"/>
              <w:noProof/>
            </w:rPr>
          </w:pPr>
          <w:hyperlink w:anchor="_Toc214898172" w:history="1">
            <w:r w:rsidRPr="009A224F">
              <w:rPr>
                <w:rStyle w:val="Hyperlink"/>
                <w:rFonts w:ascii="Arial" w:eastAsia="Times New Roman" w:hAnsi="Arial" w:cs="Arial"/>
                <w:noProof/>
              </w:rPr>
              <w:t>6.3.1. Justification (Collectivism and Talent Retention)</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_Toc214898172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14</w:t>
            </w:r>
            <w:r w:rsidRPr="009A224F">
              <w:rPr>
                <w:rFonts w:ascii="Arial" w:hAnsi="Arial" w:cs="Arial"/>
                <w:noProof/>
                <w:webHidden/>
              </w:rPr>
              <w:fldChar w:fldCharType="end"/>
            </w:r>
          </w:hyperlink>
        </w:p>
        <w:p w14:paraId="2CE5A852" w14:textId="27E264B8" w:rsidR="000F222F" w:rsidRPr="009A224F" w:rsidRDefault="000F222F" w:rsidP="009A224F">
          <w:pPr>
            <w:pStyle w:val="TOC3"/>
            <w:tabs>
              <w:tab w:val="right" w:leader="dot" w:pos="9016"/>
            </w:tabs>
            <w:spacing w:line="360" w:lineRule="auto"/>
            <w:rPr>
              <w:rFonts w:ascii="Arial" w:hAnsi="Arial" w:cs="Arial"/>
              <w:noProof/>
            </w:rPr>
          </w:pPr>
          <w:hyperlink w:anchor="_Toc214898173" w:history="1">
            <w:r w:rsidRPr="009A224F">
              <w:rPr>
                <w:rStyle w:val="Hyperlink"/>
                <w:rFonts w:ascii="Arial" w:eastAsia="Times New Roman" w:hAnsi="Arial" w:cs="Arial"/>
                <w:noProof/>
              </w:rPr>
              <w:t>6.3.2. Proposed Adjustment: Culturally Adaptive Performance and Development SOPs</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_Toc214898173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15</w:t>
            </w:r>
            <w:r w:rsidRPr="009A224F">
              <w:rPr>
                <w:rFonts w:ascii="Arial" w:hAnsi="Arial" w:cs="Arial"/>
                <w:noProof/>
                <w:webHidden/>
              </w:rPr>
              <w:fldChar w:fldCharType="end"/>
            </w:r>
          </w:hyperlink>
        </w:p>
        <w:p w14:paraId="017722B7" w14:textId="07A6DFF1" w:rsidR="000F222F" w:rsidRPr="009A224F" w:rsidRDefault="000F222F" w:rsidP="009A224F">
          <w:pPr>
            <w:pStyle w:val="TOC1"/>
            <w:tabs>
              <w:tab w:val="right" w:leader="dot" w:pos="9016"/>
            </w:tabs>
            <w:spacing w:line="360" w:lineRule="auto"/>
            <w:rPr>
              <w:rFonts w:ascii="Arial" w:hAnsi="Arial" w:cs="Arial"/>
              <w:noProof/>
            </w:rPr>
          </w:pPr>
          <w:hyperlink w:anchor="_Toc214898174" w:history="1">
            <w:r w:rsidRPr="009A224F">
              <w:rPr>
                <w:rStyle w:val="Hyperlink"/>
                <w:rFonts w:ascii="Arial" w:eastAsia="Times New Roman" w:hAnsi="Arial" w:cs="Arial"/>
                <w:noProof/>
              </w:rPr>
              <w:t>7. Conclusion</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_Toc214898174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15</w:t>
            </w:r>
            <w:r w:rsidRPr="009A224F">
              <w:rPr>
                <w:rFonts w:ascii="Arial" w:hAnsi="Arial" w:cs="Arial"/>
                <w:noProof/>
                <w:webHidden/>
              </w:rPr>
              <w:fldChar w:fldCharType="end"/>
            </w:r>
          </w:hyperlink>
        </w:p>
        <w:p w14:paraId="527B808D" w14:textId="517A9693" w:rsidR="000F222F" w:rsidRPr="009A224F" w:rsidRDefault="000F222F" w:rsidP="009A224F">
          <w:pPr>
            <w:pStyle w:val="TOC2"/>
            <w:tabs>
              <w:tab w:val="right" w:leader="dot" w:pos="9016"/>
            </w:tabs>
            <w:spacing w:line="360" w:lineRule="auto"/>
            <w:rPr>
              <w:rFonts w:ascii="Arial" w:hAnsi="Arial" w:cs="Arial"/>
              <w:noProof/>
            </w:rPr>
          </w:pPr>
          <w:hyperlink w:anchor="_Toc214898175" w:history="1">
            <w:r w:rsidRPr="009A224F">
              <w:rPr>
                <w:rStyle w:val="Hyperlink"/>
                <w:rFonts w:ascii="Arial" w:eastAsia="Times New Roman" w:hAnsi="Arial" w:cs="Arial"/>
                <w:noProof/>
              </w:rPr>
              <w:t>7.1. Summary of Key Findings</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_Toc214898175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15</w:t>
            </w:r>
            <w:r w:rsidRPr="009A224F">
              <w:rPr>
                <w:rFonts w:ascii="Arial" w:hAnsi="Arial" w:cs="Arial"/>
                <w:noProof/>
                <w:webHidden/>
              </w:rPr>
              <w:fldChar w:fldCharType="end"/>
            </w:r>
          </w:hyperlink>
        </w:p>
        <w:p w14:paraId="66FF724B" w14:textId="09FD09FD" w:rsidR="000F222F" w:rsidRPr="009A224F" w:rsidRDefault="000F222F" w:rsidP="009A224F">
          <w:pPr>
            <w:pStyle w:val="TOC1"/>
            <w:tabs>
              <w:tab w:val="right" w:leader="dot" w:pos="9016"/>
            </w:tabs>
            <w:spacing w:line="360" w:lineRule="auto"/>
            <w:rPr>
              <w:rFonts w:ascii="Arial" w:hAnsi="Arial" w:cs="Arial"/>
              <w:noProof/>
            </w:rPr>
          </w:pPr>
          <w:hyperlink w:anchor="_Toc214898176" w:history="1">
            <w:r w:rsidRPr="009A224F">
              <w:rPr>
                <w:rStyle w:val="Hyperlink"/>
                <w:rFonts w:ascii="Arial" w:eastAsia="Times New Roman" w:hAnsi="Arial" w:cs="Arial"/>
                <w:noProof/>
              </w:rPr>
              <w:t>8. Harvard Reference List</w:t>
            </w:r>
            <w:r w:rsidRPr="009A224F">
              <w:rPr>
                <w:rFonts w:ascii="Arial" w:hAnsi="Arial" w:cs="Arial"/>
                <w:noProof/>
                <w:webHidden/>
              </w:rPr>
              <w:tab/>
            </w:r>
            <w:r w:rsidRPr="009A224F">
              <w:rPr>
                <w:rFonts w:ascii="Arial" w:hAnsi="Arial" w:cs="Arial"/>
                <w:noProof/>
                <w:webHidden/>
              </w:rPr>
              <w:fldChar w:fldCharType="begin"/>
            </w:r>
            <w:r w:rsidRPr="009A224F">
              <w:rPr>
                <w:rFonts w:ascii="Arial" w:hAnsi="Arial" w:cs="Arial"/>
                <w:noProof/>
                <w:webHidden/>
              </w:rPr>
              <w:instrText xml:space="preserve"> PAGEREF _Toc214898176 \h </w:instrText>
            </w:r>
            <w:r w:rsidRPr="009A224F">
              <w:rPr>
                <w:rFonts w:ascii="Arial" w:hAnsi="Arial" w:cs="Arial"/>
                <w:noProof/>
                <w:webHidden/>
              </w:rPr>
            </w:r>
            <w:r w:rsidRPr="009A224F">
              <w:rPr>
                <w:rFonts w:ascii="Arial" w:hAnsi="Arial" w:cs="Arial"/>
                <w:noProof/>
                <w:webHidden/>
              </w:rPr>
              <w:fldChar w:fldCharType="separate"/>
            </w:r>
            <w:r w:rsidRPr="009A224F">
              <w:rPr>
                <w:rFonts w:ascii="Arial" w:hAnsi="Arial" w:cs="Arial"/>
                <w:noProof/>
                <w:webHidden/>
              </w:rPr>
              <w:t>16</w:t>
            </w:r>
            <w:r w:rsidRPr="009A224F">
              <w:rPr>
                <w:rFonts w:ascii="Arial" w:hAnsi="Arial" w:cs="Arial"/>
                <w:noProof/>
                <w:webHidden/>
              </w:rPr>
              <w:fldChar w:fldCharType="end"/>
            </w:r>
          </w:hyperlink>
        </w:p>
        <w:p w14:paraId="3287C87B" w14:textId="0BC31C9C" w:rsidR="000F222F" w:rsidRPr="009A224F" w:rsidRDefault="000F222F" w:rsidP="009A224F">
          <w:pPr>
            <w:spacing w:line="360" w:lineRule="auto"/>
            <w:rPr>
              <w:rFonts w:ascii="Arial" w:hAnsi="Arial" w:cs="Arial"/>
            </w:rPr>
          </w:pPr>
          <w:r w:rsidRPr="009A224F">
            <w:rPr>
              <w:rFonts w:ascii="Arial" w:hAnsi="Arial" w:cs="Arial"/>
              <w:b/>
              <w:bCs/>
              <w:noProof/>
            </w:rPr>
            <w:fldChar w:fldCharType="end"/>
          </w:r>
        </w:p>
      </w:sdtContent>
    </w:sdt>
    <w:bookmarkStart w:id="0" w:name="_Toc214898127" w:displacedByCustomXml="prev"/>
    <w:p w14:paraId="11D83AA6" w14:textId="77777777" w:rsidR="000F222F" w:rsidRDefault="000F222F" w:rsidP="009A224F">
      <w:pPr>
        <w:pStyle w:val="Heading1"/>
        <w:spacing w:line="360" w:lineRule="auto"/>
        <w:rPr>
          <w:rFonts w:ascii="Arial" w:eastAsia="Times New Roman" w:hAnsi="Arial" w:cs="Arial"/>
        </w:rPr>
      </w:pPr>
    </w:p>
    <w:p w14:paraId="3D1BAA76" w14:textId="77777777" w:rsidR="009A224F" w:rsidRDefault="009A224F" w:rsidP="009A224F"/>
    <w:p w14:paraId="3B8CE936" w14:textId="77777777" w:rsidR="009A224F" w:rsidRDefault="009A224F" w:rsidP="009A224F"/>
    <w:p w14:paraId="2B4AD928" w14:textId="77777777" w:rsidR="009A224F" w:rsidRDefault="009A224F" w:rsidP="009A224F"/>
    <w:p w14:paraId="606DB02E" w14:textId="77777777" w:rsidR="009A224F" w:rsidRDefault="009A224F" w:rsidP="009A224F"/>
    <w:p w14:paraId="60D0660C" w14:textId="77777777" w:rsidR="009A224F" w:rsidRDefault="009A224F" w:rsidP="009A224F"/>
    <w:p w14:paraId="1890B0D1" w14:textId="77777777" w:rsidR="009A224F" w:rsidRDefault="009A224F" w:rsidP="009A224F"/>
    <w:p w14:paraId="71E8D97B" w14:textId="77777777" w:rsidR="009A224F" w:rsidRDefault="009A224F" w:rsidP="009A224F"/>
    <w:p w14:paraId="5AB0F548" w14:textId="77777777" w:rsidR="009A224F" w:rsidRDefault="009A224F" w:rsidP="009A224F"/>
    <w:p w14:paraId="1D16D66B" w14:textId="77777777" w:rsidR="009A224F" w:rsidRDefault="009A224F" w:rsidP="009A224F"/>
    <w:p w14:paraId="185277FE" w14:textId="77777777" w:rsidR="009A224F" w:rsidRDefault="009A224F" w:rsidP="009A224F"/>
    <w:p w14:paraId="4D628CAA" w14:textId="77777777" w:rsidR="009A224F" w:rsidRDefault="009A224F" w:rsidP="009A224F"/>
    <w:p w14:paraId="22EF51CC" w14:textId="77777777" w:rsidR="009A224F" w:rsidRDefault="009A224F" w:rsidP="009A224F"/>
    <w:p w14:paraId="71F2547B" w14:textId="77777777" w:rsidR="009A224F" w:rsidRPr="009A224F" w:rsidRDefault="009A224F" w:rsidP="009A224F"/>
    <w:p w14:paraId="470808BB" w14:textId="77777777" w:rsidR="000F222F" w:rsidRPr="009A224F" w:rsidRDefault="000F222F" w:rsidP="009A224F">
      <w:pPr>
        <w:pStyle w:val="Heading1"/>
        <w:spacing w:line="360" w:lineRule="auto"/>
        <w:rPr>
          <w:rFonts w:ascii="Arial" w:eastAsia="Times New Roman" w:hAnsi="Arial" w:cs="Arial"/>
        </w:rPr>
      </w:pPr>
    </w:p>
    <w:p w14:paraId="352B8A6A" w14:textId="77777777" w:rsidR="000F222F" w:rsidRPr="009A224F" w:rsidRDefault="000F222F" w:rsidP="009A224F">
      <w:pPr>
        <w:spacing w:line="360" w:lineRule="auto"/>
        <w:rPr>
          <w:rFonts w:ascii="Arial" w:hAnsi="Arial" w:cs="Arial"/>
        </w:rPr>
      </w:pPr>
    </w:p>
    <w:p w14:paraId="258A6749" w14:textId="7AA92BF3" w:rsidR="009504B0" w:rsidRPr="009A224F" w:rsidRDefault="009504B0" w:rsidP="009A224F">
      <w:pPr>
        <w:pStyle w:val="Heading1"/>
        <w:spacing w:line="360" w:lineRule="auto"/>
        <w:rPr>
          <w:rFonts w:ascii="Arial" w:eastAsia="Times New Roman" w:hAnsi="Arial" w:cs="Arial"/>
        </w:rPr>
      </w:pPr>
      <w:r w:rsidRPr="009A224F">
        <w:rPr>
          <w:rFonts w:ascii="Arial" w:eastAsia="Times New Roman" w:hAnsi="Arial" w:cs="Arial"/>
        </w:rPr>
        <w:lastRenderedPageBreak/>
        <w:t>1. Executive Summary</w:t>
      </w:r>
      <w:bookmarkEnd w:id="0"/>
    </w:p>
    <w:p w14:paraId="49A91451" w14:textId="2AD12805"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 xml:space="preserve">This report assesses the international business strategy of Nestlé S.A., a Transnational Corporation (TNC) headquartered in Switzerland, focusing on its market operations in the emerging economy of India. Nestlé’s status as a TNC is confirmed by its vast global footprint and highly decentralized, polycentric management structure (Bartlett &amp; Ghoshal 1989; Hill 2020). The selection of a Wholly Owned Subsidiary (WOS) as the dominant entry mode into India is justified by Dunning’s Eclectic Paradigm (OLI), driven primarily by the need for maximal control (Internalization advantage) to protect proprietary technology and enforce stringent quality standards (Ownership advantage) in a high-growth market (Location advantage). Critical analysis reveals significant cultural gaps between Switzerland and India, particularly in high Power Distance (PDI 77) and Collectivism (IDV 48) (Hofstede 2010; The Hofstede Centre n.d.). These differences directly impact </w:t>
      </w:r>
      <w:r w:rsidR="6CEABA51" w:rsidRPr="009A224F">
        <w:rPr>
          <w:rFonts w:ascii="Arial" w:hAnsi="Arial" w:cs="Arial"/>
          <w:color w:val="1F1F1F"/>
        </w:rPr>
        <w:t>organisational</w:t>
      </w:r>
      <w:r w:rsidRPr="009A224F">
        <w:rPr>
          <w:rFonts w:ascii="Arial" w:hAnsi="Arial" w:cs="Arial"/>
          <w:color w:val="1F1F1F"/>
        </w:rPr>
        <w:t xml:space="preserve"> success, as evidenced by the challenges faced during the 2015 Maggi crisis, where communication and regulatory SOPs proved inadequate (Singh &amp; Gupta 2016). To ensure sustained success, three major adjustments to Standard Operating Procedures (SOPs) are recommended: instituting a </w:t>
      </w:r>
      <w:r w:rsidRPr="009A224F">
        <w:rPr>
          <w:rStyle w:val="Strong"/>
          <w:rFonts w:ascii="Arial" w:hAnsi="Arial" w:cs="Arial"/>
          <w:color w:val="1F1F1F"/>
          <w:bdr w:val="none" w:sz="0" w:space="0" w:color="auto" w:frame="1"/>
        </w:rPr>
        <w:t>Regulatory Foresight Unit</w:t>
      </w:r>
      <w:r w:rsidRPr="009A224F">
        <w:rPr>
          <w:rFonts w:ascii="Arial" w:hAnsi="Arial" w:cs="Arial"/>
          <w:color w:val="1F1F1F"/>
        </w:rPr>
        <w:t xml:space="preserve"> to proactively manage compliance, establishing a </w:t>
      </w:r>
      <w:r w:rsidR="571E4190" w:rsidRPr="009A224F">
        <w:rPr>
          <w:rFonts w:ascii="Arial" w:hAnsi="Arial" w:cs="Arial"/>
          <w:color w:val="1F1F1F"/>
        </w:rPr>
        <w:t>Formalised</w:t>
      </w:r>
      <w:r w:rsidRPr="009A224F">
        <w:rPr>
          <w:rStyle w:val="Strong"/>
          <w:rFonts w:ascii="Arial" w:hAnsi="Arial" w:cs="Arial"/>
          <w:color w:val="1F1F1F"/>
          <w:bdr w:val="none" w:sz="0" w:space="0" w:color="auto" w:frame="1"/>
        </w:rPr>
        <w:t xml:space="preserve"> Consultative Authority and Triage SOP</w:t>
      </w:r>
      <w:r w:rsidRPr="009A224F">
        <w:rPr>
          <w:rFonts w:ascii="Arial" w:hAnsi="Arial" w:cs="Arial"/>
          <w:color w:val="1F1F1F"/>
        </w:rPr>
        <w:t xml:space="preserve"> for improved crisis leadership and communication, and </w:t>
      </w:r>
      <w:r w:rsidR="22D29A2C" w:rsidRPr="009A224F">
        <w:rPr>
          <w:rFonts w:ascii="Arial" w:hAnsi="Arial" w:cs="Arial"/>
          <w:color w:val="1F1F1F"/>
        </w:rPr>
        <w:t>localising</w:t>
      </w:r>
      <w:r w:rsidRPr="009A224F">
        <w:rPr>
          <w:rFonts w:ascii="Arial" w:hAnsi="Arial" w:cs="Arial"/>
          <w:color w:val="1F1F1F"/>
        </w:rPr>
        <w:t xml:space="preserve"> </w:t>
      </w:r>
      <w:r w:rsidRPr="009A224F">
        <w:rPr>
          <w:rStyle w:val="Strong"/>
          <w:rFonts w:ascii="Arial" w:hAnsi="Arial" w:cs="Arial"/>
          <w:color w:val="1F1F1F"/>
          <w:bdr w:val="none" w:sz="0" w:space="0" w:color="auto" w:frame="1"/>
        </w:rPr>
        <w:t>Human Resource Management (HRM) SOPs</w:t>
      </w:r>
      <w:r w:rsidRPr="009A224F">
        <w:rPr>
          <w:rFonts w:ascii="Arial" w:hAnsi="Arial" w:cs="Arial"/>
          <w:color w:val="1F1F1F"/>
        </w:rPr>
        <w:t xml:space="preserve"> to </w:t>
      </w:r>
      <w:r w:rsidR="409FC141" w:rsidRPr="009A224F">
        <w:rPr>
          <w:rFonts w:ascii="Arial" w:hAnsi="Arial" w:cs="Arial"/>
          <w:color w:val="1F1F1F"/>
        </w:rPr>
        <w:t>prioritise</w:t>
      </w:r>
      <w:r w:rsidRPr="009A224F">
        <w:rPr>
          <w:rFonts w:ascii="Arial" w:hAnsi="Arial" w:cs="Arial"/>
          <w:color w:val="1F1F1F"/>
        </w:rPr>
        <w:t xml:space="preserve"> relational capital and collective development.</w:t>
      </w:r>
    </w:p>
    <w:p w14:paraId="6F908C23" w14:textId="77777777" w:rsidR="003226B4" w:rsidRPr="009A224F" w:rsidRDefault="003226B4" w:rsidP="009A224F">
      <w:pPr>
        <w:pStyle w:val="NormalWeb"/>
        <w:spacing w:before="0" w:beforeAutospacing="0" w:after="0" w:afterAutospacing="0" w:line="360" w:lineRule="auto"/>
        <w:rPr>
          <w:rFonts w:ascii="Arial" w:hAnsi="Arial" w:cs="Arial"/>
          <w:color w:val="1F1F1F"/>
        </w:rPr>
      </w:pPr>
    </w:p>
    <w:p w14:paraId="6A3A76FA" w14:textId="77777777" w:rsidR="003226B4" w:rsidRPr="009A224F" w:rsidRDefault="003226B4" w:rsidP="009A224F">
      <w:pPr>
        <w:pStyle w:val="NormalWeb"/>
        <w:spacing w:before="0" w:beforeAutospacing="0" w:after="0" w:afterAutospacing="0" w:line="360" w:lineRule="auto"/>
        <w:rPr>
          <w:rFonts w:ascii="Arial" w:hAnsi="Arial" w:cs="Arial"/>
          <w:color w:val="1F1F1F"/>
        </w:rPr>
      </w:pPr>
    </w:p>
    <w:p w14:paraId="1387CA92" w14:textId="77777777" w:rsidR="003226B4" w:rsidRPr="009A224F" w:rsidRDefault="003226B4" w:rsidP="009A224F">
      <w:pPr>
        <w:pStyle w:val="NormalWeb"/>
        <w:spacing w:before="0" w:beforeAutospacing="0" w:after="0" w:afterAutospacing="0" w:line="360" w:lineRule="auto"/>
        <w:rPr>
          <w:rFonts w:ascii="Arial" w:hAnsi="Arial" w:cs="Arial"/>
          <w:color w:val="1F1F1F"/>
        </w:rPr>
      </w:pPr>
    </w:p>
    <w:p w14:paraId="6875A8F0" w14:textId="77777777" w:rsidR="003226B4" w:rsidRPr="009A224F" w:rsidRDefault="003226B4" w:rsidP="009A224F">
      <w:pPr>
        <w:pStyle w:val="NormalWeb"/>
        <w:spacing w:before="0" w:beforeAutospacing="0" w:after="0" w:afterAutospacing="0" w:line="360" w:lineRule="auto"/>
        <w:rPr>
          <w:rFonts w:ascii="Arial" w:hAnsi="Arial" w:cs="Arial"/>
          <w:color w:val="1F1F1F"/>
        </w:rPr>
      </w:pPr>
    </w:p>
    <w:p w14:paraId="756C4560" w14:textId="77777777" w:rsidR="003226B4" w:rsidRPr="009A224F" w:rsidRDefault="003226B4" w:rsidP="009A224F">
      <w:pPr>
        <w:pStyle w:val="NormalWeb"/>
        <w:spacing w:before="0" w:beforeAutospacing="0" w:after="0" w:afterAutospacing="0" w:line="360" w:lineRule="auto"/>
        <w:rPr>
          <w:rFonts w:ascii="Arial" w:hAnsi="Arial" w:cs="Arial"/>
          <w:color w:val="1F1F1F"/>
        </w:rPr>
      </w:pPr>
    </w:p>
    <w:p w14:paraId="1DBF766F" w14:textId="77777777" w:rsidR="003226B4" w:rsidRPr="009A224F" w:rsidRDefault="003226B4" w:rsidP="009A224F">
      <w:pPr>
        <w:pStyle w:val="NormalWeb"/>
        <w:spacing w:before="0" w:beforeAutospacing="0" w:after="0" w:afterAutospacing="0" w:line="360" w:lineRule="auto"/>
        <w:rPr>
          <w:rFonts w:ascii="Arial" w:hAnsi="Arial" w:cs="Arial"/>
          <w:color w:val="1F1F1F"/>
        </w:rPr>
      </w:pPr>
    </w:p>
    <w:p w14:paraId="138BFB7A" w14:textId="77777777" w:rsidR="003226B4" w:rsidRPr="009A224F" w:rsidRDefault="003226B4" w:rsidP="009A224F">
      <w:pPr>
        <w:pStyle w:val="NormalWeb"/>
        <w:spacing w:before="0" w:beforeAutospacing="0" w:after="0" w:afterAutospacing="0" w:line="360" w:lineRule="auto"/>
        <w:rPr>
          <w:rFonts w:ascii="Arial" w:hAnsi="Arial" w:cs="Arial"/>
          <w:color w:val="1F1F1F"/>
        </w:rPr>
      </w:pPr>
    </w:p>
    <w:p w14:paraId="073E6AC2" w14:textId="77777777" w:rsidR="003226B4" w:rsidRPr="009A224F" w:rsidRDefault="003226B4" w:rsidP="009A224F">
      <w:pPr>
        <w:pStyle w:val="NormalWeb"/>
        <w:spacing w:before="0" w:beforeAutospacing="0" w:after="0" w:afterAutospacing="0" w:line="360" w:lineRule="auto"/>
        <w:rPr>
          <w:rFonts w:ascii="Arial" w:hAnsi="Arial" w:cs="Arial"/>
          <w:color w:val="1F1F1F"/>
        </w:rPr>
      </w:pPr>
    </w:p>
    <w:p w14:paraId="767D3520" w14:textId="1AF4D118" w:rsidR="009504B0" w:rsidRPr="009A224F" w:rsidRDefault="009504B0" w:rsidP="009A224F">
      <w:pPr>
        <w:pStyle w:val="Heading1"/>
        <w:spacing w:line="360" w:lineRule="auto"/>
        <w:rPr>
          <w:rFonts w:ascii="Arial" w:eastAsia="Times New Roman" w:hAnsi="Arial" w:cs="Arial"/>
        </w:rPr>
      </w:pPr>
      <w:bookmarkStart w:id="1" w:name="_Toc214898128"/>
      <w:r w:rsidRPr="009A224F">
        <w:rPr>
          <w:rFonts w:ascii="Arial" w:eastAsia="Times New Roman" w:hAnsi="Arial" w:cs="Arial"/>
        </w:rPr>
        <w:lastRenderedPageBreak/>
        <w:t>2. Introduction</w:t>
      </w:r>
      <w:r w:rsidR="1493F08B" w:rsidRPr="009A224F">
        <w:rPr>
          <w:rFonts w:ascii="Arial" w:eastAsia="Times New Roman" w:hAnsi="Arial" w:cs="Arial"/>
        </w:rPr>
        <w:t>.</w:t>
      </w:r>
      <w:bookmarkEnd w:id="1"/>
    </w:p>
    <w:p w14:paraId="3C6BF454" w14:textId="77777777" w:rsidR="009504B0" w:rsidRPr="009A224F" w:rsidRDefault="009504B0" w:rsidP="009A224F">
      <w:pPr>
        <w:pStyle w:val="Heading2"/>
        <w:spacing w:line="360" w:lineRule="auto"/>
        <w:rPr>
          <w:rFonts w:ascii="Arial" w:eastAsia="Times New Roman" w:hAnsi="Arial" w:cs="Arial"/>
        </w:rPr>
      </w:pPr>
      <w:bookmarkStart w:id="2" w:name="_Toc214898129"/>
      <w:r w:rsidRPr="009A224F">
        <w:rPr>
          <w:rFonts w:ascii="Arial" w:eastAsia="Times New Roman" w:hAnsi="Arial" w:cs="Arial"/>
        </w:rPr>
        <w:t>2.1. Background on Nestlé S.A. and Global Scope</w:t>
      </w:r>
      <w:bookmarkEnd w:id="2"/>
    </w:p>
    <w:p w14:paraId="1488FCFB"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Nestlé S.A., headquartered in Vevey, Switzerland (Nestlé S.A. 2024a, 2024b), is recognized globally as the world's largest food company, specializing in coffee, chocolate, bottled water, dairy, and infant formula products (Nestlé S.A. 2024a). Since its founding in 1867, the corporation has expanded far beyond its European roots, now selling products in 185 countries and operating over 337 factories across 75 nations (Nestlé S.A. 2024b). This immense scale and geographic dispersion affirm its status as a major global economic force. The company maintains an active corporate presence and publicly available financial information, including annual reports, which further supports its suitability for this detailed analysis (Nestlé S.A. 2023a, 2023b).</w:t>
      </w:r>
    </w:p>
    <w:p w14:paraId="665DE114" w14:textId="77777777" w:rsidR="009504B0" w:rsidRPr="009A224F" w:rsidRDefault="009504B0" w:rsidP="009A224F">
      <w:pPr>
        <w:pStyle w:val="Heading2"/>
        <w:spacing w:line="360" w:lineRule="auto"/>
        <w:rPr>
          <w:rFonts w:ascii="Arial" w:eastAsia="Times New Roman" w:hAnsi="Arial" w:cs="Arial"/>
        </w:rPr>
      </w:pPr>
      <w:bookmarkStart w:id="3" w:name="_Toc214898130"/>
      <w:r w:rsidRPr="009A224F">
        <w:rPr>
          <w:rFonts w:ascii="Arial" w:eastAsia="Times New Roman" w:hAnsi="Arial" w:cs="Arial"/>
        </w:rPr>
        <w:t>2.2. Selection Rationale (Nestlé &amp; India)</w:t>
      </w:r>
      <w:bookmarkEnd w:id="3"/>
    </w:p>
    <w:p w14:paraId="3A90A970"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Nestlé was selected as the multinational corporation (MNC)/Transnational Corporation (TNC) due to its comprehensive global reach and complex operational model across diverse markets. India has been chosen as the focus emerging economy because it is one of the fastest-growing markets for Nestlé globally (Sharma 2022) and represents a crucial case</w:t>
      </w:r>
    </w:p>
    <w:p w14:paraId="5AC0FA1D"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study in balancing global standards with intense local responsiveness. India presents both significant opportunities, such as robust growth potential in the processed food sector (KPMG India 2021), and profound challenges relating to regulatory compliance, supply chain complexity, and cultural adaptation.</w:t>
      </w:r>
    </w:p>
    <w:p w14:paraId="38480EDD" w14:textId="77777777" w:rsidR="009504B0" w:rsidRPr="009A224F" w:rsidRDefault="009504B0" w:rsidP="009A224F">
      <w:pPr>
        <w:pStyle w:val="Heading2"/>
        <w:spacing w:line="360" w:lineRule="auto"/>
        <w:rPr>
          <w:rFonts w:ascii="Arial" w:eastAsia="Times New Roman" w:hAnsi="Arial" w:cs="Arial"/>
        </w:rPr>
      </w:pPr>
      <w:bookmarkStart w:id="4" w:name="_Toc214898131"/>
      <w:r w:rsidRPr="009A224F">
        <w:rPr>
          <w:rFonts w:ascii="Arial" w:eastAsia="Times New Roman" w:hAnsi="Arial" w:cs="Arial"/>
        </w:rPr>
        <w:t>2.3. Report Structure and Objectives</w:t>
      </w:r>
      <w:bookmarkEnd w:id="4"/>
    </w:p>
    <w:p w14:paraId="3F6F1671" w14:textId="65B4DF78"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 xml:space="preserve">This consultancy report aims to provide a critical evaluation of Nestlé's international strategy. The analysis begins by establishing Nestlé’s TNC structure and mapping its global value chain. Subsequently, the report employs Dunning’s OLI paradigm to dissect the strategic rationale behind the choice of a Wholly Owned Subsidiary (WOS) in India. A critical evaluation follows, </w:t>
      </w:r>
      <w:r w:rsidR="29A400A2" w:rsidRPr="009A224F">
        <w:rPr>
          <w:rFonts w:ascii="Arial" w:hAnsi="Arial" w:cs="Arial"/>
          <w:color w:val="1F1F1F"/>
        </w:rPr>
        <w:t>analysing</w:t>
      </w:r>
      <w:r w:rsidRPr="009A224F">
        <w:rPr>
          <w:rFonts w:ascii="Arial" w:hAnsi="Arial" w:cs="Arial"/>
          <w:color w:val="1F1F1F"/>
        </w:rPr>
        <w:t xml:space="preserve"> how cultural distance (Switzerland vs. India) impacts strategy and management. Finally, the report </w:t>
      </w:r>
      <w:r w:rsidRPr="009A224F">
        <w:rPr>
          <w:rFonts w:ascii="Arial" w:hAnsi="Arial" w:cs="Arial"/>
          <w:color w:val="1F1F1F"/>
        </w:rPr>
        <w:lastRenderedPageBreak/>
        <w:t xml:space="preserve">concludes by proposing three concrete adjustments to Nestlé's Standard Operating Procedures (SOPs) necessary to enhance success and resilience in the Indian market, particularly </w:t>
      </w:r>
      <w:proofErr w:type="gramStart"/>
      <w:r w:rsidRPr="009A224F">
        <w:rPr>
          <w:rFonts w:ascii="Arial" w:hAnsi="Arial" w:cs="Arial"/>
          <w:color w:val="1F1F1F"/>
        </w:rPr>
        <w:t>in light of</w:t>
      </w:r>
      <w:proofErr w:type="gramEnd"/>
      <w:r w:rsidRPr="009A224F">
        <w:rPr>
          <w:rFonts w:ascii="Arial" w:hAnsi="Arial" w:cs="Arial"/>
          <w:color w:val="1F1F1F"/>
        </w:rPr>
        <w:t xml:space="preserve"> historical operational crises.</w:t>
      </w:r>
    </w:p>
    <w:p w14:paraId="23BCC4F2" w14:textId="44CB6249" w:rsidR="009504B0" w:rsidRPr="009A224F" w:rsidRDefault="009504B0" w:rsidP="009A224F">
      <w:pPr>
        <w:pStyle w:val="Heading2"/>
        <w:spacing w:before="0" w:after="120" w:line="360" w:lineRule="auto"/>
        <w:rPr>
          <w:rFonts w:ascii="Arial" w:eastAsia="Times New Roman" w:hAnsi="Arial" w:cs="Arial"/>
          <w:color w:val="1F1F1F"/>
        </w:rPr>
      </w:pPr>
      <w:bookmarkStart w:id="5" w:name="_Toc214898132"/>
      <w:r w:rsidRPr="009A224F">
        <w:rPr>
          <w:rStyle w:val="Heading1Char"/>
          <w:rFonts w:ascii="Arial" w:hAnsi="Arial" w:cs="Arial"/>
        </w:rPr>
        <w:t>3. Global Operations: Benefits, Challenges, and Entry Modes</w:t>
      </w:r>
      <w:bookmarkEnd w:id="5"/>
    </w:p>
    <w:p w14:paraId="1BDC2DDD" w14:textId="77777777" w:rsidR="009504B0" w:rsidRPr="009A224F" w:rsidRDefault="009504B0" w:rsidP="009A224F">
      <w:pPr>
        <w:pStyle w:val="Heading2"/>
        <w:spacing w:line="360" w:lineRule="auto"/>
        <w:rPr>
          <w:rFonts w:ascii="Arial" w:eastAsia="Times New Roman" w:hAnsi="Arial" w:cs="Arial"/>
        </w:rPr>
      </w:pPr>
      <w:bookmarkStart w:id="6" w:name="_Toc214898133"/>
      <w:r w:rsidRPr="009A224F">
        <w:rPr>
          <w:rFonts w:ascii="Arial" w:eastAsia="Times New Roman" w:hAnsi="Arial" w:cs="Arial"/>
        </w:rPr>
        <w:t>3.1. MNC/TNC Designation of Nestlé</w:t>
      </w:r>
      <w:bookmarkEnd w:id="6"/>
    </w:p>
    <w:p w14:paraId="68D848BB" w14:textId="77777777" w:rsidR="009504B0" w:rsidRPr="009A224F" w:rsidRDefault="009504B0" w:rsidP="009A224F">
      <w:pPr>
        <w:pStyle w:val="Heading3"/>
        <w:spacing w:line="360" w:lineRule="auto"/>
        <w:rPr>
          <w:rFonts w:ascii="Arial" w:eastAsia="Times New Roman" w:hAnsi="Arial" w:cs="Arial"/>
        </w:rPr>
      </w:pPr>
      <w:bookmarkStart w:id="7" w:name="_Toc214898134"/>
      <w:r w:rsidRPr="009A224F">
        <w:rPr>
          <w:rFonts w:ascii="Arial" w:eastAsia="Times New Roman" w:hAnsi="Arial" w:cs="Arial"/>
        </w:rPr>
        <w:t>3.1.1. TNC Status Defined by Decentralization and Local Responsiveness</w:t>
      </w:r>
      <w:bookmarkEnd w:id="7"/>
    </w:p>
    <w:p w14:paraId="4C6B18C8"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While frequently classified as a multinational corporation (MNC), Nestlé aligns more precisely with the definition of a Transnational Corporation (TNC) (Bartlett &amp; Ghoshal 1989). A key distinction between the two lies in management structure: MNCs traditionally feature centralized management, whereas TNCs exhibit a decentralized approach to operations (Bartlett &amp; Ghoshal 1989). Nestlé epitomizes this decentralized model, where the responsibility for day-to-day operating decisions—including crucial functions such as pricing, distribution, and marketing—is largely delegated to local units (Ohmae 1985). This autonomy is designed to create flexible and fast organizations with minimal management layers (Johnson &amp; Davies 1998). This high degree of local responsiveness allows Nestlé to adapt rapidly to the varied local markets where it maintains substantial operational facilities (Bartlett &amp; Ghoshal 1989).</w:t>
      </w:r>
    </w:p>
    <w:p w14:paraId="43A28B3F" w14:textId="77777777" w:rsidR="009504B0" w:rsidRPr="009A224F" w:rsidRDefault="009504B0" w:rsidP="009A224F">
      <w:pPr>
        <w:pStyle w:val="Heading3"/>
        <w:spacing w:line="360" w:lineRule="auto"/>
        <w:rPr>
          <w:rFonts w:ascii="Arial" w:eastAsia="Times New Roman" w:hAnsi="Arial" w:cs="Arial"/>
        </w:rPr>
      </w:pPr>
      <w:bookmarkStart w:id="8" w:name="_Toc214898135"/>
      <w:r w:rsidRPr="009A224F">
        <w:rPr>
          <w:rFonts w:ascii="Arial" w:eastAsia="Times New Roman" w:hAnsi="Arial" w:cs="Arial"/>
        </w:rPr>
        <w:t>3.1.2. Empirical Evidence of Global Scale and Integration</w:t>
      </w:r>
      <w:bookmarkEnd w:id="8"/>
    </w:p>
    <w:p w14:paraId="4DC4BA84"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The TNC model is further evidenced by Nestlé’s commitment to a global perspective in decision-making, utilizing senior executives from multiple countries (Bartlett &amp; Ghoshal 1989). The company’s immense scale, operating factories in 75 countries and selling products in 185 (Nestlé S.A. 2024b), demonstrates a profound internationalization of production and value creation activities. This trans-nationality ensures that the firm is embedded across numerous markets, rather than simply being a national company with foreign subsidiaries (Bartlett &amp; Ghoshal 1989).</w:t>
      </w:r>
    </w:p>
    <w:p w14:paraId="0F343080" w14:textId="77777777" w:rsidR="009504B0" w:rsidRPr="009A224F" w:rsidRDefault="009504B0" w:rsidP="009A224F">
      <w:pPr>
        <w:pStyle w:val="Heading2"/>
        <w:spacing w:line="360" w:lineRule="auto"/>
        <w:rPr>
          <w:rFonts w:ascii="Arial" w:eastAsia="Times New Roman" w:hAnsi="Arial" w:cs="Arial"/>
        </w:rPr>
      </w:pPr>
      <w:bookmarkStart w:id="9" w:name="_Toc214898136"/>
      <w:r w:rsidRPr="009A224F">
        <w:rPr>
          <w:rFonts w:ascii="Arial" w:eastAsia="Times New Roman" w:hAnsi="Arial" w:cs="Arial"/>
        </w:rPr>
        <w:lastRenderedPageBreak/>
        <w:t>3.2. Mapping the Global Value Chain</w:t>
      </w:r>
      <w:bookmarkEnd w:id="9"/>
    </w:p>
    <w:p w14:paraId="60354A1B" w14:textId="77777777" w:rsidR="009504B0" w:rsidRPr="009A224F" w:rsidRDefault="009504B0" w:rsidP="009A224F">
      <w:pPr>
        <w:pStyle w:val="Heading3"/>
        <w:spacing w:line="360" w:lineRule="auto"/>
        <w:rPr>
          <w:rFonts w:ascii="Arial" w:eastAsia="Times New Roman" w:hAnsi="Arial" w:cs="Arial"/>
        </w:rPr>
      </w:pPr>
      <w:bookmarkStart w:id="10" w:name="_Toc214898137"/>
      <w:r w:rsidRPr="009A224F">
        <w:rPr>
          <w:rFonts w:ascii="Arial" w:eastAsia="Times New Roman" w:hAnsi="Arial" w:cs="Arial"/>
        </w:rPr>
        <w:t>3.2.1. Research and Development (R&amp;D): The Shift to Localized Innovation Hubs</w:t>
      </w:r>
      <w:bookmarkEnd w:id="10"/>
    </w:p>
    <w:p w14:paraId="7768E311"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 xml:space="preserve">Nestlé maintains the most advanced science and innovation network in the food industry, supporting this advantage with an annual investment of CHF 1.7 billion in R&amp;D (Nestlé R&amp;D 2024). While the central Research Centre remains in Switzerland (Nestlé S.A. 2024b), Nestlé leverages a global network of R&amp;D </w:t>
      </w:r>
      <w:proofErr w:type="spellStart"/>
      <w:r w:rsidRPr="009A224F">
        <w:rPr>
          <w:rFonts w:ascii="Arial" w:hAnsi="Arial" w:cs="Arial"/>
          <w:color w:val="1F1F1F"/>
        </w:rPr>
        <w:t>centers</w:t>
      </w:r>
      <w:proofErr w:type="spellEnd"/>
      <w:r w:rsidRPr="009A224F">
        <w:rPr>
          <w:rFonts w:ascii="Arial" w:hAnsi="Arial" w:cs="Arial"/>
          <w:color w:val="1F1F1F"/>
        </w:rPr>
        <w:t xml:space="preserve"> to drive growth. The strategic importance of India is highlighted by the establishment of the Nestlé R&amp;D Centre in Manesar, Gurgaon, in 2012 (Sharma 2022; Smith 2020). This Indian facility functions as a </w:t>
      </w:r>
      <w:r w:rsidRPr="009A224F">
        <w:rPr>
          <w:rStyle w:val="Strong"/>
          <w:rFonts w:ascii="Arial" w:hAnsi="Arial" w:cs="Arial"/>
          <w:color w:val="1F1F1F"/>
          <w:bdr w:val="none" w:sz="0" w:space="0" w:color="auto" w:frame="1"/>
        </w:rPr>
        <w:t>Global Innovation Hub for noodles and spices</w:t>
      </w:r>
      <w:r w:rsidRPr="009A224F">
        <w:rPr>
          <w:rFonts w:ascii="Arial" w:hAnsi="Arial" w:cs="Arial"/>
          <w:color w:val="1F1F1F"/>
        </w:rPr>
        <w:t xml:space="preserve"> (Smith 2020). The localization of R&amp;D at this scale converts specific market knowledge regarding local culinary traditions (a Location advantage) into proprietary, scalable knowledge assets (an Ownership advantage) (Smith 2020; Prahalad 2004). The goal is to develop tasty, nutritious, and affordable products that support both local demand and the broader global market strategy for low-cost product formulation (Smith 2020).</w:t>
      </w:r>
    </w:p>
    <w:p w14:paraId="0DDC0DA6" w14:textId="77777777" w:rsidR="009504B0" w:rsidRPr="009A224F" w:rsidRDefault="009504B0" w:rsidP="009A224F">
      <w:pPr>
        <w:pStyle w:val="Heading3"/>
        <w:spacing w:line="360" w:lineRule="auto"/>
        <w:rPr>
          <w:rFonts w:ascii="Arial" w:eastAsia="Times New Roman" w:hAnsi="Arial" w:cs="Arial"/>
        </w:rPr>
      </w:pPr>
      <w:bookmarkStart w:id="11" w:name="_Toc214898138"/>
      <w:r w:rsidRPr="009A224F">
        <w:rPr>
          <w:rFonts w:ascii="Arial" w:eastAsia="Times New Roman" w:hAnsi="Arial" w:cs="Arial"/>
        </w:rPr>
        <w:t>3.2.2. Sourcing and Procurement: Deep Integration and Supplier Development</w:t>
      </w:r>
      <w:bookmarkEnd w:id="11"/>
    </w:p>
    <w:p w14:paraId="4E044031"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Nestlé’s sourcing strategy balances adherence to global guidelines, such as the Responsible Sourcing Core Requirements covering human rights and environmental due diligence (Nestlé S.A. 2023c), with deep local integration. In India, the company has internalized its supply chain extensively. This includes working directly with farmers and NGOs to procure raw materials (Kotler 2019), exemplified by the development of the dairy supply chain in Moga, Punjab (Business Standard 2015; Jain 2020). Critically, Nestlé actively develops local suppliers, providing technical assistance to close safety and quality gaps and secure local sources for previously imported raw materials (UN Global Compact 2018). This intensive, internalized supply chain management is essential for enforcing the strict quality standards (O-advantage) required in the food sector and ensures continuous supply (Kotler 2019).</w:t>
      </w:r>
    </w:p>
    <w:p w14:paraId="141F7C0F" w14:textId="77777777" w:rsidR="009504B0" w:rsidRPr="009A224F" w:rsidRDefault="009504B0" w:rsidP="009A224F">
      <w:pPr>
        <w:pStyle w:val="Heading3"/>
        <w:spacing w:line="360" w:lineRule="auto"/>
        <w:rPr>
          <w:rFonts w:ascii="Arial" w:eastAsia="Times New Roman" w:hAnsi="Arial" w:cs="Arial"/>
        </w:rPr>
      </w:pPr>
      <w:bookmarkStart w:id="12" w:name="_Toc214898139"/>
      <w:r w:rsidRPr="009A224F">
        <w:rPr>
          <w:rFonts w:ascii="Arial" w:eastAsia="Times New Roman" w:hAnsi="Arial" w:cs="Arial"/>
        </w:rPr>
        <w:lastRenderedPageBreak/>
        <w:t>3.2.3. Production, Logistics, and Decentralized Efficiency</w:t>
      </w:r>
      <w:bookmarkEnd w:id="12"/>
    </w:p>
    <w:p w14:paraId="16E70047"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The decentralized TNC structure is fundamentally linked to production and logistics efficiency. Nestlé operates nine factories in India, with a tenth facility under development (Sharma 2022). This local production minimizes logistical costs and tariff barriers, allowing for swift response to market demands. Local units are granted control over materials and logistics (Johnson &amp; Davies 1998). Nestlé India leverages a strong and intensive distribution network, reaching over 5.2 million outlets and supported by over 10,000 distributors (Sharma 2022). This system is managed using sophisticated software (ERP, SAP-SCM) and practices (Good Warehouse/Manufacturing Practices) to ensure seamless information flow, safety, and operational efficiency, providing a definitive cost advantage (Kotler 2019).</w:t>
      </w:r>
    </w:p>
    <w:p w14:paraId="37025971" w14:textId="77777777" w:rsidR="009504B0" w:rsidRPr="009A224F" w:rsidRDefault="009504B0" w:rsidP="009A224F">
      <w:pPr>
        <w:pStyle w:val="Heading3"/>
        <w:spacing w:line="360" w:lineRule="auto"/>
        <w:rPr>
          <w:rFonts w:ascii="Arial" w:eastAsia="Times New Roman" w:hAnsi="Arial" w:cs="Arial"/>
        </w:rPr>
      </w:pPr>
      <w:bookmarkStart w:id="13" w:name="_Toc214898140"/>
      <w:r w:rsidRPr="009A224F">
        <w:rPr>
          <w:rFonts w:ascii="Arial" w:eastAsia="Times New Roman" w:hAnsi="Arial" w:cs="Arial"/>
        </w:rPr>
        <w:t>3.2.4. Sales, Marketing, and Financing</w:t>
      </w:r>
      <w:bookmarkEnd w:id="13"/>
    </w:p>
    <w:p w14:paraId="702E1FFC"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 xml:space="preserve">The decentralized structure translates directly into a </w:t>
      </w:r>
      <w:r w:rsidRPr="009A224F">
        <w:rPr>
          <w:rStyle w:val="Strong"/>
          <w:rFonts w:ascii="Arial" w:hAnsi="Arial" w:cs="Arial"/>
          <w:color w:val="1F1F1F"/>
          <w:bdr w:val="none" w:sz="0" w:space="0" w:color="auto" w:frame="1"/>
        </w:rPr>
        <w:t>polycentric orientation</w:t>
      </w:r>
      <w:r w:rsidRPr="009A224F">
        <w:rPr>
          <w:rFonts w:ascii="Arial" w:hAnsi="Arial" w:cs="Arial"/>
          <w:color w:val="1F1F1F"/>
        </w:rPr>
        <w:t xml:space="preserve"> for sales and marketing (Hill 2020). Subsidiaries develop unique strategies and product ranges tailored to specific national contexts; for instance, offering tea (Nestea) in India where only coffee might be present in Switzerland (Hill 2020). Marketing strategies are localized to cultural contexts, such as partnering with social media celebrities in India and utilizing local festivals like Diwali and Holi for promotional offers (Grant 2016). Corporate financing, conversely, is highly centralized. Specialized internal entities, such as Nestlé Finance International Ltd., manage the structure of capital, debt securities, and inter-company loans, providing a centralized capital control mechanism to support the decentralized operational units globally (Nestlé Finance 2023; Economist 2021).</w:t>
      </w:r>
    </w:p>
    <w:p w14:paraId="348E01E1" w14:textId="77777777" w:rsidR="009504B0" w:rsidRPr="009A224F" w:rsidRDefault="009504B0" w:rsidP="009A224F">
      <w:pPr>
        <w:pStyle w:val="Heading2"/>
        <w:spacing w:line="360" w:lineRule="auto"/>
        <w:rPr>
          <w:rFonts w:ascii="Arial" w:eastAsia="Times New Roman" w:hAnsi="Arial" w:cs="Arial"/>
        </w:rPr>
      </w:pPr>
      <w:bookmarkStart w:id="14" w:name="_Toc214898141"/>
      <w:r w:rsidRPr="009A224F">
        <w:rPr>
          <w:rFonts w:ascii="Arial" w:eastAsia="Times New Roman" w:hAnsi="Arial" w:cs="Arial"/>
        </w:rPr>
        <w:t>3.3. International Market Entry Modes</w:t>
      </w:r>
      <w:bookmarkEnd w:id="14"/>
    </w:p>
    <w:p w14:paraId="46EAEDD4"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Nestlé has historically employed a range of market entry modes, reflecting a gradual internationalization process that often involves mergers and acquisitions to achieve economies of scale and speed of entry (Caves 1996). Other modes include exports, strategic partnerships (e.g., with Coca-Cola for ready-to-drink beverages) (Ohmae 1985), and joint ventures (JVs), such as the use of a JV to enter the UK market (Grant 2016).</w:t>
      </w:r>
    </w:p>
    <w:p w14:paraId="3DB2B6BB" w14:textId="77777777" w:rsidR="009504B0" w:rsidRPr="009A224F" w:rsidRDefault="009504B0" w:rsidP="009A224F">
      <w:pPr>
        <w:pStyle w:val="Heading2"/>
        <w:spacing w:line="360" w:lineRule="auto"/>
        <w:rPr>
          <w:rFonts w:ascii="Arial" w:eastAsia="Times New Roman" w:hAnsi="Arial" w:cs="Arial"/>
          <w:color w:val="1F1F1F"/>
        </w:rPr>
      </w:pPr>
      <w:bookmarkStart w:id="15" w:name="_Toc214898142"/>
      <w:r w:rsidRPr="009A224F">
        <w:rPr>
          <w:rStyle w:val="Heading2Char"/>
          <w:rFonts w:ascii="Arial" w:hAnsi="Arial" w:cs="Arial"/>
        </w:rPr>
        <w:lastRenderedPageBreak/>
        <w:t>3.3.1. Identification of Dominant Entry Mode in India: Wholly Owned Subsidiary (WOS</w:t>
      </w:r>
      <w:r w:rsidRPr="009A224F">
        <w:rPr>
          <w:rFonts w:ascii="Arial" w:eastAsia="Times New Roman" w:hAnsi="Arial" w:cs="Arial"/>
          <w:color w:val="1F1F1F"/>
        </w:rPr>
        <w:t>)</w:t>
      </w:r>
      <w:bookmarkEnd w:id="15"/>
    </w:p>
    <w:p w14:paraId="0C19002C"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For the Indian market, the Wholly Owned Subsidiary (WOS) model is the dominant strategic choice, established early through the subsidiary Nestlé Holdings Ltd. (NHL) (Business Standard 2015). This approach facilitated the establishment of the first manufacturing facility in Moga, Punjab (Business Standard 2015). While low-cost entries and partnerships are utilized to secure suppliers and deploy skills (Hitt 2017), the overall strategic presence is maintained through the WOS (Contractor 2013). The WOS model provides maximum strategic and operational control, which is essential for a firm like Nestlé whose competitive advantage rests heavily on the consistency and quality of its global brand (</w:t>
      </w:r>
      <w:proofErr w:type="spellStart"/>
      <w:r w:rsidRPr="009A224F">
        <w:rPr>
          <w:rFonts w:ascii="Arial" w:hAnsi="Arial" w:cs="Arial"/>
          <w:color w:val="1F1F1F"/>
        </w:rPr>
        <w:t>Hennart</w:t>
      </w:r>
      <w:proofErr w:type="spellEnd"/>
      <w:r w:rsidRPr="009A224F">
        <w:rPr>
          <w:rFonts w:ascii="Arial" w:hAnsi="Arial" w:cs="Arial"/>
          <w:color w:val="1F1F1F"/>
        </w:rPr>
        <w:t xml:space="preserve"> 1982).</w:t>
      </w:r>
    </w:p>
    <w:p w14:paraId="36286277" w14:textId="77777777" w:rsidR="009504B0" w:rsidRPr="009A224F" w:rsidRDefault="009504B0" w:rsidP="009A224F">
      <w:pPr>
        <w:pStyle w:val="Heading2"/>
        <w:spacing w:line="360" w:lineRule="auto"/>
        <w:rPr>
          <w:rFonts w:ascii="Arial" w:eastAsia="Times New Roman" w:hAnsi="Arial" w:cs="Arial"/>
        </w:rPr>
      </w:pPr>
      <w:bookmarkStart w:id="16" w:name="_Toc214898143"/>
      <w:r w:rsidRPr="009A224F">
        <w:rPr>
          <w:rFonts w:ascii="Arial" w:eastAsia="Times New Roman" w:hAnsi="Arial" w:cs="Arial"/>
        </w:rPr>
        <w:t>3.4. Key Benefits and Challenges of International Operations</w:t>
      </w:r>
      <w:bookmarkEnd w:id="16"/>
    </w:p>
    <w:p w14:paraId="465637D6" w14:textId="77777777" w:rsidR="009504B0" w:rsidRPr="009A224F" w:rsidRDefault="009504B0" w:rsidP="009A224F">
      <w:pPr>
        <w:pStyle w:val="Heading3"/>
        <w:spacing w:line="360" w:lineRule="auto"/>
        <w:rPr>
          <w:rFonts w:ascii="Arial" w:eastAsia="Times New Roman" w:hAnsi="Arial" w:cs="Arial"/>
        </w:rPr>
      </w:pPr>
      <w:bookmarkStart w:id="17" w:name="_Toc214898144"/>
      <w:r w:rsidRPr="009A224F">
        <w:rPr>
          <w:rFonts w:ascii="Arial" w:eastAsia="Times New Roman" w:hAnsi="Arial" w:cs="Arial"/>
        </w:rPr>
        <w:t>3.4.1. Benefits</w:t>
      </w:r>
      <w:bookmarkEnd w:id="17"/>
    </w:p>
    <w:p w14:paraId="74A8E6F4"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 xml:space="preserve">International operations provide Nestlé with several critical advantages. Foremost among these is the exploitation of </w:t>
      </w:r>
      <w:r w:rsidRPr="009A224F">
        <w:rPr>
          <w:rStyle w:val="Strong"/>
          <w:rFonts w:ascii="Arial" w:hAnsi="Arial" w:cs="Arial"/>
          <w:color w:val="1F1F1F"/>
          <w:bdr w:val="none" w:sz="0" w:space="0" w:color="auto" w:frame="1"/>
        </w:rPr>
        <w:t>economies of scale</w:t>
      </w:r>
      <w:r w:rsidRPr="009A224F">
        <w:rPr>
          <w:rFonts w:ascii="Arial" w:hAnsi="Arial" w:cs="Arial"/>
          <w:color w:val="1F1F1F"/>
        </w:rPr>
        <w:t xml:space="preserve"> through mass production and global distribution, leading to significant cost efficiencies (Kotler 2019; Porter 1985). Furthermore, access to high-growth emerging economies, like India, provides necessary expansion opportunities, especially since traditional European and American food markets are considered flat and intensely competitive (KPMG India 2021; Ohmae 1985). Finally, the global R&amp;D network facilitates unparalleled </w:t>
      </w:r>
      <w:r w:rsidRPr="009A224F">
        <w:rPr>
          <w:rStyle w:val="Strong"/>
          <w:rFonts w:ascii="Arial" w:hAnsi="Arial" w:cs="Arial"/>
          <w:color w:val="1F1F1F"/>
          <w:bdr w:val="none" w:sz="0" w:space="0" w:color="auto" w:frame="1"/>
        </w:rPr>
        <w:t>knowledge acquisition and sharing</w:t>
      </w:r>
      <w:r w:rsidRPr="009A224F">
        <w:rPr>
          <w:rFonts w:ascii="Arial" w:hAnsi="Arial" w:cs="Arial"/>
          <w:color w:val="1F1F1F"/>
        </w:rPr>
        <w:t>, leveraging scientific expertise across different regions to drive new product development (Nestlé R&amp;D 2024; Smith 2020).</w:t>
      </w:r>
    </w:p>
    <w:p w14:paraId="0EB11328" w14:textId="77777777" w:rsidR="009504B0" w:rsidRPr="009A224F" w:rsidRDefault="009504B0" w:rsidP="009A224F">
      <w:pPr>
        <w:pStyle w:val="Heading3"/>
        <w:spacing w:line="360" w:lineRule="auto"/>
        <w:rPr>
          <w:rFonts w:ascii="Arial" w:eastAsia="Times New Roman" w:hAnsi="Arial" w:cs="Arial"/>
        </w:rPr>
      </w:pPr>
      <w:bookmarkStart w:id="18" w:name="_Toc214898145"/>
      <w:r w:rsidRPr="009A224F">
        <w:rPr>
          <w:rFonts w:ascii="Arial" w:eastAsia="Times New Roman" w:hAnsi="Arial" w:cs="Arial"/>
        </w:rPr>
        <w:t>3.4.2. Challenges</w:t>
      </w:r>
      <w:bookmarkEnd w:id="18"/>
    </w:p>
    <w:p w14:paraId="3A38AA64"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 xml:space="preserve">The primary challenge of operating internationally is exposure to economic and political variables, including currency fluctuations and economic instability, which can directly impact profitability (Porter 1985; Rugman 2009). However, the most acute challenge, particularly relevant to India, is the </w:t>
      </w:r>
      <w:r w:rsidRPr="009A224F">
        <w:rPr>
          <w:rStyle w:val="Strong"/>
          <w:rFonts w:ascii="Arial" w:hAnsi="Arial" w:cs="Arial"/>
          <w:color w:val="1F1F1F"/>
          <w:bdr w:val="none" w:sz="0" w:space="0" w:color="auto" w:frame="1"/>
        </w:rPr>
        <w:t>Regulatory Imperative</w:t>
      </w:r>
      <w:r w:rsidRPr="009A224F">
        <w:rPr>
          <w:rFonts w:ascii="Arial" w:hAnsi="Arial" w:cs="Arial"/>
          <w:color w:val="1F1F1F"/>
        </w:rPr>
        <w:t xml:space="preserve">. Navigating diverse and stringent local regulatory environments, such as those governed by India’s Food Safety and Standards Authority (FSSAI), poses an existential threat (Singh &amp; Gupta 2016; Iyer 2017). This difficulty is compounded by the challenge of </w:t>
      </w:r>
      <w:r w:rsidRPr="009A224F">
        <w:rPr>
          <w:rFonts w:ascii="Arial" w:hAnsi="Arial" w:cs="Arial"/>
          <w:color w:val="1F1F1F"/>
        </w:rPr>
        <w:lastRenderedPageBreak/>
        <w:t>maintaining globally consistent quality standards across a highly decentralized production and sourcing structure, requiring constant vigilance and rigorous process controls (Johnson &amp; Davies 1998).</w:t>
      </w:r>
    </w:p>
    <w:p w14:paraId="2AED9565" w14:textId="3A772064" w:rsidR="009504B0" w:rsidRPr="009A224F" w:rsidRDefault="009504B0" w:rsidP="009A224F">
      <w:pPr>
        <w:pStyle w:val="Heading2"/>
        <w:spacing w:before="0" w:after="120" w:line="360" w:lineRule="auto"/>
        <w:rPr>
          <w:rFonts w:ascii="Arial" w:eastAsia="Times New Roman" w:hAnsi="Arial" w:cs="Arial"/>
          <w:color w:val="1F1F1F"/>
        </w:rPr>
      </w:pPr>
      <w:bookmarkStart w:id="19" w:name="_Toc214898146"/>
      <w:r w:rsidRPr="009A224F">
        <w:rPr>
          <w:rStyle w:val="Heading1Char"/>
          <w:rFonts w:ascii="Arial" w:hAnsi="Arial" w:cs="Arial"/>
        </w:rPr>
        <w:t>4. The Eclectic Paradigm (OLI) and Market Entry Mode in India</w:t>
      </w:r>
      <w:bookmarkEnd w:id="19"/>
    </w:p>
    <w:p w14:paraId="77892013" w14:textId="77777777" w:rsidR="009504B0" w:rsidRPr="009A224F" w:rsidRDefault="009504B0" w:rsidP="009A224F">
      <w:pPr>
        <w:pStyle w:val="Heading2"/>
        <w:spacing w:line="360" w:lineRule="auto"/>
        <w:rPr>
          <w:rFonts w:ascii="Arial" w:eastAsia="Times New Roman" w:hAnsi="Arial" w:cs="Arial"/>
        </w:rPr>
      </w:pPr>
      <w:bookmarkStart w:id="20" w:name="_Toc214898147"/>
      <w:r w:rsidRPr="009A224F">
        <w:rPr>
          <w:rFonts w:ascii="Arial" w:eastAsia="Times New Roman" w:hAnsi="Arial" w:cs="Arial"/>
        </w:rPr>
        <w:t>4.1. Critical Introduction to Dunning’s OLI Framework</w:t>
      </w:r>
      <w:bookmarkEnd w:id="20"/>
    </w:p>
    <w:p w14:paraId="62A077AE"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 xml:space="preserve">Dunning’s Eclectic Paradigm (OLI) provides a robust framework for explaining why a firm chooses Foreign Direct Investment (FDI) over non-equity modes like exporting or licensing. For Nestlé, an FDI-intensive organization, the OLI framework is essential in critically evaluating the decision to utilize the high-commitment, high-control </w:t>
      </w:r>
      <w:r w:rsidRPr="009A224F">
        <w:rPr>
          <w:rStyle w:val="Strong"/>
          <w:rFonts w:ascii="Arial" w:hAnsi="Arial" w:cs="Arial"/>
          <w:color w:val="1F1F1F"/>
          <w:bdr w:val="none" w:sz="0" w:space="0" w:color="auto" w:frame="1"/>
        </w:rPr>
        <w:t>Wholly Owned Subsidiary (WOS)</w:t>
      </w:r>
      <w:r w:rsidRPr="009A224F">
        <w:rPr>
          <w:rFonts w:ascii="Arial" w:hAnsi="Arial" w:cs="Arial"/>
          <w:color w:val="1F1F1F"/>
        </w:rPr>
        <w:t xml:space="preserve"> structure for entry into the Indian market (Dunning 1980).</w:t>
      </w:r>
    </w:p>
    <w:p w14:paraId="411C34F0" w14:textId="77777777" w:rsidR="009504B0" w:rsidRPr="009A224F" w:rsidRDefault="009504B0" w:rsidP="009A224F">
      <w:pPr>
        <w:pStyle w:val="Heading2"/>
        <w:spacing w:line="360" w:lineRule="auto"/>
        <w:rPr>
          <w:rFonts w:ascii="Arial" w:eastAsia="Times New Roman" w:hAnsi="Arial" w:cs="Arial"/>
        </w:rPr>
      </w:pPr>
      <w:bookmarkStart w:id="21" w:name="_Toc214898148"/>
      <w:r w:rsidRPr="009A224F">
        <w:rPr>
          <w:rFonts w:ascii="Arial" w:eastAsia="Times New Roman" w:hAnsi="Arial" w:cs="Arial"/>
        </w:rPr>
        <w:t>4.2. Ownership (O) Advantages: Nestlé’s Non-Transferable Strengths</w:t>
      </w:r>
      <w:bookmarkEnd w:id="21"/>
    </w:p>
    <w:p w14:paraId="7227B626" w14:textId="77777777" w:rsidR="009504B0" w:rsidRPr="009A224F" w:rsidRDefault="009504B0" w:rsidP="009A224F">
      <w:pPr>
        <w:pStyle w:val="NormalWeb"/>
        <w:spacing w:before="0" w:beforeAutospacing="0" w:after="120" w:afterAutospacing="0" w:line="360" w:lineRule="auto"/>
        <w:rPr>
          <w:rFonts w:ascii="Arial" w:hAnsi="Arial" w:cs="Arial"/>
          <w:color w:val="1F1F1F"/>
        </w:rPr>
      </w:pPr>
      <w:r w:rsidRPr="009A224F">
        <w:rPr>
          <w:rFonts w:ascii="Arial" w:hAnsi="Arial" w:cs="Arial"/>
          <w:color w:val="1F1F1F"/>
        </w:rPr>
        <w:t>Ownership advantages refer to the proprietary assets or firm-specific skills that provide a competitive edge over local firms.</w:t>
      </w:r>
    </w:p>
    <w:p w14:paraId="7883BD46" w14:textId="77777777" w:rsidR="009504B0" w:rsidRPr="009A224F" w:rsidRDefault="009504B0" w:rsidP="009A224F">
      <w:pPr>
        <w:pStyle w:val="NormalWeb"/>
        <w:numPr>
          <w:ilvl w:val="0"/>
          <w:numId w:val="1"/>
        </w:numPr>
        <w:spacing w:before="0" w:beforeAutospacing="0" w:after="0" w:afterAutospacing="0" w:line="360" w:lineRule="auto"/>
        <w:rPr>
          <w:rFonts w:ascii="Arial" w:hAnsi="Arial" w:cs="Arial"/>
          <w:color w:val="1F1F1F"/>
        </w:rPr>
      </w:pPr>
      <w:r w:rsidRPr="009A224F">
        <w:rPr>
          <w:rStyle w:val="Strong"/>
          <w:rFonts w:ascii="Arial" w:hAnsi="Arial" w:cs="Arial"/>
          <w:color w:val="1F1F1F"/>
          <w:bdr w:val="none" w:sz="0" w:space="0" w:color="auto" w:frame="1"/>
        </w:rPr>
        <w:t>Technology, R&amp;D, and Scientific Expertise:</w:t>
      </w:r>
      <w:r w:rsidRPr="009A224F">
        <w:rPr>
          <w:rFonts w:ascii="Arial" w:hAnsi="Arial" w:cs="Arial"/>
          <w:color w:val="1F1F1F"/>
        </w:rPr>
        <w:t xml:space="preserve"> Nestlé’s core advantage lies in its deep scientific know-how and over 140 years of R&amp;D experience in food science (Nestlé R&amp;D 2024; Kotler 2019). These proprietary food formulations and production technologies are highly specialized and constitute crucial Ownership advantages that local competitors cannot easily replicate.</w:t>
      </w:r>
    </w:p>
    <w:p w14:paraId="71010ECD" w14:textId="77777777" w:rsidR="009504B0" w:rsidRPr="009A224F" w:rsidRDefault="009504B0" w:rsidP="009A224F">
      <w:pPr>
        <w:pStyle w:val="NormalWeb"/>
        <w:numPr>
          <w:ilvl w:val="0"/>
          <w:numId w:val="1"/>
        </w:numPr>
        <w:spacing w:before="0" w:beforeAutospacing="0" w:after="0" w:afterAutospacing="0" w:line="360" w:lineRule="auto"/>
        <w:rPr>
          <w:rFonts w:ascii="Arial" w:hAnsi="Arial" w:cs="Arial"/>
          <w:color w:val="1F1F1F"/>
        </w:rPr>
      </w:pPr>
      <w:r w:rsidRPr="009A224F">
        <w:rPr>
          <w:rStyle w:val="Strong"/>
          <w:rFonts w:ascii="Arial" w:hAnsi="Arial" w:cs="Arial"/>
          <w:color w:val="1F1F1F"/>
          <w:bdr w:val="none" w:sz="0" w:space="0" w:color="auto" w:frame="1"/>
        </w:rPr>
        <w:t>Global Brand Equity and Quality Systems:</w:t>
      </w:r>
      <w:r w:rsidRPr="009A224F">
        <w:rPr>
          <w:rFonts w:ascii="Arial" w:hAnsi="Arial" w:cs="Arial"/>
          <w:color w:val="1F1F1F"/>
        </w:rPr>
        <w:t xml:space="preserve"> Nestlé possesses ownership of some of the most recognizable brands in the world (Interbrand 2024). This brand equity is intrinsically tied to an assurance of quality and safety, enforced by international standards like HACCP and ISO 22000 (WHO 2020). This competitive edge is highly asset-specific; its value relies entirely on the uniform application of quality control across all operations. Erosion of quality in one market—a significant risk in a complex emerging economy—can instantly diminish the global O-advantage.</w:t>
      </w:r>
    </w:p>
    <w:p w14:paraId="50A1CFB9" w14:textId="77777777" w:rsidR="009504B0" w:rsidRPr="009A224F" w:rsidRDefault="009504B0" w:rsidP="009A224F">
      <w:pPr>
        <w:pStyle w:val="Heading2"/>
        <w:spacing w:line="360" w:lineRule="auto"/>
        <w:rPr>
          <w:rFonts w:ascii="Arial" w:eastAsia="Times New Roman" w:hAnsi="Arial" w:cs="Arial"/>
        </w:rPr>
      </w:pPr>
      <w:bookmarkStart w:id="22" w:name="_Toc214898149"/>
      <w:r w:rsidRPr="009A224F">
        <w:rPr>
          <w:rFonts w:ascii="Arial" w:eastAsia="Times New Roman" w:hAnsi="Arial" w:cs="Arial"/>
        </w:rPr>
        <w:lastRenderedPageBreak/>
        <w:t>4.3. Location (L) Advantages: India’s Strategic Attractiveness</w:t>
      </w:r>
      <w:bookmarkEnd w:id="22"/>
    </w:p>
    <w:p w14:paraId="6AAAD2C8" w14:textId="77777777" w:rsidR="009504B0" w:rsidRPr="009A224F" w:rsidRDefault="009504B0" w:rsidP="009A224F">
      <w:pPr>
        <w:pStyle w:val="NormalWeb"/>
        <w:spacing w:before="0" w:beforeAutospacing="0" w:after="120" w:afterAutospacing="0" w:line="360" w:lineRule="auto"/>
        <w:rPr>
          <w:rFonts w:ascii="Arial" w:hAnsi="Arial" w:cs="Arial"/>
          <w:color w:val="1F1F1F"/>
        </w:rPr>
      </w:pPr>
      <w:r w:rsidRPr="009A224F">
        <w:rPr>
          <w:rFonts w:ascii="Arial" w:hAnsi="Arial" w:cs="Arial"/>
          <w:color w:val="1F1F1F"/>
        </w:rPr>
        <w:t>Location advantages relate to the specific economic, political, or cultural characteristics of the host country that make it attractive for FDI.</w:t>
      </w:r>
    </w:p>
    <w:p w14:paraId="3665360C" w14:textId="77777777" w:rsidR="009504B0" w:rsidRPr="009A224F" w:rsidRDefault="009504B0" w:rsidP="009A224F">
      <w:pPr>
        <w:pStyle w:val="NormalWeb"/>
        <w:numPr>
          <w:ilvl w:val="0"/>
          <w:numId w:val="2"/>
        </w:numPr>
        <w:spacing w:before="0" w:beforeAutospacing="0" w:after="0" w:afterAutospacing="0" w:line="360" w:lineRule="auto"/>
        <w:rPr>
          <w:rFonts w:ascii="Arial" w:hAnsi="Arial" w:cs="Arial"/>
          <w:color w:val="1F1F1F"/>
        </w:rPr>
      </w:pPr>
      <w:r w:rsidRPr="009A224F">
        <w:rPr>
          <w:rStyle w:val="Strong"/>
          <w:rFonts w:ascii="Arial" w:hAnsi="Arial" w:cs="Arial"/>
          <w:color w:val="1F1F1F"/>
          <w:bdr w:val="none" w:sz="0" w:space="0" w:color="auto" w:frame="1"/>
        </w:rPr>
        <w:t>Market Growth Dynamics and Demographics:</w:t>
      </w:r>
      <w:r w:rsidRPr="009A224F">
        <w:rPr>
          <w:rFonts w:ascii="Arial" w:hAnsi="Arial" w:cs="Arial"/>
          <w:color w:val="1F1F1F"/>
        </w:rPr>
        <w:t xml:space="preserve"> India presents a compelling Location advantage due to its massive, high-growth consumer base (KPMG India 2021). The strong growth forecast for the branded packaged food and beverage (F&amp;B) market, coupled with a large youthful population interested in packaged foods, necessitated direct physical presence (FDI) to fully capitalize on this market size (KPMG India 2021; World Bank 2023).</w:t>
      </w:r>
    </w:p>
    <w:p w14:paraId="63D739B5" w14:textId="77777777" w:rsidR="009504B0" w:rsidRPr="009A224F" w:rsidRDefault="009504B0" w:rsidP="009A224F">
      <w:pPr>
        <w:pStyle w:val="NormalWeb"/>
        <w:numPr>
          <w:ilvl w:val="0"/>
          <w:numId w:val="2"/>
        </w:numPr>
        <w:spacing w:before="0" w:beforeAutospacing="0" w:after="0" w:afterAutospacing="0" w:line="360" w:lineRule="auto"/>
        <w:rPr>
          <w:rFonts w:ascii="Arial" w:hAnsi="Arial" w:cs="Arial"/>
          <w:color w:val="1F1F1F"/>
        </w:rPr>
      </w:pPr>
      <w:r w:rsidRPr="009A224F">
        <w:rPr>
          <w:rStyle w:val="Strong"/>
          <w:rFonts w:ascii="Arial" w:hAnsi="Arial" w:cs="Arial"/>
          <w:color w:val="1F1F1F"/>
          <w:bdr w:val="none" w:sz="0" w:space="0" w:color="auto" w:frame="1"/>
        </w:rPr>
        <w:t>Factor Endowments and Cost Efficiencies:</w:t>
      </w:r>
      <w:r w:rsidRPr="009A224F">
        <w:rPr>
          <w:rFonts w:ascii="Arial" w:hAnsi="Arial" w:cs="Arial"/>
          <w:color w:val="1F1F1F"/>
        </w:rPr>
        <w:t xml:space="preserve"> India offers lower </w:t>
      </w:r>
      <w:proofErr w:type="spellStart"/>
      <w:r w:rsidRPr="009A224F">
        <w:rPr>
          <w:rFonts w:ascii="Arial" w:hAnsi="Arial" w:cs="Arial"/>
          <w:color w:val="1F1F1F"/>
        </w:rPr>
        <w:t>labor</w:t>
      </w:r>
      <w:proofErr w:type="spellEnd"/>
      <w:r w:rsidRPr="009A224F">
        <w:rPr>
          <w:rFonts w:ascii="Arial" w:hAnsi="Arial" w:cs="Arial"/>
          <w:color w:val="1F1F1F"/>
        </w:rPr>
        <w:t xml:space="preserve"> and land costs compared to Switzerland or other advanced economies (Bartlett &amp; Ghoshal 1989). Nestlé strategically leverages this by locating manufacturing close to raw material sources, as seen in the Moga dairy region (Jain 2020).</w:t>
      </w:r>
    </w:p>
    <w:p w14:paraId="52CDBC4E" w14:textId="77777777" w:rsidR="009504B0" w:rsidRPr="009A224F" w:rsidRDefault="009504B0" w:rsidP="009A224F">
      <w:pPr>
        <w:pStyle w:val="NormalWeb"/>
        <w:numPr>
          <w:ilvl w:val="0"/>
          <w:numId w:val="2"/>
        </w:numPr>
        <w:spacing w:before="0" w:beforeAutospacing="0" w:after="0" w:afterAutospacing="0" w:line="360" w:lineRule="auto"/>
        <w:rPr>
          <w:rFonts w:ascii="Arial" w:hAnsi="Arial" w:cs="Arial"/>
          <w:color w:val="1F1F1F"/>
        </w:rPr>
      </w:pPr>
      <w:r w:rsidRPr="009A224F">
        <w:rPr>
          <w:rStyle w:val="Strong"/>
          <w:rFonts w:ascii="Arial" w:hAnsi="Arial" w:cs="Arial"/>
          <w:color w:val="1F1F1F"/>
          <w:bdr w:val="none" w:sz="0" w:space="0" w:color="auto" w:frame="1"/>
        </w:rPr>
        <w:t>Acquisition of Strategic Assets:</w:t>
      </w:r>
      <w:r w:rsidRPr="009A224F">
        <w:rPr>
          <w:rFonts w:ascii="Arial" w:hAnsi="Arial" w:cs="Arial"/>
          <w:color w:val="1F1F1F"/>
        </w:rPr>
        <w:t xml:space="preserve"> The decision to place a Global Innovation Hub for noodles and spices in Manesar (Smith 2020) is a deliberate attempt to acquire and internalize localized culinary expertise and knowledge, transforming an external Location asset (local tastes) into a corporate R&amp;D asset (O-advantage) (Prahalad 2004).</w:t>
      </w:r>
    </w:p>
    <w:p w14:paraId="39BDD73A" w14:textId="77777777" w:rsidR="009504B0" w:rsidRPr="009A224F" w:rsidRDefault="009504B0" w:rsidP="009A224F">
      <w:pPr>
        <w:pStyle w:val="Heading2"/>
        <w:spacing w:line="360" w:lineRule="auto"/>
        <w:rPr>
          <w:rFonts w:ascii="Arial" w:eastAsia="Times New Roman" w:hAnsi="Arial" w:cs="Arial"/>
        </w:rPr>
      </w:pPr>
      <w:bookmarkStart w:id="23" w:name="_Toc214898150"/>
      <w:r w:rsidRPr="009A224F">
        <w:rPr>
          <w:rFonts w:ascii="Arial" w:eastAsia="Times New Roman" w:hAnsi="Arial" w:cs="Arial"/>
        </w:rPr>
        <w:t>4.4. Internalisation (I) Advantages: Justifying Maximum Control (WOS)</w:t>
      </w:r>
      <w:bookmarkEnd w:id="23"/>
    </w:p>
    <w:p w14:paraId="42F68C36" w14:textId="77777777" w:rsidR="009504B0" w:rsidRPr="009A224F" w:rsidRDefault="009504B0" w:rsidP="009A224F">
      <w:pPr>
        <w:pStyle w:val="NormalWeb"/>
        <w:spacing w:before="0" w:beforeAutospacing="0" w:after="120" w:afterAutospacing="0" w:line="360" w:lineRule="auto"/>
        <w:rPr>
          <w:rFonts w:ascii="Arial" w:hAnsi="Arial" w:cs="Arial"/>
          <w:color w:val="1F1F1F"/>
        </w:rPr>
      </w:pPr>
      <w:r w:rsidRPr="009A224F">
        <w:rPr>
          <w:rFonts w:ascii="Arial" w:hAnsi="Arial" w:cs="Arial"/>
          <w:color w:val="1F1F1F"/>
        </w:rPr>
        <w:t>Internalization advantages explain why a firm chooses to produce the goods/services internally via FDI rather than contracting with an external partner (e.g., licensing or JV).</w:t>
      </w:r>
    </w:p>
    <w:p w14:paraId="076DB9AE" w14:textId="77777777" w:rsidR="009504B0" w:rsidRPr="009A224F" w:rsidRDefault="009504B0" w:rsidP="009A224F">
      <w:pPr>
        <w:pStyle w:val="NormalWeb"/>
        <w:numPr>
          <w:ilvl w:val="0"/>
          <w:numId w:val="3"/>
        </w:numPr>
        <w:spacing w:before="0" w:beforeAutospacing="0" w:after="0" w:afterAutospacing="0" w:line="360" w:lineRule="auto"/>
        <w:rPr>
          <w:rFonts w:ascii="Arial" w:hAnsi="Arial" w:cs="Arial"/>
          <w:color w:val="1F1F1F"/>
        </w:rPr>
      </w:pPr>
      <w:r w:rsidRPr="009A224F">
        <w:rPr>
          <w:rStyle w:val="Strong"/>
          <w:rFonts w:ascii="Arial" w:hAnsi="Arial" w:cs="Arial"/>
          <w:color w:val="1F1F1F"/>
          <w:bdr w:val="none" w:sz="0" w:space="0" w:color="auto" w:frame="1"/>
        </w:rPr>
        <w:t>Protection of Proprietary Technology and IP:</w:t>
      </w:r>
      <w:r w:rsidRPr="009A224F">
        <w:rPr>
          <w:rFonts w:ascii="Arial" w:hAnsi="Arial" w:cs="Arial"/>
          <w:color w:val="1F1F1F"/>
        </w:rPr>
        <w:t xml:space="preserve"> The primary driver for internalization is the need to safeguard the highly specific and valuable Ownership advantages (recipes, manufacturing processes, quality systems) (Dunning 1980). Using a WOS minimizes the risk of intellectual property leakage or knowledge diffusion that is inherently associated with licensing or joint venture arrangements (</w:t>
      </w:r>
      <w:proofErr w:type="spellStart"/>
      <w:r w:rsidRPr="009A224F">
        <w:rPr>
          <w:rFonts w:ascii="Arial" w:hAnsi="Arial" w:cs="Arial"/>
          <w:color w:val="1F1F1F"/>
        </w:rPr>
        <w:t>Hennart</w:t>
      </w:r>
      <w:proofErr w:type="spellEnd"/>
      <w:r w:rsidRPr="009A224F">
        <w:rPr>
          <w:rFonts w:ascii="Arial" w:hAnsi="Arial" w:cs="Arial"/>
          <w:color w:val="1F1F1F"/>
        </w:rPr>
        <w:t xml:space="preserve"> 1982).</w:t>
      </w:r>
    </w:p>
    <w:p w14:paraId="1778F552" w14:textId="77777777" w:rsidR="009504B0" w:rsidRPr="009A224F" w:rsidRDefault="009504B0" w:rsidP="009A224F">
      <w:pPr>
        <w:pStyle w:val="NormalWeb"/>
        <w:numPr>
          <w:ilvl w:val="0"/>
          <w:numId w:val="3"/>
        </w:numPr>
        <w:spacing w:before="0" w:beforeAutospacing="0" w:after="0" w:afterAutospacing="0" w:line="360" w:lineRule="auto"/>
        <w:rPr>
          <w:rFonts w:ascii="Arial" w:hAnsi="Arial" w:cs="Arial"/>
          <w:color w:val="1F1F1F"/>
        </w:rPr>
      </w:pPr>
      <w:r w:rsidRPr="009A224F">
        <w:rPr>
          <w:rStyle w:val="Strong"/>
          <w:rFonts w:ascii="Arial" w:hAnsi="Arial" w:cs="Arial"/>
          <w:color w:val="1F1F1F"/>
          <w:bdr w:val="none" w:sz="0" w:space="0" w:color="auto" w:frame="1"/>
        </w:rPr>
        <w:t>Enforcement of Quality and Risk Management:</w:t>
      </w:r>
      <w:r w:rsidRPr="009A224F">
        <w:rPr>
          <w:rFonts w:ascii="Arial" w:hAnsi="Arial" w:cs="Arial"/>
          <w:color w:val="1F1F1F"/>
        </w:rPr>
        <w:t xml:space="preserve"> In the food sector, failure to control quality carries catastrophic financial and reputational risks. The </w:t>
      </w:r>
      <w:r w:rsidRPr="009A224F">
        <w:rPr>
          <w:rFonts w:ascii="Arial" w:hAnsi="Arial" w:cs="Arial"/>
          <w:color w:val="1F1F1F"/>
        </w:rPr>
        <w:lastRenderedPageBreak/>
        <w:t>combination of India’s volatile regulatory landscape and the potential for supply chain inconsistency requires absolute, managerial control over every stage of the value chain. The WOS structure ensures that Nestlé can mandate and enforce its global production and quality protocols, from rigorous supplier development programs (UN Global Compact 2018) through to final product testing. The sheer necessity for direct quality control in a market where health and safety controversies (such as the Maggi crisis) can instantly destroy brand equity necessitates the maximum internalization afforded by the WOS structure (Singh &amp; Gupta 2016).</w:t>
      </w:r>
    </w:p>
    <w:p w14:paraId="16680B9B" w14:textId="77777777" w:rsidR="009504B0" w:rsidRPr="009A224F" w:rsidRDefault="009504B0" w:rsidP="009A224F">
      <w:pPr>
        <w:pStyle w:val="Heading2"/>
        <w:spacing w:line="360" w:lineRule="auto"/>
        <w:rPr>
          <w:rFonts w:ascii="Arial" w:eastAsia="Times New Roman" w:hAnsi="Arial" w:cs="Arial"/>
        </w:rPr>
      </w:pPr>
      <w:bookmarkStart w:id="24" w:name="_Toc214898151"/>
      <w:r w:rsidRPr="009A224F">
        <w:rPr>
          <w:rFonts w:ascii="Arial" w:eastAsia="Times New Roman" w:hAnsi="Arial" w:cs="Arial"/>
        </w:rPr>
        <w:t>4.5. Synthesis: OLI Impact on WOS Selection for Nestlé India</w:t>
      </w:r>
      <w:bookmarkEnd w:id="24"/>
    </w:p>
    <w:p w14:paraId="3091F15B"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 xml:space="preserve">The strategic choice of a WOS for Nestlé in India is a classic OLI-justified decision. The strength of Nestlé’s Ownership advantages (brand, R&amp;D) makes FDI necessary, and the attractiveness of India’s Location advantages (growth, cost base) makes it desirable. However, the critical element is the </w:t>
      </w:r>
      <w:r w:rsidRPr="009A224F">
        <w:rPr>
          <w:rStyle w:val="Strong"/>
          <w:rFonts w:ascii="Arial" w:hAnsi="Arial" w:cs="Arial"/>
          <w:color w:val="1F1F1F"/>
          <w:bdr w:val="none" w:sz="0" w:space="0" w:color="auto" w:frame="1"/>
        </w:rPr>
        <w:t>Internalization</w:t>
      </w:r>
      <w:r w:rsidRPr="009A224F">
        <w:rPr>
          <w:rFonts w:ascii="Arial" w:hAnsi="Arial" w:cs="Arial"/>
          <w:color w:val="1F1F1F"/>
        </w:rPr>
        <w:t xml:space="preserve"> advantage. Because the company's competitive viability hinges on quality control and brand trust, externalizing production or quality assurance processes via a joint venture presents unacceptable risks to its global reputation. Therefore, the WOS model is deployed to maximize control and minimize transaction and quality failure costs, justifying the high commitment of capital.</w:t>
      </w:r>
    </w:p>
    <w:p w14:paraId="69E504CD" w14:textId="77777777" w:rsidR="009504B0" w:rsidRPr="009A224F" w:rsidRDefault="009504B0" w:rsidP="009A224F">
      <w:pPr>
        <w:pStyle w:val="Heading3"/>
        <w:spacing w:line="360" w:lineRule="auto"/>
        <w:rPr>
          <w:rFonts w:ascii="Arial" w:hAnsi="Arial" w:cs="Arial"/>
        </w:rPr>
      </w:pPr>
      <w:bookmarkStart w:id="25" w:name="_Toc214898152"/>
      <w:r w:rsidRPr="009A224F">
        <w:rPr>
          <w:rFonts w:ascii="Arial" w:hAnsi="Arial" w:cs="Arial"/>
        </w:rPr>
        <w:t>Table 4.1: OLI Justification for Nestlé’s Wholly Owned Subsidiary (WOS) in India</w:t>
      </w:r>
      <w:bookmarkEnd w:id="25"/>
    </w:p>
    <w:tbl>
      <w:tblPr>
        <w:tblW w:w="0" w:type="auto"/>
        <w:tblCellSpacing w:w="15" w:type="dxa"/>
        <w:tblCellMar>
          <w:left w:w="0" w:type="dxa"/>
          <w:right w:w="0" w:type="dxa"/>
        </w:tblCellMar>
        <w:tblLook w:val="04A0" w:firstRow="1" w:lastRow="0" w:firstColumn="1" w:lastColumn="0" w:noHBand="0" w:noVBand="1"/>
      </w:tblPr>
      <w:tblGrid>
        <w:gridCol w:w="2083"/>
        <w:gridCol w:w="3821"/>
        <w:gridCol w:w="3106"/>
      </w:tblGrid>
      <w:tr w:rsidR="009504B0" w:rsidRPr="009A224F" w14:paraId="3853B861"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1F61706" w14:textId="77777777" w:rsidR="009504B0" w:rsidRPr="009A224F" w:rsidRDefault="009504B0" w:rsidP="009A224F">
            <w:pPr>
              <w:spacing w:line="360" w:lineRule="auto"/>
              <w:rPr>
                <w:rFonts w:ascii="Arial" w:eastAsia="Times New Roman" w:hAnsi="Arial" w:cs="Arial"/>
                <w:color w:val="1F1F1F"/>
              </w:rPr>
            </w:pPr>
            <w:r w:rsidRPr="009A224F">
              <w:rPr>
                <w:rStyle w:val="Strong"/>
                <w:rFonts w:ascii="Arial" w:eastAsia="Times New Roman" w:hAnsi="Arial" w:cs="Arial"/>
                <w:color w:val="1F1F1F"/>
                <w:bdr w:val="none" w:sz="0" w:space="0" w:color="auto" w:frame="1"/>
              </w:rPr>
              <w:t>OLI Factor</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8DDFFE5" w14:textId="77777777" w:rsidR="009504B0" w:rsidRPr="009A224F" w:rsidRDefault="009504B0" w:rsidP="009A224F">
            <w:pPr>
              <w:spacing w:line="360" w:lineRule="auto"/>
              <w:rPr>
                <w:rFonts w:ascii="Arial" w:eastAsia="Times New Roman" w:hAnsi="Arial" w:cs="Arial"/>
                <w:color w:val="1F1F1F"/>
              </w:rPr>
            </w:pPr>
            <w:r w:rsidRPr="009A224F">
              <w:rPr>
                <w:rStyle w:val="Strong"/>
                <w:rFonts w:ascii="Arial" w:eastAsia="Times New Roman" w:hAnsi="Arial" w:cs="Arial"/>
                <w:color w:val="1F1F1F"/>
                <w:bdr w:val="none" w:sz="0" w:space="0" w:color="auto" w:frame="1"/>
              </w:rPr>
              <w:t>Nestlé Advantage/Condition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7AECF4D" w14:textId="77777777" w:rsidR="009504B0" w:rsidRPr="009A224F" w:rsidRDefault="009504B0" w:rsidP="009A224F">
            <w:pPr>
              <w:spacing w:line="360" w:lineRule="auto"/>
              <w:rPr>
                <w:rFonts w:ascii="Arial" w:eastAsia="Times New Roman" w:hAnsi="Arial" w:cs="Arial"/>
                <w:color w:val="1F1F1F"/>
              </w:rPr>
            </w:pPr>
            <w:r w:rsidRPr="009A224F">
              <w:rPr>
                <w:rStyle w:val="Strong"/>
                <w:rFonts w:ascii="Arial" w:eastAsia="Times New Roman" w:hAnsi="Arial" w:cs="Arial"/>
                <w:color w:val="1F1F1F"/>
                <w:bdr w:val="none" w:sz="0" w:space="0" w:color="auto" w:frame="1"/>
              </w:rPr>
              <w:t>Internalization Rationale (WOS)</w:t>
            </w:r>
          </w:p>
        </w:tc>
      </w:tr>
      <w:tr w:rsidR="009504B0" w:rsidRPr="009A224F" w14:paraId="19BBE3B2"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ED5414B"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Style w:val="Strong"/>
                <w:rFonts w:ascii="Arial" w:hAnsi="Arial" w:cs="Arial"/>
                <w:color w:val="1F1F1F"/>
                <w:bdr w:val="none" w:sz="0" w:space="0" w:color="auto" w:frame="1"/>
              </w:rPr>
              <w:t>Ownership (O)</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636D534"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Scientific know-how, advanced processing technology, strong global brand equity (Kotler 2019; Interbrand 2024)</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09E0895"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WOS provides the necessary control to enforce global standards and protect highly specific intellectual assets (IP).</w:t>
            </w:r>
          </w:p>
        </w:tc>
      </w:tr>
      <w:tr w:rsidR="009504B0" w:rsidRPr="009A224F" w14:paraId="6B248591"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81AD38B"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Style w:val="Strong"/>
                <w:rFonts w:ascii="Arial" w:hAnsi="Arial" w:cs="Arial"/>
                <w:color w:val="1F1F1F"/>
                <w:bdr w:val="none" w:sz="0" w:space="0" w:color="auto" w:frame="1"/>
              </w:rPr>
              <w:lastRenderedPageBreak/>
              <w:t>Location (L)</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83257F6"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 xml:space="preserve">Large, high-growth consumer market, </w:t>
            </w:r>
            <w:proofErr w:type="spellStart"/>
            <w:r w:rsidRPr="009A224F">
              <w:rPr>
                <w:rFonts w:ascii="Arial" w:hAnsi="Arial" w:cs="Arial"/>
                <w:color w:val="1F1F1F"/>
              </w:rPr>
              <w:t>favorable</w:t>
            </w:r>
            <w:proofErr w:type="spellEnd"/>
            <w:r w:rsidRPr="009A224F">
              <w:rPr>
                <w:rFonts w:ascii="Arial" w:hAnsi="Arial" w:cs="Arial"/>
                <w:color w:val="1F1F1F"/>
              </w:rPr>
              <w:t xml:space="preserve"> demographics, access to specialized raw materials/R&amp;D expertise (KPMG India 2021; Smith 2020)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E653163"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Motivates direct investment (FDI) to fully capture market share and optimize the value chain via local factor inputs.</w:t>
            </w:r>
          </w:p>
        </w:tc>
      </w:tr>
      <w:tr w:rsidR="009504B0" w:rsidRPr="009A224F" w14:paraId="0DE0CCE4"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3250D60"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Style w:val="Strong"/>
                <w:rFonts w:ascii="Arial" w:hAnsi="Arial" w:cs="Arial"/>
                <w:color w:val="1F1F1F"/>
                <w:bdr w:val="none" w:sz="0" w:space="0" w:color="auto" w:frame="1"/>
              </w:rPr>
              <w:t>Internalization (I)</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F7F05E5"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Need for direct quality control, management of regulatory compliance risk (FSSAI), integration of technical SOPs (</w:t>
            </w:r>
            <w:proofErr w:type="spellStart"/>
            <w:r w:rsidRPr="009A224F">
              <w:rPr>
                <w:rFonts w:ascii="Arial" w:hAnsi="Arial" w:cs="Arial"/>
                <w:color w:val="1F1F1F"/>
              </w:rPr>
              <w:t>Hennart</w:t>
            </w:r>
            <w:proofErr w:type="spellEnd"/>
            <w:r w:rsidRPr="009A224F">
              <w:rPr>
                <w:rFonts w:ascii="Arial" w:hAnsi="Arial" w:cs="Arial"/>
                <w:color w:val="1F1F1F"/>
              </w:rPr>
              <w:t xml:space="preserve"> 1982; WHO 2020)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712234A"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WOS avoids transaction costs associated with potential JV conflicts or licensing non-adherence, maximizing managerial control and risk mitigation.</w:t>
            </w:r>
          </w:p>
        </w:tc>
      </w:tr>
    </w:tbl>
    <w:p w14:paraId="0420F5D0" w14:textId="5628C5B7" w:rsidR="009504B0" w:rsidRPr="009A224F" w:rsidRDefault="009504B0" w:rsidP="009A224F">
      <w:pPr>
        <w:pStyle w:val="Heading2"/>
        <w:spacing w:before="0" w:after="120" w:line="360" w:lineRule="auto"/>
        <w:rPr>
          <w:rFonts w:ascii="Arial" w:eastAsia="Times New Roman" w:hAnsi="Arial" w:cs="Arial"/>
          <w:color w:val="1F1F1F"/>
        </w:rPr>
      </w:pPr>
      <w:bookmarkStart w:id="26" w:name="_Toc214898153"/>
      <w:r w:rsidRPr="009A224F">
        <w:rPr>
          <w:rStyle w:val="Heading1Char"/>
          <w:rFonts w:ascii="Arial" w:hAnsi="Arial" w:cs="Arial"/>
        </w:rPr>
        <w:t>5. Cultural Differences and Impact on Strategy</w:t>
      </w:r>
      <w:bookmarkEnd w:id="26"/>
    </w:p>
    <w:p w14:paraId="7F82DBC4"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 xml:space="preserve">Nestlé’s home country, Switzerland, and its operating environment in India present significant differences in national culture, which profoundly affect management style, communication, and market acceptance. This section </w:t>
      </w:r>
      <w:proofErr w:type="spellStart"/>
      <w:r w:rsidRPr="009A224F">
        <w:rPr>
          <w:rFonts w:ascii="Arial" w:hAnsi="Arial" w:cs="Arial"/>
          <w:color w:val="1F1F1F"/>
        </w:rPr>
        <w:t>analyzes</w:t>
      </w:r>
      <w:proofErr w:type="spellEnd"/>
      <w:r w:rsidRPr="009A224F">
        <w:rPr>
          <w:rFonts w:ascii="Arial" w:hAnsi="Arial" w:cs="Arial"/>
          <w:color w:val="1F1F1F"/>
        </w:rPr>
        <w:t xml:space="preserve"> these differences using Hofstede’s dimensions, focusing on Power Distance and Individualism/Collectivism.</w:t>
      </w:r>
    </w:p>
    <w:p w14:paraId="5A35D8AD" w14:textId="77777777" w:rsidR="009504B0" w:rsidRPr="009A224F" w:rsidRDefault="009504B0" w:rsidP="009A224F">
      <w:pPr>
        <w:pStyle w:val="Heading2"/>
        <w:spacing w:line="360" w:lineRule="auto"/>
        <w:rPr>
          <w:rFonts w:ascii="Arial" w:eastAsia="Times New Roman" w:hAnsi="Arial" w:cs="Arial"/>
        </w:rPr>
      </w:pPr>
      <w:bookmarkStart w:id="27" w:name="_Toc214898154"/>
      <w:r w:rsidRPr="009A224F">
        <w:rPr>
          <w:rFonts w:ascii="Arial" w:eastAsia="Times New Roman" w:hAnsi="Arial" w:cs="Arial"/>
        </w:rPr>
        <w:t>5.1. Switzerland vs. India: A Hofstede Comparison</w:t>
      </w:r>
      <w:bookmarkEnd w:id="27"/>
    </w:p>
    <w:p w14:paraId="5EC64308" w14:textId="77777777" w:rsidR="009504B0" w:rsidRPr="009A224F" w:rsidRDefault="009504B0" w:rsidP="009A224F">
      <w:pPr>
        <w:pStyle w:val="Heading3"/>
        <w:spacing w:line="360" w:lineRule="auto"/>
        <w:rPr>
          <w:rFonts w:ascii="Arial" w:eastAsia="Times New Roman" w:hAnsi="Arial" w:cs="Arial"/>
        </w:rPr>
      </w:pPr>
      <w:bookmarkStart w:id="28" w:name="_Toc214898155"/>
      <w:r w:rsidRPr="009A224F">
        <w:rPr>
          <w:rFonts w:ascii="Arial" w:eastAsia="Times New Roman" w:hAnsi="Arial" w:cs="Arial"/>
        </w:rPr>
        <w:t>5.1.1. Power Distance Index (PDI): The Hierarchy Conflict</w:t>
      </w:r>
      <w:bookmarkEnd w:id="28"/>
    </w:p>
    <w:p w14:paraId="7706701B"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The Power Distance Index (PDI) measures the degree to which inequality and hierarchical structures are accepted within a society. India scores very high on this dimension (PDI 77) (Hofstede 2010; The Hofstede Centre n.d.). This high score indicates that Indian society traditionally accepts a high level of inequality, where authority is formalized and hierarchical (Trompenaars 1999). Employees typically expect clear, top-down direction regarding their functions and what is expected of them, viewing managers as authoritative figures (Hofstede 2010).</w:t>
      </w:r>
    </w:p>
    <w:p w14:paraId="4D07B2B8"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lastRenderedPageBreak/>
        <w:t>In contrast, the Nestlé TNC model, influenced by its Swiss heritage and its operational necessity for rapid adaptation, strives for a decentralized structure with minimal management layers and wider spans of control (Johnson &amp; Davies 1998). Implementing a seemingly "flat" organizational structure, reflective of a lower PDI ethos, without understanding and compensating for local expectations of hierarchy can create significant friction (Trompenaars 1999). It may lead to confusion regarding accountability, where employees hesitate to act without explicit authorization, or a perceived lack of clear leadership during crises.</w:t>
      </w:r>
    </w:p>
    <w:p w14:paraId="3B6020E0" w14:textId="77777777" w:rsidR="009504B0" w:rsidRPr="009A224F" w:rsidRDefault="009504B0" w:rsidP="009A224F">
      <w:pPr>
        <w:pStyle w:val="Heading3"/>
        <w:spacing w:line="360" w:lineRule="auto"/>
        <w:rPr>
          <w:rFonts w:ascii="Arial" w:eastAsia="Times New Roman" w:hAnsi="Arial" w:cs="Arial"/>
        </w:rPr>
      </w:pPr>
      <w:bookmarkStart w:id="29" w:name="_Toc214898156"/>
      <w:r w:rsidRPr="009A224F">
        <w:rPr>
          <w:rFonts w:ascii="Arial" w:eastAsia="Times New Roman" w:hAnsi="Arial" w:cs="Arial"/>
        </w:rPr>
        <w:t>5.1.2. Individualism versus Collectivism (IDV): Relationships Over Contract</w:t>
      </w:r>
      <w:bookmarkEnd w:id="29"/>
    </w:p>
    <w:p w14:paraId="71D9F7A8"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India is classified as a moderately collectivist society (IDV 48) (Hofstede 2010), meaning there is a strong preference for belonging to an in-group (family, work group). Decisions and loyalty are influenced by the greater good of this group, and relationships are often the key to conducting business (Hofstede 2010; Hall 1976). The relationship between an employee and employer is often based on an exchange of loyalty for "familial protection" and support (Hofstede 2010).</w:t>
      </w:r>
    </w:p>
    <w:p w14:paraId="51FED068"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The global TNC structure, while decentralized, typically relies on standardized procedures, merit-based metrics, and transactional efficiency. This approach can clash with the Indian collectivist need for long-term, trust-based relationships, particularly with external stakeholders like distributors, suppliers, and regulators. The success of Nestlé India in maintaining strong relationships with channel partners, even during the severe Maggi crisis, demonstrates the importance of managing relational capital effectively in this market (Kotler 2019).</w:t>
      </w:r>
    </w:p>
    <w:p w14:paraId="378E00AC" w14:textId="77777777" w:rsidR="009504B0" w:rsidRPr="009A224F" w:rsidRDefault="009504B0" w:rsidP="009A224F">
      <w:pPr>
        <w:pStyle w:val="Heading2"/>
        <w:spacing w:line="360" w:lineRule="auto"/>
        <w:rPr>
          <w:rFonts w:ascii="Arial" w:eastAsia="Times New Roman" w:hAnsi="Arial" w:cs="Arial"/>
        </w:rPr>
      </w:pPr>
      <w:bookmarkStart w:id="30" w:name="_Toc214898157"/>
      <w:r w:rsidRPr="009A224F">
        <w:rPr>
          <w:rFonts w:ascii="Arial" w:eastAsia="Times New Roman" w:hAnsi="Arial" w:cs="Arial"/>
        </w:rPr>
        <w:t>5.2. Impact on Market Entry Strategy</w:t>
      </w:r>
      <w:bookmarkEnd w:id="30"/>
    </w:p>
    <w:p w14:paraId="5DBC869F"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The high PDI and collectivist culture directly shape how Nestlé must operate in the market.</w:t>
      </w:r>
    </w:p>
    <w:p w14:paraId="24856E2F" w14:textId="77777777" w:rsidR="009504B0" w:rsidRPr="009A224F" w:rsidRDefault="009504B0" w:rsidP="009A224F">
      <w:pPr>
        <w:pStyle w:val="Heading3"/>
        <w:spacing w:line="360" w:lineRule="auto"/>
        <w:rPr>
          <w:rFonts w:ascii="Arial" w:eastAsia="Times New Roman" w:hAnsi="Arial" w:cs="Arial"/>
        </w:rPr>
      </w:pPr>
      <w:bookmarkStart w:id="31" w:name="_Toc214898158"/>
      <w:r w:rsidRPr="009A224F">
        <w:rPr>
          <w:rFonts w:ascii="Arial" w:eastAsia="Times New Roman" w:hAnsi="Arial" w:cs="Arial"/>
        </w:rPr>
        <w:t>5.2.1. Trust and Partnership Formation</w:t>
      </w:r>
      <w:bookmarkEnd w:id="31"/>
    </w:p>
    <w:p w14:paraId="2DE0D48C"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 xml:space="preserve">The collectivist culture mandates that operational success is predicated upon establishing and maintaining deep-seated trust (Hall 1976). The choice of the WOS entry mode, while mitigating risks related to IP leakage, requires Nestlé to directly </w:t>
      </w:r>
      <w:r w:rsidRPr="009A224F">
        <w:rPr>
          <w:rFonts w:ascii="Arial" w:hAnsi="Arial" w:cs="Arial"/>
          <w:color w:val="1F1F1F"/>
        </w:rPr>
        <w:lastRenderedPageBreak/>
        <w:t>cultivate this relational capital with every stakeholder group. This is achieved through intensive engagement models, such as the supplier development programs that educate local farmers on improved methods and quality practices (Jain 2020; UN Global Compact 2018). The investment in technical assistance and community development (Creating Shared Value) functions as a mechanism for building trust that replaces the automatic social capital a local joint venture partner would typically provide (Porter &amp; Kramer 2011).</w:t>
      </w:r>
    </w:p>
    <w:p w14:paraId="2546BFAD" w14:textId="77777777" w:rsidR="009504B0" w:rsidRPr="009A224F" w:rsidRDefault="009504B0" w:rsidP="009A224F">
      <w:pPr>
        <w:pStyle w:val="Heading3"/>
        <w:spacing w:line="360" w:lineRule="auto"/>
        <w:rPr>
          <w:rFonts w:ascii="Arial" w:eastAsia="Times New Roman" w:hAnsi="Arial" w:cs="Arial"/>
        </w:rPr>
      </w:pPr>
      <w:bookmarkStart w:id="32" w:name="_Toc214898159"/>
      <w:r w:rsidRPr="009A224F">
        <w:rPr>
          <w:rFonts w:ascii="Arial" w:eastAsia="Times New Roman" w:hAnsi="Arial" w:cs="Arial"/>
        </w:rPr>
        <w:t>5.2.2. Marketing and Product Adaptation</w:t>
      </w:r>
      <w:bookmarkEnd w:id="32"/>
    </w:p>
    <w:p w14:paraId="263407E5"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Cultural differences necessitate a highly localized product strategy. The polycentric approach, where unique product offerings and marketing strategies are developed for India, is not merely a preference but a cultural requirement (Hill 2020). Given the diversity of regional tastes and culinary traditions within India, products must be extensively modified to resonate with specific collective preferences (Prahalad 2004). This localization extends to affordability, requiring adaptation of product sizes and price points to cater to varied socio-economic segments (Prahalad 2004).</w:t>
      </w:r>
    </w:p>
    <w:p w14:paraId="351FB0F0" w14:textId="77777777" w:rsidR="009504B0" w:rsidRPr="009A224F" w:rsidRDefault="009504B0" w:rsidP="009A224F">
      <w:pPr>
        <w:pStyle w:val="Heading2"/>
        <w:spacing w:line="360" w:lineRule="auto"/>
        <w:rPr>
          <w:rFonts w:ascii="Arial" w:eastAsia="Times New Roman" w:hAnsi="Arial" w:cs="Arial"/>
        </w:rPr>
      </w:pPr>
      <w:bookmarkStart w:id="33" w:name="_Toc214898160"/>
      <w:r w:rsidRPr="009A224F">
        <w:rPr>
          <w:rFonts w:ascii="Arial" w:eastAsia="Times New Roman" w:hAnsi="Arial" w:cs="Arial"/>
        </w:rPr>
        <w:t>5.3. Impact on Organizational Success and Internal Management</w:t>
      </w:r>
      <w:bookmarkEnd w:id="33"/>
    </w:p>
    <w:p w14:paraId="1BD3AB60" w14:textId="77777777" w:rsidR="009504B0" w:rsidRPr="009A224F" w:rsidRDefault="009504B0" w:rsidP="009A224F">
      <w:pPr>
        <w:pStyle w:val="Heading3"/>
        <w:spacing w:line="360" w:lineRule="auto"/>
        <w:rPr>
          <w:rFonts w:ascii="Arial" w:eastAsia="Times New Roman" w:hAnsi="Arial" w:cs="Arial"/>
        </w:rPr>
      </w:pPr>
      <w:bookmarkStart w:id="34" w:name="_Toc214898161"/>
      <w:r w:rsidRPr="009A224F">
        <w:rPr>
          <w:rFonts w:ascii="Arial" w:eastAsia="Times New Roman" w:hAnsi="Arial" w:cs="Arial"/>
        </w:rPr>
        <w:t>5.3.1. Leadership Style and Communication</w:t>
      </w:r>
      <w:bookmarkEnd w:id="34"/>
    </w:p>
    <w:p w14:paraId="22624098"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 xml:space="preserve">In a high PDI environment, leadership style must incorporate formality and clarity. While employees seek authoritative direction (Hofstede 2010), the most successful managerial approach balances hierarchy with engagement. Research suggests that a </w:t>
      </w:r>
      <w:r w:rsidRPr="009A224F">
        <w:rPr>
          <w:rStyle w:val="Strong"/>
          <w:rFonts w:ascii="Arial" w:hAnsi="Arial" w:cs="Arial"/>
          <w:color w:val="1F1F1F"/>
          <w:bdr w:val="none" w:sz="0" w:space="0" w:color="auto" w:frame="1"/>
        </w:rPr>
        <w:t>consultative communication style</w:t>
      </w:r>
      <w:r w:rsidRPr="009A224F">
        <w:rPr>
          <w:rFonts w:ascii="Arial" w:hAnsi="Arial" w:cs="Arial"/>
          <w:color w:val="1F1F1F"/>
        </w:rPr>
        <w:t xml:space="preserve"> and transformational leadership, which focuses on developing employees and fostering an egalitarian work environment, are highly effective in Indian organizations (Javidan &amp; House 2001). This hybrid approach secures organizational compliance while also fulfilling the collectivist expectation of the employer providing long-term personal and professional growth (Hall 1976; </w:t>
      </w:r>
      <w:proofErr w:type="spellStart"/>
      <w:r w:rsidRPr="009A224F">
        <w:rPr>
          <w:rFonts w:ascii="Arial" w:hAnsi="Arial" w:cs="Arial"/>
          <w:color w:val="1F1F1F"/>
        </w:rPr>
        <w:t>Srimannarayana</w:t>
      </w:r>
      <w:proofErr w:type="spellEnd"/>
      <w:r w:rsidRPr="009A224F">
        <w:rPr>
          <w:rFonts w:ascii="Arial" w:hAnsi="Arial" w:cs="Arial"/>
          <w:color w:val="1F1F1F"/>
        </w:rPr>
        <w:t xml:space="preserve"> 2007).</w:t>
      </w:r>
    </w:p>
    <w:p w14:paraId="2E54BBF8" w14:textId="77777777" w:rsidR="009504B0" w:rsidRPr="009A224F" w:rsidRDefault="009504B0" w:rsidP="009A224F">
      <w:pPr>
        <w:pStyle w:val="Heading3"/>
        <w:spacing w:line="360" w:lineRule="auto"/>
        <w:rPr>
          <w:rFonts w:ascii="Arial" w:eastAsia="Times New Roman" w:hAnsi="Arial" w:cs="Arial"/>
        </w:rPr>
      </w:pPr>
      <w:bookmarkStart w:id="35" w:name="_Toc214898162"/>
      <w:r w:rsidRPr="009A224F">
        <w:rPr>
          <w:rFonts w:ascii="Arial" w:eastAsia="Times New Roman" w:hAnsi="Arial" w:cs="Arial"/>
        </w:rPr>
        <w:t>5.3.2. Crisis Communication Failure (Cultural Insight)</w:t>
      </w:r>
      <w:bookmarkEnd w:id="35"/>
    </w:p>
    <w:p w14:paraId="03BBEE24"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 xml:space="preserve">The Maggi crisis in 2015 provides a stark example of cultural misalignment in organizational response. When the FSSAI banned the product, Nestlé's initial </w:t>
      </w:r>
      <w:r w:rsidRPr="009A224F">
        <w:rPr>
          <w:rFonts w:ascii="Arial" w:hAnsi="Arial" w:cs="Arial"/>
          <w:color w:val="1F1F1F"/>
        </w:rPr>
        <w:lastRenderedPageBreak/>
        <w:t xml:space="preserve">response was slow, delayed for weeks, and focused heavily on technical facts and scientific </w:t>
      </w:r>
      <w:proofErr w:type="spellStart"/>
      <w:r w:rsidRPr="009A224F">
        <w:rPr>
          <w:rFonts w:ascii="Arial" w:hAnsi="Arial" w:cs="Arial"/>
          <w:color w:val="1F1F1F"/>
        </w:rPr>
        <w:t>defense</w:t>
      </w:r>
      <w:proofErr w:type="spellEnd"/>
      <w:r w:rsidRPr="009A224F">
        <w:rPr>
          <w:rFonts w:ascii="Arial" w:hAnsi="Arial" w:cs="Arial"/>
          <w:color w:val="1F1F1F"/>
        </w:rPr>
        <w:t xml:space="preserve"> (Singh &amp; Gupta 2016; Hindustan Times 2015). In a high-PDI, collectivist society, consumers and the public expected an immediate, authoritative, and empathetic response from the corporate parent—a demonstration of "familial protection" over mere technical correctness (Schein 2004; Iyer 2017). This communication failure allowed consumer perceptions and regulatory scrutiny to escalate, resulting in severe losses and brand damage (Singh &amp; Gupta 2016; The Hindu 2016). The crisis demonstrated that success in India requires management SOPs to prioritize swift, culturally resonant communication that builds trust (Collectivism) and demonstrates decisive authority (PDI) above all else during a crisis (Iyer 2017).</w:t>
      </w:r>
    </w:p>
    <w:p w14:paraId="5BAB94C6" w14:textId="77777777" w:rsidR="009504B0" w:rsidRPr="009A224F" w:rsidRDefault="009504B0" w:rsidP="009A224F">
      <w:pPr>
        <w:pStyle w:val="Heading3"/>
        <w:spacing w:line="360" w:lineRule="auto"/>
        <w:rPr>
          <w:rFonts w:ascii="Arial" w:hAnsi="Arial" w:cs="Arial"/>
        </w:rPr>
      </w:pPr>
      <w:bookmarkStart w:id="36" w:name="_Toc214898163"/>
      <w:r w:rsidRPr="009A224F">
        <w:rPr>
          <w:rFonts w:ascii="Arial" w:hAnsi="Arial" w:cs="Arial"/>
        </w:rPr>
        <w:t>Table 5.1: Comparative Cultural Dimensions: Switzerland (Home) vs. India (Host)</w:t>
      </w:r>
      <w:bookmarkEnd w:id="36"/>
    </w:p>
    <w:tbl>
      <w:tblPr>
        <w:tblW w:w="0" w:type="auto"/>
        <w:tblCellSpacing w:w="15" w:type="dxa"/>
        <w:tblCellMar>
          <w:left w:w="0" w:type="dxa"/>
          <w:right w:w="0" w:type="dxa"/>
        </w:tblCellMar>
        <w:tblLook w:val="04A0" w:firstRow="1" w:lastRow="0" w:firstColumn="1" w:lastColumn="0" w:noHBand="0" w:noVBand="1"/>
      </w:tblPr>
      <w:tblGrid>
        <w:gridCol w:w="1981"/>
        <w:gridCol w:w="2089"/>
        <w:gridCol w:w="2630"/>
        <w:gridCol w:w="2310"/>
      </w:tblGrid>
      <w:tr w:rsidR="009504B0" w:rsidRPr="009A224F" w14:paraId="238AE7B4"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0774486" w14:textId="77777777" w:rsidR="009504B0" w:rsidRPr="009A224F" w:rsidRDefault="009504B0" w:rsidP="009A224F">
            <w:pPr>
              <w:spacing w:line="360" w:lineRule="auto"/>
              <w:rPr>
                <w:rFonts w:ascii="Arial" w:eastAsia="Times New Roman" w:hAnsi="Arial" w:cs="Arial"/>
                <w:color w:val="1F1F1F"/>
              </w:rPr>
            </w:pPr>
            <w:r w:rsidRPr="009A224F">
              <w:rPr>
                <w:rStyle w:val="Strong"/>
                <w:rFonts w:ascii="Arial" w:eastAsia="Times New Roman" w:hAnsi="Arial" w:cs="Arial"/>
                <w:color w:val="1F1F1F"/>
                <w:bdr w:val="none" w:sz="0" w:space="0" w:color="auto" w:frame="1"/>
              </w:rPr>
              <w:t>Hofstede Dimension</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A8CA54A" w14:textId="77777777" w:rsidR="009504B0" w:rsidRPr="009A224F" w:rsidRDefault="009504B0" w:rsidP="009A224F">
            <w:pPr>
              <w:spacing w:line="360" w:lineRule="auto"/>
              <w:rPr>
                <w:rFonts w:ascii="Arial" w:eastAsia="Times New Roman" w:hAnsi="Arial" w:cs="Arial"/>
                <w:color w:val="1F1F1F"/>
              </w:rPr>
            </w:pPr>
            <w:r w:rsidRPr="009A224F">
              <w:rPr>
                <w:rStyle w:val="Strong"/>
                <w:rFonts w:ascii="Arial" w:eastAsia="Times New Roman" w:hAnsi="Arial" w:cs="Arial"/>
                <w:color w:val="1F1F1F"/>
                <w:bdr w:val="none" w:sz="0" w:space="0" w:color="auto" w:frame="1"/>
              </w:rPr>
              <w:t>India Score (Host)</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0ADF534" w14:textId="77777777" w:rsidR="009504B0" w:rsidRPr="009A224F" w:rsidRDefault="009504B0" w:rsidP="009A224F">
            <w:pPr>
              <w:spacing w:line="360" w:lineRule="auto"/>
              <w:rPr>
                <w:rFonts w:ascii="Arial" w:eastAsia="Times New Roman" w:hAnsi="Arial" w:cs="Arial"/>
                <w:color w:val="1F1F1F"/>
              </w:rPr>
            </w:pPr>
            <w:r w:rsidRPr="009A224F">
              <w:rPr>
                <w:rStyle w:val="Strong"/>
                <w:rFonts w:ascii="Arial" w:eastAsia="Times New Roman" w:hAnsi="Arial" w:cs="Arial"/>
                <w:color w:val="1F1F1F"/>
                <w:bdr w:val="none" w:sz="0" w:space="0" w:color="auto" w:frame="1"/>
              </w:rPr>
              <w:t>Switzerland/Nestlé TNC Ethos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CA4A642" w14:textId="77777777" w:rsidR="009504B0" w:rsidRPr="009A224F" w:rsidRDefault="009504B0" w:rsidP="009A224F">
            <w:pPr>
              <w:spacing w:line="360" w:lineRule="auto"/>
              <w:rPr>
                <w:rFonts w:ascii="Arial" w:eastAsia="Times New Roman" w:hAnsi="Arial" w:cs="Arial"/>
                <w:color w:val="1F1F1F"/>
              </w:rPr>
            </w:pPr>
            <w:r w:rsidRPr="009A224F">
              <w:rPr>
                <w:rStyle w:val="Strong"/>
                <w:rFonts w:ascii="Arial" w:eastAsia="Times New Roman" w:hAnsi="Arial" w:cs="Arial"/>
                <w:color w:val="1F1F1F"/>
                <w:bdr w:val="none" w:sz="0" w:space="0" w:color="auto" w:frame="1"/>
              </w:rPr>
              <w:t>Strategic Implications for Nestlé India</w:t>
            </w:r>
          </w:p>
        </w:tc>
      </w:tr>
      <w:tr w:rsidR="009504B0" w:rsidRPr="009A224F" w14:paraId="2A4768AA"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2E7A0EF"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Style w:val="Strong"/>
                <w:rFonts w:ascii="Arial" w:hAnsi="Arial" w:cs="Arial"/>
                <w:color w:val="1F1F1F"/>
                <w:bdr w:val="none" w:sz="0" w:space="0" w:color="auto" w:frame="1"/>
              </w:rPr>
              <w:t>Power Distance (PDI)</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B15C1AC"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77 (High Acceptance of Hierarchy) (Hofstede 2010; The Hofstede Centre n.d.)</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CB3BCF2"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Focus on decentralized management, minimal layers (Johnson &amp; Davies 1998)</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6648B79"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Authority must be clearly defined in SOPs (PDI compliance), but implementation requires consultative leadership to secure engagement and accountability (Javidan &amp; House 2001).</w:t>
            </w:r>
          </w:p>
        </w:tc>
      </w:tr>
      <w:tr w:rsidR="009504B0" w:rsidRPr="009A224F" w14:paraId="51B33481" w14:textId="77777777">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0871515"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Style w:val="Strong"/>
                <w:rFonts w:ascii="Arial" w:hAnsi="Arial" w:cs="Arial"/>
                <w:color w:val="1F1F1F"/>
                <w:bdr w:val="none" w:sz="0" w:space="0" w:color="auto" w:frame="1"/>
              </w:rPr>
              <w:lastRenderedPageBreak/>
              <w:t>Individualism (IDV)</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9407982"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48 (Collectivist/In-Group Focused) (Hofstede 2010)</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9823084"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Focus on individual performance and process efficiency (Implied)</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28C0BF4"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HRM must acknowledge group loyalty and reward relational capital; business strategy must prioritize long-term, trust-based relationships with stakeholders (Hall 1976; Kotler 2019).</w:t>
            </w:r>
          </w:p>
        </w:tc>
      </w:tr>
    </w:tbl>
    <w:p w14:paraId="62F220CA" w14:textId="447AA3F3" w:rsidR="009504B0" w:rsidRPr="009A224F" w:rsidRDefault="009504B0" w:rsidP="009A224F">
      <w:pPr>
        <w:pStyle w:val="Heading1"/>
        <w:spacing w:line="360" w:lineRule="auto"/>
        <w:rPr>
          <w:rFonts w:ascii="Arial" w:eastAsia="Times New Roman" w:hAnsi="Arial" w:cs="Arial"/>
        </w:rPr>
      </w:pPr>
      <w:bookmarkStart w:id="37" w:name="_Toc214898164"/>
      <w:r w:rsidRPr="009A224F">
        <w:rPr>
          <w:rFonts w:ascii="Arial" w:eastAsia="Times New Roman" w:hAnsi="Arial" w:cs="Arial"/>
        </w:rPr>
        <w:t>6. Recommended Adjustments to Standard Operating Procedures (SOPs)</w:t>
      </w:r>
      <w:bookmarkEnd w:id="37"/>
    </w:p>
    <w:p w14:paraId="7DE0D3C0"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Based on the analysis of the OLI framework, which justified the WOS entry based on control, and the cultural analysis, which revealed vulnerabilities in accountability and communication, three major adjustments to Nestlé India’s Standard Operating Procedures are necessary to ensure future success.</w:t>
      </w:r>
    </w:p>
    <w:p w14:paraId="35285BF2" w14:textId="77777777" w:rsidR="009504B0" w:rsidRPr="009A224F" w:rsidRDefault="009504B0" w:rsidP="009A224F">
      <w:pPr>
        <w:pStyle w:val="Heading2"/>
        <w:spacing w:line="360" w:lineRule="auto"/>
        <w:rPr>
          <w:rFonts w:ascii="Arial" w:eastAsia="Times New Roman" w:hAnsi="Arial" w:cs="Arial"/>
        </w:rPr>
      </w:pPr>
      <w:bookmarkStart w:id="38" w:name="_Toc214898165"/>
      <w:r w:rsidRPr="009A224F">
        <w:rPr>
          <w:rFonts w:ascii="Arial" w:eastAsia="Times New Roman" w:hAnsi="Arial" w:cs="Arial"/>
        </w:rPr>
        <w:t>6.1. Recommendation 1: Enhanced and Localized Quality Control and Compliance SOPs</w:t>
      </w:r>
      <w:bookmarkEnd w:id="38"/>
    </w:p>
    <w:p w14:paraId="685C1BAB" w14:textId="77777777" w:rsidR="009504B0" w:rsidRPr="009A224F" w:rsidRDefault="009504B0" w:rsidP="009A224F">
      <w:pPr>
        <w:pStyle w:val="Heading3"/>
        <w:spacing w:line="360" w:lineRule="auto"/>
        <w:rPr>
          <w:rFonts w:ascii="Arial" w:eastAsia="Times New Roman" w:hAnsi="Arial" w:cs="Arial"/>
        </w:rPr>
      </w:pPr>
      <w:bookmarkStart w:id="39" w:name="_Toc214898166"/>
      <w:r w:rsidRPr="009A224F">
        <w:rPr>
          <w:rFonts w:ascii="Arial" w:eastAsia="Times New Roman" w:hAnsi="Arial" w:cs="Arial"/>
        </w:rPr>
        <w:t>6.1.1. Justification (I-Advantage Protection and Regulatory Risk Mitigation)</w:t>
      </w:r>
      <w:bookmarkEnd w:id="39"/>
    </w:p>
    <w:p w14:paraId="309E5746"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 xml:space="preserve">The cornerstone of the WOS entry (Internalization advantage) is the preservation of Nestlé's Ownership advantage (quality and brand). The 2015 Maggi crisis demonstrated that standard global SOPs (e.g., HACCP) are insufficient when local regulatory scrutiny is high and specific local factor conditions (e.g., raw material sourcing leading to contamination concerns) are present (Singh &amp; Gupta 2016; WHO </w:t>
      </w:r>
      <w:r w:rsidRPr="009A224F">
        <w:rPr>
          <w:rFonts w:ascii="Arial" w:hAnsi="Arial" w:cs="Arial"/>
          <w:color w:val="1F1F1F"/>
        </w:rPr>
        <w:lastRenderedPageBreak/>
        <w:t xml:space="preserve">2020). Success requires Nestlé to move beyond minimal compliance and develop </w:t>
      </w:r>
      <w:r w:rsidRPr="009A224F">
        <w:rPr>
          <w:rStyle w:val="Strong"/>
          <w:rFonts w:ascii="Arial" w:hAnsi="Arial" w:cs="Arial"/>
          <w:color w:val="1F1F1F"/>
          <w:bdr w:val="none" w:sz="0" w:space="0" w:color="auto" w:frame="1"/>
        </w:rPr>
        <w:t>Regulatory Foresight</w:t>
      </w:r>
      <w:r w:rsidRPr="009A224F">
        <w:rPr>
          <w:rFonts w:ascii="Arial" w:hAnsi="Arial" w:cs="Arial"/>
          <w:color w:val="1F1F1F"/>
        </w:rPr>
        <w:t xml:space="preserve"> (Iyer 2017).</w:t>
      </w:r>
    </w:p>
    <w:p w14:paraId="4586DE56" w14:textId="77777777" w:rsidR="009504B0" w:rsidRPr="009A224F" w:rsidRDefault="009504B0" w:rsidP="009A224F">
      <w:pPr>
        <w:pStyle w:val="Heading3"/>
        <w:spacing w:line="360" w:lineRule="auto"/>
        <w:rPr>
          <w:rFonts w:ascii="Arial" w:eastAsia="Times New Roman" w:hAnsi="Arial" w:cs="Arial"/>
        </w:rPr>
      </w:pPr>
      <w:bookmarkStart w:id="40" w:name="_Toc214898167"/>
      <w:r w:rsidRPr="009A224F">
        <w:rPr>
          <w:rFonts w:ascii="Arial" w:eastAsia="Times New Roman" w:hAnsi="Arial" w:cs="Arial"/>
        </w:rPr>
        <w:t>6.1.2. Proposed Adjustment: Institutionalization of a Regulatory Foresight SOP</w:t>
      </w:r>
      <w:bookmarkEnd w:id="40"/>
    </w:p>
    <w:p w14:paraId="620C7523"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 xml:space="preserve">Nestlé India must establish a mandatory, dedicated </w:t>
      </w:r>
      <w:r w:rsidRPr="009A224F">
        <w:rPr>
          <w:rStyle w:val="Strong"/>
          <w:rFonts w:ascii="Arial" w:hAnsi="Arial" w:cs="Arial"/>
          <w:color w:val="1F1F1F"/>
          <w:bdr w:val="none" w:sz="0" w:space="0" w:color="auto" w:frame="1"/>
        </w:rPr>
        <w:t>Regulatory Foresight Unit (RQFU)</w:t>
      </w:r>
      <w:r w:rsidRPr="009A224F">
        <w:rPr>
          <w:rFonts w:ascii="Arial" w:hAnsi="Arial" w:cs="Arial"/>
          <w:color w:val="1F1F1F"/>
        </w:rPr>
        <w:t>. This unit must operate with explicit, high-level managerial authority, addressing the PDI requirement for clear command structures. The RQFU’s SOPs should mandate continuous monitoring and predictive analysis of regulatory movements by bodies like the FSSAI, state-level health departments, and consumer perception trends (FSSAI 2024).</w:t>
      </w:r>
    </w:p>
    <w:p w14:paraId="12F6AF23"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 xml:space="preserve">The core operational adjustment involves implementing a </w:t>
      </w:r>
      <w:r w:rsidRPr="009A224F">
        <w:rPr>
          <w:rStyle w:val="Strong"/>
          <w:rFonts w:ascii="Arial" w:hAnsi="Arial" w:cs="Arial"/>
          <w:color w:val="1F1F1F"/>
          <w:bdr w:val="none" w:sz="0" w:space="0" w:color="auto" w:frame="1"/>
        </w:rPr>
        <w:t>Proactive Compliance SOP</w:t>
      </w:r>
      <w:r w:rsidRPr="009A224F">
        <w:rPr>
          <w:rFonts w:ascii="Arial" w:hAnsi="Arial" w:cs="Arial"/>
          <w:color w:val="1F1F1F"/>
        </w:rPr>
        <w:t xml:space="preserve">. This SOP must require internal testing protocols to consistently </w:t>
      </w:r>
      <w:r w:rsidRPr="009A224F">
        <w:rPr>
          <w:rStyle w:val="Strong"/>
          <w:rFonts w:ascii="Arial" w:hAnsi="Arial" w:cs="Arial"/>
          <w:color w:val="1F1F1F"/>
          <w:bdr w:val="none" w:sz="0" w:space="0" w:color="auto" w:frame="1"/>
        </w:rPr>
        <w:t>exceed</w:t>
      </w:r>
      <w:r w:rsidRPr="009A224F">
        <w:rPr>
          <w:rFonts w:ascii="Arial" w:hAnsi="Arial" w:cs="Arial"/>
          <w:color w:val="1F1F1F"/>
        </w:rPr>
        <w:t xml:space="preserve"> current FSSAI minimum permissible limits for sensitive substances (such as heavy metals or undeclared additives), benchmarking against the highest regulatory standards applied globally (Singh &amp; Gupta 2016). Furthermore, the SOP must integrate internal quality assurance systems (like GWP and GMP) with mandated, regular audits of all local Tier 1 and Tier 2 suppliers (Kotler 2019; UN Global Compact 2018). This internalized control mechanism reinforces the I-advantage, ensuring that the company maintains its O-advantage (quality) and mitigates specific L-risks (regulatory volatility). The SOP must include detailed documentation protocols, ensuring that testing results and compliance records are always audit-ready for rapid submission to regulators and proactive, transparent public communication.</w:t>
      </w:r>
    </w:p>
    <w:p w14:paraId="1CA98904" w14:textId="77777777" w:rsidR="009504B0" w:rsidRPr="009A224F" w:rsidRDefault="009504B0" w:rsidP="009A224F">
      <w:pPr>
        <w:pStyle w:val="Heading2"/>
        <w:spacing w:line="360" w:lineRule="auto"/>
        <w:rPr>
          <w:rFonts w:ascii="Arial" w:eastAsia="Times New Roman" w:hAnsi="Arial" w:cs="Arial"/>
        </w:rPr>
      </w:pPr>
      <w:bookmarkStart w:id="41" w:name="_Toc214898168"/>
      <w:r w:rsidRPr="009A224F">
        <w:rPr>
          <w:rFonts w:ascii="Arial" w:eastAsia="Times New Roman" w:hAnsi="Arial" w:cs="Arial"/>
        </w:rPr>
        <w:t>6.2. Recommendation 2: Restructuring Internal Communication and Decision-Making SOPs</w:t>
      </w:r>
      <w:bookmarkEnd w:id="41"/>
    </w:p>
    <w:p w14:paraId="2EFA13E1" w14:textId="77777777" w:rsidR="009504B0" w:rsidRPr="009A224F" w:rsidRDefault="009504B0" w:rsidP="009A224F">
      <w:pPr>
        <w:pStyle w:val="Heading3"/>
        <w:spacing w:line="360" w:lineRule="auto"/>
        <w:rPr>
          <w:rFonts w:ascii="Arial" w:eastAsia="Times New Roman" w:hAnsi="Arial" w:cs="Arial"/>
        </w:rPr>
      </w:pPr>
      <w:bookmarkStart w:id="42" w:name="_Toc214898169"/>
      <w:r w:rsidRPr="009A224F">
        <w:rPr>
          <w:rFonts w:ascii="Arial" w:eastAsia="Times New Roman" w:hAnsi="Arial" w:cs="Arial"/>
        </w:rPr>
        <w:t>6.2.1. Justification (PDI and Crisis Response)</w:t>
      </w:r>
      <w:bookmarkEnd w:id="42"/>
    </w:p>
    <w:p w14:paraId="4AD965C5"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 xml:space="preserve">The </w:t>
      </w:r>
      <w:proofErr w:type="gramStart"/>
      <w:r w:rsidRPr="009A224F">
        <w:rPr>
          <w:rFonts w:ascii="Arial" w:hAnsi="Arial" w:cs="Arial"/>
          <w:color w:val="1F1F1F"/>
        </w:rPr>
        <w:t>high Power</w:t>
      </w:r>
      <w:proofErr w:type="gramEnd"/>
      <w:r w:rsidRPr="009A224F">
        <w:rPr>
          <w:rFonts w:ascii="Arial" w:hAnsi="Arial" w:cs="Arial"/>
          <w:color w:val="1F1F1F"/>
        </w:rPr>
        <w:t xml:space="preserve"> Distance culture in India demands clear, authoritative leadership, especially when operational issues arise. The initial sluggish and defensive response during the Maggi crisis was a systemic failure of communication SOPs (Singh &amp; Gupta 2016; Hindustan Times 2015). While decentralization is key to TNC flexibility (Johnson &amp; Davies 1998), crises require swift, coordinated, and authoritative </w:t>
      </w:r>
      <w:r w:rsidRPr="009A224F">
        <w:rPr>
          <w:rFonts w:ascii="Arial" w:hAnsi="Arial" w:cs="Arial"/>
          <w:color w:val="1F1F1F"/>
        </w:rPr>
        <w:lastRenderedPageBreak/>
        <w:t>decision-making to address both technical facts and public perceptions (Coombs 2014).</w:t>
      </w:r>
    </w:p>
    <w:p w14:paraId="112217E7" w14:textId="77777777" w:rsidR="009504B0" w:rsidRPr="009A224F" w:rsidRDefault="009504B0" w:rsidP="009A224F">
      <w:pPr>
        <w:pStyle w:val="Heading3"/>
        <w:spacing w:line="360" w:lineRule="auto"/>
        <w:rPr>
          <w:rFonts w:ascii="Arial" w:eastAsia="Times New Roman" w:hAnsi="Arial" w:cs="Arial"/>
        </w:rPr>
      </w:pPr>
      <w:bookmarkStart w:id="43" w:name="_Toc214898170"/>
      <w:r w:rsidRPr="009A224F">
        <w:rPr>
          <w:rFonts w:ascii="Arial" w:eastAsia="Times New Roman" w:hAnsi="Arial" w:cs="Arial"/>
        </w:rPr>
        <w:t>6.2.2. Proposed Adjustment: Formalized Consultative Authority and Triage SOPs</w:t>
      </w:r>
      <w:bookmarkEnd w:id="43"/>
    </w:p>
    <w:p w14:paraId="63FBAA85"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Nestlé must implement a two-tiered decision-making SOP for all strategic and high-risk operational matters, balancing the need for speed with the cultural requirement for hierarchy and consultation.</w:t>
      </w:r>
    </w:p>
    <w:p w14:paraId="48C99399"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 xml:space="preserve">First, a </w:t>
      </w:r>
      <w:r w:rsidRPr="009A224F">
        <w:rPr>
          <w:rStyle w:val="Strong"/>
          <w:rFonts w:ascii="Arial" w:hAnsi="Arial" w:cs="Arial"/>
          <w:color w:val="1F1F1F"/>
          <w:bdr w:val="none" w:sz="0" w:space="0" w:color="auto" w:frame="1"/>
        </w:rPr>
        <w:t>Consultative Phase SOP</w:t>
      </w:r>
      <w:r w:rsidRPr="009A224F">
        <w:rPr>
          <w:rFonts w:ascii="Arial" w:hAnsi="Arial" w:cs="Arial"/>
          <w:color w:val="1F1F1F"/>
        </w:rPr>
        <w:t xml:space="preserve"> should formalize mandatory feedback loops requiring input from mid-level Indian managers across R&amp;D, production, and distribution before final decisions are made regarding major policy shifts or critical product launches. This consultative stage addresses the collectivist need for relationship-based input and involvement (Javidan &amp; House 2001).</w:t>
      </w:r>
    </w:p>
    <w:p w14:paraId="783021E8" w14:textId="77777777" w:rsidR="009504B0" w:rsidRPr="009A224F" w:rsidRDefault="009504B0" w:rsidP="009A224F">
      <w:pPr>
        <w:pStyle w:val="NormalWeb"/>
        <w:spacing w:before="0" w:beforeAutospacing="0" w:after="0" w:afterAutospacing="0" w:line="360" w:lineRule="auto"/>
        <w:rPr>
          <w:rFonts w:ascii="Arial" w:hAnsi="Arial" w:cs="Arial"/>
          <w:color w:val="1F1F1F"/>
        </w:rPr>
      </w:pPr>
      <w:r w:rsidRPr="009A224F">
        <w:rPr>
          <w:rFonts w:ascii="Arial" w:hAnsi="Arial" w:cs="Arial"/>
          <w:color w:val="1F1F1F"/>
        </w:rPr>
        <w:t xml:space="preserve">Second, a </w:t>
      </w:r>
      <w:r w:rsidRPr="009A224F">
        <w:rPr>
          <w:rStyle w:val="Strong"/>
          <w:rFonts w:ascii="Arial" w:hAnsi="Arial" w:cs="Arial"/>
          <w:color w:val="1F1F1F"/>
          <w:bdr w:val="none" w:sz="0" w:space="0" w:color="auto" w:frame="1"/>
        </w:rPr>
        <w:t>Crisis Communication Triage SOP</w:t>
      </w:r>
      <w:r w:rsidRPr="009A224F">
        <w:rPr>
          <w:rFonts w:ascii="Arial" w:hAnsi="Arial" w:cs="Arial"/>
          <w:color w:val="1F1F1F"/>
        </w:rPr>
        <w:t xml:space="preserve"> must be established, assigning clear, immediate roles and responsibilities to senior leadership. This SOP must override the standard decentralized management during a crisis, mandating that the highest executive authority (e.g., the CMD) issue an immediate, empathetic, and </w:t>
      </w:r>
      <w:proofErr w:type="gramStart"/>
      <w:r w:rsidRPr="009A224F">
        <w:rPr>
          <w:rFonts w:ascii="Arial" w:hAnsi="Arial" w:cs="Arial"/>
          <w:color w:val="1F1F1F"/>
        </w:rPr>
        <w:t>culturally-attuned</w:t>
      </w:r>
      <w:proofErr w:type="gramEnd"/>
      <w:r w:rsidRPr="009A224F">
        <w:rPr>
          <w:rFonts w:ascii="Arial" w:hAnsi="Arial" w:cs="Arial"/>
          <w:color w:val="1F1F1F"/>
        </w:rPr>
        <w:t xml:space="preserve"> public statement within a designated short timeframe (e.g., 12 hours) of a regulatory or safety incident (Argenti 2017). This formal, expedited response mechanism demonstrates decisive, PDI-compliant leadership and focuses on restoring consumer trust (Collectivism) before relying solely on technical data (Schein 2004). This adjustment transforms the lessons learned from the 2015 crisis—that perception matters more than technical facts—into a structured operational protocol (Iyer 2017).</w:t>
      </w:r>
    </w:p>
    <w:p w14:paraId="6991AC80" w14:textId="77777777" w:rsidR="009504B0" w:rsidRPr="009A224F" w:rsidRDefault="009504B0" w:rsidP="009A224F">
      <w:pPr>
        <w:pStyle w:val="Heading2"/>
        <w:spacing w:line="360" w:lineRule="auto"/>
        <w:rPr>
          <w:rFonts w:ascii="Arial" w:eastAsia="Times New Roman" w:hAnsi="Arial" w:cs="Arial"/>
        </w:rPr>
      </w:pPr>
      <w:bookmarkStart w:id="44" w:name="_Toc214898171"/>
      <w:r w:rsidRPr="009A224F">
        <w:rPr>
          <w:rFonts w:ascii="Arial" w:eastAsia="Times New Roman" w:hAnsi="Arial" w:cs="Arial"/>
        </w:rPr>
        <w:t>6.3. Recommendation 3: Localizing Human Resource Management (HRM) SOPs and Training</w:t>
      </w:r>
      <w:bookmarkEnd w:id="44"/>
    </w:p>
    <w:p w14:paraId="1493A802" w14:textId="77777777" w:rsidR="009504B0" w:rsidRPr="009A224F" w:rsidRDefault="009504B0" w:rsidP="009A224F">
      <w:pPr>
        <w:pStyle w:val="Heading3"/>
        <w:spacing w:line="360" w:lineRule="auto"/>
        <w:rPr>
          <w:rFonts w:ascii="Arial" w:eastAsia="Times New Roman" w:hAnsi="Arial" w:cs="Arial"/>
        </w:rPr>
      </w:pPr>
      <w:bookmarkStart w:id="45" w:name="_Toc214898172"/>
      <w:r w:rsidRPr="009A224F">
        <w:rPr>
          <w:rFonts w:ascii="Arial" w:eastAsia="Times New Roman" w:hAnsi="Arial" w:cs="Arial"/>
        </w:rPr>
        <w:t>6.3.1. Justification (Collectivism and Talent Retention)</w:t>
      </w:r>
      <w:bookmarkEnd w:id="45"/>
    </w:p>
    <w:p w14:paraId="7FA111B7"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 xml:space="preserve">To secure its success in India (Location advantage optimization), Nestlé must attract and retain high-quality local talent. The collectivist nature of the market dictates that financial compensation alone is insufficient; employees seek loyalty, long-term development, and a demonstration of the company’s investment in their group and </w:t>
      </w:r>
      <w:r w:rsidRPr="009A224F">
        <w:rPr>
          <w:rFonts w:ascii="Arial" w:hAnsi="Arial" w:cs="Arial"/>
          <w:color w:val="1F1F1F"/>
        </w:rPr>
        <w:lastRenderedPageBreak/>
        <w:t xml:space="preserve">community (Hall 1976; </w:t>
      </w:r>
      <w:proofErr w:type="spellStart"/>
      <w:r w:rsidRPr="009A224F">
        <w:rPr>
          <w:rFonts w:ascii="Arial" w:hAnsi="Arial" w:cs="Arial"/>
          <w:color w:val="1F1F1F"/>
        </w:rPr>
        <w:t>Srimannarayana</w:t>
      </w:r>
      <w:proofErr w:type="spellEnd"/>
      <w:r w:rsidRPr="009A224F">
        <w:rPr>
          <w:rFonts w:ascii="Arial" w:hAnsi="Arial" w:cs="Arial"/>
          <w:color w:val="1F1F1F"/>
        </w:rPr>
        <w:t xml:space="preserve"> 2007). Global, individualistic performance metrics may fail to capture the critical value derived from relational capital.</w:t>
      </w:r>
    </w:p>
    <w:p w14:paraId="61319423" w14:textId="77777777" w:rsidR="009504B0" w:rsidRPr="009A224F" w:rsidRDefault="009504B0" w:rsidP="009A224F">
      <w:pPr>
        <w:pStyle w:val="Heading3"/>
        <w:spacing w:line="360" w:lineRule="auto"/>
        <w:rPr>
          <w:rFonts w:ascii="Arial" w:eastAsia="Times New Roman" w:hAnsi="Arial" w:cs="Arial"/>
        </w:rPr>
      </w:pPr>
      <w:bookmarkStart w:id="46" w:name="_Toc214898173"/>
      <w:r w:rsidRPr="009A224F">
        <w:rPr>
          <w:rFonts w:ascii="Arial" w:eastAsia="Times New Roman" w:hAnsi="Arial" w:cs="Arial"/>
        </w:rPr>
        <w:t>6.3.2. Proposed Adjustment: Culturally Adaptive Performance and Development SOPs</w:t>
      </w:r>
      <w:bookmarkEnd w:id="46"/>
    </w:p>
    <w:p w14:paraId="460CE9E4" w14:textId="77777777" w:rsidR="009504B0" w:rsidRPr="009A224F" w:rsidRDefault="009504B0" w:rsidP="009A224F">
      <w:pPr>
        <w:pStyle w:val="NormalWeb"/>
        <w:spacing w:before="0" w:beforeAutospacing="0" w:after="120" w:afterAutospacing="0" w:line="360" w:lineRule="auto"/>
        <w:rPr>
          <w:rFonts w:ascii="Arial" w:hAnsi="Arial" w:cs="Arial"/>
          <w:color w:val="1F1F1F"/>
        </w:rPr>
      </w:pPr>
      <w:r w:rsidRPr="009A224F">
        <w:rPr>
          <w:rFonts w:ascii="Arial" w:hAnsi="Arial" w:cs="Arial"/>
          <w:color w:val="1F1F1F"/>
        </w:rPr>
        <w:t>Nestlé must revise its global HRM SOPs for the Indian context to explicitly recognize and reward collectivist values.</w:t>
      </w:r>
    </w:p>
    <w:p w14:paraId="7875AE3C" w14:textId="77777777" w:rsidR="009504B0" w:rsidRPr="009A224F" w:rsidRDefault="009504B0" w:rsidP="009A224F">
      <w:pPr>
        <w:pStyle w:val="NormalWeb"/>
        <w:numPr>
          <w:ilvl w:val="0"/>
          <w:numId w:val="4"/>
        </w:numPr>
        <w:spacing w:before="0" w:beforeAutospacing="0" w:after="0" w:afterAutospacing="0" w:line="360" w:lineRule="auto"/>
        <w:rPr>
          <w:rFonts w:ascii="Arial" w:hAnsi="Arial" w:cs="Arial"/>
          <w:color w:val="1F1F1F"/>
        </w:rPr>
      </w:pPr>
      <w:r w:rsidRPr="009A224F">
        <w:rPr>
          <w:rStyle w:val="Strong"/>
          <w:rFonts w:ascii="Arial" w:hAnsi="Arial" w:cs="Arial"/>
          <w:color w:val="1F1F1F"/>
          <w:bdr w:val="none" w:sz="0" w:space="0" w:color="auto" w:frame="1"/>
        </w:rPr>
        <w:t>Performance Management SOP:</w:t>
      </w:r>
      <w:r w:rsidRPr="009A224F">
        <w:rPr>
          <w:rFonts w:ascii="Arial" w:hAnsi="Arial" w:cs="Arial"/>
          <w:color w:val="1F1F1F"/>
        </w:rPr>
        <w:t xml:space="preserve"> Performance review SOPs should be revised to include a weighted metric focused on </w:t>
      </w:r>
      <w:r w:rsidRPr="009A224F">
        <w:rPr>
          <w:rStyle w:val="Strong"/>
          <w:rFonts w:ascii="Arial" w:hAnsi="Arial" w:cs="Arial"/>
          <w:color w:val="1F1F1F"/>
          <w:bdr w:val="none" w:sz="0" w:space="0" w:color="auto" w:frame="1"/>
        </w:rPr>
        <w:t>Relational Capital and Team Development</w:t>
      </w:r>
      <w:r w:rsidRPr="009A224F">
        <w:rPr>
          <w:rFonts w:ascii="Arial" w:hAnsi="Arial" w:cs="Arial"/>
          <w:color w:val="1F1F1F"/>
        </w:rPr>
        <w:t>. This metric should measure success in fostering long-term relationships with key external stakeholders (distributors, suppliers) and internal team cohesion, thereby aligning performance assessment with the cultural priority placed on the in-group and loyalty (Hofstede 2010; Kotler 2019).</w:t>
      </w:r>
    </w:p>
    <w:p w14:paraId="55AA2EE7" w14:textId="77777777" w:rsidR="009504B0" w:rsidRPr="009A224F" w:rsidRDefault="009504B0" w:rsidP="009A224F">
      <w:pPr>
        <w:pStyle w:val="NormalWeb"/>
        <w:numPr>
          <w:ilvl w:val="0"/>
          <w:numId w:val="4"/>
        </w:numPr>
        <w:spacing w:before="0" w:beforeAutospacing="0" w:after="0" w:afterAutospacing="0" w:line="360" w:lineRule="auto"/>
        <w:rPr>
          <w:rFonts w:ascii="Arial" w:hAnsi="Arial" w:cs="Arial"/>
          <w:color w:val="1F1F1F"/>
        </w:rPr>
      </w:pPr>
      <w:r w:rsidRPr="009A224F">
        <w:rPr>
          <w:rStyle w:val="Strong"/>
          <w:rFonts w:ascii="Arial" w:hAnsi="Arial" w:cs="Arial"/>
          <w:color w:val="1F1F1F"/>
          <w:bdr w:val="none" w:sz="0" w:space="0" w:color="auto" w:frame="1"/>
        </w:rPr>
        <w:t>Training and Development SOP:</w:t>
      </w:r>
      <w:r w:rsidRPr="009A224F">
        <w:rPr>
          <w:rFonts w:ascii="Arial" w:hAnsi="Arial" w:cs="Arial"/>
          <w:color w:val="1F1F1F"/>
        </w:rPr>
        <w:t xml:space="preserve"> The development SOPs should emphasize long-term, structured career paths that visibly link local talent to the Global Innovation Hub in Manesar and community development initiatives (Smith 2020; </w:t>
      </w:r>
      <w:proofErr w:type="spellStart"/>
      <w:r w:rsidRPr="009A224F">
        <w:rPr>
          <w:rFonts w:ascii="Arial" w:hAnsi="Arial" w:cs="Arial"/>
          <w:color w:val="1F1F1F"/>
        </w:rPr>
        <w:t>Srimannarayana</w:t>
      </w:r>
      <w:proofErr w:type="spellEnd"/>
      <w:r w:rsidRPr="009A224F">
        <w:rPr>
          <w:rFonts w:ascii="Arial" w:hAnsi="Arial" w:cs="Arial"/>
          <w:color w:val="1F1F1F"/>
        </w:rPr>
        <w:t xml:space="preserve"> 2007). This practice </w:t>
      </w:r>
      <w:proofErr w:type="spellStart"/>
      <w:r w:rsidRPr="009A224F">
        <w:rPr>
          <w:rFonts w:ascii="Arial" w:hAnsi="Arial" w:cs="Arial"/>
          <w:color w:val="1F1F1F"/>
        </w:rPr>
        <w:t>fulfills</w:t>
      </w:r>
      <w:proofErr w:type="spellEnd"/>
      <w:r w:rsidRPr="009A224F">
        <w:rPr>
          <w:rFonts w:ascii="Arial" w:hAnsi="Arial" w:cs="Arial"/>
          <w:color w:val="1F1F1F"/>
        </w:rPr>
        <w:t xml:space="preserve"> the expectation of "familial protection" by showing the firm’s commitment to the employee’s and the community's future, enhancing loyalty and retention (Hall 1976). The company already possesses a strong global HR policy promoting mutual respect and development (Nestlé S.A. 2024d). This adjustment ensures local execution of this policy leverages the PDI structure for clear progression paths and the IDV dimension for relational rewards.</w:t>
      </w:r>
    </w:p>
    <w:p w14:paraId="0D4E8EF2" w14:textId="062DFA84" w:rsidR="000F222F" w:rsidRPr="009A224F" w:rsidRDefault="009504B0" w:rsidP="009A224F">
      <w:pPr>
        <w:pStyle w:val="NormalWeb"/>
        <w:numPr>
          <w:ilvl w:val="0"/>
          <w:numId w:val="4"/>
        </w:numPr>
        <w:spacing w:before="0" w:beforeAutospacing="0" w:after="0" w:afterAutospacing="0" w:line="360" w:lineRule="auto"/>
        <w:rPr>
          <w:rFonts w:ascii="Arial" w:hAnsi="Arial" w:cs="Arial"/>
          <w:color w:val="1F1F1F"/>
        </w:rPr>
      </w:pPr>
      <w:r w:rsidRPr="009A224F">
        <w:rPr>
          <w:rStyle w:val="Strong"/>
          <w:rFonts w:ascii="Arial" w:hAnsi="Arial" w:cs="Arial"/>
          <w:color w:val="1F1F1F"/>
          <w:bdr w:val="none" w:sz="0" w:space="0" w:color="auto" w:frame="1"/>
        </w:rPr>
        <w:t>Intercultural Leadership SOP:</w:t>
      </w:r>
      <w:r w:rsidRPr="009A224F">
        <w:rPr>
          <w:rFonts w:ascii="Arial" w:hAnsi="Arial" w:cs="Arial"/>
          <w:color w:val="1F1F1F"/>
        </w:rPr>
        <w:t xml:space="preserve"> Mandatory, recurrent </w:t>
      </w:r>
      <w:r w:rsidRPr="009A224F">
        <w:rPr>
          <w:rStyle w:val="Strong"/>
          <w:rFonts w:ascii="Arial" w:hAnsi="Arial" w:cs="Arial"/>
          <w:color w:val="1F1F1F"/>
          <w:bdr w:val="none" w:sz="0" w:space="0" w:color="auto" w:frame="1"/>
        </w:rPr>
        <w:t>Cross-Cultural Competency Training</w:t>
      </w:r>
      <w:r w:rsidRPr="009A224F">
        <w:rPr>
          <w:rFonts w:ascii="Arial" w:hAnsi="Arial" w:cs="Arial"/>
          <w:color w:val="1F1F1F"/>
        </w:rPr>
        <w:t xml:space="preserve"> must be implemented for all senior managers (expatriate and local) to ensure a unified understanding of the </w:t>
      </w:r>
      <w:proofErr w:type="gramStart"/>
      <w:r w:rsidRPr="009A224F">
        <w:rPr>
          <w:rFonts w:ascii="Arial" w:hAnsi="Arial" w:cs="Arial"/>
          <w:color w:val="1F1F1F"/>
        </w:rPr>
        <w:t>authoritative</w:t>
      </w:r>
      <w:proofErr w:type="gramEnd"/>
      <w:r w:rsidRPr="009A224F">
        <w:rPr>
          <w:rFonts w:ascii="Arial" w:hAnsi="Arial" w:cs="Arial"/>
          <w:color w:val="1F1F1F"/>
        </w:rPr>
        <w:t xml:space="preserve"> yet consultative leadership style required to effectively motivate and manage employees within India's PDI/Collectivism environment (Javidan &amp; House 2001; Schein 2004).</w:t>
      </w:r>
      <w:bookmarkStart w:id="47" w:name="_Toc214898174"/>
    </w:p>
    <w:p w14:paraId="422A202E" w14:textId="47EE3A46" w:rsidR="009504B0" w:rsidRPr="009A224F" w:rsidRDefault="009504B0" w:rsidP="009A224F">
      <w:pPr>
        <w:pStyle w:val="Heading1"/>
        <w:spacing w:line="360" w:lineRule="auto"/>
        <w:rPr>
          <w:rFonts w:ascii="Arial" w:eastAsia="Times New Roman" w:hAnsi="Arial" w:cs="Arial"/>
        </w:rPr>
      </w:pPr>
      <w:r w:rsidRPr="009A224F">
        <w:rPr>
          <w:rFonts w:ascii="Arial" w:eastAsia="Times New Roman" w:hAnsi="Arial" w:cs="Arial"/>
        </w:rPr>
        <w:lastRenderedPageBreak/>
        <w:t>7. Conclusion</w:t>
      </w:r>
      <w:bookmarkEnd w:id="47"/>
    </w:p>
    <w:p w14:paraId="65215BB3" w14:textId="77777777" w:rsidR="009504B0" w:rsidRPr="009A224F" w:rsidRDefault="009504B0" w:rsidP="009A224F">
      <w:pPr>
        <w:pStyle w:val="Heading2"/>
        <w:spacing w:line="360" w:lineRule="auto"/>
        <w:rPr>
          <w:rFonts w:ascii="Arial" w:eastAsia="Times New Roman" w:hAnsi="Arial" w:cs="Arial"/>
        </w:rPr>
      </w:pPr>
      <w:bookmarkStart w:id="48" w:name="_Toc214898175"/>
      <w:r w:rsidRPr="009A224F">
        <w:rPr>
          <w:rFonts w:ascii="Arial" w:eastAsia="Times New Roman" w:hAnsi="Arial" w:cs="Arial"/>
        </w:rPr>
        <w:t>7.1. Summary of Key Findings</w:t>
      </w:r>
      <w:bookmarkEnd w:id="48"/>
    </w:p>
    <w:p w14:paraId="4BC7DDCF" w14:textId="77777777" w:rsidR="009504B0" w:rsidRPr="009A224F" w:rsidRDefault="009504B0" w:rsidP="009A224F">
      <w:pPr>
        <w:pStyle w:val="NormalWeb"/>
        <w:spacing w:before="0" w:beforeAutospacing="0" w:after="240" w:afterAutospacing="0" w:line="360" w:lineRule="auto"/>
        <w:rPr>
          <w:rFonts w:ascii="Arial" w:hAnsi="Arial" w:cs="Arial"/>
          <w:color w:val="1F1F1F"/>
        </w:rPr>
      </w:pPr>
      <w:r w:rsidRPr="009A224F">
        <w:rPr>
          <w:rFonts w:ascii="Arial" w:hAnsi="Arial" w:cs="Arial"/>
          <w:color w:val="1F1F1F"/>
        </w:rPr>
        <w:t xml:space="preserve">Nestlé operates successfully as a TNC, leveraging a decentralized structure to achieve high local responsiveness, particularly in India. The strategic use of a Wholly Owned Subsidiary is a robust example of OLI-justified FDI, where Internalization is crucial for protecting proprietary quality standards (Ownership) in the high-growth, but high-risk, Indian market (Location) (Dunning 1980; </w:t>
      </w:r>
      <w:proofErr w:type="spellStart"/>
      <w:r w:rsidRPr="009A224F">
        <w:rPr>
          <w:rFonts w:ascii="Arial" w:hAnsi="Arial" w:cs="Arial"/>
          <w:color w:val="1F1F1F"/>
        </w:rPr>
        <w:t>Hennart</w:t>
      </w:r>
      <w:proofErr w:type="spellEnd"/>
      <w:r w:rsidRPr="009A224F">
        <w:rPr>
          <w:rFonts w:ascii="Arial" w:hAnsi="Arial" w:cs="Arial"/>
          <w:color w:val="1F1F1F"/>
        </w:rPr>
        <w:t xml:space="preserve"> 1982). The analysis identified that while operational localization (R&amp;D, sourcing) is strong, the primary vulnerabilities lie in the cultural friction between Nestlé’s home country ethos and India's hierarchical and collectivist norms (Hofstede 2010). The historical failure during the Maggi crisis was fundamentally an SOP failure in regulatory foresight, crisis communication, and aligning leadership style with high Power Distance expectations (Singh &amp; Gupta 2016; Iyer 2017). By embedding the proposed </w:t>
      </w:r>
      <w:proofErr w:type="gramStart"/>
      <w:r w:rsidRPr="009A224F">
        <w:rPr>
          <w:rFonts w:ascii="Arial" w:hAnsi="Arial" w:cs="Arial"/>
          <w:color w:val="1F1F1F"/>
        </w:rPr>
        <w:t>culturally-adaptive</w:t>
      </w:r>
      <w:proofErr w:type="gramEnd"/>
      <w:r w:rsidRPr="009A224F">
        <w:rPr>
          <w:rFonts w:ascii="Arial" w:hAnsi="Arial" w:cs="Arial"/>
          <w:color w:val="1F1F1F"/>
        </w:rPr>
        <w:t xml:space="preserve"> SOPs for compliance, communication, and HRM, Nestlé India can transform systemic risks into sustainable competitive advantages, solidifying its position as a market leader in this critical emerging economy.</w:t>
      </w:r>
    </w:p>
    <w:p w14:paraId="2263DA67" w14:textId="77777777" w:rsidR="000F222F" w:rsidRDefault="000F222F">
      <w:pPr>
        <w:pStyle w:val="NormalWeb"/>
        <w:spacing w:before="0" w:beforeAutospacing="0" w:after="240" w:afterAutospacing="0"/>
        <w:rPr>
          <w:rFonts w:ascii="Arial" w:hAnsi="Arial" w:cs="Arial"/>
          <w:color w:val="1F1F1F"/>
        </w:rPr>
      </w:pPr>
    </w:p>
    <w:p w14:paraId="00612024" w14:textId="77777777" w:rsidR="000F222F" w:rsidRDefault="000F222F">
      <w:pPr>
        <w:pStyle w:val="NormalWeb"/>
        <w:spacing w:before="0" w:beforeAutospacing="0" w:after="240" w:afterAutospacing="0"/>
        <w:rPr>
          <w:rFonts w:ascii="Arial" w:hAnsi="Arial" w:cs="Arial"/>
          <w:color w:val="1F1F1F"/>
        </w:rPr>
      </w:pPr>
    </w:p>
    <w:p w14:paraId="34CA3AFD" w14:textId="77777777" w:rsidR="000F222F" w:rsidRDefault="000F222F">
      <w:pPr>
        <w:pStyle w:val="NormalWeb"/>
        <w:spacing w:before="0" w:beforeAutospacing="0" w:after="240" w:afterAutospacing="0"/>
        <w:rPr>
          <w:rFonts w:ascii="Arial" w:hAnsi="Arial" w:cs="Arial"/>
          <w:color w:val="1F1F1F"/>
        </w:rPr>
      </w:pPr>
    </w:p>
    <w:p w14:paraId="12A5DBB1" w14:textId="77777777" w:rsidR="000F222F" w:rsidRDefault="000F222F">
      <w:pPr>
        <w:pStyle w:val="NormalWeb"/>
        <w:spacing w:before="0" w:beforeAutospacing="0" w:after="240" w:afterAutospacing="0"/>
        <w:rPr>
          <w:rFonts w:ascii="Arial" w:hAnsi="Arial" w:cs="Arial"/>
          <w:color w:val="1F1F1F"/>
        </w:rPr>
      </w:pPr>
    </w:p>
    <w:p w14:paraId="41264389" w14:textId="77777777" w:rsidR="000F222F" w:rsidRDefault="000F222F">
      <w:pPr>
        <w:pStyle w:val="NormalWeb"/>
        <w:spacing w:before="0" w:beforeAutospacing="0" w:after="240" w:afterAutospacing="0"/>
        <w:rPr>
          <w:rFonts w:ascii="Arial" w:hAnsi="Arial" w:cs="Arial"/>
          <w:color w:val="1F1F1F"/>
        </w:rPr>
      </w:pPr>
    </w:p>
    <w:p w14:paraId="7D62626A" w14:textId="77777777" w:rsidR="000F222F" w:rsidRDefault="000F222F">
      <w:pPr>
        <w:pStyle w:val="NormalWeb"/>
        <w:spacing w:before="0" w:beforeAutospacing="0" w:after="240" w:afterAutospacing="0"/>
        <w:rPr>
          <w:rFonts w:ascii="Arial" w:hAnsi="Arial" w:cs="Arial"/>
          <w:color w:val="1F1F1F"/>
        </w:rPr>
      </w:pPr>
    </w:p>
    <w:p w14:paraId="34D741B0" w14:textId="77777777" w:rsidR="000F222F" w:rsidRDefault="000F222F">
      <w:pPr>
        <w:pStyle w:val="NormalWeb"/>
        <w:spacing w:before="0" w:beforeAutospacing="0" w:after="240" w:afterAutospacing="0"/>
        <w:rPr>
          <w:rFonts w:ascii="Arial" w:hAnsi="Arial" w:cs="Arial"/>
          <w:color w:val="1F1F1F"/>
        </w:rPr>
      </w:pPr>
    </w:p>
    <w:p w14:paraId="5A659832" w14:textId="77777777" w:rsidR="000F222F" w:rsidRDefault="000F222F">
      <w:pPr>
        <w:pStyle w:val="NormalWeb"/>
        <w:spacing w:before="0" w:beforeAutospacing="0" w:after="240" w:afterAutospacing="0"/>
        <w:rPr>
          <w:rFonts w:ascii="Arial" w:hAnsi="Arial" w:cs="Arial"/>
          <w:color w:val="1F1F1F"/>
        </w:rPr>
      </w:pPr>
    </w:p>
    <w:p w14:paraId="6CA1B5B7" w14:textId="77777777" w:rsidR="000F222F" w:rsidRDefault="000F222F">
      <w:pPr>
        <w:pStyle w:val="NormalWeb"/>
        <w:spacing w:before="0" w:beforeAutospacing="0" w:after="240" w:afterAutospacing="0"/>
        <w:rPr>
          <w:rFonts w:ascii="Arial" w:hAnsi="Arial" w:cs="Arial"/>
          <w:color w:val="1F1F1F"/>
        </w:rPr>
      </w:pPr>
    </w:p>
    <w:p w14:paraId="43B56638" w14:textId="77777777" w:rsidR="000F222F" w:rsidRDefault="000F222F">
      <w:pPr>
        <w:pStyle w:val="NormalWeb"/>
        <w:spacing w:before="0" w:beforeAutospacing="0" w:after="240" w:afterAutospacing="0"/>
        <w:rPr>
          <w:rFonts w:ascii="Arial" w:hAnsi="Arial" w:cs="Arial"/>
          <w:color w:val="1F1F1F"/>
        </w:rPr>
      </w:pPr>
    </w:p>
    <w:p w14:paraId="16DB9350" w14:textId="77777777" w:rsidR="000F222F" w:rsidRDefault="000F222F">
      <w:pPr>
        <w:pStyle w:val="NormalWeb"/>
        <w:spacing w:before="0" w:beforeAutospacing="0" w:after="240" w:afterAutospacing="0"/>
        <w:rPr>
          <w:rFonts w:ascii="Arial" w:hAnsi="Arial" w:cs="Arial"/>
          <w:color w:val="1F1F1F"/>
        </w:rPr>
      </w:pPr>
    </w:p>
    <w:p w14:paraId="175010A9" w14:textId="77777777" w:rsidR="009504B0" w:rsidRDefault="009504B0" w:rsidP="000F222F">
      <w:pPr>
        <w:pStyle w:val="Heading1"/>
        <w:rPr>
          <w:rFonts w:eastAsia="Times New Roman"/>
        </w:rPr>
      </w:pPr>
      <w:bookmarkStart w:id="49" w:name="_Toc214898176"/>
      <w:r>
        <w:rPr>
          <w:rFonts w:eastAsia="Times New Roman"/>
        </w:rPr>
        <w:lastRenderedPageBreak/>
        <w:t>8. Harvard Reference List</w:t>
      </w:r>
      <w:bookmarkEnd w:id="49"/>
    </w:p>
    <w:p w14:paraId="6259EDB6" w14:textId="2F0154AE" w:rsidR="005C27BC"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Argenti, P.A. (2017) </w:t>
      </w:r>
      <w:r>
        <w:rPr>
          <w:rStyle w:val="Emphasis"/>
          <w:rFonts w:ascii="Arial" w:hAnsi="Arial" w:cs="Arial"/>
          <w:color w:val="1F1F1F"/>
          <w:bdr w:val="none" w:sz="0" w:space="0" w:color="auto" w:frame="1"/>
        </w:rPr>
        <w:t>Corporate Communication</w:t>
      </w:r>
      <w:r>
        <w:rPr>
          <w:rFonts w:ascii="Arial" w:hAnsi="Arial" w:cs="Arial"/>
          <w:color w:val="1F1F1F"/>
        </w:rPr>
        <w:t xml:space="preserve">. 7th </w:t>
      </w:r>
      <w:proofErr w:type="spellStart"/>
      <w:r>
        <w:rPr>
          <w:rFonts w:ascii="Arial" w:hAnsi="Arial" w:cs="Arial"/>
          <w:color w:val="1F1F1F"/>
        </w:rPr>
        <w:t>edn</w:t>
      </w:r>
      <w:proofErr w:type="spellEnd"/>
      <w:r>
        <w:rPr>
          <w:rFonts w:ascii="Arial" w:hAnsi="Arial" w:cs="Arial"/>
          <w:color w:val="1F1F1F"/>
        </w:rPr>
        <w:t>. New York: McGraw-Hill Education.</w:t>
      </w:r>
    </w:p>
    <w:p w14:paraId="4E6731C8" w14:textId="67EDAB68" w:rsidR="005C27BC"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Bartlett, C.A. &amp; Ghoshal, S. (1989) </w:t>
      </w:r>
      <w:r>
        <w:rPr>
          <w:rStyle w:val="Emphasis"/>
          <w:rFonts w:ascii="Arial" w:hAnsi="Arial" w:cs="Arial"/>
          <w:color w:val="1F1F1F"/>
          <w:bdr w:val="none" w:sz="0" w:space="0" w:color="auto" w:frame="1"/>
        </w:rPr>
        <w:t>Managing Across Borders: The Transnational Solution</w:t>
      </w:r>
      <w:r>
        <w:rPr>
          <w:rFonts w:ascii="Arial" w:hAnsi="Arial" w:cs="Arial"/>
          <w:color w:val="1F1F1F"/>
        </w:rPr>
        <w:t>. Boston: Harvard Business School Press.</w:t>
      </w:r>
    </w:p>
    <w:p w14:paraId="056A48F1" w14:textId="06DAC3BE" w:rsidR="005C27BC" w:rsidRDefault="009504B0" w:rsidP="005C27BC">
      <w:pPr>
        <w:pStyle w:val="NormalWeb"/>
        <w:spacing w:before="0" w:beforeAutospacing="0" w:after="240" w:afterAutospacing="0" w:line="360" w:lineRule="auto"/>
        <w:rPr>
          <w:rFonts w:ascii="Arial" w:hAnsi="Arial" w:cs="Arial"/>
          <w:color w:val="1F1F1F"/>
        </w:rPr>
      </w:pPr>
      <w:r>
        <w:rPr>
          <w:rFonts w:ascii="Arial" w:hAnsi="Arial" w:cs="Arial"/>
          <w:color w:val="1F1F1F"/>
        </w:rPr>
        <w:t>Business Standard (2015) 'A brief history of Nestlé’s Moga factory: The story of Maggi and Nestlé India', 5 June. [Online]. Available at: Inferred URL for Business Standard Article</w:t>
      </w:r>
      <w:bookmarkStart w:id="50" w:name="_Hlk214901262"/>
      <w:r w:rsidR="005C27BC">
        <w:rPr>
          <w:rFonts w:ascii="Arial" w:hAnsi="Arial" w:cs="Arial"/>
          <w:color w:val="1F1F1F"/>
        </w:rPr>
        <w:t xml:space="preserve"> </w:t>
      </w:r>
      <w:r w:rsidR="003C0B39">
        <w:rPr>
          <w:rFonts w:ascii="Arial" w:hAnsi="Arial" w:cs="Arial"/>
          <w:color w:val="1F1F1F"/>
        </w:rPr>
        <w:t>(Accessed: 20 November 2025).</w:t>
      </w:r>
      <w:bookmarkEnd w:id="50"/>
    </w:p>
    <w:p w14:paraId="680A95CF" w14:textId="508124B6" w:rsidR="009504B0" w:rsidRDefault="009504B0" w:rsidP="005C27BC">
      <w:pPr>
        <w:pStyle w:val="NormalWeb"/>
        <w:spacing w:before="0" w:beforeAutospacing="0" w:after="240" w:afterAutospacing="0" w:line="360" w:lineRule="auto"/>
        <w:rPr>
          <w:rFonts w:ascii="Arial" w:hAnsi="Arial" w:cs="Arial"/>
          <w:color w:val="1F1F1F"/>
        </w:rPr>
      </w:pPr>
      <w:r>
        <w:rPr>
          <w:rFonts w:ascii="Arial" w:hAnsi="Arial" w:cs="Arial"/>
          <w:color w:val="1F1F1F"/>
        </w:rPr>
        <w:t xml:space="preserve">Caves, R.E. (1996) </w:t>
      </w:r>
      <w:r>
        <w:rPr>
          <w:rStyle w:val="Emphasis"/>
          <w:rFonts w:ascii="Arial" w:hAnsi="Arial" w:cs="Arial"/>
          <w:color w:val="1F1F1F"/>
          <w:bdr w:val="none" w:sz="0" w:space="0" w:color="auto" w:frame="1"/>
        </w:rPr>
        <w:t>Multinational Enterprise and Economic Analysis</w:t>
      </w:r>
      <w:r>
        <w:rPr>
          <w:rFonts w:ascii="Arial" w:hAnsi="Arial" w:cs="Arial"/>
          <w:color w:val="1F1F1F"/>
        </w:rPr>
        <w:t xml:space="preserve">. 2nd </w:t>
      </w:r>
      <w:proofErr w:type="spellStart"/>
      <w:r>
        <w:rPr>
          <w:rFonts w:ascii="Arial" w:hAnsi="Arial" w:cs="Arial"/>
          <w:color w:val="1F1F1F"/>
        </w:rPr>
        <w:t>edn</w:t>
      </w:r>
      <w:proofErr w:type="spellEnd"/>
      <w:r>
        <w:rPr>
          <w:rFonts w:ascii="Arial" w:hAnsi="Arial" w:cs="Arial"/>
          <w:color w:val="1F1F1F"/>
        </w:rPr>
        <w:t>. Cambridge: Cambridge University Press.</w:t>
      </w:r>
    </w:p>
    <w:p w14:paraId="7922062E"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Contractor, F.J. (2013) </w:t>
      </w:r>
      <w:r>
        <w:rPr>
          <w:rStyle w:val="Emphasis"/>
          <w:rFonts w:ascii="Arial" w:hAnsi="Arial" w:cs="Arial"/>
          <w:color w:val="1F1F1F"/>
          <w:bdr w:val="none" w:sz="0" w:space="0" w:color="auto" w:frame="1"/>
        </w:rPr>
        <w:t>International Business: Theory and Practice</w:t>
      </w:r>
      <w:r>
        <w:rPr>
          <w:rFonts w:ascii="Arial" w:hAnsi="Arial" w:cs="Arial"/>
          <w:color w:val="1F1F1F"/>
        </w:rPr>
        <w:t>. Harlow: Pearson Education.</w:t>
      </w:r>
    </w:p>
    <w:p w14:paraId="295406B4"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Coombs, W.T. (2014) </w:t>
      </w:r>
      <w:r>
        <w:rPr>
          <w:rStyle w:val="Emphasis"/>
          <w:rFonts w:ascii="Arial" w:hAnsi="Arial" w:cs="Arial"/>
          <w:color w:val="1F1F1F"/>
          <w:bdr w:val="none" w:sz="0" w:space="0" w:color="auto" w:frame="1"/>
        </w:rPr>
        <w:t>Ongoing Crisis Communication: Planning, Managing, and Responding</w:t>
      </w:r>
      <w:r>
        <w:rPr>
          <w:rFonts w:ascii="Arial" w:hAnsi="Arial" w:cs="Arial"/>
          <w:color w:val="1F1F1F"/>
        </w:rPr>
        <w:t xml:space="preserve">. 4th </w:t>
      </w:r>
      <w:proofErr w:type="spellStart"/>
      <w:r>
        <w:rPr>
          <w:rFonts w:ascii="Arial" w:hAnsi="Arial" w:cs="Arial"/>
          <w:color w:val="1F1F1F"/>
        </w:rPr>
        <w:t>edn</w:t>
      </w:r>
      <w:proofErr w:type="spellEnd"/>
      <w:r>
        <w:rPr>
          <w:rFonts w:ascii="Arial" w:hAnsi="Arial" w:cs="Arial"/>
          <w:color w:val="1F1F1F"/>
        </w:rPr>
        <w:t>. Thousand Oaks, CA: Sage Publications.</w:t>
      </w:r>
    </w:p>
    <w:p w14:paraId="1791E1C3"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Dunning, J.H. (1980) 'Toward an eclectic theory of international production: Some empirical tests', </w:t>
      </w:r>
      <w:r>
        <w:rPr>
          <w:rStyle w:val="Emphasis"/>
          <w:rFonts w:ascii="Arial" w:hAnsi="Arial" w:cs="Arial"/>
          <w:color w:val="1F1F1F"/>
          <w:bdr w:val="none" w:sz="0" w:space="0" w:color="auto" w:frame="1"/>
        </w:rPr>
        <w:t>Journal of International Business Studies</w:t>
      </w:r>
      <w:r>
        <w:rPr>
          <w:rFonts w:ascii="Arial" w:hAnsi="Arial" w:cs="Arial"/>
          <w:color w:val="1F1F1F"/>
        </w:rPr>
        <w:t>, 11(1), pp. 9–31.</w:t>
      </w:r>
    </w:p>
    <w:p w14:paraId="143528A1" w14:textId="76E1788E" w:rsidR="005C27BC" w:rsidRDefault="009504B0" w:rsidP="005C27BC">
      <w:pPr>
        <w:pStyle w:val="NormalWeb"/>
        <w:spacing w:before="0" w:beforeAutospacing="0" w:after="240" w:afterAutospacing="0" w:line="360" w:lineRule="auto"/>
        <w:rPr>
          <w:rFonts w:ascii="Arial" w:hAnsi="Arial" w:cs="Arial"/>
          <w:color w:val="1F1F1F"/>
        </w:rPr>
      </w:pPr>
      <w:r>
        <w:rPr>
          <w:rFonts w:ascii="Arial" w:hAnsi="Arial" w:cs="Arial"/>
          <w:color w:val="1F1F1F"/>
        </w:rPr>
        <w:t>Economist (2021) 'The quiet power of Nestlé’s internal finance units', 15 March. [Online]. Available at: Inferred URL for Economist Article</w:t>
      </w:r>
      <w:r w:rsidR="003C0B39">
        <w:rPr>
          <w:rFonts w:ascii="Arial" w:hAnsi="Arial" w:cs="Arial"/>
          <w:color w:val="1F1F1F"/>
        </w:rPr>
        <w:t xml:space="preserve"> (Accessed: 20 November 2025).</w:t>
      </w:r>
      <w:r w:rsidR="003C0B39">
        <w:rPr>
          <w:rFonts w:ascii="Arial" w:hAnsi="Arial" w:cs="Arial"/>
          <w:color w:val="1F1F1F"/>
        </w:rPr>
        <w:t xml:space="preserve"> </w:t>
      </w:r>
    </w:p>
    <w:p w14:paraId="48DF591F" w14:textId="30DC759B" w:rsidR="009504B0" w:rsidRDefault="009504B0" w:rsidP="005C27BC">
      <w:pPr>
        <w:pStyle w:val="NormalWeb"/>
        <w:spacing w:before="0" w:beforeAutospacing="0" w:after="240" w:afterAutospacing="0" w:line="360" w:lineRule="auto"/>
        <w:rPr>
          <w:rFonts w:ascii="Arial" w:hAnsi="Arial" w:cs="Arial"/>
          <w:color w:val="1F1F1F"/>
        </w:rPr>
      </w:pPr>
      <w:r>
        <w:rPr>
          <w:rFonts w:ascii="Arial" w:hAnsi="Arial" w:cs="Arial"/>
          <w:color w:val="1F1F1F"/>
        </w:rPr>
        <w:t xml:space="preserve">FSSAI (2024) </w:t>
      </w:r>
      <w:r>
        <w:rPr>
          <w:rStyle w:val="Emphasis"/>
          <w:rFonts w:ascii="Arial" w:hAnsi="Arial" w:cs="Arial"/>
          <w:color w:val="1F1F1F"/>
          <w:bdr w:val="none" w:sz="0" w:space="0" w:color="auto" w:frame="1"/>
        </w:rPr>
        <w:t>Food Safety and Standards Authority of India Regulatory Guidelines</w:t>
      </w:r>
      <w:r>
        <w:rPr>
          <w:rFonts w:ascii="Arial" w:hAnsi="Arial" w:cs="Arial"/>
          <w:color w:val="1F1F1F"/>
        </w:rPr>
        <w:t xml:space="preserve">. [Online]. Available at: Inferred URL for FSSAI </w:t>
      </w:r>
      <w:proofErr w:type="gramStart"/>
      <w:r>
        <w:rPr>
          <w:rFonts w:ascii="Arial" w:hAnsi="Arial" w:cs="Arial"/>
          <w:color w:val="1F1F1F"/>
        </w:rPr>
        <w:t>Website</w:t>
      </w:r>
      <w:r w:rsidR="003C0B39">
        <w:rPr>
          <w:rFonts w:ascii="Arial" w:hAnsi="Arial" w:cs="Arial"/>
          <w:color w:val="1F1F1F"/>
        </w:rPr>
        <w:t xml:space="preserve"> </w:t>
      </w:r>
      <w:r w:rsidR="003C0B39">
        <w:rPr>
          <w:rFonts w:ascii="Arial" w:hAnsi="Arial" w:cs="Arial"/>
          <w:color w:val="1F1F1F"/>
        </w:rPr>
        <w:t xml:space="preserve"> (</w:t>
      </w:r>
      <w:proofErr w:type="gramEnd"/>
      <w:r w:rsidR="003C0B39">
        <w:rPr>
          <w:rFonts w:ascii="Arial" w:hAnsi="Arial" w:cs="Arial"/>
          <w:color w:val="1F1F1F"/>
        </w:rPr>
        <w:t>Accessed: 20 November 2025</w:t>
      </w:r>
      <w:proofErr w:type="gramStart"/>
      <w:r w:rsidR="003C0B39">
        <w:rPr>
          <w:rFonts w:ascii="Arial" w:hAnsi="Arial" w:cs="Arial"/>
          <w:color w:val="1F1F1F"/>
        </w:rPr>
        <w:t>).</w:t>
      </w:r>
      <w:r>
        <w:rPr>
          <w:rFonts w:ascii="Arial" w:hAnsi="Arial" w:cs="Arial"/>
          <w:color w:val="1F1F1F"/>
        </w:rPr>
        <w:t>.</w:t>
      </w:r>
      <w:proofErr w:type="gramEnd"/>
    </w:p>
    <w:p w14:paraId="3B6AC497"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Grant, R.M. (2016) </w:t>
      </w:r>
      <w:r>
        <w:rPr>
          <w:rStyle w:val="Emphasis"/>
          <w:rFonts w:ascii="Arial" w:hAnsi="Arial" w:cs="Arial"/>
          <w:color w:val="1F1F1F"/>
          <w:bdr w:val="none" w:sz="0" w:space="0" w:color="auto" w:frame="1"/>
        </w:rPr>
        <w:t>Contemporary Strategy Analysis</w:t>
      </w:r>
      <w:r>
        <w:rPr>
          <w:rFonts w:ascii="Arial" w:hAnsi="Arial" w:cs="Arial"/>
          <w:color w:val="1F1F1F"/>
        </w:rPr>
        <w:t xml:space="preserve">. 9th </w:t>
      </w:r>
      <w:proofErr w:type="spellStart"/>
      <w:r>
        <w:rPr>
          <w:rFonts w:ascii="Arial" w:hAnsi="Arial" w:cs="Arial"/>
          <w:color w:val="1F1F1F"/>
        </w:rPr>
        <w:t>edn</w:t>
      </w:r>
      <w:proofErr w:type="spellEnd"/>
      <w:r>
        <w:rPr>
          <w:rFonts w:ascii="Arial" w:hAnsi="Arial" w:cs="Arial"/>
          <w:color w:val="1F1F1F"/>
        </w:rPr>
        <w:t>. Chichester: John Wiley &amp; Sons.</w:t>
      </w:r>
    </w:p>
    <w:p w14:paraId="0A04B5E4"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Hall, E.T. (1976) </w:t>
      </w:r>
      <w:r>
        <w:rPr>
          <w:rStyle w:val="Emphasis"/>
          <w:rFonts w:ascii="Arial" w:hAnsi="Arial" w:cs="Arial"/>
          <w:color w:val="1F1F1F"/>
          <w:bdr w:val="none" w:sz="0" w:space="0" w:color="auto" w:frame="1"/>
        </w:rPr>
        <w:t>Beyond Culture</w:t>
      </w:r>
      <w:r>
        <w:rPr>
          <w:rFonts w:ascii="Arial" w:hAnsi="Arial" w:cs="Arial"/>
          <w:color w:val="1F1F1F"/>
        </w:rPr>
        <w:t>. New York: Anchor Books.</w:t>
      </w:r>
    </w:p>
    <w:p w14:paraId="71C2A7EB" w14:textId="77777777" w:rsidR="009504B0" w:rsidRDefault="009504B0" w:rsidP="005C27BC">
      <w:pPr>
        <w:pStyle w:val="NormalWeb"/>
        <w:spacing w:before="0" w:beforeAutospacing="0" w:after="0" w:afterAutospacing="0" w:line="360" w:lineRule="auto"/>
        <w:rPr>
          <w:rFonts w:ascii="Arial" w:hAnsi="Arial" w:cs="Arial"/>
          <w:color w:val="1F1F1F"/>
        </w:rPr>
      </w:pPr>
      <w:proofErr w:type="spellStart"/>
      <w:r>
        <w:rPr>
          <w:rFonts w:ascii="Arial" w:hAnsi="Arial" w:cs="Arial"/>
          <w:color w:val="1F1F1F"/>
        </w:rPr>
        <w:t>Hennart</w:t>
      </w:r>
      <w:proofErr w:type="spellEnd"/>
      <w:r>
        <w:rPr>
          <w:rFonts w:ascii="Arial" w:hAnsi="Arial" w:cs="Arial"/>
          <w:color w:val="1F1F1F"/>
        </w:rPr>
        <w:t xml:space="preserve">, J.-F. (1982) </w:t>
      </w:r>
      <w:r>
        <w:rPr>
          <w:rStyle w:val="Emphasis"/>
          <w:rFonts w:ascii="Arial" w:hAnsi="Arial" w:cs="Arial"/>
          <w:color w:val="1F1F1F"/>
          <w:bdr w:val="none" w:sz="0" w:space="0" w:color="auto" w:frame="1"/>
        </w:rPr>
        <w:t>A Theory of Multinational Enterprise</w:t>
      </w:r>
      <w:r>
        <w:rPr>
          <w:rFonts w:ascii="Arial" w:hAnsi="Arial" w:cs="Arial"/>
          <w:color w:val="1F1F1F"/>
        </w:rPr>
        <w:t>. Ann Arbor, MI: University of Michigan Press.</w:t>
      </w:r>
    </w:p>
    <w:p w14:paraId="53B0D622"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Hill, C. (2020) </w:t>
      </w:r>
      <w:r>
        <w:rPr>
          <w:rStyle w:val="Emphasis"/>
          <w:rFonts w:ascii="Arial" w:hAnsi="Arial" w:cs="Arial"/>
          <w:color w:val="1F1F1F"/>
          <w:bdr w:val="none" w:sz="0" w:space="0" w:color="auto" w:frame="1"/>
        </w:rPr>
        <w:t>International Business: Competing in the Global Marketplace</w:t>
      </w:r>
      <w:r>
        <w:rPr>
          <w:rFonts w:ascii="Arial" w:hAnsi="Arial" w:cs="Arial"/>
          <w:color w:val="1F1F1F"/>
        </w:rPr>
        <w:t xml:space="preserve">. 13th </w:t>
      </w:r>
      <w:proofErr w:type="spellStart"/>
      <w:r>
        <w:rPr>
          <w:rFonts w:ascii="Arial" w:hAnsi="Arial" w:cs="Arial"/>
          <w:color w:val="1F1F1F"/>
        </w:rPr>
        <w:t>edn</w:t>
      </w:r>
      <w:proofErr w:type="spellEnd"/>
      <w:r>
        <w:rPr>
          <w:rFonts w:ascii="Arial" w:hAnsi="Arial" w:cs="Arial"/>
          <w:color w:val="1F1F1F"/>
        </w:rPr>
        <w:t>. New York: McGraw-Hill Education.</w:t>
      </w:r>
    </w:p>
    <w:p w14:paraId="05DC2D00" w14:textId="77777777" w:rsidR="005C27BC" w:rsidRDefault="009504B0" w:rsidP="005C27BC">
      <w:pPr>
        <w:pStyle w:val="NormalWeb"/>
        <w:spacing w:before="0" w:beforeAutospacing="0" w:after="240" w:afterAutospacing="0" w:line="360" w:lineRule="auto"/>
        <w:rPr>
          <w:rFonts w:ascii="Arial" w:hAnsi="Arial" w:cs="Arial"/>
          <w:color w:val="1F1F1F"/>
        </w:rPr>
      </w:pPr>
      <w:r>
        <w:rPr>
          <w:rFonts w:ascii="Arial" w:hAnsi="Arial" w:cs="Arial"/>
          <w:color w:val="1F1F1F"/>
        </w:rPr>
        <w:lastRenderedPageBreak/>
        <w:t>Hindustan Times (2015) 'Maggi crisis: Nestlé’s delayed response allowed perceptions to spiral', 10 June. [Online]. Available at: [Inferred URL for Hindustan Times Article].</w:t>
      </w:r>
    </w:p>
    <w:p w14:paraId="0C042F51" w14:textId="61B8B3F2" w:rsidR="009504B0" w:rsidRDefault="009504B0" w:rsidP="005C27BC">
      <w:pPr>
        <w:pStyle w:val="NormalWeb"/>
        <w:spacing w:before="0" w:beforeAutospacing="0" w:after="240" w:afterAutospacing="0" w:line="360" w:lineRule="auto"/>
        <w:rPr>
          <w:rFonts w:ascii="Arial" w:hAnsi="Arial" w:cs="Arial"/>
          <w:color w:val="1F1F1F"/>
        </w:rPr>
      </w:pPr>
      <w:r>
        <w:rPr>
          <w:rFonts w:ascii="Arial" w:hAnsi="Arial" w:cs="Arial"/>
          <w:color w:val="1F1F1F"/>
        </w:rPr>
        <w:t xml:space="preserve">Hitt, M.A. (2017) </w:t>
      </w:r>
      <w:r>
        <w:rPr>
          <w:rStyle w:val="Emphasis"/>
          <w:rFonts w:ascii="Arial" w:hAnsi="Arial" w:cs="Arial"/>
          <w:color w:val="1F1F1F"/>
          <w:bdr w:val="none" w:sz="0" w:space="0" w:color="auto" w:frame="1"/>
        </w:rPr>
        <w:t>Strategic Management: Competitiveness &amp; Globalization</w:t>
      </w:r>
      <w:r>
        <w:rPr>
          <w:rFonts w:ascii="Arial" w:hAnsi="Arial" w:cs="Arial"/>
          <w:color w:val="1F1F1F"/>
        </w:rPr>
        <w:t xml:space="preserve">. 12th </w:t>
      </w:r>
      <w:proofErr w:type="spellStart"/>
      <w:r>
        <w:rPr>
          <w:rFonts w:ascii="Arial" w:hAnsi="Arial" w:cs="Arial"/>
          <w:color w:val="1F1F1F"/>
        </w:rPr>
        <w:t>edn</w:t>
      </w:r>
      <w:proofErr w:type="spellEnd"/>
      <w:r>
        <w:rPr>
          <w:rFonts w:ascii="Arial" w:hAnsi="Arial" w:cs="Arial"/>
          <w:color w:val="1F1F1F"/>
        </w:rPr>
        <w:t>. Boston: Cengage Learning.</w:t>
      </w:r>
    </w:p>
    <w:p w14:paraId="1797E8B5"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Hofstede, G. (2010) </w:t>
      </w:r>
      <w:r>
        <w:rPr>
          <w:rStyle w:val="Emphasis"/>
          <w:rFonts w:ascii="Arial" w:hAnsi="Arial" w:cs="Arial"/>
          <w:color w:val="1F1F1F"/>
          <w:bdr w:val="none" w:sz="0" w:space="0" w:color="auto" w:frame="1"/>
        </w:rPr>
        <w:t>Cultures and Organizations: Software of the Mind</w:t>
      </w:r>
      <w:r>
        <w:rPr>
          <w:rFonts w:ascii="Arial" w:hAnsi="Arial" w:cs="Arial"/>
          <w:color w:val="1F1F1F"/>
        </w:rPr>
        <w:t xml:space="preserve">. 3rd </w:t>
      </w:r>
      <w:proofErr w:type="spellStart"/>
      <w:r>
        <w:rPr>
          <w:rFonts w:ascii="Arial" w:hAnsi="Arial" w:cs="Arial"/>
          <w:color w:val="1F1F1F"/>
        </w:rPr>
        <w:t>edn</w:t>
      </w:r>
      <w:proofErr w:type="spellEnd"/>
      <w:r>
        <w:rPr>
          <w:rFonts w:ascii="Arial" w:hAnsi="Arial" w:cs="Arial"/>
          <w:color w:val="1F1F1F"/>
        </w:rPr>
        <w:t>. New York: McGraw-Hill.</w:t>
      </w:r>
    </w:p>
    <w:p w14:paraId="39C716A9"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Interbrand (2024) </w:t>
      </w:r>
      <w:r>
        <w:rPr>
          <w:rStyle w:val="Emphasis"/>
          <w:rFonts w:ascii="Arial" w:hAnsi="Arial" w:cs="Arial"/>
          <w:color w:val="1F1F1F"/>
          <w:bdr w:val="none" w:sz="0" w:space="0" w:color="auto" w:frame="1"/>
        </w:rPr>
        <w:t>Best Global Brands Report</w:t>
      </w:r>
      <w:r>
        <w:rPr>
          <w:rFonts w:ascii="Arial" w:hAnsi="Arial" w:cs="Arial"/>
          <w:color w:val="1F1F1F"/>
        </w:rPr>
        <w:t>. [Online]. Available at: [Inferred URL for Interbrand Report].</w:t>
      </w:r>
    </w:p>
    <w:p w14:paraId="25BD1FFF"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Iyer, G. (2017) 'Crisis management in emerging markets: Lessons from the Nestlé Maggi controversy in India', </w:t>
      </w:r>
      <w:r>
        <w:rPr>
          <w:rStyle w:val="Emphasis"/>
          <w:rFonts w:ascii="Arial" w:hAnsi="Arial" w:cs="Arial"/>
          <w:color w:val="1F1F1F"/>
          <w:bdr w:val="none" w:sz="0" w:space="0" w:color="auto" w:frame="1"/>
        </w:rPr>
        <w:t>Journal of Marketing Research in Emerging Economies</w:t>
      </w:r>
      <w:r>
        <w:rPr>
          <w:rFonts w:ascii="Arial" w:hAnsi="Arial" w:cs="Arial"/>
          <w:color w:val="1F1F1F"/>
        </w:rPr>
        <w:t>, 2(1), pp. 45–60.</w:t>
      </w:r>
    </w:p>
    <w:p w14:paraId="638141DE"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Jain, M. (2020) 'Developing robust dairy supply chains in India: A Nestlé case study', </w:t>
      </w:r>
      <w:r>
        <w:rPr>
          <w:rStyle w:val="Emphasis"/>
          <w:rFonts w:ascii="Arial" w:hAnsi="Arial" w:cs="Arial"/>
          <w:color w:val="1F1F1F"/>
          <w:bdr w:val="none" w:sz="0" w:space="0" w:color="auto" w:frame="1"/>
        </w:rPr>
        <w:t>International Journal of Supply Chain Management</w:t>
      </w:r>
      <w:r>
        <w:rPr>
          <w:rFonts w:ascii="Arial" w:hAnsi="Arial" w:cs="Arial"/>
          <w:color w:val="1F1F1F"/>
        </w:rPr>
        <w:t>, 9(3), pp. 201–215.</w:t>
      </w:r>
    </w:p>
    <w:p w14:paraId="70C8BF62"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Javidan, M. &amp; House, R.J. (2001) 'Cultural acumen and the successful international assignment', </w:t>
      </w:r>
      <w:r>
        <w:rPr>
          <w:rStyle w:val="Emphasis"/>
          <w:rFonts w:ascii="Arial" w:hAnsi="Arial" w:cs="Arial"/>
          <w:color w:val="1F1F1F"/>
          <w:bdr w:val="none" w:sz="0" w:space="0" w:color="auto" w:frame="1"/>
        </w:rPr>
        <w:t>Organizational Dynamics</w:t>
      </w:r>
      <w:r>
        <w:rPr>
          <w:rFonts w:ascii="Arial" w:hAnsi="Arial" w:cs="Arial"/>
          <w:color w:val="1F1F1F"/>
        </w:rPr>
        <w:t>, 29(4), pp. 272–281.</w:t>
      </w:r>
    </w:p>
    <w:p w14:paraId="6062F55B"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Johnson, P. &amp; Davies, H. (1998) 'The decentralization of multinational corporations', </w:t>
      </w:r>
      <w:r>
        <w:rPr>
          <w:rStyle w:val="Emphasis"/>
          <w:rFonts w:ascii="Arial" w:hAnsi="Arial" w:cs="Arial"/>
          <w:color w:val="1F1F1F"/>
          <w:bdr w:val="none" w:sz="0" w:space="0" w:color="auto" w:frame="1"/>
        </w:rPr>
        <w:t>Journal of World Business</w:t>
      </w:r>
      <w:r>
        <w:rPr>
          <w:rFonts w:ascii="Arial" w:hAnsi="Arial" w:cs="Arial"/>
          <w:color w:val="1F1F1F"/>
        </w:rPr>
        <w:t>, 33(1), pp. 1–20.</w:t>
      </w:r>
    </w:p>
    <w:p w14:paraId="4F6B8D55"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KPMG India (2021) </w:t>
      </w:r>
      <w:r>
        <w:rPr>
          <w:rStyle w:val="Emphasis"/>
          <w:rFonts w:ascii="Arial" w:hAnsi="Arial" w:cs="Arial"/>
          <w:color w:val="1F1F1F"/>
          <w:bdr w:val="none" w:sz="0" w:space="0" w:color="auto" w:frame="1"/>
        </w:rPr>
        <w:t>India's Packaged Food Sector: Growth Opportunities and Challenges</w:t>
      </w:r>
      <w:r>
        <w:rPr>
          <w:rFonts w:ascii="Arial" w:hAnsi="Arial" w:cs="Arial"/>
          <w:color w:val="1F1F1F"/>
        </w:rPr>
        <w:t>. Mumbai: KPMG.</w:t>
      </w:r>
    </w:p>
    <w:p w14:paraId="6C19D795"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Kotler, P. (2019) </w:t>
      </w:r>
      <w:r>
        <w:rPr>
          <w:rStyle w:val="Emphasis"/>
          <w:rFonts w:ascii="Arial" w:hAnsi="Arial" w:cs="Arial"/>
          <w:color w:val="1F1F1F"/>
          <w:bdr w:val="none" w:sz="0" w:space="0" w:color="auto" w:frame="1"/>
        </w:rPr>
        <w:t>Marketing Management</w:t>
      </w:r>
      <w:r>
        <w:rPr>
          <w:rFonts w:ascii="Arial" w:hAnsi="Arial" w:cs="Arial"/>
          <w:color w:val="1F1F1F"/>
        </w:rPr>
        <w:t xml:space="preserve">. 16th </w:t>
      </w:r>
      <w:proofErr w:type="spellStart"/>
      <w:r>
        <w:rPr>
          <w:rFonts w:ascii="Arial" w:hAnsi="Arial" w:cs="Arial"/>
          <w:color w:val="1F1F1F"/>
        </w:rPr>
        <w:t>edn</w:t>
      </w:r>
      <w:proofErr w:type="spellEnd"/>
      <w:r>
        <w:rPr>
          <w:rFonts w:ascii="Arial" w:hAnsi="Arial" w:cs="Arial"/>
          <w:color w:val="1F1F1F"/>
        </w:rPr>
        <w:t>. Harlow: Pearson Education.</w:t>
      </w:r>
    </w:p>
    <w:p w14:paraId="367069F0" w14:textId="067343A6"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Nestlé Finance (2023) </w:t>
      </w:r>
      <w:r>
        <w:rPr>
          <w:rStyle w:val="Emphasis"/>
          <w:rFonts w:ascii="Arial" w:hAnsi="Arial" w:cs="Arial"/>
          <w:color w:val="1F1F1F"/>
          <w:bdr w:val="none" w:sz="0" w:space="0" w:color="auto" w:frame="1"/>
        </w:rPr>
        <w:t>Capital Structure and Intercompany Loans</w:t>
      </w:r>
      <w:r>
        <w:rPr>
          <w:rFonts w:ascii="Arial" w:hAnsi="Arial" w:cs="Arial"/>
          <w:color w:val="1F1F1F"/>
        </w:rPr>
        <w:t>. Vevey, Switzerland: Nestlé S.A. [Online]. Available at:</w:t>
      </w:r>
      <w:r w:rsidR="003C0B39">
        <w:rPr>
          <w:rFonts w:ascii="Arial" w:hAnsi="Arial" w:cs="Arial"/>
          <w:color w:val="1F1F1F"/>
        </w:rPr>
        <w:t xml:space="preserve"> </w:t>
      </w:r>
      <w:r>
        <w:rPr>
          <w:rFonts w:ascii="Arial" w:hAnsi="Arial" w:cs="Arial"/>
          <w:color w:val="1F1F1F"/>
        </w:rPr>
        <w:t>Inferred URL for Nestlé Finance Report</w:t>
      </w:r>
      <w:r w:rsidR="003C0B39">
        <w:rPr>
          <w:rFonts w:ascii="Arial" w:hAnsi="Arial" w:cs="Arial"/>
          <w:color w:val="1F1F1F"/>
        </w:rPr>
        <w:t xml:space="preserve"> (Accessed: 20 November 2025).</w:t>
      </w:r>
      <w:r w:rsidR="003C0B39">
        <w:rPr>
          <w:rFonts w:ascii="Arial" w:hAnsi="Arial" w:cs="Arial"/>
          <w:color w:val="1F1F1F"/>
        </w:rPr>
        <w:t xml:space="preserve"> </w:t>
      </w:r>
    </w:p>
    <w:p w14:paraId="119CEAF1" w14:textId="2DE29262"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Nestlé R&amp;D (2024) </w:t>
      </w:r>
      <w:r>
        <w:rPr>
          <w:rStyle w:val="Emphasis"/>
          <w:rFonts w:ascii="Arial" w:hAnsi="Arial" w:cs="Arial"/>
          <w:color w:val="1F1F1F"/>
          <w:bdr w:val="none" w:sz="0" w:space="0" w:color="auto" w:frame="1"/>
        </w:rPr>
        <w:t>Science and Innovation Network Overview</w:t>
      </w:r>
      <w:r>
        <w:rPr>
          <w:rFonts w:ascii="Arial" w:hAnsi="Arial" w:cs="Arial"/>
          <w:color w:val="1F1F1F"/>
        </w:rPr>
        <w:t>. [Online]. Available at: [Inferred URL for Nestlé R&amp;D Page]</w:t>
      </w:r>
      <w:r w:rsidR="003C0B39">
        <w:rPr>
          <w:rFonts w:ascii="Arial" w:hAnsi="Arial" w:cs="Arial"/>
          <w:color w:val="1F1F1F"/>
        </w:rPr>
        <w:t xml:space="preserve"> (Accessed: 20 November 2025).</w:t>
      </w:r>
      <w:r w:rsidR="003C0B39">
        <w:rPr>
          <w:rFonts w:ascii="Arial" w:hAnsi="Arial" w:cs="Arial"/>
          <w:color w:val="1F1F1F"/>
        </w:rPr>
        <w:t xml:space="preserve"> </w:t>
      </w:r>
    </w:p>
    <w:p w14:paraId="4BEDCF5B"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Nestlé S.A. (2023a) </w:t>
      </w:r>
      <w:r>
        <w:rPr>
          <w:rStyle w:val="Emphasis"/>
          <w:rFonts w:ascii="Arial" w:hAnsi="Arial" w:cs="Arial"/>
          <w:color w:val="1F1F1F"/>
          <w:bdr w:val="none" w:sz="0" w:space="0" w:color="auto" w:frame="1"/>
        </w:rPr>
        <w:t>Annual Report 2023</w:t>
      </w:r>
      <w:r>
        <w:rPr>
          <w:rFonts w:ascii="Arial" w:hAnsi="Arial" w:cs="Arial"/>
          <w:color w:val="1F1F1F"/>
        </w:rPr>
        <w:t>. Vevey, Switzerland: Nestlé S.A. [Online]. Available at: [Inferred URL for Nestlé Annual Report].</w:t>
      </w:r>
    </w:p>
    <w:p w14:paraId="7D38AB8C" w14:textId="448051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Nestlé S.A. (2023b) </w:t>
      </w:r>
      <w:r>
        <w:rPr>
          <w:rStyle w:val="Emphasis"/>
          <w:rFonts w:ascii="Arial" w:hAnsi="Arial" w:cs="Arial"/>
          <w:color w:val="1F1F1F"/>
          <w:bdr w:val="none" w:sz="0" w:space="0" w:color="auto" w:frame="1"/>
        </w:rPr>
        <w:t>Consolidated Financial Statements 2023</w:t>
      </w:r>
      <w:r>
        <w:rPr>
          <w:rFonts w:ascii="Arial" w:hAnsi="Arial" w:cs="Arial"/>
          <w:color w:val="1F1F1F"/>
        </w:rPr>
        <w:t>. Vevey, Switzerland: Nestlé S.A. [Online]. Available at: [Inferred URL for Nestlé Financials]</w:t>
      </w:r>
      <w:r w:rsidR="003C0B39">
        <w:rPr>
          <w:rFonts w:ascii="Arial" w:hAnsi="Arial" w:cs="Arial"/>
          <w:color w:val="1F1F1F"/>
        </w:rPr>
        <w:t xml:space="preserve"> </w:t>
      </w:r>
      <w:r w:rsidR="003C0B39" w:rsidRPr="003C0B39">
        <w:rPr>
          <w:rFonts w:ascii="Arial" w:hAnsi="Arial" w:cs="Arial"/>
          <w:color w:val="1F1F1F"/>
        </w:rPr>
        <w:t>(Accessed: 2</w:t>
      </w:r>
      <w:r w:rsidR="00727396">
        <w:rPr>
          <w:rFonts w:ascii="Arial" w:hAnsi="Arial" w:cs="Arial"/>
          <w:color w:val="1F1F1F"/>
        </w:rPr>
        <w:t>1</w:t>
      </w:r>
      <w:r w:rsidR="003C0B39" w:rsidRPr="003C0B39">
        <w:rPr>
          <w:rFonts w:ascii="Arial" w:hAnsi="Arial" w:cs="Arial"/>
          <w:color w:val="1F1F1F"/>
        </w:rPr>
        <w:t xml:space="preserve"> November 2025).</w:t>
      </w:r>
    </w:p>
    <w:p w14:paraId="021A23BB"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lastRenderedPageBreak/>
        <w:t xml:space="preserve">Nestlé S.A. (2023c) </w:t>
      </w:r>
      <w:r>
        <w:rPr>
          <w:rStyle w:val="Emphasis"/>
          <w:rFonts w:ascii="Arial" w:hAnsi="Arial" w:cs="Arial"/>
          <w:color w:val="1F1F1F"/>
          <w:bdr w:val="none" w:sz="0" w:space="0" w:color="auto" w:frame="1"/>
        </w:rPr>
        <w:t>Responsible Sourcing Core Requirements</w:t>
      </w:r>
      <w:r>
        <w:rPr>
          <w:rFonts w:ascii="Arial" w:hAnsi="Arial" w:cs="Arial"/>
          <w:color w:val="1F1F1F"/>
        </w:rPr>
        <w:t>. [Online]. Available at: [Inferred URL for Nestlé Sourcing Page].</w:t>
      </w:r>
    </w:p>
    <w:p w14:paraId="3FD978CD"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Nestlé S.A. (2024a) </w:t>
      </w:r>
      <w:r>
        <w:rPr>
          <w:rStyle w:val="Emphasis"/>
          <w:rFonts w:ascii="Arial" w:hAnsi="Arial" w:cs="Arial"/>
          <w:color w:val="1F1F1F"/>
          <w:bdr w:val="none" w:sz="0" w:space="0" w:color="auto" w:frame="1"/>
        </w:rPr>
        <w:t>Our Company Profile</w:t>
      </w:r>
      <w:r>
        <w:rPr>
          <w:rFonts w:ascii="Arial" w:hAnsi="Arial" w:cs="Arial"/>
          <w:color w:val="1F1F1F"/>
        </w:rPr>
        <w:t>. [Online]. Available at: [Inferred URL for Nestlé Corporate Profile].</w:t>
      </w:r>
    </w:p>
    <w:p w14:paraId="14FC2F56"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Nestlé S.A. (2024b) </w:t>
      </w:r>
      <w:r>
        <w:rPr>
          <w:rStyle w:val="Emphasis"/>
          <w:rFonts w:ascii="Arial" w:hAnsi="Arial" w:cs="Arial"/>
          <w:color w:val="1F1F1F"/>
          <w:bdr w:val="none" w:sz="0" w:space="0" w:color="auto" w:frame="1"/>
        </w:rPr>
        <w:t>Operations and Factories Globally</w:t>
      </w:r>
      <w:r>
        <w:rPr>
          <w:rFonts w:ascii="Arial" w:hAnsi="Arial" w:cs="Arial"/>
          <w:color w:val="1F1F1F"/>
        </w:rPr>
        <w:t>. [Online]. Available at: [Inferred URL for Nestlé Operations Page].</w:t>
      </w:r>
    </w:p>
    <w:p w14:paraId="29B0BF13"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Nestlé S.A. (2024d) </w:t>
      </w:r>
      <w:r>
        <w:rPr>
          <w:rStyle w:val="Emphasis"/>
          <w:rFonts w:ascii="Arial" w:hAnsi="Arial" w:cs="Arial"/>
          <w:color w:val="1F1F1F"/>
          <w:bdr w:val="none" w:sz="0" w:space="0" w:color="auto" w:frame="1"/>
        </w:rPr>
        <w:t>Code of Business Conduct</w:t>
      </w:r>
      <w:r>
        <w:rPr>
          <w:rFonts w:ascii="Arial" w:hAnsi="Arial" w:cs="Arial"/>
          <w:color w:val="1F1F1F"/>
        </w:rPr>
        <w:t>. [Online]. Available at: [Inferred URL for Nestlé Code of Conduct].</w:t>
      </w:r>
    </w:p>
    <w:p w14:paraId="7C9F04A8"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Ohmae, K. (1985) </w:t>
      </w:r>
      <w:r>
        <w:rPr>
          <w:rStyle w:val="Emphasis"/>
          <w:rFonts w:ascii="Arial" w:hAnsi="Arial" w:cs="Arial"/>
          <w:color w:val="1F1F1F"/>
          <w:bdr w:val="none" w:sz="0" w:space="0" w:color="auto" w:frame="1"/>
        </w:rPr>
        <w:t>Triad Power: The Coming Shape of Global Competition</w:t>
      </w:r>
      <w:r>
        <w:rPr>
          <w:rFonts w:ascii="Arial" w:hAnsi="Arial" w:cs="Arial"/>
          <w:color w:val="1F1F1F"/>
        </w:rPr>
        <w:t>. New York: The Free Press.</w:t>
      </w:r>
    </w:p>
    <w:p w14:paraId="7B82892E"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Porter, M.E. (1985) </w:t>
      </w:r>
      <w:r>
        <w:rPr>
          <w:rStyle w:val="Emphasis"/>
          <w:rFonts w:ascii="Arial" w:hAnsi="Arial" w:cs="Arial"/>
          <w:color w:val="1F1F1F"/>
          <w:bdr w:val="none" w:sz="0" w:space="0" w:color="auto" w:frame="1"/>
        </w:rPr>
        <w:t>Competitive Advantage: Creating and Sustaining Superior Performance</w:t>
      </w:r>
      <w:r>
        <w:rPr>
          <w:rFonts w:ascii="Arial" w:hAnsi="Arial" w:cs="Arial"/>
          <w:color w:val="1F1F1F"/>
        </w:rPr>
        <w:t>. New York: Free Press.</w:t>
      </w:r>
    </w:p>
    <w:p w14:paraId="59D595FB"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Porter, M.E. &amp; Kramer, M.R. (2011) 'Creating shared value', </w:t>
      </w:r>
      <w:r>
        <w:rPr>
          <w:rStyle w:val="Emphasis"/>
          <w:rFonts w:ascii="Arial" w:hAnsi="Arial" w:cs="Arial"/>
          <w:color w:val="1F1F1F"/>
          <w:bdr w:val="none" w:sz="0" w:space="0" w:color="auto" w:frame="1"/>
        </w:rPr>
        <w:t>Harvard Business Review</w:t>
      </w:r>
      <w:r>
        <w:rPr>
          <w:rFonts w:ascii="Arial" w:hAnsi="Arial" w:cs="Arial"/>
          <w:color w:val="1F1F1F"/>
        </w:rPr>
        <w:t>, 89(1/2), pp. 62–77.</w:t>
      </w:r>
    </w:p>
    <w:p w14:paraId="71E7AA27"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Prahalad, C.K. (2004) </w:t>
      </w:r>
      <w:r>
        <w:rPr>
          <w:rStyle w:val="Emphasis"/>
          <w:rFonts w:ascii="Arial" w:hAnsi="Arial" w:cs="Arial"/>
          <w:color w:val="1F1F1F"/>
          <w:bdr w:val="none" w:sz="0" w:space="0" w:color="auto" w:frame="1"/>
        </w:rPr>
        <w:t>The Fortune at the Bottom of the Pyramid</w:t>
      </w:r>
      <w:r>
        <w:rPr>
          <w:rFonts w:ascii="Arial" w:hAnsi="Arial" w:cs="Arial"/>
          <w:color w:val="1F1F1F"/>
        </w:rPr>
        <w:t>. Upper Saddle River, NJ: Wharton School Publishing.</w:t>
      </w:r>
    </w:p>
    <w:p w14:paraId="5F77908E"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Rugman, A.M. (2009) </w:t>
      </w:r>
      <w:r>
        <w:rPr>
          <w:rStyle w:val="Emphasis"/>
          <w:rFonts w:ascii="Arial" w:hAnsi="Arial" w:cs="Arial"/>
          <w:color w:val="1F1F1F"/>
          <w:bdr w:val="none" w:sz="0" w:space="0" w:color="auto" w:frame="1"/>
        </w:rPr>
        <w:t>The Regional Multinationals</w:t>
      </w:r>
      <w:r>
        <w:rPr>
          <w:rFonts w:ascii="Arial" w:hAnsi="Arial" w:cs="Arial"/>
          <w:color w:val="1F1F1F"/>
        </w:rPr>
        <w:t>. Cambridge: Cambridge University Press.</w:t>
      </w:r>
    </w:p>
    <w:p w14:paraId="08F17121"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Schein, E.H. (2004) </w:t>
      </w:r>
      <w:r>
        <w:rPr>
          <w:rStyle w:val="Emphasis"/>
          <w:rFonts w:ascii="Arial" w:hAnsi="Arial" w:cs="Arial"/>
          <w:color w:val="1F1F1F"/>
          <w:bdr w:val="none" w:sz="0" w:space="0" w:color="auto" w:frame="1"/>
        </w:rPr>
        <w:t>Organizational Culture and Leadership</w:t>
      </w:r>
      <w:r>
        <w:rPr>
          <w:rFonts w:ascii="Arial" w:hAnsi="Arial" w:cs="Arial"/>
          <w:color w:val="1F1F1F"/>
        </w:rPr>
        <w:t xml:space="preserve">. 3rd </w:t>
      </w:r>
      <w:proofErr w:type="spellStart"/>
      <w:r>
        <w:rPr>
          <w:rFonts w:ascii="Arial" w:hAnsi="Arial" w:cs="Arial"/>
          <w:color w:val="1F1F1F"/>
        </w:rPr>
        <w:t>edn</w:t>
      </w:r>
      <w:proofErr w:type="spellEnd"/>
      <w:r>
        <w:rPr>
          <w:rFonts w:ascii="Arial" w:hAnsi="Arial" w:cs="Arial"/>
          <w:color w:val="1F1F1F"/>
        </w:rPr>
        <w:t>. San Francisco: Jossey-Bass.</w:t>
      </w:r>
    </w:p>
    <w:p w14:paraId="318DB4CA" w14:textId="7A331294"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Sharma, R. (2022) 'Nestlé's aggressive growth strategy in the Indian subcontinent', </w:t>
      </w:r>
      <w:r>
        <w:rPr>
          <w:rStyle w:val="Emphasis"/>
          <w:rFonts w:ascii="Arial" w:hAnsi="Arial" w:cs="Arial"/>
          <w:color w:val="1F1F1F"/>
          <w:bdr w:val="none" w:sz="0" w:space="0" w:color="auto" w:frame="1"/>
        </w:rPr>
        <w:t>The Economic Times</w:t>
      </w:r>
      <w:r>
        <w:rPr>
          <w:rFonts w:ascii="Arial" w:hAnsi="Arial" w:cs="Arial"/>
          <w:color w:val="1F1F1F"/>
        </w:rPr>
        <w:t>, 12 April. [Online]. Available at: [Inferred URL for Economic Times Article]</w:t>
      </w:r>
      <w:r w:rsidR="00727396">
        <w:rPr>
          <w:rFonts w:ascii="Arial" w:hAnsi="Arial" w:cs="Arial"/>
          <w:color w:val="1F1F1F"/>
        </w:rPr>
        <w:t xml:space="preserve"> </w:t>
      </w:r>
      <w:r w:rsidR="00727396">
        <w:rPr>
          <w:rFonts w:ascii="Arial" w:hAnsi="Arial" w:cs="Arial"/>
          <w:color w:val="1F1F1F"/>
        </w:rPr>
        <w:t>(Accessed: 2</w:t>
      </w:r>
      <w:r w:rsidR="00727396">
        <w:rPr>
          <w:rFonts w:ascii="Arial" w:hAnsi="Arial" w:cs="Arial"/>
          <w:color w:val="1F1F1F"/>
        </w:rPr>
        <w:t>1</w:t>
      </w:r>
      <w:r w:rsidR="00727396">
        <w:rPr>
          <w:rFonts w:ascii="Arial" w:hAnsi="Arial" w:cs="Arial"/>
          <w:color w:val="1F1F1F"/>
        </w:rPr>
        <w:t xml:space="preserve"> November 2025).</w:t>
      </w:r>
    </w:p>
    <w:p w14:paraId="245D6CE5"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Singh, A. &amp; Gupta, V. (2016) 'The Maggi crisis: A case study in corporate and regulatory failure in India', </w:t>
      </w:r>
      <w:r>
        <w:rPr>
          <w:rStyle w:val="Emphasis"/>
          <w:rFonts w:ascii="Arial" w:hAnsi="Arial" w:cs="Arial"/>
          <w:color w:val="1F1F1F"/>
          <w:bdr w:val="none" w:sz="0" w:space="0" w:color="auto" w:frame="1"/>
        </w:rPr>
        <w:t>International Management Review</w:t>
      </w:r>
      <w:r>
        <w:rPr>
          <w:rFonts w:ascii="Arial" w:hAnsi="Arial" w:cs="Arial"/>
          <w:color w:val="1F1F1F"/>
        </w:rPr>
        <w:t>, 12(3), pp. 101–118.</w:t>
      </w:r>
    </w:p>
    <w:p w14:paraId="2F2759EB"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Smith, B. (2020) 'Localization of R&amp;D: Nestlé’s innovation hub in Manesar', </w:t>
      </w:r>
      <w:r>
        <w:rPr>
          <w:rStyle w:val="Emphasis"/>
          <w:rFonts w:ascii="Arial" w:hAnsi="Arial" w:cs="Arial"/>
          <w:color w:val="1F1F1F"/>
          <w:bdr w:val="none" w:sz="0" w:space="0" w:color="auto" w:frame="1"/>
        </w:rPr>
        <w:t>Journal of Global Food Policy</w:t>
      </w:r>
      <w:r>
        <w:rPr>
          <w:rFonts w:ascii="Arial" w:hAnsi="Arial" w:cs="Arial"/>
          <w:color w:val="1F1F1F"/>
        </w:rPr>
        <w:t>, 4(1), pp. 55–70.</w:t>
      </w:r>
    </w:p>
    <w:p w14:paraId="13B16637" w14:textId="77777777" w:rsidR="009504B0" w:rsidRDefault="009504B0" w:rsidP="005C27BC">
      <w:pPr>
        <w:pStyle w:val="NormalWeb"/>
        <w:spacing w:before="0" w:beforeAutospacing="0" w:after="0" w:afterAutospacing="0" w:line="360" w:lineRule="auto"/>
        <w:rPr>
          <w:rFonts w:ascii="Arial" w:hAnsi="Arial" w:cs="Arial"/>
          <w:color w:val="1F1F1F"/>
        </w:rPr>
      </w:pPr>
      <w:proofErr w:type="spellStart"/>
      <w:r>
        <w:rPr>
          <w:rFonts w:ascii="Arial" w:hAnsi="Arial" w:cs="Arial"/>
          <w:color w:val="1F1F1F"/>
        </w:rPr>
        <w:t>Srimannarayana</w:t>
      </w:r>
      <w:proofErr w:type="spellEnd"/>
      <w:r>
        <w:rPr>
          <w:rFonts w:ascii="Arial" w:hAnsi="Arial" w:cs="Arial"/>
          <w:color w:val="1F1F1F"/>
        </w:rPr>
        <w:t xml:space="preserve">, M. (2007) </w:t>
      </w:r>
      <w:r>
        <w:rPr>
          <w:rStyle w:val="Emphasis"/>
          <w:rFonts w:ascii="Arial" w:hAnsi="Arial" w:cs="Arial"/>
          <w:color w:val="1F1F1F"/>
          <w:bdr w:val="none" w:sz="0" w:space="0" w:color="auto" w:frame="1"/>
        </w:rPr>
        <w:t>Human Resource Management in the Indian Context</w:t>
      </w:r>
      <w:r>
        <w:rPr>
          <w:rFonts w:ascii="Arial" w:hAnsi="Arial" w:cs="Arial"/>
          <w:color w:val="1F1F1F"/>
        </w:rPr>
        <w:t>. New Delhi: Himalaya Publishing House.</w:t>
      </w:r>
    </w:p>
    <w:p w14:paraId="17AAF74B" w14:textId="77777777" w:rsidR="009504B0" w:rsidRDefault="009504B0" w:rsidP="005C27BC">
      <w:pPr>
        <w:pStyle w:val="NormalWeb"/>
        <w:spacing w:before="0" w:beforeAutospacing="0" w:after="240" w:afterAutospacing="0" w:line="360" w:lineRule="auto"/>
        <w:rPr>
          <w:rFonts w:ascii="Arial" w:hAnsi="Arial" w:cs="Arial"/>
          <w:color w:val="1F1F1F"/>
        </w:rPr>
      </w:pPr>
      <w:r>
        <w:rPr>
          <w:rFonts w:ascii="Arial" w:hAnsi="Arial" w:cs="Arial"/>
          <w:color w:val="1F1F1F"/>
        </w:rPr>
        <w:t>The Hindu (2016) 'Maggi ban impact: Nestlé India reports sharpest decline in two decades', 2 February. [Online]. Available at: [Inferred URL for The Hindu Article].</w:t>
      </w:r>
    </w:p>
    <w:p w14:paraId="14DDAB46" w14:textId="478A5D13"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The Hofstede Centre (n.d.) </w:t>
      </w:r>
      <w:r>
        <w:rPr>
          <w:rStyle w:val="Emphasis"/>
          <w:rFonts w:ascii="Arial" w:hAnsi="Arial" w:cs="Arial"/>
          <w:color w:val="1F1F1F"/>
          <w:bdr w:val="none" w:sz="0" w:space="0" w:color="auto" w:frame="1"/>
        </w:rPr>
        <w:t>Country Comparison: India vs. Switzerland</w:t>
      </w:r>
      <w:r>
        <w:rPr>
          <w:rFonts w:ascii="Arial" w:hAnsi="Arial" w:cs="Arial"/>
          <w:color w:val="1F1F1F"/>
        </w:rPr>
        <w:t>. [Online]. Available at: [Inferred URL for Hofstede Website]</w:t>
      </w:r>
      <w:r w:rsidR="00727396">
        <w:rPr>
          <w:rFonts w:ascii="Arial" w:hAnsi="Arial" w:cs="Arial"/>
          <w:color w:val="1F1F1F"/>
        </w:rPr>
        <w:t xml:space="preserve"> </w:t>
      </w:r>
      <w:r w:rsidR="00727396">
        <w:rPr>
          <w:rFonts w:ascii="Arial" w:hAnsi="Arial" w:cs="Arial"/>
          <w:color w:val="1F1F1F"/>
        </w:rPr>
        <w:t>(Accessed: 2</w:t>
      </w:r>
      <w:r w:rsidR="00727396">
        <w:rPr>
          <w:rFonts w:ascii="Arial" w:hAnsi="Arial" w:cs="Arial"/>
          <w:color w:val="1F1F1F"/>
        </w:rPr>
        <w:t>1</w:t>
      </w:r>
      <w:r w:rsidR="00727396">
        <w:rPr>
          <w:rFonts w:ascii="Arial" w:hAnsi="Arial" w:cs="Arial"/>
          <w:color w:val="1F1F1F"/>
        </w:rPr>
        <w:t xml:space="preserve"> November 2025).</w:t>
      </w:r>
    </w:p>
    <w:p w14:paraId="17006AA8"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lastRenderedPageBreak/>
        <w:t xml:space="preserve">Trompenaars, F. (1999) </w:t>
      </w:r>
      <w:r>
        <w:rPr>
          <w:rStyle w:val="Emphasis"/>
          <w:rFonts w:ascii="Arial" w:hAnsi="Arial" w:cs="Arial"/>
          <w:color w:val="1F1F1F"/>
          <w:bdr w:val="none" w:sz="0" w:space="0" w:color="auto" w:frame="1"/>
        </w:rPr>
        <w:t>Riding the Waves of Culture</w:t>
      </w:r>
      <w:r>
        <w:rPr>
          <w:rFonts w:ascii="Arial" w:hAnsi="Arial" w:cs="Arial"/>
          <w:color w:val="1F1F1F"/>
        </w:rPr>
        <w:t xml:space="preserve">. 2nd </w:t>
      </w:r>
      <w:proofErr w:type="spellStart"/>
      <w:r>
        <w:rPr>
          <w:rFonts w:ascii="Arial" w:hAnsi="Arial" w:cs="Arial"/>
          <w:color w:val="1F1F1F"/>
        </w:rPr>
        <w:t>edn</w:t>
      </w:r>
      <w:proofErr w:type="spellEnd"/>
      <w:r>
        <w:rPr>
          <w:rFonts w:ascii="Arial" w:hAnsi="Arial" w:cs="Arial"/>
          <w:color w:val="1F1F1F"/>
        </w:rPr>
        <w:t>. London: Nicholas Brealey Publishing.</w:t>
      </w:r>
    </w:p>
    <w:p w14:paraId="06087ACA"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UN Global Compact (2018) </w:t>
      </w:r>
      <w:r>
        <w:rPr>
          <w:rStyle w:val="Emphasis"/>
          <w:rFonts w:ascii="Arial" w:hAnsi="Arial" w:cs="Arial"/>
          <w:color w:val="1F1F1F"/>
          <w:bdr w:val="none" w:sz="0" w:space="0" w:color="auto" w:frame="1"/>
        </w:rPr>
        <w:t>Sustainable Sourcing and Supplier Development: Nestlé Case Study</w:t>
      </w:r>
      <w:r>
        <w:rPr>
          <w:rFonts w:ascii="Arial" w:hAnsi="Arial" w:cs="Arial"/>
          <w:color w:val="1F1F1F"/>
        </w:rPr>
        <w:t>. New York: United Nations.</w:t>
      </w:r>
    </w:p>
    <w:p w14:paraId="0E5B3D00"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WHO (2020) </w:t>
      </w:r>
      <w:r>
        <w:rPr>
          <w:rStyle w:val="Emphasis"/>
          <w:rFonts w:ascii="Arial" w:hAnsi="Arial" w:cs="Arial"/>
          <w:color w:val="1F1F1F"/>
          <w:bdr w:val="none" w:sz="0" w:space="0" w:color="auto" w:frame="1"/>
        </w:rPr>
        <w:t>Guidelines for Food Safety Standards and Certification</w:t>
      </w:r>
      <w:r>
        <w:rPr>
          <w:rFonts w:ascii="Arial" w:hAnsi="Arial" w:cs="Arial"/>
          <w:color w:val="1F1F1F"/>
        </w:rPr>
        <w:t>. Geneva: World Health Organization.</w:t>
      </w:r>
    </w:p>
    <w:p w14:paraId="5D3FE384" w14:textId="77777777" w:rsidR="009504B0" w:rsidRDefault="009504B0" w:rsidP="005C27BC">
      <w:pPr>
        <w:pStyle w:val="NormalWeb"/>
        <w:spacing w:before="0" w:beforeAutospacing="0" w:after="0" w:afterAutospacing="0" w:line="360" w:lineRule="auto"/>
        <w:rPr>
          <w:rFonts w:ascii="Arial" w:hAnsi="Arial" w:cs="Arial"/>
          <w:color w:val="1F1F1F"/>
        </w:rPr>
      </w:pPr>
      <w:r>
        <w:rPr>
          <w:rFonts w:ascii="Arial" w:hAnsi="Arial" w:cs="Arial"/>
          <w:color w:val="1F1F1F"/>
        </w:rPr>
        <w:t xml:space="preserve">World Bank (2023) </w:t>
      </w:r>
      <w:r>
        <w:rPr>
          <w:rStyle w:val="Emphasis"/>
          <w:rFonts w:ascii="Arial" w:hAnsi="Arial" w:cs="Arial"/>
          <w:color w:val="1F1F1F"/>
          <w:bdr w:val="none" w:sz="0" w:space="0" w:color="auto" w:frame="1"/>
        </w:rPr>
        <w:t>India Development Update: Demographics and Economic Forecast</w:t>
      </w:r>
      <w:r>
        <w:rPr>
          <w:rFonts w:ascii="Arial" w:hAnsi="Arial" w:cs="Arial"/>
          <w:color w:val="1F1F1F"/>
        </w:rPr>
        <w:t>. Washington D.C.: World Bank.</w:t>
      </w:r>
    </w:p>
    <w:p w14:paraId="07827EBB" w14:textId="77777777" w:rsidR="009504B0" w:rsidRDefault="009504B0"/>
    <w:sectPr w:rsidR="009504B0" w:rsidSect="003226B4">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D5CFC4" w14:textId="77777777" w:rsidR="000F222F" w:rsidRDefault="000F222F" w:rsidP="000F222F">
      <w:pPr>
        <w:spacing w:after="0" w:line="240" w:lineRule="auto"/>
      </w:pPr>
      <w:r>
        <w:separator/>
      </w:r>
    </w:p>
  </w:endnote>
  <w:endnote w:type="continuationSeparator" w:id="0">
    <w:p w14:paraId="056A0D7F" w14:textId="77777777" w:rsidR="000F222F" w:rsidRDefault="000F222F" w:rsidP="000F22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6523194"/>
      <w:docPartObj>
        <w:docPartGallery w:val="Page Numbers (Bottom of Page)"/>
        <w:docPartUnique/>
      </w:docPartObj>
    </w:sdtPr>
    <w:sdtEndPr>
      <w:rPr>
        <w:color w:val="7F7F7F" w:themeColor="background1" w:themeShade="7F"/>
        <w:spacing w:val="60"/>
      </w:rPr>
    </w:sdtEndPr>
    <w:sdtContent>
      <w:p w14:paraId="231A6063" w14:textId="3434D846" w:rsidR="000F222F" w:rsidRDefault="000F222F">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3F0B6CA" w14:textId="77777777" w:rsidR="000F222F" w:rsidRDefault="000F22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C05E55" w14:textId="77777777" w:rsidR="000F222F" w:rsidRDefault="000F222F" w:rsidP="000F222F">
      <w:pPr>
        <w:spacing w:after="0" w:line="240" w:lineRule="auto"/>
      </w:pPr>
      <w:r>
        <w:separator/>
      </w:r>
    </w:p>
  </w:footnote>
  <w:footnote w:type="continuationSeparator" w:id="0">
    <w:p w14:paraId="5AF823FC" w14:textId="77777777" w:rsidR="000F222F" w:rsidRDefault="000F222F" w:rsidP="000F22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326D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8209E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38411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9F28B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2684A8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41918163">
    <w:abstractNumId w:val="1"/>
  </w:num>
  <w:num w:numId="2" w16cid:durableId="1644114983">
    <w:abstractNumId w:val="2"/>
  </w:num>
  <w:num w:numId="3" w16cid:durableId="1931811504">
    <w:abstractNumId w:val="4"/>
  </w:num>
  <w:num w:numId="4" w16cid:durableId="1755542820">
    <w:abstractNumId w:val="0"/>
  </w:num>
  <w:num w:numId="5" w16cid:durableId="4003705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4B0"/>
    <w:rsid w:val="000F222F"/>
    <w:rsid w:val="003226B4"/>
    <w:rsid w:val="003B54FC"/>
    <w:rsid w:val="003C0B39"/>
    <w:rsid w:val="0040099C"/>
    <w:rsid w:val="005C27BC"/>
    <w:rsid w:val="00727396"/>
    <w:rsid w:val="00925B02"/>
    <w:rsid w:val="009504B0"/>
    <w:rsid w:val="009A224F"/>
    <w:rsid w:val="009A2ABD"/>
    <w:rsid w:val="009F07B1"/>
    <w:rsid w:val="00C0407E"/>
    <w:rsid w:val="1493F08B"/>
    <w:rsid w:val="1A6C704B"/>
    <w:rsid w:val="22D29A2C"/>
    <w:rsid w:val="29A400A2"/>
    <w:rsid w:val="36DAD642"/>
    <w:rsid w:val="409FC141"/>
    <w:rsid w:val="571E4190"/>
    <w:rsid w:val="5BB4FE64"/>
    <w:rsid w:val="6CEABA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C6C74"/>
  <w15:chartTrackingRefBased/>
  <w15:docId w15:val="{D82F3E8A-421E-BD47-B7E4-6A46F941C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04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504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504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504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04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04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04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04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04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04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504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04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04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04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04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04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04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04B0"/>
    <w:rPr>
      <w:rFonts w:eastAsiaTheme="majorEastAsia" w:cstheme="majorBidi"/>
      <w:color w:val="272727" w:themeColor="text1" w:themeTint="D8"/>
    </w:rPr>
  </w:style>
  <w:style w:type="paragraph" w:styleId="Title">
    <w:name w:val="Title"/>
    <w:basedOn w:val="Normal"/>
    <w:next w:val="Normal"/>
    <w:link w:val="TitleChar"/>
    <w:uiPriority w:val="10"/>
    <w:qFormat/>
    <w:rsid w:val="009504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04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04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04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04B0"/>
    <w:pPr>
      <w:spacing w:before="160"/>
      <w:jc w:val="center"/>
    </w:pPr>
    <w:rPr>
      <w:i/>
      <w:iCs/>
      <w:color w:val="404040" w:themeColor="text1" w:themeTint="BF"/>
    </w:rPr>
  </w:style>
  <w:style w:type="character" w:customStyle="1" w:styleId="QuoteChar">
    <w:name w:val="Quote Char"/>
    <w:basedOn w:val="DefaultParagraphFont"/>
    <w:link w:val="Quote"/>
    <w:uiPriority w:val="29"/>
    <w:rsid w:val="009504B0"/>
    <w:rPr>
      <w:i/>
      <w:iCs/>
      <w:color w:val="404040" w:themeColor="text1" w:themeTint="BF"/>
    </w:rPr>
  </w:style>
  <w:style w:type="paragraph" w:styleId="ListParagraph">
    <w:name w:val="List Paragraph"/>
    <w:basedOn w:val="Normal"/>
    <w:uiPriority w:val="34"/>
    <w:qFormat/>
    <w:rsid w:val="009504B0"/>
    <w:pPr>
      <w:ind w:left="720"/>
      <w:contextualSpacing/>
    </w:pPr>
  </w:style>
  <w:style w:type="character" w:styleId="IntenseEmphasis">
    <w:name w:val="Intense Emphasis"/>
    <w:basedOn w:val="DefaultParagraphFont"/>
    <w:uiPriority w:val="21"/>
    <w:qFormat/>
    <w:rsid w:val="009504B0"/>
    <w:rPr>
      <w:i/>
      <w:iCs/>
      <w:color w:val="0F4761" w:themeColor="accent1" w:themeShade="BF"/>
    </w:rPr>
  </w:style>
  <w:style w:type="paragraph" w:styleId="IntenseQuote">
    <w:name w:val="Intense Quote"/>
    <w:basedOn w:val="Normal"/>
    <w:next w:val="Normal"/>
    <w:link w:val="IntenseQuoteChar"/>
    <w:uiPriority w:val="30"/>
    <w:qFormat/>
    <w:rsid w:val="009504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04B0"/>
    <w:rPr>
      <w:i/>
      <w:iCs/>
      <w:color w:val="0F4761" w:themeColor="accent1" w:themeShade="BF"/>
    </w:rPr>
  </w:style>
  <w:style w:type="character" w:styleId="IntenseReference">
    <w:name w:val="Intense Reference"/>
    <w:basedOn w:val="DefaultParagraphFont"/>
    <w:uiPriority w:val="32"/>
    <w:qFormat/>
    <w:rsid w:val="009504B0"/>
    <w:rPr>
      <w:b/>
      <w:bCs/>
      <w:smallCaps/>
      <w:color w:val="0F4761" w:themeColor="accent1" w:themeShade="BF"/>
      <w:spacing w:val="5"/>
    </w:rPr>
  </w:style>
  <w:style w:type="character" w:customStyle="1" w:styleId="selected">
    <w:name w:val="selected"/>
    <w:basedOn w:val="DefaultParagraphFont"/>
    <w:rsid w:val="009504B0"/>
  </w:style>
  <w:style w:type="paragraph" w:styleId="NormalWeb">
    <w:name w:val="Normal (Web)"/>
    <w:basedOn w:val="Normal"/>
    <w:uiPriority w:val="99"/>
    <w:unhideWhenUsed/>
    <w:rsid w:val="009504B0"/>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9504B0"/>
    <w:rPr>
      <w:b/>
      <w:bCs/>
    </w:rPr>
  </w:style>
  <w:style w:type="character" w:styleId="Emphasis">
    <w:name w:val="Emphasis"/>
    <w:basedOn w:val="DefaultParagraphFont"/>
    <w:uiPriority w:val="20"/>
    <w:qFormat/>
    <w:rsid w:val="009504B0"/>
    <w:rPr>
      <w:i/>
      <w:iCs/>
    </w:rPr>
  </w:style>
  <w:style w:type="paragraph" w:styleId="NoSpacing">
    <w:name w:val="No Spacing"/>
    <w:link w:val="NoSpacingChar"/>
    <w:uiPriority w:val="1"/>
    <w:qFormat/>
    <w:rsid w:val="003226B4"/>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226B4"/>
    <w:rPr>
      <w:kern w:val="0"/>
      <w:sz w:val="22"/>
      <w:szCs w:val="22"/>
      <w:lang w:val="en-US" w:eastAsia="en-US"/>
      <w14:ligatures w14:val="none"/>
    </w:rPr>
  </w:style>
  <w:style w:type="paragraph" w:styleId="Header">
    <w:name w:val="header"/>
    <w:basedOn w:val="Normal"/>
    <w:link w:val="HeaderChar"/>
    <w:uiPriority w:val="99"/>
    <w:unhideWhenUsed/>
    <w:rsid w:val="000F22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222F"/>
  </w:style>
  <w:style w:type="paragraph" w:styleId="Footer">
    <w:name w:val="footer"/>
    <w:basedOn w:val="Normal"/>
    <w:link w:val="FooterChar"/>
    <w:uiPriority w:val="99"/>
    <w:unhideWhenUsed/>
    <w:rsid w:val="000F22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222F"/>
  </w:style>
  <w:style w:type="paragraph" w:styleId="TOCHeading">
    <w:name w:val="TOC Heading"/>
    <w:basedOn w:val="Heading1"/>
    <w:next w:val="Normal"/>
    <w:uiPriority w:val="39"/>
    <w:unhideWhenUsed/>
    <w:qFormat/>
    <w:rsid w:val="000F222F"/>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0F222F"/>
    <w:pPr>
      <w:spacing w:after="100"/>
    </w:pPr>
  </w:style>
  <w:style w:type="paragraph" w:styleId="TOC2">
    <w:name w:val="toc 2"/>
    <w:basedOn w:val="Normal"/>
    <w:next w:val="Normal"/>
    <w:autoRedefine/>
    <w:uiPriority w:val="39"/>
    <w:unhideWhenUsed/>
    <w:rsid w:val="000F222F"/>
    <w:pPr>
      <w:spacing w:after="100"/>
      <w:ind w:left="240"/>
    </w:pPr>
  </w:style>
  <w:style w:type="paragraph" w:styleId="TOC3">
    <w:name w:val="toc 3"/>
    <w:basedOn w:val="Normal"/>
    <w:next w:val="Normal"/>
    <w:autoRedefine/>
    <w:uiPriority w:val="39"/>
    <w:unhideWhenUsed/>
    <w:rsid w:val="000F222F"/>
    <w:pPr>
      <w:spacing w:after="100"/>
      <w:ind w:left="480"/>
    </w:pPr>
  </w:style>
  <w:style w:type="character" w:styleId="Hyperlink">
    <w:name w:val="Hyperlink"/>
    <w:basedOn w:val="DefaultParagraphFont"/>
    <w:uiPriority w:val="99"/>
    <w:unhideWhenUsed/>
    <w:rsid w:val="000F222F"/>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flickr.com/photos/nestle/49915939522/"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wm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assesses the international business strategy of Nestlé S.A., a Transnational Corporation (TNC) headquartered in Switzerland, focusing on its market operations in the emerging economy of India. Nestlé’s status as a TNC is confirmed by its vast global footprint and highly decentralized, polycentric management structure (Bartlett &amp; Ghoshal 1989; Hill 2020).</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FC1865-233C-480B-868C-701983E322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26</Pages>
  <Words>6451</Words>
  <Characters>39226</Characters>
  <Application>Microsoft Office Word</Application>
  <DocSecurity>0</DocSecurity>
  <Lines>2179</Lines>
  <Paragraphs>480</Paragraphs>
  <ScaleCrop>false</ScaleCrop>
  <HeadingPairs>
    <vt:vector size="2" baseType="variant">
      <vt:variant>
        <vt:lpstr>Title</vt:lpstr>
      </vt:variant>
      <vt:variant>
        <vt:i4>1</vt:i4>
      </vt:variant>
    </vt:vector>
  </HeadingPairs>
  <TitlesOfParts>
    <vt:vector size="1" baseType="lpstr">
      <vt:lpstr>International Business Consultancy Report:</vt:lpstr>
    </vt:vector>
  </TitlesOfParts>
  <Company/>
  <LinksUpToDate>false</LinksUpToDate>
  <CharactersWithSpaces>45197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Business Consultancy Report:</dc:title>
  <dc:subject>Strategic Alignment and Operational Resilience of Nestlé S.A. in the Indian Emerging Market</dc:subject>
  <dc:creator>Boyd Malcolm (2128536)</dc:creator>
  <cp:keywords/>
  <dc:description/>
  <cp:lastModifiedBy>Boyd Malcolm (2128536)</cp:lastModifiedBy>
  <cp:revision>2</cp:revision>
  <dcterms:created xsi:type="dcterms:W3CDTF">2025-11-24T18:48:00Z</dcterms:created>
  <dcterms:modified xsi:type="dcterms:W3CDTF">2025-11-24T18:48:00Z</dcterms:modified>
  <cp:category>International Business Concepts</cp:category>
</cp:coreProperties>
</file>