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93"/>
        <w:gridCol w:w="1386"/>
        <w:gridCol w:w="1252"/>
        <w:gridCol w:w="776"/>
        <w:gridCol w:w="2248"/>
        <w:gridCol w:w="1815"/>
      </w:tblGrid>
      <w:tr w:rsidR="00FD04AF" w14:paraId="46052220" w14:textId="77777777" w:rsidTr="00CD2F08">
        <w:trPr>
          <w:trHeight w:val="530"/>
        </w:trPr>
        <w:tc>
          <w:tcPr>
            <w:tcW w:w="902" w:type="pct"/>
            <w:shd w:val="clear" w:color="auto" w:fill="D9D9D9"/>
          </w:tcPr>
          <w:p w14:paraId="128E039E" w14:textId="77777777" w:rsidR="00CD2F08" w:rsidRDefault="005941D9" w:rsidP="00146859">
            <w:pPr>
              <w:pStyle w:val="TableParagraph"/>
              <w:spacing w:before="120"/>
              <w:ind w:left="107"/>
              <w:rPr>
                <w:rFonts w:ascii="Arial"/>
                <w:b/>
              </w:rPr>
            </w:pPr>
            <w:r>
              <w:rPr>
                <w:rFonts w:ascii="Arial"/>
                <w:b/>
              </w:rPr>
              <w:t>Student</w:t>
            </w:r>
            <w:r>
              <w:rPr>
                <w:rFonts w:ascii="Arial"/>
                <w:b/>
                <w:spacing w:val="-3"/>
              </w:rPr>
              <w:t xml:space="preserve"> </w:t>
            </w:r>
            <w:r>
              <w:rPr>
                <w:rFonts w:ascii="Arial"/>
                <w:b/>
              </w:rPr>
              <w:t>name:</w:t>
            </w:r>
          </w:p>
        </w:tc>
        <w:tc>
          <w:tcPr>
            <w:tcW w:w="1906" w:type="pct"/>
            <w:gridSpan w:val="3"/>
          </w:tcPr>
          <w:p w14:paraId="4D4FE4B5" w14:textId="77777777" w:rsidR="00CD2F08" w:rsidRDefault="00CD2F08" w:rsidP="00146859">
            <w:pPr>
              <w:pStyle w:val="TableParagraph"/>
              <w:rPr>
                <w:rFonts w:ascii="Times New Roman"/>
                <w:sz w:val="18"/>
              </w:rPr>
            </w:pPr>
          </w:p>
          <w:p w14:paraId="6D2D7D91" w14:textId="67C5E68A" w:rsidR="004B1711" w:rsidRPr="004B1711" w:rsidRDefault="004B1711" w:rsidP="00146859">
            <w:pPr>
              <w:pStyle w:val="TableParagraph"/>
              <w:rPr>
                <w:rFonts w:ascii="Arial" w:hAnsi="Arial" w:cs="Arial"/>
                <w:b/>
                <w:bCs/>
              </w:rPr>
            </w:pPr>
            <w:r>
              <w:rPr>
                <w:rFonts w:ascii="Times New Roman"/>
                <w:sz w:val="18"/>
              </w:rPr>
              <w:t xml:space="preserve">    </w:t>
            </w:r>
            <w:r w:rsidRPr="004B1711">
              <w:rPr>
                <w:rFonts w:ascii="Arial" w:hAnsi="Arial" w:cs="Arial"/>
                <w:b/>
                <w:bCs/>
              </w:rPr>
              <w:t>Raducu-Viorel Ciolpan</w:t>
            </w:r>
          </w:p>
        </w:tc>
        <w:tc>
          <w:tcPr>
            <w:tcW w:w="1196" w:type="pct"/>
            <w:shd w:val="clear" w:color="auto" w:fill="D9D9D9"/>
          </w:tcPr>
          <w:p w14:paraId="05371439" w14:textId="77777777" w:rsidR="00CD2F08" w:rsidRDefault="005941D9" w:rsidP="00146859">
            <w:pPr>
              <w:pStyle w:val="TableParagraph"/>
              <w:spacing w:before="120"/>
              <w:ind w:left="102"/>
              <w:rPr>
                <w:rFonts w:ascii="Arial"/>
                <w:b/>
              </w:rPr>
            </w:pPr>
            <w:r>
              <w:rPr>
                <w:rFonts w:ascii="Arial"/>
                <w:b/>
              </w:rPr>
              <w:t>Student</w:t>
            </w:r>
            <w:r>
              <w:rPr>
                <w:rFonts w:ascii="Arial"/>
                <w:b/>
                <w:spacing w:val="57"/>
              </w:rPr>
              <w:t xml:space="preserve"> </w:t>
            </w:r>
            <w:r>
              <w:rPr>
                <w:rFonts w:ascii="Arial"/>
                <w:b/>
              </w:rPr>
              <w:t>number:</w:t>
            </w:r>
          </w:p>
        </w:tc>
        <w:tc>
          <w:tcPr>
            <w:tcW w:w="996" w:type="pct"/>
          </w:tcPr>
          <w:p w14:paraId="6B76E5C7" w14:textId="77777777" w:rsidR="00CD2F08" w:rsidRDefault="00CD2F08" w:rsidP="00146859">
            <w:pPr>
              <w:pStyle w:val="TableParagraph"/>
              <w:rPr>
                <w:rFonts w:ascii="Times New Roman"/>
                <w:sz w:val="18"/>
              </w:rPr>
            </w:pPr>
          </w:p>
          <w:p w14:paraId="2D0F7B97" w14:textId="585FF96C" w:rsidR="00B659D0" w:rsidRPr="00B659D0" w:rsidRDefault="00B659D0" w:rsidP="00146859">
            <w:pPr>
              <w:pStyle w:val="TableParagraph"/>
              <w:rPr>
                <w:rFonts w:ascii="Arial" w:hAnsi="Arial" w:cs="Arial"/>
                <w:b/>
                <w:bCs/>
              </w:rPr>
            </w:pPr>
            <w:r w:rsidRPr="00B659D0">
              <w:rPr>
                <w:rFonts w:ascii="Arial" w:hAnsi="Arial" w:cs="Arial"/>
                <w:b/>
                <w:bCs/>
              </w:rPr>
              <w:t xml:space="preserve"> </w:t>
            </w:r>
            <w:r>
              <w:rPr>
                <w:rFonts w:ascii="Arial" w:hAnsi="Arial" w:cs="Arial"/>
                <w:b/>
                <w:bCs/>
              </w:rPr>
              <w:t xml:space="preserve">  </w:t>
            </w:r>
            <w:r w:rsidRPr="00B659D0">
              <w:rPr>
                <w:rFonts w:ascii="Arial" w:hAnsi="Arial" w:cs="Arial"/>
                <w:b/>
                <w:bCs/>
              </w:rPr>
              <w:t>2221478</w:t>
            </w:r>
          </w:p>
        </w:tc>
      </w:tr>
      <w:tr w:rsidR="00FD04AF" w14:paraId="25747799" w14:textId="77777777" w:rsidTr="00CD2F08">
        <w:trPr>
          <w:trHeight w:val="530"/>
        </w:trPr>
        <w:tc>
          <w:tcPr>
            <w:tcW w:w="902" w:type="pct"/>
            <w:shd w:val="clear" w:color="auto" w:fill="D9D9D9"/>
          </w:tcPr>
          <w:p w14:paraId="4DFB1066" w14:textId="77777777" w:rsidR="00CD2F08" w:rsidRDefault="005941D9" w:rsidP="00146859">
            <w:pPr>
              <w:pStyle w:val="TableParagraph"/>
              <w:spacing w:before="120"/>
              <w:ind w:left="107"/>
              <w:rPr>
                <w:rFonts w:ascii="Arial"/>
                <w:b/>
              </w:rPr>
            </w:pPr>
            <w:r>
              <w:rPr>
                <w:rFonts w:ascii="Arial"/>
                <w:b/>
              </w:rPr>
              <w:t>Programmes:</w:t>
            </w:r>
          </w:p>
        </w:tc>
        <w:tc>
          <w:tcPr>
            <w:tcW w:w="4098" w:type="pct"/>
            <w:gridSpan w:val="5"/>
          </w:tcPr>
          <w:p w14:paraId="33B0ECAD" w14:textId="77777777" w:rsidR="00CD2F08" w:rsidRDefault="005941D9" w:rsidP="00146859">
            <w:pPr>
              <w:pStyle w:val="TableParagraph"/>
              <w:spacing w:before="120"/>
              <w:ind w:left="106"/>
              <w:rPr>
                <w:rFonts w:ascii="Arial"/>
                <w:b/>
              </w:rPr>
            </w:pPr>
            <w:r>
              <w:rPr>
                <w:rFonts w:ascii="Arial"/>
                <w:b/>
              </w:rPr>
              <w:t>BA</w:t>
            </w:r>
            <w:r>
              <w:rPr>
                <w:rFonts w:ascii="Arial"/>
                <w:b/>
                <w:spacing w:val="-2"/>
              </w:rPr>
              <w:t xml:space="preserve"> </w:t>
            </w:r>
            <w:r>
              <w:rPr>
                <w:rFonts w:ascii="Arial"/>
                <w:b/>
              </w:rPr>
              <w:t>International</w:t>
            </w:r>
            <w:r>
              <w:rPr>
                <w:rFonts w:ascii="Arial"/>
                <w:b/>
                <w:spacing w:val="-5"/>
              </w:rPr>
              <w:t xml:space="preserve"> </w:t>
            </w:r>
            <w:r>
              <w:rPr>
                <w:rFonts w:ascii="Arial"/>
                <w:b/>
              </w:rPr>
              <w:t>Hotel</w:t>
            </w:r>
            <w:r>
              <w:rPr>
                <w:rFonts w:ascii="Arial"/>
                <w:b/>
                <w:spacing w:val="-4"/>
              </w:rPr>
              <w:t xml:space="preserve"> </w:t>
            </w:r>
            <w:r>
              <w:rPr>
                <w:rFonts w:ascii="Arial"/>
                <w:b/>
              </w:rPr>
              <w:t>Management</w:t>
            </w:r>
          </w:p>
        </w:tc>
      </w:tr>
      <w:tr w:rsidR="00FD04AF" w14:paraId="44DB6AF5" w14:textId="77777777" w:rsidTr="00CD2F08">
        <w:trPr>
          <w:trHeight w:val="530"/>
        </w:trPr>
        <w:tc>
          <w:tcPr>
            <w:tcW w:w="902" w:type="pct"/>
            <w:shd w:val="clear" w:color="auto" w:fill="D9D9D9"/>
          </w:tcPr>
          <w:p w14:paraId="001CFEC1" w14:textId="77777777" w:rsidR="00CD2F08" w:rsidRDefault="005941D9" w:rsidP="00146859">
            <w:pPr>
              <w:pStyle w:val="TableParagraph"/>
              <w:spacing w:before="125"/>
              <w:ind w:left="107"/>
              <w:rPr>
                <w:rFonts w:ascii="Arial"/>
                <w:b/>
              </w:rPr>
            </w:pPr>
            <w:r>
              <w:rPr>
                <w:rFonts w:ascii="Arial"/>
                <w:b/>
              </w:rPr>
              <w:t>Module:</w:t>
            </w:r>
          </w:p>
        </w:tc>
        <w:tc>
          <w:tcPr>
            <w:tcW w:w="1906" w:type="pct"/>
            <w:gridSpan w:val="3"/>
          </w:tcPr>
          <w:p w14:paraId="7365E13E" w14:textId="77777777" w:rsidR="00CD2F08" w:rsidRDefault="005941D9" w:rsidP="00146859">
            <w:pPr>
              <w:pStyle w:val="TableParagraph"/>
              <w:spacing w:before="125"/>
              <w:ind w:left="106"/>
              <w:rPr>
                <w:rFonts w:ascii="Arial"/>
                <w:b/>
              </w:rPr>
            </w:pPr>
            <w:r>
              <w:rPr>
                <w:rFonts w:ascii="Arial"/>
                <w:b/>
              </w:rPr>
              <w:t>Food</w:t>
            </w:r>
            <w:r>
              <w:rPr>
                <w:rFonts w:ascii="Arial"/>
                <w:b/>
                <w:spacing w:val="-3"/>
              </w:rPr>
              <w:t xml:space="preserve"> </w:t>
            </w:r>
            <w:r>
              <w:rPr>
                <w:rFonts w:ascii="Arial"/>
                <w:b/>
              </w:rPr>
              <w:t>&amp;</w:t>
            </w:r>
            <w:r>
              <w:rPr>
                <w:rFonts w:ascii="Arial"/>
                <w:b/>
                <w:spacing w:val="-4"/>
              </w:rPr>
              <w:t xml:space="preserve"> </w:t>
            </w:r>
            <w:r>
              <w:rPr>
                <w:rFonts w:ascii="Arial"/>
                <w:b/>
              </w:rPr>
              <w:t>Beverage</w:t>
            </w:r>
            <w:r>
              <w:rPr>
                <w:rFonts w:ascii="Arial"/>
                <w:b/>
                <w:spacing w:val="-2"/>
              </w:rPr>
              <w:t xml:space="preserve"> </w:t>
            </w:r>
            <w:r>
              <w:rPr>
                <w:rFonts w:ascii="Arial"/>
                <w:b/>
              </w:rPr>
              <w:t>Operations</w:t>
            </w:r>
          </w:p>
        </w:tc>
        <w:tc>
          <w:tcPr>
            <w:tcW w:w="1196" w:type="pct"/>
            <w:shd w:val="clear" w:color="auto" w:fill="D9D9D9"/>
          </w:tcPr>
          <w:p w14:paraId="267EEB08" w14:textId="77777777" w:rsidR="00CD2F08" w:rsidRDefault="005941D9" w:rsidP="00146859">
            <w:pPr>
              <w:pStyle w:val="TableParagraph"/>
              <w:spacing w:before="125"/>
              <w:ind w:left="102"/>
              <w:rPr>
                <w:rFonts w:ascii="Arial"/>
                <w:b/>
              </w:rPr>
            </w:pPr>
            <w:r>
              <w:rPr>
                <w:rFonts w:ascii="Arial"/>
                <w:b/>
              </w:rPr>
              <w:t>Module</w:t>
            </w:r>
            <w:r>
              <w:rPr>
                <w:rFonts w:ascii="Arial"/>
                <w:b/>
                <w:spacing w:val="-1"/>
              </w:rPr>
              <w:t xml:space="preserve"> </w:t>
            </w:r>
            <w:r>
              <w:rPr>
                <w:rFonts w:ascii="Arial"/>
                <w:b/>
              </w:rPr>
              <w:t>Level</w:t>
            </w:r>
            <w:r>
              <w:rPr>
                <w:rFonts w:ascii="Arial"/>
                <w:b/>
                <w:spacing w:val="-4"/>
              </w:rPr>
              <w:t xml:space="preserve"> </w:t>
            </w:r>
            <w:r>
              <w:rPr>
                <w:rFonts w:ascii="Arial"/>
                <w:b/>
              </w:rPr>
              <w:t>(4,</w:t>
            </w:r>
            <w:r>
              <w:rPr>
                <w:rFonts w:ascii="Arial"/>
                <w:b/>
                <w:spacing w:val="-4"/>
              </w:rPr>
              <w:t xml:space="preserve"> </w:t>
            </w:r>
            <w:r>
              <w:rPr>
                <w:rFonts w:ascii="Arial"/>
                <w:b/>
              </w:rPr>
              <w:t>5,</w:t>
            </w:r>
            <w:r>
              <w:rPr>
                <w:rFonts w:ascii="Arial"/>
                <w:b/>
                <w:spacing w:val="-4"/>
              </w:rPr>
              <w:t xml:space="preserve"> </w:t>
            </w:r>
            <w:r>
              <w:rPr>
                <w:rFonts w:ascii="Arial"/>
                <w:b/>
              </w:rPr>
              <w:t>6):</w:t>
            </w:r>
          </w:p>
        </w:tc>
        <w:tc>
          <w:tcPr>
            <w:tcW w:w="996" w:type="pct"/>
          </w:tcPr>
          <w:p w14:paraId="6E0B5C28" w14:textId="77777777" w:rsidR="00CD2F08" w:rsidRDefault="005941D9" w:rsidP="00146859">
            <w:pPr>
              <w:pStyle w:val="TableParagraph"/>
              <w:spacing w:before="125"/>
              <w:ind w:left="106"/>
              <w:rPr>
                <w:rFonts w:ascii="Arial"/>
                <w:b/>
              </w:rPr>
            </w:pPr>
            <w:r>
              <w:rPr>
                <w:rFonts w:ascii="Arial"/>
                <w:b/>
                <w:w w:val="99"/>
              </w:rPr>
              <w:t>4</w:t>
            </w:r>
          </w:p>
        </w:tc>
      </w:tr>
      <w:tr w:rsidR="00FD04AF" w14:paraId="5FF664C5" w14:textId="77777777" w:rsidTr="00CD2F08">
        <w:trPr>
          <w:trHeight w:val="1014"/>
        </w:trPr>
        <w:tc>
          <w:tcPr>
            <w:tcW w:w="902" w:type="pct"/>
            <w:shd w:val="clear" w:color="auto" w:fill="D9D9D9"/>
          </w:tcPr>
          <w:p w14:paraId="30A31FBB" w14:textId="77777777" w:rsidR="00CD2F08" w:rsidRDefault="005941D9" w:rsidP="00146859">
            <w:pPr>
              <w:pStyle w:val="TableParagraph"/>
              <w:spacing w:before="124"/>
              <w:ind w:left="107"/>
              <w:rPr>
                <w:rFonts w:ascii="Arial"/>
                <w:b/>
              </w:rPr>
            </w:pPr>
            <w:r>
              <w:rPr>
                <w:rFonts w:ascii="Arial"/>
                <w:b/>
              </w:rPr>
              <w:t>Module</w:t>
            </w:r>
            <w:r>
              <w:rPr>
                <w:rFonts w:ascii="Arial"/>
                <w:b/>
                <w:spacing w:val="-2"/>
              </w:rPr>
              <w:t xml:space="preserve"> </w:t>
            </w:r>
            <w:r>
              <w:rPr>
                <w:rFonts w:ascii="Arial"/>
                <w:b/>
              </w:rPr>
              <w:t>code:</w:t>
            </w:r>
          </w:p>
        </w:tc>
        <w:tc>
          <w:tcPr>
            <w:tcW w:w="1906" w:type="pct"/>
            <w:gridSpan w:val="3"/>
          </w:tcPr>
          <w:p w14:paraId="7D0523E5" w14:textId="77777777" w:rsidR="00CD2F08" w:rsidRDefault="005941D9" w:rsidP="00146859">
            <w:pPr>
              <w:pStyle w:val="TableParagraph"/>
              <w:spacing w:before="124"/>
              <w:ind w:left="106"/>
              <w:rPr>
                <w:rFonts w:ascii="Arial"/>
                <w:b/>
              </w:rPr>
            </w:pPr>
            <w:r>
              <w:rPr>
                <w:rFonts w:ascii="Arial"/>
                <w:b/>
              </w:rPr>
              <w:t>BMIH4002</w:t>
            </w:r>
          </w:p>
        </w:tc>
        <w:tc>
          <w:tcPr>
            <w:tcW w:w="1196" w:type="pct"/>
            <w:shd w:val="clear" w:color="auto" w:fill="D9D9D9"/>
          </w:tcPr>
          <w:p w14:paraId="493EF5A9" w14:textId="77777777" w:rsidR="00CD2F08" w:rsidRDefault="005941D9" w:rsidP="00146859">
            <w:pPr>
              <w:pStyle w:val="TableParagraph"/>
              <w:ind w:left="102" w:right="816"/>
              <w:rPr>
                <w:rFonts w:ascii="Arial"/>
                <w:b/>
              </w:rPr>
            </w:pPr>
            <w:r>
              <w:rPr>
                <w:rFonts w:ascii="Arial"/>
                <w:b/>
              </w:rPr>
              <w:t>Contribution to</w:t>
            </w:r>
            <w:r>
              <w:rPr>
                <w:rFonts w:ascii="Arial"/>
                <w:b/>
                <w:spacing w:val="-59"/>
              </w:rPr>
              <w:t xml:space="preserve"> </w:t>
            </w:r>
            <w:r>
              <w:rPr>
                <w:rFonts w:ascii="Arial"/>
                <w:b/>
              </w:rPr>
              <w:t>Overall</w:t>
            </w:r>
          </w:p>
          <w:p w14:paraId="0F633CC6" w14:textId="77777777" w:rsidR="00CD2F08" w:rsidRDefault="005941D9" w:rsidP="00146859">
            <w:pPr>
              <w:pStyle w:val="TableParagraph"/>
              <w:spacing w:line="252" w:lineRule="exact"/>
              <w:ind w:left="102" w:right="277"/>
              <w:rPr>
                <w:rFonts w:ascii="Arial"/>
                <w:b/>
              </w:rPr>
            </w:pPr>
            <w:r>
              <w:rPr>
                <w:rFonts w:ascii="Arial"/>
                <w:b/>
              </w:rPr>
              <w:t>Module Assessment</w:t>
            </w:r>
            <w:r>
              <w:rPr>
                <w:rFonts w:ascii="Arial"/>
                <w:b/>
                <w:spacing w:val="-59"/>
              </w:rPr>
              <w:t xml:space="preserve"> </w:t>
            </w:r>
            <w:r>
              <w:rPr>
                <w:rFonts w:ascii="Arial"/>
                <w:b/>
              </w:rPr>
              <w:t>(%):</w:t>
            </w:r>
          </w:p>
        </w:tc>
        <w:tc>
          <w:tcPr>
            <w:tcW w:w="996" w:type="pct"/>
          </w:tcPr>
          <w:p w14:paraId="6D1F2C61" w14:textId="77777777" w:rsidR="00CD2F08" w:rsidRDefault="005941D9" w:rsidP="00146859">
            <w:pPr>
              <w:pStyle w:val="TableParagraph"/>
              <w:spacing w:before="124"/>
              <w:ind w:left="106"/>
              <w:rPr>
                <w:rFonts w:ascii="Arial"/>
                <w:b/>
              </w:rPr>
            </w:pPr>
            <w:r>
              <w:rPr>
                <w:rFonts w:ascii="Arial"/>
                <w:b/>
              </w:rPr>
              <w:t>25%</w:t>
            </w:r>
          </w:p>
        </w:tc>
      </w:tr>
      <w:tr w:rsidR="00FD04AF" w14:paraId="68583B5E" w14:textId="77777777" w:rsidTr="00CD2F08">
        <w:trPr>
          <w:trHeight w:val="758"/>
        </w:trPr>
        <w:tc>
          <w:tcPr>
            <w:tcW w:w="902" w:type="pct"/>
            <w:shd w:val="clear" w:color="auto" w:fill="D9D9D9"/>
          </w:tcPr>
          <w:p w14:paraId="0A84CA30" w14:textId="77777777" w:rsidR="00CD2F08" w:rsidRDefault="005941D9" w:rsidP="00146859">
            <w:pPr>
              <w:pStyle w:val="TableParagraph"/>
              <w:spacing w:before="120"/>
              <w:ind w:left="107"/>
              <w:rPr>
                <w:rFonts w:ascii="Arial"/>
                <w:b/>
              </w:rPr>
            </w:pPr>
            <w:r>
              <w:rPr>
                <w:rFonts w:ascii="Arial"/>
                <w:b/>
              </w:rPr>
              <w:t>Lecturers:</w:t>
            </w:r>
          </w:p>
        </w:tc>
        <w:tc>
          <w:tcPr>
            <w:tcW w:w="768" w:type="pct"/>
            <w:tcBorders>
              <w:right w:val="nil"/>
            </w:tcBorders>
          </w:tcPr>
          <w:p w14:paraId="66AEF04A" w14:textId="0EB451E4" w:rsidR="00CD2F08" w:rsidRPr="008F5347" w:rsidRDefault="00CD2F08" w:rsidP="008F5347">
            <w:pPr>
              <w:pStyle w:val="TableParagraph"/>
              <w:ind w:right="17"/>
              <w:rPr>
                <w:rFonts w:ascii="Arial" w:hAnsi="Arial" w:cs="Arial"/>
                <w:b/>
                <w:bCs/>
              </w:rPr>
            </w:pPr>
          </w:p>
        </w:tc>
        <w:tc>
          <w:tcPr>
            <w:tcW w:w="696" w:type="pct"/>
            <w:tcBorders>
              <w:left w:val="nil"/>
              <w:right w:val="nil"/>
            </w:tcBorders>
          </w:tcPr>
          <w:p w14:paraId="5AD95EC7" w14:textId="30C76C5E" w:rsidR="00CD2F08" w:rsidRDefault="008F5347" w:rsidP="008F5347">
            <w:pPr>
              <w:pStyle w:val="TableParagraph"/>
              <w:spacing w:line="249" w:lineRule="exact"/>
              <w:rPr>
                <w:rFonts w:ascii="Arial"/>
                <w:b/>
              </w:rPr>
            </w:pPr>
            <w:proofErr w:type="spellStart"/>
            <w:r>
              <w:rPr>
                <w:rFonts w:ascii="Arial"/>
                <w:b/>
              </w:rPr>
              <w:t>Jaliya</w:t>
            </w:r>
            <w:proofErr w:type="spellEnd"/>
            <w:r>
              <w:rPr>
                <w:rFonts w:ascii="Arial"/>
                <w:b/>
              </w:rPr>
              <w:t xml:space="preserve"> De Silva</w:t>
            </w:r>
          </w:p>
        </w:tc>
        <w:tc>
          <w:tcPr>
            <w:tcW w:w="442" w:type="pct"/>
            <w:tcBorders>
              <w:left w:val="nil"/>
            </w:tcBorders>
          </w:tcPr>
          <w:p w14:paraId="6015DFD8" w14:textId="1159223C" w:rsidR="00CD2F08" w:rsidRDefault="00CD2F08" w:rsidP="008F5347">
            <w:pPr>
              <w:pStyle w:val="TableParagraph"/>
              <w:ind w:right="80"/>
              <w:rPr>
                <w:rFonts w:ascii="Arial"/>
                <w:b/>
              </w:rPr>
            </w:pPr>
          </w:p>
        </w:tc>
        <w:tc>
          <w:tcPr>
            <w:tcW w:w="1196" w:type="pct"/>
            <w:shd w:val="clear" w:color="auto" w:fill="D9D9D9"/>
          </w:tcPr>
          <w:p w14:paraId="42393C5B" w14:textId="77777777" w:rsidR="00CD2F08" w:rsidRDefault="005941D9" w:rsidP="00146859">
            <w:pPr>
              <w:pStyle w:val="TableParagraph"/>
              <w:spacing w:before="120"/>
              <w:ind w:left="102"/>
              <w:rPr>
                <w:rFonts w:ascii="Arial"/>
                <w:b/>
              </w:rPr>
            </w:pPr>
            <w:r>
              <w:rPr>
                <w:rFonts w:ascii="Arial"/>
                <w:b/>
              </w:rPr>
              <w:t>Internal</w:t>
            </w:r>
            <w:r>
              <w:rPr>
                <w:rFonts w:ascii="Arial"/>
                <w:b/>
                <w:spacing w:val="-7"/>
              </w:rPr>
              <w:t xml:space="preserve"> </w:t>
            </w:r>
            <w:r>
              <w:rPr>
                <w:rFonts w:ascii="Arial"/>
                <w:b/>
              </w:rPr>
              <w:t>Verifier:</w:t>
            </w:r>
          </w:p>
        </w:tc>
        <w:tc>
          <w:tcPr>
            <w:tcW w:w="996" w:type="pct"/>
          </w:tcPr>
          <w:p w14:paraId="28CD5590" w14:textId="279402EE" w:rsidR="00CD2F08" w:rsidRPr="008F5347" w:rsidRDefault="008F5347" w:rsidP="00146859">
            <w:pPr>
              <w:pStyle w:val="TableParagraph"/>
              <w:spacing w:before="120"/>
              <w:ind w:left="106"/>
              <w:rPr>
                <w:rFonts w:ascii="Arial" w:hAnsi="Arial" w:cs="Arial"/>
                <w:b/>
                <w:bCs/>
              </w:rPr>
            </w:pPr>
            <w:r w:rsidRPr="008F5347">
              <w:rPr>
                <w:rFonts w:ascii="Arial" w:hAnsi="Arial" w:cs="Arial"/>
                <w:b/>
                <w:bCs/>
              </w:rPr>
              <w:t>Charlotte Joyner</w:t>
            </w:r>
          </w:p>
        </w:tc>
      </w:tr>
      <w:tr w:rsidR="00FD04AF" w14:paraId="629F4A47" w14:textId="77777777" w:rsidTr="00CD2F08">
        <w:trPr>
          <w:trHeight w:val="822"/>
        </w:trPr>
        <w:tc>
          <w:tcPr>
            <w:tcW w:w="902" w:type="pct"/>
            <w:shd w:val="clear" w:color="auto" w:fill="D9D9D9"/>
          </w:tcPr>
          <w:p w14:paraId="1BEA7EFC" w14:textId="77777777" w:rsidR="00CD2F08" w:rsidRDefault="005941D9" w:rsidP="00146859">
            <w:pPr>
              <w:pStyle w:val="TableParagraph"/>
              <w:spacing w:before="120" w:line="276" w:lineRule="auto"/>
              <w:ind w:left="107" w:right="516"/>
              <w:rPr>
                <w:rFonts w:ascii="Arial"/>
                <w:b/>
              </w:rPr>
            </w:pPr>
            <w:r>
              <w:rPr>
                <w:rFonts w:ascii="Arial"/>
                <w:b/>
              </w:rPr>
              <w:t>Assignment</w:t>
            </w:r>
            <w:r>
              <w:rPr>
                <w:rFonts w:ascii="Arial"/>
                <w:b/>
                <w:spacing w:val="-59"/>
              </w:rPr>
              <w:t xml:space="preserve"> </w:t>
            </w:r>
            <w:r>
              <w:rPr>
                <w:rFonts w:ascii="Arial"/>
                <w:b/>
              </w:rPr>
              <w:t>Title:</w:t>
            </w:r>
          </w:p>
        </w:tc>
        <w:tc>
          <w:tcPr>
            <w:tcW w:w="1906" w:type="pct"/>
            <w:gridSpan w:val="3"/>
          </w:tcPr>
          <w:p w14:paraId="0E164A5D" w14:textId="77777777" w:rsidR="00CD2F08" w:rsidRDefault="005941D9" w:rsidP="00146859">
            <w:pPr>
              <w:pStyle w:val="TableParagraph"/>
              <w:spacing w:line="249" w:lineRule="exact"/>
              <w:ind w:left="106"/>
              <w:rPr>
                <w:rFonts w:ascii="Arial"/>
                <w:b/>
                <w:i/>
              </w:rPr>
            </w:pPr>
            <w:r>
              <w:rPr>
                <w:rFonts w:ascii="Arial"/>
                <w:b/>
                <w:i/>
              </w:rPr>
              <w:t>Student</w:t>
            </w:r>
            <w:r>
              <w:rPr>
                <w:rFonts w:ascii="Arial"/>
                <w:b/>
                <w:i/>
                <w:spacing w:val="-4"/>
              </w:rPr>
              <w:t xml:space="preserve"> </w:t>
            </w:r>
            <w:r>
              <w:rPr>
                <w:rFonts w:ascii="Arial"/>
                <w:b/>
                <w:i/>
              </w:rPr>
              <w:t>Journal</w:t>
            </w:r>
            <w:r>
              <w:rPr>
                <w:rFonts w:ascii="Arial"/>
                <w:b/>
                <w:i/>
                <w:spacing w:val="-4"/>
              </w:rPr>
              <w:t xml:space="preserve"> </w:t>
            </w:r>
            <w:r>
              <w:rPr>
                <w:rFonts w:ascii="Arial"/>
                <w:b/>
                <w:i/>
              </w:rPr>
              <w:t>(Learning</w:t>
            </w:r>
            <w:r>
              <w:rPr>
                <w:rFonts w:ascii="Arial"/>
                <w:b/>
                <w:i/>
                <w:spacing w:val="-1"/>
              </w:rPr>
              <w:t xml:space="preserve"> </w:t>
            </w:r>
            <w:r>
              <w:rPr>
                <w:rFonts w:ascii="Arial"/>
                <w:b/>
                <w:i/>
              </w:rPr>
              <w:t>Log)</w:t>
            </w:r>
          </w:p>
          <w:p w14:paraId="082F89D6" w14:textId="77777777" w:rsidR="00CD2F08" w:rsidRDefault="005941D9" w:rsidP="00146859">
            <w:pPr>
              <w:pStyle w:val="TableParagraph"/>
              <w:spacing w:before="5"/>
              <w:ind w:left="106"/>
              <w:rPr>
                <w:sz w:val="20"/>
              </w:rPr>
            </w:pPr>
            <w:r>
              <w:rPr>
                <w:sz w:val="20"/>
              </w:rPr>
              <w:t>750</w:t>
            </w:r>
            <w:r>
              <w:rPr>
                <w:spacing w:val="-1"/>
                <w:sz w:val="20"/>
              </w:rPr>
              <w:t xml:space="preserve"> </w:t>
            </w:r>
            <w:r>
              <w:rPr>
                <w:sz w:val="20"/>
              </w:rPr>
              <w:t>words</w:t>
            </w:r>
            <w:r>
              <w:rPr>
                <w:spacing w:val="-5"/>
                <w:sz w:val="20"/>
              </w:rPr>
              <w:t xml:space="preserve"> </w:t>
            </w:r>
            <w:r>
              <w:rPr>
                <w:sz w:val="20"/>
              </w:rPr>
              <w:t>(+/-</w:t>
            </w:r>
            <w:r>
              <w:rPr>
                <w:spacing w:val="1"/>
                <w:sz w:val="20"/>
              </w:rPr>
              <w:t xml:space="preserve"> </w:t>
            </w:r>
            <w:r>
              <w:rPr>
                <w:sz w:val="20"/>
              </w:rPr>
              <w:t>10%)</w:t>
            </w:r>
          </w:p>
        </w:tc>
        <w:tc>
          <w:tcPr>
            <w:tcW w:w="1196" w:type="pct"/>
            <w:shd w:val="clear" w:color="auto" w:fill="D9D9D9"/>
          </w:tcPr>
          <w:p w14:paraId="22C78520" w14:textId="77777777" w:rsidR="00CD2F08" w:rsidRDefault="005941D9" w:rsidP="00146859">
            <w:pPr>
              <w:pStyle w:val="TableParagraph"/>
              <w:spacing w:before="120"/>
              <w:ind w:left="102"/>
              <w:rPr>
                <w:rFonts w:ascii="Arial"/>
                <w:b/>
              </w:rPr>
            </w:pPr>
            <w:r>
              <w:rPr>
                <w:rFonts w:ascii="Arial"/>
                <w:b/>
              </w:rPr>
              <w:t>Assignment</w:t>
            </w:r>
            <w:r>
              <w:rPr>
                <w:rFonts w:ascii="Arial"/>
                <w:b/>
                <w:spacing w:val="-4"/>
              </w:rPr>
              <w:t xml:space="preserve"> </w:t>
            </w:r>
            <w:r>
              <w:rPr>
                <w:rFonts w:ascii="Arial"/>
                <w:b/>
              </w:rPr>
              <w:t>No:</w:t>
            </w:r>
          </w:p>
        </w:tc>
        <w:tc>
          <w:tcPr>
            <w:tcW w:w="996" w:type="pct"/>
          </w:tcPr>
          <w:p w14:paraId="5B4AE0CF" w14:textId="77777777" w:rsidR="00CD2F08" w:rsidRDefault="005941D9" w:rsidP="00146859">
            <w:pPr>
              <w:pStyle w:val="TableParagraph"/>
              <w:spacing w:before="120"/>
              <w:ind w:left="106"/>
              <w:rPr>
                <w:rFonts w:ascii="Arial"/>
                <w:b/>
              </w:rPr>
            </w:pPr>
            <w:r>
              <w:rPr>
                <w:rFonts w:ascii="Arial"/>
                <w:b/>
              </w:rPr>
              <w:t>1 of</w:t>
            </w:r>
            <w:r>
              <w:rPr>
                <w:rFonts w:ascii="Arial"/>
                <w:b/>
                <w:spacing w:val="-3"/>
              </w:rPr>
              <w:t xml:space="preserve"> </w:t>
            </w:r>
            <w:r>
              <w:rPr>
                <w:rFonts w:ascii="Arial"/>
                <w:b/>
              </w:rPr>
              <w:t>3</w:t>
            </w:r>
          </w:p>
        </w:tc>
      </w:tr>
    </w:tbl>
    <w:p w14:paraId="32020531" w14:textId="77777777" w:rsidR="00CD2F08" w:rsidRDefault="005941D9">
      <w:pPr>
        <w:spacing w:line="259" w:lineRule="auto"/>
        <w:jc w:val="left"/>
      </w:pPr>
      <w:r>
        <w:br w:type="page"/>
      </w:r>
    </w:p>
    <w:p w14:paraId="295998BF" w14:textId="3DD64701" w:rsidR="006E56B3" w:rsidRDefault="005941D9">
      <w:r w:rsidRPr="006E56B3">
        <w:lastRenderedPageBreak/>
        <w:t xml:space="preserve">The term food service skills refer to a broad variety of </w:t>
      </w:r>
      <w:r w:rsidRPr="006E56B3">
        <w:t>competencies, including those relating to preparing food, providing service to visitors, and managing restaurants. Skills in providing food service are required for a variety of jobs, including those in the kitchen, behind the bar, and in front of customer</w:t>
      </w:r>
      <w:r w:rsidRPr="006E56B3">
        <w:t>s. To be successful in the food service sector, personnel need to have particular expertise in restaurants and the production of food</w:t>
      </w:r>
      <w:r w:rsidR="00674310">
        <w:t xml:space="preserve"> (Han and Hyun, 2019)</w:t>
      </w:r>
      <w:r w:rsidRPr="006E56B3">
        <w:t xml:space="preserve">. To fulfil their responsibilities in a dining establishment or corporate kitchen, people who are </w:t>
      </w:r>
      <w:r w:rsidRPr="006E56B3">
        <w:t>involved with the food industry must possess a diverse set of abilities. They are required to collaborate with the remainder of the staff of the Department of food service to provide customers with a pleasant eating experience.</w:t>
      </w:r>
    </w:p>
    <w:p w14:paraId="1739F595" w14:textId="5AF1941C" w:rsidR="006E56B3" w:rsidRDefault="005941D9">
      <w:r>
        <w:t>The very first thing that wa</w:t>
      </w:r>
      <w:r>
        <w:t>s learned and discussed during the lectures was t</w:t>
      </w:r>
      <w:r w:rsidRPr="006E56B3">
        <w:t>he satisfaction of the guest is the primary focus of food service. The creation of a warm and inviting environment for visitors is the collective responsibility of the host, the chefs, and the servers. In th</w:t>
      </w:r>
      <w:r w:rsidRPr="006E56B3">
        <w:t>e hospitality sector</w:t>
      </w:r>
      <w:r>
        <w:t>, we found that</w:t>
      </w:r>
      <w:r w:rsidRPr="006E56B3">
        <w:t>, one of the most important skills to have been the ability to keep customers pleased via excellent meal preparation, service at the table, and overall restaurant satisfaction</w:t>
      </w:r>
      <w:r w:rsidR="00674310">
        <w:t xml:space="preserve"> </w:t>
      </w:r>
      <w:r w:rsidR="00674310" w:rsidRPr="00807F78">
        <w:t>(Yoo and Park, 2018)</w:t>
      </w:r>
      <w:r w:rsidRPr="006E56B3">
        <w:t>. Strong communication sk</w:t>
      </w:r>
      <w:r w:rsidRPr="006E56B3">
        <w:t>ills are essential for those who work in the food service industry, both for interacting with fellow employees and with clients. Servers have a responsibility to communicate with those working in the cooking area about their guests</w:t>
      </w:r>
      <w:r w:rsidR="00674310">
        <w:t xml:space="preserve"> </w:t>
      </w:r>
      <w:r w:rsidR="00674310" w:rsidRPr="00807F78">
        <w:t>(Wong and Shum, 2022</w:t>
      </w:r>
      <w:r w:rsidR="00674310">
        <w:t>)</w:t>
      </w:r>
      <w:r w:rsidRPr="006E56B3">
        <w:t>. E</w:t>
      </w:r>
      <w:r w:rsidRPr="006E56B3">
        <w:t>veryone involved in the cooking area must have open lines of communication with one another to guarantee that the food is appropriately prepared.</w:t>
      </w:r>
    </w:p>
    <w:p w14:paraId="05D5D311" w14:textId="5FCAB9AF" w:rsidR="00F44633" w:rsidRDefault="005941D9">
      <w:r w:rsidRPr="00A325E4">
        <w:t>To provide customers with a memorable dining experience, businesses in the food service sector need teams of p</w:t>
      </w:r>
      <w:r w:rsidRPr="00A325E4">
        <w:t>ersonnel to collaborate closely.</w:t>
      </w:r>
      <w:r w:rsidR="00CD04A6">
        <w:t xml:space="preserve"> We discussed during the class that,</w:t>
      </w:r>
      <w:r w:rsidRPr="00A325E4">
        <w:t xml:space="preserve"> </w:t>
      </w:r>
      <w:r w:rsidR="00CD04A6">
        <w:t>i</w:t>
      </w:r>
      <w:r w:rsidRPr="00A325E4">
        <w:t>n a venue that provides food services, servers, chefs, and hosts all rely on each other for the successful completion of what they do and have to be capable to face difficulties as a coh</w:t>
      </w:r>
      <w:r w:rsidRPr="00A325E4">
        <w:t>esive unit to accomplish common objectives. There is often a wide range of competence among employees in restaurants</w:t>
      </w:r>
      <w:r w:rsidR="00674310">
        <w:t xml:space="preserve"> (Lee and Hong, 2018)</w:t>
      </w:r>
      <w:r w:rsidRPr="00A325E4">
        <w:t>.</w:t>
      </w:r>
      <w:r w:rsidR="00CD04A6">
        <w:t xml:space="preserve"> In that regard, we argued and reached that,</w:t>
      </w:r>
      <w:r w:rsidRPr="00A325E4">
        <w:t xml:space="preserve"> </w:t>
      </w:r>
      <w:r w:rsidR="00CD04A6">
        <w:t>s</w:t>
      </w:r>
      <w:r w:rsidRPr="00A325E4">
        <w:t>ome employees may be highly talented and knowledgeable, whereas others m</w:t>
      </w:r>
      <w:r w:rsidRPr="00A325E4">
        <w:t>ight be inexperienced in the sector or possess a lesser amount of expertise. This is true of every profession; certain employees may have more experience than others.</w:t>
      </w:r>
    </w:p>
    <w:p w14:paraId="1D3CA2BE" w14:textId="22EDF8DC" w:rsidR="003A6853" w:rsidRDefault="005941D9">
      <w:r>
        <w:lastRenderedPageBreak/>
        <w:t>While in the classroom we discussed the common skills and competencies that are essential</w:t>
      </w:r>
      <w:r>
        <w:t xml:space="preserve"> for working in the food and beverage sector, lastly we discussed adaptability, or the ability to adjust to the changes. Another factor that we also discussed</w:t>
      </w:r>
      <w:r w:rsidR="0062321D">
        <w:t xml:space="preserve"> was that there are different types of restaurants and dining places. The common types of restaurants are casual dining restaurants, fast food restaurants, fine dining restaurants, buffet restaurants, coffee and bistro and a few other types</w:t>
      </w:r>
      <w:r w:rsidR="00674310">
        <w:t xml:space="preserve"> (Fong and Chien, 2018)</w:t>
      </w:r>
      <w:r w:rsidR="0062321D">
        <w:t xml:space="preserve">. Now, since each type of restaurant has its distinct specialisation, and the purpose of service is different the strategies adopted will also be different for each of the restaurants. While, since the purpose of the service is different among the restaurants, the skills required among the employees to work in these settings will also be different which we discussed in class. Though some of us argued in this regard that, regardless of what is the purpose, the most common fact is to serve the customers at their maximum satisfaction. This is true, but this is also a valid fact that the same visitor visiting a fine dining restaurant and a </w:t>
      </w:r>
      <w:r w:rsidR="00674310">
        <w:t>fast-food</w:t>
      </w:r>
      <w:r w:rsidR="0062321D">
        <w:t xml:space="preserve"> restaurant is not expecting the same type of services</w:t>
      </w:r>
      <w:r w:rsidR="00674310">
        <w:t xml:space="preserve"> </w:t>
      </w:r>
      <w:r w:rsidR="00674310" w:rsidRPr="00807F78">
        <w:t>(Kim and Kim, 2021)</w:t>
      </w:r>
      <w:r w:rsidR="0062321D">
        <w:t>. Thus, the employees at these two places must possess different types of skills. For instance, while fine dining restaurant</w:t>
      </w:r>
      <w:r w:rsidR="007A4EB7">
        <w:t xml:space="preserve">s are expected to be serving high-quality meals, and excellent-quality services, employees require full knowledge of the menu. On the contrary, the </w:t>
      </w:r>
      <w:r w:rsidR="00C314A2">
        <w:t>fast-food</w:t>
      </w:r>
      <w:r w:rsidR="007A4EB7">
        <w:t xml:space="preserve"> places employees usually need to be fast and efficient in their service, the manager must be skilled to process orders fasters, and the chefs will have very minimum time to prepare the items. Thus, finally, we concluded our discussion that, there is a common set of skills and competencies</w:t>
      </w:r>
      <w:r w:rsidR="00316A43">
        <w:t xml:space="preserve"> among the employees working in the food and beverage sector. But depending on the types and purposes of the restaurants and food places, the required and appropriate skill sets for the employees change to run the operations effectively. </w:t>
      </w:r>
    </w:p>
    <w:p w14:paraId="464DECB7" w14:textId="0B4C45C4" w:rsidR="00CB06F2" w:rsidRDefault="005941D9">
      <w:pPr>
        <w:spacing w:line="259" w:lineRule="auto"/>
        <w:jc w:val="left"/>
      </w:pPr>
      <w:r>
        <w:br w:type="page"/>
      </w:r>
    </w:p>
    <w:p w14:paraId="081D1B11" w14:textId="6E8FBE03" w:rsidR="00252D00" w:rsidRDefault="005941D9" w:rsidP="00CB06F2">
      <w:pPr>
        <w:pStyle w:val="Heading1"/>
      </w:pPr>
      <w:r>
        <w:lastRenderedPageBreak/>
        <w:t>References</w:t>
      </w:r>
    </w:p>
    <w:p w14:paraId="645AD40E" w14:textId="77777777" w:rsidR="003170F8" w:rsidRDefault="005941D9" w:rsidP="00CB06F2">
      <w:r>
        <w:t xml:space="preserve">Fong, L. H., and Chien, T. H. (2018). A review of online restaurant reviews: </w:t>
      </w:r>
      <w:r>
        <w:t xml:space="preserve">Implications for social media adoption in the restaurant industry. </w:t>
      </w:r>
      <w:r w:rsidRPr="00CB06F2">
        <w:rPr>
          <w:i/>
          <w:iCs/>
        </w:rPr>
        <w:t xml:space="preserve">Journal of Hospitality Marketing </w:t>
      </w:r>
      <w:r>
        <w:rPr>
          <w:i/>
          <w:iCs/>
        </w:rPr>
        <w:t>and</w:t>
      </w:r>
      <w:r w:rsidRPr="00CB06F2">
        <w:rPr>
          <w:i/>
          <w:iCs/>
        </w:rPr>
        <w:t xml:space="preserve"> Management</w:t>
      </w:r>
      <w:r>
        <w:t>, 27(2), pp. 188-208.</w:t>
      </w:r>
    </w:p>
    <w:p w14:paraId="0B8600F8" w14:textId="77777777" w:rsidR="003170F8" w:rsidRDefault="005941D9" w:rsidP="00CB06F2">
      <w:r>
        <w:t>Han, H., and</w:t>
      </w:r>
      <w:r>
        <w:t xml:space="preserve"> Hyun, S. S. (2019). Impact of food safety awareness on restaurant customer satisfaction. </w:t>
      </w:r>
      <w:r w:rsidRPr="00CB06F2">
        <w:rPr>
          <w:i/>
          <w:iCs/>
        </w:rPr>
        <w:t>Journal of Foodservice Business Research</w:t>
      </w:r>
      <w:r>
        <w:t>, 22(4), pp. 392-408.</w:t>
      </w:r>
    </w:p>
    <w:p w14:paraId="2EDFE271" w14:textId="77777777" w:rsidR="003170F8" w:rsidRDefault="005941D9" w:rsidP="00CB06F2">
      <w:r>
        <w:t xml:space="preserve">Kim, H. K., and Kim, Y. G. (2021). The effects of brand personality on restaurant customer satisfaction </w:t>
      </w:r>
      <w:r>
        <w:t>and loyalty: Focusing on customers' restaurant choice motivation</w:t>
      </w:r>
      <w:r w:rsidRPr="00CB06F2">
        <w:rPr>
          <w:i/>
          <w:iCs/>
        </w:rPr>
        <w:t xml:space="preserve">. Journal of Travel </w:t>
      </w:r>
      <w:r>
        <w:rPr>
          <w:i/>
          <w:iCs/>
        </w:rPr>
        <w:t>and</w:t>
      </w:r>
      <w:r w:rsidRPr="00CB06F2">
        <w:rPr>
          <w:i/>
          <w:iCs/>
        </w:rPr>
        <w:t xml:space="preserve"> Tourism Marketing</w:t>
      </w:r>
      <w:r>
        <w:t>, 38(2), pp. 232-244.</w:t>
      </w:r>
    </w:p>
    <w:p w14:paraId="5DFED34E" w14:textId="77777777" w:rsidR="003170F8" w:rsidRDefault="005941D9" w:rsidP="00CB06F2">
      <w:r>
        <w:t>Lee, J. S., and Hong, I. B. (2018). Factors affecting customers' willingness to return to independent restaurants: Focusing on th</w:t>
      </w:r>
      <w:r>
        <w:t xml:space="preserve">e mediating role of customer satisfaction. </w:t>
      </w:r>
      <w:r w:rsidRPr="00CB06F2">
        <w:rPr>
          <w:i/>
          <w:iCs/>
        </w:rPr>
        <w:t xml:space="preserve">Journal of Hospitality </w:t>
      </w:r>
      <w:r>
        <w:rPr>
          <w:i/>
          <w:iCs/>
        </w:rPr>
        <w:t>and</w:t>
      </w:r>
      <w:r w:rsidRPr="00CB06F2">
        <w:rPr>
          <w:i/>
          <w:iCs/>
        </w:rPr>
        <w:t xml:space="preserve"> Tourism Research</w:t>
      </w:r>
      <w:r>
        <w:t>, 42(1), pp. 60-76.</w:t>
      </w:r>
    </w:p>
    <w:p w14:paraId="13FD3167" w14:textId="77777777" w:rsidR="003170F8" w:rsidRDefault="005941D9" w:rsidP="00CB06F2">
      <w:r>
        <w:t xml:space="preserve">Wong, K. K., and Shum, M. (2022). Factors influencing customer satisfaction in the restaurant industry. </w:t>
      </w:r>
      <w:r w:rsidRPr="00CB06F2">
        <w:rPr>
          <w:i/>
          <w:iCs/>
        </w:rPr>
        <w:t>Hospitality Management</w:t>
      </w:r>
      <w:r>
        <w:t>, 98, pp. 102999.</w:t>
      </w:r>
    </w:p>
    <w:p w14:paraId="735CFCA1" w14:textId="77777777" w:rsidR="003170F8" w:rsidRPr="00CB06F2" w:rsidRDefault="005941D9" w:rsidP="00CB06F2">
      <w:r>
        <w:t>Yoo</w:t>
      </w:r>
      <w:r>
        <w:t xml:space="preserve">, J. J., and Park, J. H. (2018). Influence of restaurant atmosphere on customer satisfaction and behavioral intentions: Focusing on family restaurants. </w:t>
      </w:r>
      <w:r w:rsidRPr="00CB06F2">
        <w:rPr>
          <w:i/>
          <w:iCs/>
        </w:rPr>
        <w:t>Journal of Foodservice Business Research</w:t>
      </w:r>
      <w:r>
        <w:t>, 21(5), pp. 485-500.</w:t>
      </w:r>
    </w:p>
    <w:sectPr w:rsidR="003170F8" w:rsidRPr="00CB06F2" w:rsidSect="003C3C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4B9"/>
    <w:rsid w:val="00146859"/>
    <w:rsid w:val="00225B88"/>
    <w:rsid w:val="00252D00"/>
    <w:rsid w:val="00301B77"/>
    <w:rsid w:val="00316A43"/>
    <w:rsid w:val="003170F8"/>
    <w:rsid w:val="003621EE"/>
    <w:rsid w:val="003A6853"/>
    <w:rsid w:val="003C3CF4"/>
    <w:rsid w:val="00412C51"/>
    <w:rsid w:val="00447079"/>
    <w:rsid w:val="004B1711"/>
    <w:rsid w:val="004F6ABD"/>
    <w:rsid w:val="005024D2"/>
    <w:rsid w:val="00511860"/>
    <w:rsid w:val="0052555F"/>
    <w:rsid w:val="005941D9"/>
    <w:rsid w:val="0062321D"/>
    <w:rsid w:val="006374B9"/>
    <w:rsid w:val="00674310"/>
    <w:rsid w:val="006E56B3"/>
    <w:rsid w:val="00757274"/>
    <w:rsid w:val="007A4EB7"/>
    <w:rsid w:val="007B113B"/>
    <w:rsid w:val="007F36ED"/>
    <w:rsid w:val="00807F78"/>
    <w:rsid w:val="00824AF4"/>
    <w:rsid w:val="00873584"/>
    <w:rsid w:val="008F5347"/>
    <w:rsid w:val="00936D99"/>
    <w:rsid w:val="009C05C0"/>
    <w:rsid w:val="00A325E4"/>
    <w:rsid w:val="00A74C64"/>
    <w:rsid w:val="00AE02FF"/>
    <w:rsid w:val="00B659D0"/>
    <w:rsid w:val="00C05745"/>
    <w:rsid w:val="00C12B34"/>
    <w:rsid w:val="00C314A2"/>
    <w:rsid w:val="00CA3BDE"/>
    <w:rsid w:val="00CB06F2"/>
    <w:rsid w:val="00CD04A6"/>
    <w:rsid w:val="00CD2F08"/>
    <w:rsid w:val="00D26D5E"/>
    <w:rsid w:val="00D401A8"/>
    <w:rsid w:val="00DB0831"/>
    <w:rsid w:val="00E1217C"/>
    <w:rsid w:val="00F26407"/>
    <w:rsid w:val="00F44633"/>
    <w:rsid w:val="00FD04A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B52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407"/>
    <w:pPr>
      <w:spacing w:line="360" w:lineRule="auto"/>
      <w:jc w:val="both"/>
    </w:pPr>
    <w:rPr>
      <w:rFonts w:ascii="Calibri" w:hAnsi="Calibri"/>
      <w:sz w:val="24"/>
    </w:rPr>
  </w:style>
  <w:style w:type="paragraph" w:styleId="Heading1">
    <w:name w:val="heading 1"/>
    <w:basedOn w:val="Normal"/>
    <w:next w:val="Normal"/>
    <w:link w:val="Heading1Char"/>
    <w:uiPriority w:val="9"/>
    <w:qFormat/>
    <w:rsid w:val="00936D9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936D9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255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36D99"/>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936D9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52555F"/>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873584"/>
    <w:pPr>
      <w:spacing w:after="200" w:line="240" w:lineRule="auto"/>
      <w:jc w:val="center"/>
    </w:pPr>
    <w:rPr>
      <w:b/>
      <w:iCs/>
      <w:sz w:val="18"/>
      <w:szCs w:val="18"/>
      <w:lang w:val="en-US"/>
    </w:rPr>
  </w:style>
  <w:style w:type="paragraph" w:customStyle="1" w:styleId="TableParagraph">
    <w:name w:val="Table Paragraph"/>
    <w:basedOn w:val="Normal"/>
    <w:uiPriority w:val="1"/>
    <w:qFormat/>
    <w:rsid w:val="00CD2F08"/>
    <w:pPr>
      <w:widowControl w:val="0"/>
      <w:autoSpaceDE w:val="0"/>
      <w:autoSpaceDN w:val="0"/>
      <w:spacing w:after="0" w:line="240" w:lineRule="auto"/>
      <w:jc w:val="left"/>
    </w:pPr>
    <w:rPr>
      <w:rFonts w:ascii="Arial MT" w:eastAsia="Arial MT" w:hAnsi="Arial MT" w:cs="Arial MT"/>
      <w:kern w:val="0"/>
      <w:sz w:val="22"/>
      <w:lang w:val="en-US"/>
    </w:rPr>
  </w:style>
  <w:style w:type="paragraph" w:styleId="Header">
    <w:name w:val="header"/>
    <w:basedOn w:val="Normal"/>
    <w:link w:val="HeaderChar"/>
    <w:uiPriority w:val="99"/>
    <w:unhideWhenUsed/>
    <w:rsid w:val="007F3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6ED"/>
    <w:rPr>
      <w:rFonts w:ascii="Calibri" w:hAnsi="Calibri"/>
      <w:sz w:val="24"/>
    </w:rPr>
  </w:style>
  <w:style w:type="paragraph" w:styleId="Footer">
    <w:name w:val="footer"/>
    <w:basedOn w:val="Normal"/>
    <w:link w:val="FooterChar"/>
    <w:uiPriority w:val="99"/>
    <w:unhideWhenUsed/>
    <w:rsid w:val="007F3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6ED"/>
    <w:rPr>
      <w:rFonts w:ascii="Calibri" w:hAnsi="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925</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2023-05-04T22:33:00Z</dcterms:created>
  <dcterms:modified xsi:type="dcterms:W3CDTF">2023-05-17T22:10:00Z</dcterms:modified>
</cp:coreProperties>
</file>