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908F3" w14:textId="7387FBC4" w:rsidR="005F2AF7" w:rsidRDefault="00D5194E" w:rsidP="00D5194E">
      <w:pPr>
        <w:spacing w:line="360" w:lineRule="auto"/>
      </w:pPr>
      <w:r>
        <w:t>Written Assignment</w:t>
      </w:r>
      <w:r w:rsidR="00D42E39">
        <w:t>: Communication, Administration and collaborative practice in the care of Mr Ahmed.</w:t>
      </w:r>
    </w:p>
    <w:p w14:paraId="218E8A76" w14:textId="560B7CFC" w:rsidR="00D42E39" w:rsidRDefault="00D42E39" w:rsidP="00D5194E">
      <w:pPr>
        <w:spacing w:line="360" w:lineRule="auto"/>
      </w:pPr>
      <w:r>
        <w:t xml:space="preserve">Effective practice in health and social care is contingent upon the integration of clear communication, collaborative multidisciplinary working, and robust administrative systems. </w:t>
      </w:r>
    </w:p>
    <w:p w14:paraId="6D83122D" w14:textId="77777777" w:rsidR="00BE29B6" w:rsidRDefault="00BA422B" w:rsidP="00D5194E">
      <w:pPr>
        <w:spacing w:line="360" w:lineRule="auto"/>
      </w:pPr>
      <w:r>
        <w:t xml:space="preserve">These components are particularly important in complex cases such as Mr Ahmed, as a 68-year-old stroke patient with ongoing communication and physical needs, supported by a multitude of professionals across care settings. Mr Ahmed’s reliance on domiciliary care and language barriers further complicates his situation. A recent incident involving a missed visit that resulted in delayed medication administration also contributes to </w:t>
      </w:r>
      <w:r w:rsidR="00BE29B6">
        <w:t xml:space="preserve">his situation.  </w:t>
      </w:r>
    </w:p>
    <w:p w14:paraId="59C7680B" w14:textId="17349EF3" w:rsidR="00D5194E" w:rsidRDefault="00BE29B6" w:rsidP="00D5194E">
      <w:pPr>
        <w:spacing w:line="360" w:lineRule="auto"/>
      </w:pPr>
      <w:r>
        <w:t>This report critically examines three critical areas relevant to Mr Ahmed’s care. Not only does it examine the importance of functional communication, drawing on the Equality Act 2010 and transactional model of communication. Secondly, it assesses the role of administrative competence</w:t>
      </w:r>
      <w:r w:rsidR="00FA0D03">
        <w:t>, particularly in relation to record keeping and compliance with the Data Protection Act 2018.</w:t>
      </w:r>
    </w:p>
    <w:p w14:paraId="3B47DDA3" w14:textId="01D9A86C" w:rsidR="00FA0D03" w:rsidRDefault="00FA0D03" w:rsidP="00D5194E">
      <w:pPr>
        <w:spacing w:line="360" w:lineRule="auto"/>
      </w:pPr>
      <w:r>
        <w:t>Lastly, it explores collaborative working within multidisciplinary teams, identifying both challenges and benefits. The analysis integrates policy frameworks, legislation and academic literature to support cri</w:t>
      </w:r>
      <w:r w:rsidR="006C3E04">
        <w:t xml:space="preserve">tical evaluation and evidence-based conclusions. </w:t>
      </w:r>
    </w:p>
    <w:p w14:paraId="25BC3E52" w14:textId="7A0E76A3" w:rsidR="006C3E04" w:rsidRDefault="006C3E04" w:rsidP="00D5194E">
      <w:pPr>
        <w:spacing w:line="360" w:lineRule="auto"/>
      </w:pPr>
      <w:r>
        <w:t xml:space="preserve">Effective communication </w:t>
      </w:r>
    </w:p>
    <w:p w14:paraId="0EDE21C4" w14:textId="04CAEC21" w:rsidR="006C3E04" w:rsidRDefault="006C3E04" w:rsidP="00D5194E">
      <w:pPr>
        <w:spacing w:line="360" w:lineRule="auto"/>
      </w:pPr>
      <w:r>
        <w:t>A cornerstone of effective communication is safe and person-centred care, although in practice it remains a constant source of failure within healthcare systems</w:t>
      </w:r>
      <w:r w:rsidR="00FD4F78">
        <w:t xml:space="preserve">. In Mr Ahmed’s case, communication is complex due to his limited English proficiency and post-stroke impairments, requiring professionals to adapt their approaches beyond standard practice. </w:t>
      </w:r>
    </w:p>
    <w:p w14:paraId="781443FF" w14:textId="04B96DC7" w:rsidR="00FD4F78" w:rsidRDefault="00FD4F78" w:rsidP="00D5194E">
      <w:pPr>
        <w:spacing w:line="360" w:lineRule="auto"/>
      </w:pPr>
      <w:r>
        <w:t xml:space="preserve">The Equality Act 2010 places a legal obligation on care providers to make reasonable adjustments to ensure individuals are not disadvantaged due to protected characteristics, including disability and race (Equality Act 2010). Protecting </w:t>
      </w:r>
      <w:r w:rsidR="00F833A8">
        <w:t xml:space="preserve">against individuals' </w:t>
      </w:r>
      <w:r>
        <w:t xml:space="preserve">victimisation, </w:t>
      </w:r>
      <w:r w:rsidR="00F833A8">
        <w:t xml:space="preserve">harassment and discrimination. In this context, failing to provide accurate and appropriate language support, such as professional interpreters or accessible communication tools, could constitute indirect discrimination. There tends to be a tendency in practice to rely on family members, as seen with Mr Ahmed’s wife, raising ethical concerns regarding confidentiality, autonomy and accuracy of information. While family involvement can enhance </w:t>
      </w:r>
      <w:r w:rsidR="00F17C53">
        <w:t>understanding</w:t>
      </w:r>
      <w:r w:rsidR="00F833A8">
        <w:t xml:space="preserve">, </w:t>
      </w:r>
      <w:r w:rsidR="00F17C53">
        <w:t>over-reliance</w:t>
      </w:r>
      <w:r w:rsidR="00F833A8">
        <w:t xml:space="preserve"> risks</w:t>
      </w:r>
      <w:r w:rsidR="00F17C53">
        <w:t xml:space="preserve"> marginalising the service users' voice and may inadvertently distort clinical communication.</w:t>
      </w:r>
    </w:p>
    <w:p w14:paraId="39D7214E" w14:textId="4DE911C7" w:rsidR="00F17C53" w:rsidRDefault="00F17C53" w:rsidP="00D5194E">
      <w:pPr>
        <w:spacing w:line="360" w:lineRule="auto"/>
      </w:pPr>
      <w:r>
        <w:lastRenderedPageBreak/>
        <w:t>The Transaction model of communication offers a useful framework for analysing these complexities. As opposed to linear models, it acknowledges communication as a dynamic, reciprocal process shaped by contextual factors such as culture</w:t>
      </w:r>
      <w:r w:rsidR="0093252D">
        <w:t xml:space="preserve">, health status and environment. In Mr Ahmed’s situation, “noise” within the model, such as language barriers and cognitive impairments, significantly disrupts message transmission. This helps active strategies such as feedback loops, clarification and nonverbal communication. </w:t>
      </w:r>
    </w:p>
    <w:p w14:paraId="20E16781" w14:textId="77777777" w:rsidR="009E1D35" w:rsidRDefault="009E1D35" w:rsidP="00D5194E">
      <w:pPr>
        <w:spacing w:line="360" w:lineRule="auto"/>
      </w:pPr>
      <w:r>
        <w:t xml:space="preserve">Critically, the contribution of a speech and language therapist (SLT) demonstrates an evidence-based approach to addressing the communication strategies, which have been shown to improve outcomes in stroke rehabilitation and improve patient engagement. However, the effectiveness of such interventions is contingent upon consistent implementation by all members of the care teams, highlighting the interdependence of communication and collaborative practice. </w:t>
      </w:r>
    </w:p>
    <w:p w14:paraId="398C3735" w14:textId="41DB7092" w:rsidR="0093252D" w:rsidRDefault="009E1D35" w:rsidP="00D5194E">
      <w:pPr>
        <w:spacing w:line="360" w:lineRule="auto"/>
      </w:pPr>
      <w:r>
        <w:t xml:space="preserve">The missed domiciliary visit further illustrates how communication failures extend beyond patient interaction to interprofessional contexts. Ineffective handovers, poor scheduling or a lack of accountability can lead to significant patient harm </w:t>
      </w:r>
      <w:r w:rsidR="003D2D76">
        <w:t xml:space="preserve">(Care Quality Commission). This suggests that communication should not be viewed solely as an interpersonal skill but as an organisational priority embedded within systems and processes. </w:t>
      </w:r>
    </w:p>
    <w:p w14:paraId="3E7C0651" w14:textId="77777777" w:rsidR="003D2D76" w:rsidRDefault="003D2D76" w:rsidP="00D5194E">
      <w:pPr>
        <w:spacing w:line="360" w:lineRule="auto"/>
      </w:pPr>
      <w:r>
        <w:t>In conclusion, in Mr Ahmed’s case, effective communication requires a legally informed, culturally competent, and system-wide approach. While theoretical models provide useful frameworks, their practical application must be supported by organisational structures to ensure consistency and safety.</w:t>
      </w:r>
    </w:p>
    <w:p w14:paraId="71E7462E" w14:textId="3AF590C3" w:rsidR="003D2D76" w:rsidRDefault="003D2D76" w:rsidP="00D5194E">
      <w:pPr>
        <w:spacing w:line="360" w:lineRule="auto"/>
      </w:pPr>
      <w:r>
        <w:t>Administrative com</w:t>
      </w:r>
      <w:r w:rsidR="003976A9">
        <w:t>petence is a fundamental yet often underestimated aspect of professional practice in health and social care</w:t>
      </w:r>
      <w:r w:rsidR="0032025A">
        <w:t xml:space="preserve">. In the case of Mr Ahmed, the missed care visit highlights how deficiencies in administrative systems can directly compromise patient safety, particularly in relation to time-sensitive interventions such as medication administration.  </w:t>
      </w:r>
    </w:p>
    <w:p w14:paraId="7A7DEE34" w14:textId="39AA62D3" w:rsidR="00FD4F78" w:rsidRDefault="0032025A" w:rsidP="00D5194E">
      <w:pPr>
        <w:spacing w:line="360" w:lineRule="auto"/>
      </w:pPr>
      <w:r>
        <w:t xml:space="preserve">Recording </w:t>
      </w:r>
      <w:r w:rsidR="00D1602E">
        <w:t xml:space="preserve">Keeping that is accurate and comprehensive is essential for ensuring continuity of care and professional accountability. There is an emphasis on record keeping that the Nursing and Midwifery Council emphasises, which is often treated as a bureaucratic requirement rather than a clinical tool, leading to gaps in documentation and inconsistencies. Mr Ahmed’s case raised many concerns about organisational governance and oversight due to inadequate documentation and scheduling systems, contributing to the missed visit. </w:t>
      </w:r>
    </w:p>
    <w:p w14:paraId="40837C9D" w14:textId="47D24661" w:rsidR="00D1602E" w:rsidRDefault="00D1602E" w:rsidP="00D5194E">
      <w:pPr>
        <w:spacing w:line="360" w:lineRule="auto"/>
      </w:pPr>
      <w:r>
        <w:t xml:space="preserve">The UK General Data Protection Regulation (GDPR) and the Data Protection Act established a legal framework for handling personal data. Health information is classified as special category data, </w:t>
      </w:r>
      <w:r>
        <w:lastRenderedPageBreak/>
        <w:t xml:space="preserve">requiring enhanced protection.  Vital principles include security, data minimisation, transparency and lawfulness. While these principles are essential for safeguarding patient confidentiality, there is ongoing tension between data protection and information-sharing practices.  Overly cautious approaches may be adopted by professionals, potentially hindering effective communication between agencies. </w:t>
      </w:r>
    </w:p>
    <w:p w14:paraId="6327DF28" w14:textId="64D065E3" w:rsidR="00D1602E" w:rsidRDefault="00D1602E" w:rsidP="00D5194E">
      <w:pPr>
        <w:spacing w:line="360" w:lineRule="auto"/>
      </w:pPr>
      <w:r>
        <w:t xml:space="preserve">The Caldicott principles emphasise that information sharing is justified when it is in the patient's best interests. In Mr Ahmed’s care, timely sharing of information between the GP, district nurse and care agency is critical to ensure coordinated care and prevent adverse events. The missed medication incident suggests a potential breakdown in these processes, highlighting the need for clearer protocols and accountability mechanisms. </w:t>
      </w:r>
    </w:p>
    <w:p w14:paraId="51204885" w14:textId="1942A01B" w:rsidR="00D1602E" w:rsidRDefault="00D1602E" w:rsidP="00D5194E">
      <w:pPr>
        <w:spacing w:line="360" w:lineRule="auto"/>
      </w:pPr>
      <w:r>
        <w:t xml:space="preserve">From a critical perspective, the growing reliance on digital record systems presents both opportunities and challenges. Although electronic systems can enhance accuracy and accessibility, they are also vulnerable to technical failures, user error, and data breaches. Effective implementation requires staff training, regular audits and robust cybersecurity. Furthermore, administrative skills extend beyond record keeping </w:t>
      </w:r>
      <w:proofErr w:type="gramStart"/>
      <w:r>
        <w:t>to include</w:t>
      </w:r>
      <w:proofErr w:type="gramEnd"/>
      <w:r>
        <w:t xml:space="preserve"> incident reporting and risk management. The Care Quality Commission emphasises the importance of learning from incidents to improve service quality. The investigation into this case highlights that the missed visits should not only identify individual errors but also examine systemic issues within the care agency. </w:t>
      </w:r>
    </w:p>
    <w:p w14:paraId="546F28BD" w14:textId="360CF37E" w:rsidR="00D1602E" w:rsidRDefault="00D1602E" w:rsidP="00D5194E">
      <w:pPr>
        <w:spacing w:line="360" w:lineRule="auto"/>
      </w:pPr>
      <w:r>
        <w:t xml:space="preserve">In summary, administrative competence is integral to effective and safe care. Improving data sharing protocols, strengthening record-keeping practices and enhancing organisational accountability in Mr Ahmed’s case are essential to prevent recurrence and ensure compliance with legal and professional standards. </w:t>
      </w:r>
    </w:p>
    <w:p w14:paraId="777AD8A7" w14:textId="0A066A10" w:rsidR="00D1602E" w:rsidRDefault="00D1602E" w:rsidP="00D5194E">
      <w:pPr>
        <w:spacing w:line="360" w:lineRule="auto"/>
      </w:pPr>
      <w:r>
        <w:t xml:space="preserve">Collaborative work is fundamental in addressing the complex and multifaceted needs of individuals such as Mr Ahmed. Mr Ahmed’s care involves a multidisciplinary team, district nurse, GP, domiciliary care worker and a speech and language therapist, each contributing specialised expertise. </w:t>
      </w:r>
    </w:p>
    <w:p w14:paraId="5C33D2F8" w14:textId="14B4B6A5" w:rsidR="00D1602E" w:rsidRDefault="00D1602E" w:rsidP="00D5194E">
      <w:pPr>
        <w:spacing w:line="360" w:lineRule="auto"/>
      </w:pPr>
      <w:r>
        <w:t xml:space="preserve">Effective collaboration is characterised by shared goals, clear communication and mutual respect. In theory, MDT working enhances patient outcomes by promoting coordinated and holistic care. For example, collaboration between the care workers and SLT is crucial to ensure that Mr Ahmed’s swallowing difficulties are managed safely during meal preparation. </w:t>
      </w:r>
    </w:p>
    <w:p w14:paraId="773F8843" w14:textId="598C2D0B" w:rsidR="00D1602E" w:rsidRDefault="00D1602E" w:rsidP="00D5194E">
      <w:pPr>
        <w:spacing w:line="360" w:lineRule="auto"/>
      </w:pPr>
      <w:r>
        <w:t xml:space="preserve">However, the effectiveness of collaborative working is often undermined by practical challenges. These include role ambiguity, communication breakdowns, or organisational silos. The missed </w:t>
      </w:r>
      <w:r>
        <w:lastRenderedPageBreak/>
        <w:t xml:space="preserve">domiciliary visit may reflect such challenges, suggesting a lack of coordination or accountability within the care system. </w:t>
      </w:r>
    </w:p>
    <w:p w14:paraId="31DF1141" w14:textId="543D5E80" w:rsidR="00D1602E" w:rsidRDefault="00D1602E" w:rsidP="00D5194E">
      <w:pPr>
        <w:spacing w:line="360" w:lineRule="auto"/>
      </w:pPr>
      <w:r>
        <w:t>Enhancing strategies collaboration includes the implementation of integrated care pathways, regular MDT meetings, and shared digital records. These approaches facilitate information sharing and reduce fragmentation of care. Additionally, leadership plays a critical role in fostering a culture of collaboration and ensuring that responsibilities are clearly defined.</w:t>
      </w:r>
    </w:p>
    <w:p w14:paraId="78F7A8BD" w14:textId="0D0C7F25" w:rsidR="00D1602E" w:rsidRDefault="00D1602E" w:rsidP="00D5194E">
      <w:pPr>
        <w:spacing w:line="360" w:lineRule="auto"/>
      </w:pPr>
      <w:r>
        <w:t xml:space="preserve"> In conclusion, while collaborative working offers significant benefits, its success is dependent upon organisational support, effective communication and a shared commitment to person-centred care. This report has extensively examined the importance of administrative competence, the importance of communication and collaborative working in the care of Mr Ahmed. Effective communication, guided by the Equality Act 2010 and supported by theoretical models, is essential to address language barriers and ensure patient-centred care. Although its success depends on consistent application across both interpersonal and organisational contexts. Administrative skills, particularly in data protection and record keeping, are crucial to maintaining safety, accountability and continuity of care. In the case of Mr Ahmed, the missed domiciliary visit highlights how failures in these systems can have significant consequences, emphasising the need for robust governance and learning from incidents. </w:t>
      </w:r>
    </w:p>
    <w:p w14:paraId="6C32B56D" w14:textId="667F59A4" w:rsidR="00D1602E" w:rsidRDefault="00D1602E" w:rsidP="00D5194E">
      <w:pPr>
        <w:spacing w:line="360" w:lineRule="auto"/>
      </w:pPr>
      <w:r>
        <w:t xml:space="preserve">Finally, to conclude, collaborative working within multidisciplinary teams is vital for delivering holistic care, although challenges such as role ambiguity and communication breakdowns must be addressed. Overall, integrating these elements, through evidence-based practice and strong organisational frameworks, is essential for achieving high-quality, person-centred and safe care. </w:t>
      </w:r>
    </w:p>
    <w:p w14:paraId="3E1507D1" w14:textId="77777777" w:rsidR="00D1602E" w:rsidRDefault="00D1602E" w:rsidP="00D5194E">
      <w:pPr>
        <w:spacing w:line="360" w:lineRule="auto"/>
      </w:pPr>
    </w:p>
    <w:p w14:paraId="5240C432" w14:textId="77777777" w:rsidR="00BE29B6" w:rsidRDefault="00BE29B6" w:rsidP="00D5194E">
      <w:pPr>
        <w:spacing w:line="360" w:lineRule="auto"/>
      </w:pPr>
    </w:p>
    <w:p w14:paraId="16D86201" w14:textId="77777777" w:rsidR="00BE29B6" w:rsidRDefault="00BE29B6" w:rsidP="00D5194E">
      <w:pPr>
        <w:spacing w:line="360" w:lineRule="auto"/>
      </w:pPr>
    </w:p>
    <w:p w14:paraId="28B0E9B9" w14:textId="77777777" w:rsidR="00BE29B6" w:rsidRDefault="00BE29B6" w:rsidP="00D5194E">
      <w:pPr>
        <w:spacing w:line="360" w:lineRule="auto"/>
      </w:pPr>
    </w:p>
    <w:p w14:paraId="61EF1408" w14:textId="77777777" w:rsidR="00BE29B6" w:rsidRDefault="00BE29B6" w:rsidP="00D5194E">
      <w:pPr>
        <w:spacing w:line="360" w:lineRule="auto"/>
      </w:pPr>
    </w:p>
    <w:p w14:paraId="5CC204CB" w14:textId="77777777" w:rsidR="00BE29B6" w:rsidRDefault="00BE29B6" w:rsidP="00D5194E">
      <w:pPr>
        <w:spacing w:line="360" w:lineRule="auto"/>
      </w:pPr>
    </w:p>
    <w:p w14:paraId="72FB05D1" w14:textId="77777777" w:rsidR="00BE29B6" w:rsidRDefault="00BE29B6" w:rsidP="00D5194E">
      <w:pPr>
        <w:spacing w:line="360" w:lineRule="auto"/>
      </w:pPr>
    </w:p>
    <w:p w14:paraId="624AC44E" w14:textId="77777777" w:rsidR="00BE29B6" w:rsidRDefault="00BE29B6" w:rsidP="00D5194E">
      <w:pPr>
        <w:spacing w:line="360" w:lineRule="auto"/>
      </w:pPr>
    </w:p>
    <w:p w14:paraId="0FA6F788" w14:textId="77777777" w:rsidR="00D1602E" w:rsidRDefault="00D1602E" w:rsidP="00D5194E">
      <w:pPr>
        <w:spacing w:line="360" w:lineRule="auto"/>
      </w:pPr>
    </w:p>
    <w:p w14:paraId="562DD8E7" w14:textId="2776B268" w:rsidR="00BE29B6" w:rsidRDefault="00BE29B6" w:rsidP="00D5194E">
      <w:pPr>
        <w:spacing w:line="360" w:lineRule="auto"/>
      </w:pPr>
      <w:r>
        <w:lastRenderedPageBreak/>
        <w:t>References</w:t>
      </w:r>
    </w:p>
    <w:p w14:paraId="1883E5D5" w14:textId="181FEC13" w:rsidR="00D1602E" w:rsidRDefault="00D1602E" w:rsidP="00D5194E">
      <w:pPr>
        <w:spacing w:line="360" w:lineRule="auto"/>
      </w:pPr>
      <w:r>
        <w:t xml:space="preserve">ACAS working for everyone - </w:t>
      </w:r>
      <w:hyperlink r:id="rId6" w:history="1">
        <w:r w:rsidRPr="008F6B3E">
          <w:rPr>
            <w:rStyle w:val="Hyperlink"/>
          </w:rPr>
          <w:t>https://www.acas.org.uk/discrimination-and-the-law</w:t>
        </w:r>
      </w:hyperlink>
    </w:p>
    <w:p w14:paraId="4F0C787B" w14:textId="28E94835" w:rsidR="00D1602E" w:rsidRDefault="00D1602E" w:rsidP="00D5194E">
      <w:pPr>
        <w:spacing w:line="360" w:lineRule="auto"/>
      </w:pPr>
      <w:r>
        <w:t>Care Quality Commission – Regulation, self-care and treatment</w:t>
      </w:r>
    </w:p>
    <w:p w14:paraId="086CABA1" w14:textId="70555664" w:rsidR="00D1602E" w:rsidRPr="00D1602E" w:rsidRDefault="00D1602E" w:rsidP="00D1602E">
      <w:pPr>
        <w:rPr>
          <w:i/>
          <w:iCs/>
        </w:rPr>
      </w:pPr>
      <w:r>
        <w:t xml:space="preserve">Care Quality Commission -  </w:t>
      </w:r>
      <w:hyperlink r:id="rId7" w:history="1">
        <w:r w:rsidRPr="00C426DF">
          <w:rPr>
            <w:rStyle w:val="Hyperlink"/>
            <w:i/>
            <w:iCs/>
          </w:rPr>
          <w:t>https://www.cqc.org.uk/</w:t>
        </w:r>
      </w:hyperlink>
    </w:p>
    <w:p w14:paraId="6AE28258" w14:textId="4780F49A" w:rsidR="00FA0D03" w:rsidRDefault="00FA0D03" w:rsidP="00D5194E">
      <w:pPr>
        <w:spacing w:line="360" w:lineRule="auto"/>
      </w:pPr>
      <w:r>
        <w:t xml:space="preserve">Data Protection Act 2018 - </w:t>
      </w:r>
      <w:hyperlink r:id="rId8" w:history="1">
        <w:r w:rsidRPr="008F6B3E">
          <w:rPr>
            <w:rStyle w:val="Hyperlink"/>
          </w:rPr>
          <w:t>https://www.legislation.gov.uk/ukpga/2018/12/contents</w:t>
        </w:r>
      </w:hyperlink>
      <w:r>
        <w:t xml:space="preserve"> </w:t>
      </w:r>
    </w:p>
    <w:p w14:paraId="78CAC9CE" w14:textId="6292BF03" w:rsidR="00D1602E" w:rsidRDefault="00D1602E" w:rsidP="00D5194E">
      <w:pPr>
        <w:spacing w:line="360" w:lineRule="auto"/>
      </w:pPr>
      <w:r>
        <w:t xml:space="preserve">Equality Act 2010, London – The Stationery Office </w:t>
      </w:r>
    </w:p>
    <w:p w14:paraId="31BB8ED5" w14:textId="1502CCC7" w:rsidR="00D1602E" w:rsidRDefault="00D1602E" w:rsidP="00D5194E">
      <w:pPr>
        <w:spacing w:line="360" w:lineRule="auto"/>
      </w:pPr>
      <w:r>
        <w:t xml:space="preserve">Equality human rights - </w:t>
      </w:r>
      <w:hyperlink r:id="rId9" w:history="1">
        <w:r w:rsidRPr="008F6B3E">
          <w:rPr>
            <w:rStyle w:val="Hyperlink"/>
          </w:rPr>
          <w:t>https://www.equalityhumanrights.com/equality/equality-act-2010#:~:text=The%20Equality%20Act%202010%20came%20into%20force,or%20belief%20*%20Sex%20*%20Sexual%20orientation</w:t>
        </w:r>
      </w:hyperlink>
    </w:p>
    <w:p w14:paraId="70448782" w14:textId="48EDE7FB" w:rsidR="00D1602E" w:rsidRDefault="00D1602E" w:rsidP="00D5194E">
      <w:pPr>
        <w:spacing w:line="360" w:lineRule="auto"/>
      </w:pPr>
      <w:r>
        <w:t xml:space="preserve">GDPR - </w:t>
      </w:r>
      <w:r w:rsidRPr="00D1602E">
        <w:t>https://gdpr-info.eu/</w:t>
      </w:r>
      <w:r>
        <w:t xml:space="preserve">  </w:t>
      </w:r>
    </w:p>
    <w:p w14:paraId="2CF344FD" w14:textId="1B6CA3D8" w:rsidR="00D1602E" w:rsidRPr="00D1602E" w:rsidRDefault="00D1602E" w:rsidP="00D1602E">
      <w:pPr>
        <w:rPr>
          <w:i/>
          <w:iCs/>
        </w:rPr>
      </w:pPr>
      <w:r w:rsidRPr="00C426DF">
        <w:rPr>
          <w:i/>
          <w:iCs/>
        </w:rPr>
        <w:t xml:space="preserve">Information Commissioner’s Office 2023 Guide to the UK GDPR: </w:t>
      </w:r>
      <w:hyperlink r:id="rId10" w:history="1">
        <w:r w:rsidRPr="001A42ED">
          <w:rPr>
            <w:rStyle w:val="Hyperlink"/>
            <w:i/>
            <w:iCs/>
          </w:rPr>
          <w:t>https://ico.org.uk</w:t>
        </w:r>
      </w:hyperlink>
    </w:p>
    <w:p w14:paraId="32693B55" w14:textId="657508B7" w:rsidR="00BE29B6" w:rsidRDefault="00BE29B6" w:rsidP="00D5194E">
      <w:pPr>
        <w:spacing w:line="360" w:lineRule="auto"/>
      </w:pPr>
      <w:r>
        <w:t xml:space="preserve">Legislation - </w:t>
      </w:r>
      <w:hyperlink r:id="rId11" w:history="1">
        <w:r w:rsidR="00F529EE" w:rsidRPr="008F6B3E">
          <w:rPr>
            <w:rStyle w:val="Hyperlink"/>
          </w:rPr>
          <w:t>https://www.legislation.gov.uk/ukpga/2010/15/contents</w:t>
        </w:r>
      </w:hyperlink>
    </w:p>
    <w:p w14:paraId="0C26052E" w14:textId="77777777" w:rsidR="00D1602E" w:rsidRPr="00C426DF" w:rsidRDefault="00D1602E" w:rsidP="00D1602E">
      <w:pPr>
        <w:rPr>
          <w:i/>
          <w:iCs/>
        </w:rPr>
      </w:pPr>
      <w:r w:rsidRPr="00C426DF">
        <w:rPr>
          <w:i/>
          <w:iCs/>
        </w:rPr>
        <w:t xml:space="preserve">National Institute for Health and Care Excellence (NICE) (2016) Patient experience in adult NHS services. </w:t>
      </w:r>
    </w:p>
    <w:p w14:paraId="29A16F68" w14:textId="77777777" w:rsidR="00D1602E" w:rsidRPr="00C426DF" w:rsidRDefault="00D1602E" w:rsidP="00D1602E">
      <w:pPr>
        <w:rPr>
          <w:i/>
          <w:iCs/>
        </w:rPr>
      </w:pPr>
      <w:r w:rsidRPr="00C426DF">
        <w:rPr>
          <w:i/>
          <w:iCs/>
        </w:rPr>
        <w:t>NHS England (2019) The NHS Long-term Plan. London: NHS</w:t>
      </w:r>
    </w:p>
    <w:p w14:paraId="4F8A6A8A" w14:textId="77777777" w:rsidR="00D1602E" w:rsidRDefault="00D1602E" w:rsidP="00D5194E">
      <w:pPr>
        <w:spacing w:line="360" w:lineRule="auto"/>
      </w:pPr>
    </w:p>
    <w:p w14:paraId="662BB3B4" w14:textId="77777777" w:rsidR="00F529EE" w:rsidRDefault="00F529EE" w:rsidP="00D5194E">
      <w:pPr>
        <w:spacing w:line="360" w:lineRule="auto"/>
      </w:pPr>
    </w:p>
    <w:sectPr w:rsidR="00F529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A48C1" w14:textId="77777777" w:rsidR="00EA0658" w:rsidRDefault="00EA0658" w:rsidP="00BE29B6">
      <w:pPr>
        <w:spacing w:after="0" w:line="240" w:lineRule="auto"/>
      </w:pPr>
      <w:r>
        <w:separator/>
      </w:r>
    </w:p>
  </w:endnote>
  <w:endnote w:type="continuationSeparator" w:id="0">
    <w:p w14:paraId="49329C88" w14:textId="77777777" w:rsidR="00EA0658" w:rsidRDefault="00EA0658" w:rsidP="00BE2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38842" w14:textId="77777777" w:rsidR="00EA0658" w:rsidRDefault="00EA0658" w:rsidP="00BE29B6">
      <w:pPr>
        <w:spacing w:after="0" w:line="240" w:lineRule="auto"/>
      </w:pPr>
      <w:r>
        <w:separator/>
      </w:r>
    </w:p>
  </w:footnote>
  <w:footnote w:type="continuationSeparator" w:id="0">
    <w:p w14:paraId="5CF763DB" w14:textId="77777777" w:rsidR="00EA0658" w:rsidRDefault="00EA0658" w:rsidP="00BE29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94E"/>
    <w:rsid w:val="0032025A"/>
    <w:rsid w:val="003976A9"/>
    <w:rsid w:val="003D2D76"/>
    <w:rsid w:val="00541C07"/>
    <w:rsid w:val="00570A9A"/>
    <w:rsid w:val="005C743C"/>
    <w:rsid w:val="005F2AF7"/>
    <w:rsid w:val="0063080A"/>
    <w:rsid w:val="006C3E04"/>
    <w:rsid w:val="0093252D"/>
    <w:rsid w:val="009E1D35"/>
    <w:rsid w:val="00BA422B"/>
    <w:rsid w:val="00BE29B6"/>
    <w:rsid w:val="00D1602E"/>
    <w:rsid w:val="00D42E39"/>
    <w:rsid w:val="00D5194E"/>
    <w:rsid w:val="00EA0658"/>
    <w:rsid w:val="00F17C53"/>
    <w:rsid w:val="00F529EE"/>
    <w:rsid w:val="00F833A8"/>
    <w:rsid w:val="00FA0D03"/>
    <w:rsid w:val="00FD4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54DF0"/>
  <w15:chartTrackingRefBased/>
  <w15:docId w15:val="{E5414736-EB61-4416-8C40-27DF6A693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194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5194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5194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5194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5194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519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19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19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19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194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5194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5194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5194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5194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519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19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19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194E"/>
    <w:rPr>
      <w:rFonts w:eastAsiaTheme="majorEastAsia" w:cstheme="majorBidi"/>
      <w:color w:val="272727" w:themeColor="text1" w:themeTint="D8"/>
    </w:rPr>
  </w:style>
  <w:style w:type="paragraph" w:styleId="Title">
    <w:name w:val="Title"/>
    <w:basedOn w:val="Normal"/>
    <w:next w:val="Normal"/>
    <w:link w:val="TitleChar"/>
    <w:uiPriority w:val="10"/>
    <w:qFormat/>
    <w:rsid w:val="00D519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19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19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19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194E"/>
    <w:pPr>
      <w:spacing w:before="160"/>
      <w:jc w:val="center"/>
    </w:pPr>
    <w:rPr>
      <w:i/>
      <w:iCs/>
      <w:color w:val="404040" w:themeColor="text1" w:themeTint="BF"/>
    </w:rPr>
  </w:style>
  <w:style w:type="character" w:customStyle="1" w:styleId="QuoteChar">
    <w:name w:val="Quote Char"/>
    <w:basedOn w:val="DefaultParagraphFont"/>
    <w:link w:val="Quote"/>
    <w:uiPriority w:val="29"/>
    <w:rsid w:val="00D5194E"/>
    <w:rPr>
      <w:i/>
      <w:iCs/>
      <w:color w:val="404040" w:themeColor="text1" w:themeTint="BF"/>
    </w:rPr>
  </w:style>
  <w:style w:type="paragraph" w:styleId="ListParagraph">
    <w:name w:val="List Paragraph"/>
    <w:basedOn w:val="Normal"/>
    <w:uiPriority w:val="34"/>
    <w:qFormat/>
    <w:rsid w:val="00D5194E"/>
    <w:pPr>
      <w:ind w:left="720"/>
      <w:contextualSpacing/>
    </w:pPr>
  </w:style>
  <w:style w:type="character" w:styleId="IntenseEmphasis">
    <w:name w:val="Intense Emphasis"/>
    <w:basedOn w:val="DefaultParagraphFont"/>
    <w:uiPriority w:val="21"/>
    <w:qFormat/>
    <w:rsid w:val="00D5194E"/>
    <w:rPr>
      <w:i/>
      <w:iCs/>
      <w:color w:val="2F5496" w:themeColor="accent1" w:themeShade="BF"/>
    </w:rPr>
  </w:style>
  <w:style w:type="paragraph" w:styleId="IntenseQuote">
    <w:name w:val="Intense Quote"/>
    <w:basedOn w:val="Normal"/>
    <w:next w:val="Normal"/>
    <w:link w:val="IntenseQuoteChar"/>
    <w:uiPriority w:val="30"/>
    <w:qFormat/>
    <w:rsid w:val="00D519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5194E"/>
    <w:rPr>
      <w:i/>
      <w:iCs/>
      <w:color w:val="2F5496" w:themeColor="accent1" w:themeShade="BF"/>
    </w:rPr>
  </w:style>
  <w:style w:type="character" w:styleId="IntenseReference">
    <w:name w:val="Intense Reference"/>
    <w:basedOn w:val="DefaultParagraphFont"/>
    <w:uiPriority w:val="32"/>
    <w:qFormat/>
    <w:rsid w:val="00D5194E"/>
    <w:rPr>
      <w:b/>
      <w:bCs/>
      <w:smallCaps/>
      <w:color w:val="2F5496" w:themeColor="accent1" w:themeShade="BF"/>
      <w:spacing w:val="5"/>
    </w:rPr>
  </w:style>
  <w:style w:type="paragraph" w:styleId="Header">
    <w:name w:val="header"/>
    <w:basedOn w:val="Normal"/>
    <w:link w:val="HeaderChar"/>
    <w:uiPriority w:val="99"/>
    <w:unhideWhenUsed/>
    <w:rsid w:val="00BE29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29B6"/>
  </w:style>
  <w:style w:type="paragraph" w:styleId="Footer">
    <w:name w:val="footer"/>
    <w:basedOn w:val="Normal"/>
    <w:link w:val="FooterChar"/>
    <w:uiPriority w:val="99"/>
    <w:unhideWhenUsed/>
    <w:rsid w:val="00BE29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9B6"/>
  </w:style>
  <w:style w:type="character" w:styleId="Hyperlink">
    <w:name w:val="Hyperlink"/>
    <w:basedOn w:val="DefaultParagraphFont"/>
    <w:uiPriority w:val="99"/>
    <w:unhideWhenUsed/>
    <w:rsid w:val="00BE29B6"/>
    <w:rPr>
      <w:color w:val="0563C1" w:themeColor="hyperlink"/>
      <w:u w:val="single"/>
    </w:rPr>
  </w:style>
  <w:style w:type="character" w:styleId="UnresolvedMention">
    <w:name w:val="Unresolved Mention"/>
    <w:basedOn w:val="DefaultParagraphFont"/>
    <w:uiPriority w:val="99"/>
    <w:semiHidden/>
    <w:unhideWhenUsed/>
    <w:rsid w:val="00BE29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8/12/content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qc.org.u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cas.org.uk/discrimination-and-the-law" TargetMode="External"/><Relationship Id="rId11" Type="http://schemas.openxmlformats.org/officeDocument/2006/relationships/hyperlink" Target="https://www.legislation.gov.uk/ukpga/2010/15/contents" TargetMode="External"/><Relationship Id="rId5" Type="http://schemas.openxmlformats.org/officeDocument/2006/relationships/endnotes" Target="endnotes.xml"/><Relationship Id="rId10" Type="http://schemas.openxmlformats.org/officeDocument/2006/relationships/hyperlink" Target="https://ico.org.uk/" TargetMode="External"/><Relationship Id="rId4" Type="http://schemas.openxmlformats.org/officeDocument/2006/relationships/footnotes" Target="footnotes.xml"/><Relationship Id="rId9" Type="http://schemas.openxmlformats.org/officeDocument/2006/relationships/hyperlink" Target="https://www.equalityhumanrights.com/equality/equality-act-2010#:~:text=The%20Equality%20Act%202010%20came%20into%20force,or%20belief%20*%20Sex%20*%20Sexual%20orien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557</TotalTime>
  <Pages>5</Pages>
  <Words>1692</Words>
  <Characters>9647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Jemima Adams</dc:creator>
  <cp:keywords/>
  <dc:description/>
  <cp:lastModifiedBy>Jemima Adams</cp:lastModifiedBy>
  <cp:revision>1</cp:revision>
  <dcterms:created xsi:type="dcterms:W3CDTF">2026-04-30T10:31:00Z</dcterms:created>
  <dcterms:modified xsi:type="dcterms:W3CDTF">2026-04-30T22:10:00Z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5cffc348-15d0-4384-b88b-2d335dec04ff</vt:lpwstr>
  </property>
</Properties>
</file>