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5E5787A5" w14:textId="01F59855" w:rsidR="00C105F0" w:rsidRPr="006119AE" w:rsidRDefault="00181FDA" w:rsidP="003E5C15">
      <w:pPr>
        <w:pStyle w:val="NoSpacing"/>
        <w:spacing w:line="360" w:lineRule="auto"/>
        <w:rPr>
          <w:rFonts w:ascii="Segoe UI Historic" w:hAnsi="Segoe UI Historic" w:cs="Segoe UI Historic"/>
          <w:sz w:val="28"/>
          <w:szCs w:val="24"/>
          <w:u w:val="single"/>
        </w:rPr>
      </w:pPr>
      <w:r w:rsidRPr="006119AE">
        <w:rPr>
          <w:rFonts w:ascii="Segoe UI Historic" w:hAnsi="Segoe UI Historic" w:cs="Segoe UI Historic"/>
          <w:sz w:val="28"/>
          <w:szCs w:val="24"/>
          <w:u w:val="single"/>
        </w:rPr>
        <w:t>Discuss the role of women during the Amarna Age. To what extent does their position fit into the development of the 18</w:t>
      </w:r>
      <w:r w:rsidRPr="006119AE">
        <w:rPr>
          <w:rFonts w:ascii="Segoe UI Historic" w:hAnsi="Segoe UI Historic" w:cs="Segoe UI Historic"/>
          <w:sz w:val="28"/>
          <w:szCs w:val="24"/>
          <w:u w:val="single"/>
          <w:vertAlign w:val="superscript"/>
        </w:rPr>
        <w:t>th</w:t>
      </w:r>
      <w:r w:rsidRPr="006119AE">
        <w:rPr>
          <w:rFonts w:ascii="Segoe UI Historic" w:hAnsi="Segoe UI Historic" w:cs="Segoe UI Historic"/>
          <w:sz w:val="28"/>
          <w:szCs w:val="24"/>
          <w:u w:val="single"/>
        </w:rPr>
        <w:t xml:space="preserve"> Dynasty before the Amarna Period? Refer to particular women.</w:t>
      </w:r>
    </w:p>
    <w:p w14:paraId="45E1A1FC" w14:textId="4437B7EE" w:rsidR="00181FDA" w:rsidRPr="006119AE" w:rsidRDefault="00181FDA" w:rsidP="003E5C15">
      <w:pPr>
        <w:pStyle w:val="NoSpacing"/>
        <w:spacing w:line="360" w:lineRule="auto"/>
        <w:rPr>
          <w:rFonts w:ascii="Segoe UI Historic" w:hAnsi="Segoe UI Historic" w:cs="Segoe UI Historic"/>
          <w:sz w:val="24"/>
          <w:szCs w:val="24"/>
        </w:rPr>
      </w:pPr>
    </w:p>
    <w:p w14:paraId="2B2EE580" w14:textId="3CA58925" w:rsidR="00D90198" w:rsidRPr="006119AE" w:rsidRDefault="409CAC32" w:rsidP="409CAC32">
      <w:pPr>
        <w:pStyle w:val="NoSpacing"/>
        <w:spacing w:line="360" w:lineRule="auto"/>
        <w:rPr>
          <w:rFonts w:ascii="Segoe UI Historic" w:hAnsi="Segoe UI Historic" w:cs="Segoe UI Historic"/>
          <w:sz w:val="24"/>
          <w:szCs w:val="24"/>
        </w:rPr>
      </w:pPr>
      <w:r w:rsidRPr="409CAC32">
        <w:rPr>
          <w:rFonts w:ascii="Segoe UI Historic" w:hAnsi="Segoe UI Historic" w:cs="Segoe UI Historic"/>
          <w:sz w:val="24"/>
          <w:szCs w:val="24"/>
        </w:rPr>
        <w:t>The Amarna Period refers to the latter half of the 18</w:t>
      </w:r>
      <w:r w:rsidRPr="409CAC32">
        <w:rPr>
          <w:rFonts w:ascii="Segoe UI Historic" w:hAnsi="Segoe UI Historic" w:cs="Segoe UI Historic"/>
          <w:sz w:val="24"/>
          <w:szCs w:val="24"/>
          <w:vertAlign w:val="superscript"/>
        </w:rPr>
        <w:t>th</w:t>
      </w:r>
      <w:r w:rsidRPr="409CAC32">
        <w:rPr>
          <w:rFonts w:ascii="Segoe UI Historic" w:hAnsi="Segoe UI Historic" w:cs="Segoe UI Historic"/>
          <w:sz w:val="24"/>
          <w:szCs w:val="24"/>
        </w:rPr>
        <w:t xml:space="preserve"> Dynasty, in the New Kingdom, with scholars discussing different date ranges. Following Ziegler (2008: 15-16), I will assume the Amarna Period as the time between the Pharaohs Amenhotep III and Horemheb, c.1357-1291 B.C.. There is little known regarding non-elite ancient Egyptians, meaning there is a problem with looking at the role of all women within the Amarna Period (Bragg, </w:t>
      </w:r>
      <w:r w:rsidRPr="409CAC32">
        <w:rPr>
          <w:rFonts w:ascii="Segoe UI Historic" w:hAnsi="Segoe UI Historic" w:cs="Segoe UI Historic"/>
          <w:i/>
          <w:iCs/>
          <w:sz w:val="24"/>
          <w:szCs w:val="24"/>
        </w:rPr>
        <w:t>et al</w:t>
      </w:r>
      <w:r w:rsidRPr="409CAC32">
        <w:rPr>
          <w:rFonts w:ascii="Segoe UI Historic" w:hAnsi="Segoe UI Historic" w:cs="Segoe UI Historic"/>
          <w:sz w:val="24"/>
          <w:szCs w:val="24"/>
        </w:rPr>
        <w:t>., 2009); we can only discuss in depth about the royal women. Prominent royal women during Amenhotep III and Akhenaten’s reign, predominantly seen as the Amarna Period, included: Tiye, Amenhotep III’s wife and Akhenaten’s mother; Satamun, daughter of Amenhotep III; Nefertiti, Akhenaten’s Chief Wife; Meritaten, eldest daughter of Akhenaten and wife of the later Pharaoh Smenkhkare; Ankhsenpaaten, Akhenaten’s third daughter and later the wife of Tutankhamun; and Kiye, Akhenaten’s secondary wife and attested mother of Tutankhamun</w:t>
      </w:r>
      <w:r w:rsidR="4CC8F5C6" w:rsidRPr="4CC8F5C6">
        <w:rPr>
          <w:rFonts w:ascii="Segoe UI Historic" w:hAnsi="Segoe UI Historic" w:cs="Segoe UI Historic"/>
          <w:sz w:val="24"/>
          <w:szCs w:val="24"/>
        </w:rPr>
        <w:t xml:space="preserve"> (Kemp, 2012: 14-15; Green, 1996).</w:t>
      </w:r>
    </w:p>
    <w:p w14:paraId="7BFE04FE" w14:textId="10F0D6AA" w:rsidR="00845552" w:rsidRPr="006119AE" w:rsidRDefault="00845552" w:rsidP="003E5C15">
      <w:pPr>
        <w:pStyle w:val="NoSpacing"/>
        <w:spacing w:line="360" w:lineRule="auto"/>
        <w:rPr>
          <w:rFonts w:ascii="Segoe UI Historic" w:hAnsi="Segoe UI Historic" w:cs="Segoe UI Historic"/>
          <w:sz w:val="24"/>
          <w:szCs w:val="24"/>
        </w:rPr>
      </w:pPr>
    </w:p>
    <w:p w14:paraId="6911FBFF" w14:textId="74A8DD8C" w:rsidR="00196208" w:rsidRDefault="00105995" w:rsidP="003E5C15">
      <w:pPr>
        <w:pStyle w:val="NoSpacing"/>
        <w:spacing w:line="360" w:lineRule="auto"/>
        <w:rPr>
          <w:rFonts w:ascii="Segoe UI Historic" w:hAnsi="Segoe UI Historic" w:cs="Segoe UI Historic"/>
          <w:sz w:val="24"/>
          <w:szCs w:val="24"/>
        </w:rPr>
      </w:pPr>
      <w:r>
        <w:rPr>
          <w:rFonts w:ascii="Segoe UI Historic" w:hAnsi="Segoe UI Historic" w:cs="Segoe UI Historic"/>
          <w:sz w:val="24"/>
          <w:szCs w:val="24"/>
        </w:rPr>
        <w:t>Royal and elite w</w:t>
      </w:r>
      <w:r w:rsidR="009E0048" w:rsidRPr="00C42202">
        <w:rPr>
          <w:rFonts w:ascii="Segoe UI Historic" w:hAnsi="Segoe UI Historic" w:cs="Segoe UI Historic"/>
          <w:sz w:val="24"/>
          <w:szCs w:val="24"/>
        </w:rPr>
        <w:t>omen</w:t>
      </w:r>
      <w:r w:rsidR="009E0048">
        <w:rPr>
          <w:rFonts w:ascii="Segoe UI Historic" w:hAnsi="Segoe UI Historic" w:cs="Segoe UI Historic"/>
          <w:sz w:val="24"/>
          <w:szCs w:val="24"/>
        </w:rPr>
        <w:t>, in general,</w:t>
      </w:r>
      <w:r w:rsidR="009E0048" w:rsidRPr="00C42202">
        <w:rPr>
          <w:rFonts w:ascii="Segoe UI Historic" w:hAnsi="Segoe UI Historic" w:cs="Segoe UI Historic"/>
          <w:sz w:val="24"/>
          <w:szCs w:val="24"/>
        </w:rPr>
        <w:t xml:space="preserve"> had various roles throughout the 18</w:t>
      </w:r>
      <w:r w:rsidR="009E0048" w:rsidRPr="00C42202">
        <w:rPr>
          <w:rFonts w:ascii="Segoe UI Historic" w:hAnsi="Segoe UI Historic" w:cs="Segoe UI Historic"/>
          <w:sz w:val="24"/>
          <w:szCs w:val="24"/>
          <w:vertAlign w:val="superscript"/>
        </w:rPr>
        <w:t>th</w:t>
      </w:r>
      <w:r w:rsidR="009E0048" w:rsidRPr="00C42202">
        <w:rPr>
          <w:rFonts w:ascii="Segoe UI Historic" w:hAnsi="Segoe UI Historic" w:cs="Segoe UI Historic"/>
          <w:sz w:val="24"/>
          <w:szCs w:val="24"/>
        </w:rPr>
        <w:t xml:space="preserve"> Dynasty both in religious and domestic environments. With the prominent god of this dynasty being Amun, many elite women held the religious title “Chantress of Amun”, </w:t>
      </w:r>
      <w:r>
        <w:rPr>
          <w:rFonts w:ascii="Segoe UI Historic" w:hAnsi="Segoe UI Historic" w:cs="Segoe UI Historic"/>
          <w:i/>
          <w:sz w:val="24"/>
          <w:szCs w:val="24"/>
        </w:rPr>
        <w:t>šm</w:t>
      </w:r>
      <w:r w:rsidRPr="00105995">
        <w:rPr>
          <w:rFonts w:ascii="Segoe UI Historic" w:hAnsi="Segoe UI Historic" w:cs="Segoe UI Historic"/>
          <w:i/>
          <w:sz w:val="24"/>
          <w:szCs w:val="24"/>
        </w:rPr>
        <w:t>ˁ</w:t>
      </w:r>
      <w:r w:rsidR="009E0048" w:rsidRPr="00C42202">
        <w:rPr>
          <w:rFonts w:ascii="Segoe UI Historic" w:hAnsi="Segoe UI Historic" w:cs="Segoe UI Historic"/>
          <w:i/>
          <w:sz w:val="24"/>
          <w:szCs w:val="24"/>
        </w:rPr>
        <w:t>y.t-Imn</w:t>
      </w:r>
      <w:r w:rsidR="009E0048" w:rsidRPr="00C42202">
        <w:rPr>
          <w:rFonts w:ascii="Segoe UI Historic" w:hAnsi="Segoe UI Historic" w:cs="Segoe UI Historic"/>
          <w:sz w:val="24"/>
          <w:szCs w:val="24"/>
        </w:rPr>
        <w:t xml:space="preserve">, particularly under the Pharaoh Hatshepsut, which had been exchanged for the previous title of “priestess”, </w:t>
      </w:r>
      <w:r w:rsidRPr="00105995">
        <w:rPr>
          <w:rFonts w:ascii="Calibri" w:hAnsi="Calibri" w:cs="Calibri"/>
          <w:i/>
          <w:sz w:val="24"/>
          <w:szCs w:val="24"/>
        </w:rPr>
        <w:t>ḥ</w:t>
      </w:r>
      <w:r w:rsidR="009E0048" w:rsidRPr="00C42202">
        <w:rPr>
          <w:rFonts w:ascii="Segoe UI Historic" w:hAnsi="Segoe UI Historic" w:cs="Segoe UI Historic"/>
          <w:i/>
          <w:sz w:val="24"/>
          <w:szCs w:val="24"/>
        </w:rPr>
        <w:t>m.t-n</w:t>
      </w:r>
      <w:r w:rsidRPr="00105995">
        <w:t xml:space="preserve"> </w:t>
      </w:r>
      <w:r w:rsidRPr="00105995">
        <w:rPr>
          <w:rFonts w:ascii="Calibri" w:hAnsi="Calibri" w:cs="Calibri"/>
          <w:i/>
          <w:sz w:val="24"/>
          <w:szCs w:val="24"/>
        </w:rPr>
        <w:t>ṯ</w:t>
      </w:r>
      <w:r w:rsidR="009E0048" w:rsidRPr="00C42202">
        <w:rPr>
          <w:rFonts w:ascii="Segoe UI Historic" w:hAnsi="Segoe UI Historic" w:cs="Segoe UI Historic"/>
          <w:i/>
          <w:sz w:val="24"/>
          <w:szCs w:val="24"/>
        </w:rPr>
        <w:t>r</w:t>
      </w:r>
      <w:r w:rsidR="009E0048" w:rsidRPr="00C42202">
        <w:rPr>
          <w:rFonts w:ascii="Segoe UI Historic" w:hAnsi="Segoe UI Historic" w:cs="Segoe UI Historic"/>
          <w:sz w:val="24"/>
          <w:szCs w:val="24"/>
        </w:rPr>
        <w:t xml:space="preserve"> (Onstine, 2016: 220). Another title established in this dynasty was the “God’s Wife of Amun”, </w:t>
      </w:r>
      <w:r w:rsidRPr="00105995">
        <w:rPr>
          <w:rFonts w:ascii="Calibri" w:hAnsi="Calibri" w:cs="Calibri"/>
          <w:i/>
          <w:sz w:val="24"/>
          <w:szCs w:val="24"/>
        </w:rPr>
        <w:t>ḥ</w:t>
      </w:r>
      <w:r w:rsidR="00F10F80" w:rsidRPr="00105995">
        <w:rPr>
          <w:rFonts w:ascii="Segoe UI Historic" w:hAnsi="Segoe UI Historic" w:cs="Segoe UI Historic"/>
          <w:i/>
          <w:sz w:val="24"/>
          <w:szCs w:val="24"/>
        </w:rPr>
        <w:t>m</w:t>
      </w:r>
      <w:r w:rsidR="00F10F80">
        <w:rPr>
          <w:rFonts w:ascii="Segoe UI Historic" w:hAnsi="Segoe UI Historic" w:cs="Segoe UI Historic"/>
          <w:i/>
          <w:sz w:val="24"/>
          <w:szCs w:val="24"/>
        </w:rPr>
        <w:t>.t-</w:t>
      </w:r>
      <w:r w:rsidR="00F10F80" w:rsidRPr="00105995">
        <w:rPr>
          <w:rFonts w:ascii="Segoe UI Historic" w:hAnsi="Segoe UI Historic" w:cs="Segoe UI Historic"/>
          <w:i/>
          <w:sz w:val="24"/>
          <w:szCs w:val="24"/>
        </w:rPr>
        <w:t>n</w:t>
      </w:r>
      <w:r w:rsidRPr="00105995">
        <w:t xml:space="preserve"> </w:t>
      </w:r>
      <w:r w:rsidRPr="00105995">
        <w:rPr>
          <w:rFonts w:ascii="Calibri" w:hAnsi="Calibri" w:cs="Calibri"/>
          <w:i/>
          <w:sz w:val="24"/>
          <w:szCs w:val="24"/>
        </w:rPr>
        <w:t>ṯ</w:t>
      </w:r>
      <w:r w:rsidR="00F10F80" w:rsidRPr="00105995">
        <w:rPr>
          <w:rFonts w:ascii="Segoe UI Historic" w:hAnsi="Segoe UI Historic" w:cs="Segoe UI Historic"/>
          <w:i/>
          <w:sz w:val="24"/>
          <w:szCs w:val="24"/>
        </w:rPr>
        <w:t>r</w:t>
      </w:r>
      <w:r>
        <w:rPr>
          <w:rFonts w:ascii="Segoe UI Historic" w:hAnsi="Segoe UI Historic" w:cs="Segoe UI Historic"/>
          <w:i/>
          <w:sz w:val="24"/>
          <w:szCs w:val="24"/>
        </w:rPr>
        <w:t xml:space="preserve"> n </w:t>
      </w:r>
      <w:r w:rsidR="009E0048" w:rsidRPr="00C42202">
        <w:rPr>
          <w:rFonts w:ascii="Segoe UI Historic" w:hAnsi="Segoe UI Historic" w:cs="Segoe UI Historic"/>
          <w:i/>
          <w:sz w:val="24"/>
          <w:szCs w:val="24"/>
        </w:rPr>
        <w:t>Imn</w:t>
      </w:r>
      <w:r w:rsidR="009E0048" w:rsidRPr="00C42202">
        <w:rPr>
          <w:rFonts w:ascii="Segoe UI Historic" w:hAnsi="Segoe UI Historic" w:cs="Segoe UI Historic"/>
          <w:sz w:val="24"/>
          <w:szCs w:val="24"/>
        </w:rPr>
        <w:t>, held by the queen or princess,</w:t>
      </w:r>
      <w:r>
        <w:rPr>
          <w:rFonts w:ascii="Segoe UI Historic" w:hAnsi="Segoe UI Historic" w:cs="Segoe UI Historic"/>
          <w:sz w:val="24"/>
          <w:szCs w:val="24"/>
        </w:rPr>
        <w:t xml:space="preserve"> which was the female equivalent of the High Priest of Amun (van der Mieroop,</w:t>
      </w:r>
      <w:r w:rsidR="0017028A">
        <w:rPr>
          <w:rFonts w:ascii="Segoe UI Historic" w:hAnsi="Segoe UI Historic" w:cs="Segoe UI Historic"/>
          <w:sz w:val="24"/>
          <w:szCs w:val="24"/>
        </w:rPr>
        <w:t xml:space="preserve"> 2011: 172; Dodson, 2007: 83). I</w:t>
      </w:r>
      <w:r>
        <w:rPr>
          <w:rFonts w:ascii="Segoe UI Historic" w:hAnsi="Segoe UI Historic" w:cs="Segoe UI Historic"/>
          <w:sz w:val="24"/>
          <w:szCs w:val="24"/>
        </w:rPr>
        <w:t>t was</w:t>
      </w:r>
      <w:r w:rsidR="009E0048" w:rsidRPr="00C42202">
        <w:rPr>
          <w:rFonts w:ascii="Segoe UI Historic" w:hAnsi="Segoe UI Historic" w:cs="Segoe UI Historic"/>
          <w:sz w:val="24"/>
          <w:szCs w:val="24"/>
        </w:rPr>
        <w:t xml:space="preserve"> first used</w:t>
      </w:r>
      <w:r>
        <w:rPr>
          <w:rFonts w:ascii="Segoe UI Historic" w:hAnsi="Segoe UI Historic" w:cs="Segoe UI Historic"/>
          <w:sz w:val="24"/>
          <w:szCs w:val="24"/>
        </w:rPr>
        <w:t xml:space="preserve"> in the 18</w:t>
      </w:r>
      <w:r w:rsidRPr="00105995">
        <w:rPr>
          <w:rFonts w:ascii="Segoe UI Historic" w:hAnsi="Segoe UI Historic" w:cs="Segoe UI Historic"/>
          <w:sz w:val="24"/>
          <w:szCs w:val="24"/>
          <w:vertAlign w:val="superscript"/>
        </w:rPr>
        <w:t>th</w:t>
      </w:r>
      <w:r>
        <w:rPr>
          <w:rFonts w:ascii="Segoe UI Historic" w:hAnsi="Segoe UI Historic" w:cs="Segoe UI Historic"/>
          <w:sz w:val="24"/>
          <w:szCs w:val="24"/>
        </w:rPr>
        <w:t xml:space="preserve"> Dynasty</w:t>
      </w:r>
      <w:r w:rsidR="009E0048" w:rsidRPr="00C42202">
        <w:rPr>
          <w:rFonts w:ascii="Segoe UI Historic" w:hAnsi="Segoe UI Historic" w:cs="Segoe UI Historic"/>
          <w:sz w:val="24"/>
          <w:szCs w:val="24"/>
        </w:rPr>
        <w:t xml:space="preserve"> by Ahmose-Nefertari, mother of Amenhotep I and co-regent with him while waiting for him to come of age (Onstine, 2016: 223; Feucht, 2016: 211). Some women also </w:t>
      </w:r>
      <w:r w:rsidR="009E0048" w:rsidRPr="00C42202">
        <w:rPr>
          <w:rFonts w:ascii="Segoe UI Historic" w:hAnsi="Segoe UI Historic" w:cs="Segoe UI Historic"/>
          <w:sz w:val="24"/>
          <w:szCs w:val="24"/>
        </w:rPr>
        <w:lastRenderedPageBreak/>
        <w:t xml:space="preserve">acted as </w:t>
      </w:r>
      <w:r w:rsidR="00DC09EC">
        <w:rPr>
          <w:rFonts w:ascii="Segoe UI Historic" w:hAnsi="Segoe UI Historic" w:cs="Segoe UI Historic"/>
          <w:sz w:val="24"/>
          <w:szCs w:val="24"/>
        </w:rPr>
        <w:t>wet-</w:t>
      </w:r>
      <w:r w:rsidR="009E0048" w:rsidRPr="00C42202">
        <w:rPr>
          <w:rFonts w:ascii="Segoe UI Historic" w:hAnsi="Segoe UI Historic" w:cs="Segoe UI Historic"/>
          <w:sz w:val="24"/>
          <w:szCs w:val="24"/>
        </w:rPr>
        <w:t>nurses to Pharaohs or other royal family members, and in some cases were commemorated by their burial near to their c</w:t>
      </w:r>
      <w:r w:rsidR="00F366CE">
        <w:rPr>
          <w:rFonts w:ascii="Segoe UI Historic" w:hAnsi="Segoe UI Historic" w:cs="Segoe UI Historic"/>
          <w:sz w:val="24"/>
          <w:szCs w:val="24"/>
        </w:rPr>
        <w:t>harge or in scenes within tombs:</w:t>
      </w:r>
      <w:r w:rsidR="009E0048" w:rsidRPr="00C42202">
        <w:rPr>
          <w:rFonts w:ascii="Segoe UI Historic" w:hAnsi="Segoe UI Historic" w:cs="Segoe UI Historic"/>
          <w:sz w:val="24"/>
          <w:szCs w:val="24"/>
        </w:rPr>
        <w:t xml:space="preserve"> Sitra was buried near the tomb of Hatshepsut, and Senetnay near Amenhotep II, both of which lie in the Valley of the Kings (Feucht, 2016: 207).</w:t>
      </w:r>
      <w:r w:rsidR="009E0048">
        <w:rPr>
          <w:rFonts w:ascii="Segoe UI Historic" w:hAnsi="Segoe UI Historic" w:cs="Segoe UI Historic"/>
          <w:sz w:val="24"/>
          <w:szCs w:val="24"/>
        </w:rPr>
        <w:t xml:space="preserve"> Mothers</w:t>
      </w:r>
      <w:r>
        <w:rPr>
          <w:rFonts w:ascii="Segoe UI Historic" w:hAnsi="Segoe UI Historic" w:cs="Segoe UI Historic"/>
          <w:sz w:val="24"/>
          <w:szCs w:val="24"/>
        </w:rPr>
        <w:t>, whether royal</w:t>
      </w:r>
      <w:r w:rsidR="00DC09EC">
        <w:rPr>
          <w:rFonts w:ascii="Segoe UI Historic" w:hAnsi="Segoe UI Historic" w:cs="Segoe UI Historic"/>
          <w:sz w:val="24"/>
          <w:szCs w:val="24"/>
        </w:rPr>
        <w:t>,</w:t>
      </w:r>
      <w:r>
        <w:rPr>
          <w:rFonts w:ascii="Segoe UI Historic" w:hAnsi="Segoe UI Historic" w:cs="Segoe UI Historic"/>
          <w:sz w:val="24"/>
          <w:szCs w:val="24"/>
        </w:rPr>
        <w:t xml:space="preserve"> elite or neither, </w:t>
      </w:r>
      <w:r w:rsidR="00F366CE">
        <w:rPr>
          <w:rFonts w:ascii="Segoe UI Historic" w:hAnsi="Segoe UI Historic" w:cs="Segoe UI Historic"/>
          <w:sz w:val="24"/>
          <w:szCs w:val="24"/>
        </w:rPr>
        <w:t xml:space="preserve">also </w:t>
      </w:r>
      <w:r>
        <w:rPr>
          <w:rFonts w:ascii="Segoe UI Historic" w:hAnsi="Segoe UI Historic" w:cs="Segoe UI Historic"/>
          <w:sz w:val="24"/>
          <w:szCs w:val="24"/>
        </w:rPr>
        <w:t xml:space="preserve">held an important </w:t>
      </w:r>
      <w:r w:rsidR="00F366CE">
        <w:rPr>
          <w:rFonts w:ascii="Segoe UI Historic" w:hAnsi="Segoe UI Historic" w:cs="Segoe UI Historic"/>
          <w:sz w:val="24"/>
          <w:szCs w:val="24"/>
        </w:rPr>
        <w:t>role</w:t>
      </w:r>
      <w:r w:rsidR="009E0048">
        <w:rPr>
          <w:rFonts w:ascii="Segoe UI Historic" w:hAnsi="Segoe UI Historic" w:cs="Segoe UI Historic"/>
          <w:sz w:val="24"/>
          <w:szCs w:val="24"/>
        </w:rPr>
        <w:t>; it was the responsibility of the mother to nurse and bring up their children.</w:t>
      </w:r>
      <w:r w:rsidR="00196208">
        <w:rPr>
          <w:rFonts w:ascii="Segoe UI Historic" w:hAnsi="Segoe UI Historic" w:cs="Segoe UI Historic"/>
          <w:sz w:val="24"/>
          <w:szCs w:val="24"/>
        </w:rPr>
        <w:t xml:space="preserve"> </w:t>
      </w:r>
      <w:r w:rsidR="00403012">
        <w:rPr>
          <w:rFonts w:ascii="Segoe UI Historic" w:hAnsi="Segoe UI Historic" w:cs="Segoe UI Historic"/>
          <w:sz w:val="24"/>
          <w:szCs w:val="24"/>
        </w:rPr>
        <w:t xml:space="preserve">The </w:t>
      </w:r>
      <w:r w:rsidR="00614237">
        <w:rPr>
          <w:rFonts w:ascii="Segoe UI Historic" w:hAnsi="Segoe UI Historic" w:cs="Segoe UI Historic"/>
          <w:sz w:val="24"/>
          <w:szCs w:val="24"/>
        </w:rPr>
        <w:t>“</w:t>
      </w:r>
      <w:r w:rsidR="00403012">
        <w:rPr>
          <w:rFonts w:ascii="Segoe UI Historic" w:hAnsi="Segoe UI Historic" w:cs="Segoe UI Historic"/>
          <w:sz w:val="24"/>
          <w:szCs w:val="24"/>
        </w:rPr>
        <w:t>Later Proclamation</w:t>
      </w:r>
      <w:r w:rsidR="00614237">
        <w:rPr>
          <w:rFonts w:ascii="Segoe UI Historic" w:hAnsi="Segoe UI Historic" w:cs="Segoe UI Historic"/>
          <w:sz w:val="24"/>
          <w:szCs w:val="24"/>
        </w:rPr>
        <w:t>”</w:t>
      </w:r>
      <w:bookmarkStart w:id="0" w:name="_GoBack"/>
      <w:bookmarkEnd w:id="0"/>
      <w:r w:rsidR="00403012">
        <w:rPr>
          <w:rFonts w:ascii="Segoe UI Historic" w:hAnsi="Segoe UI Historic" w:cs="Segoe UI Historic"/>
          <w:sz w:val="24"/>
          <w:szCs w:val="24"/>
        </w:rPr>
        <w:t xml:space="preserve"> Boundary </w:t>
      </w:r>
      <w:r w:rsidR="00614237">
        <w:rPr>
          <w:rFonts w:ascii="Segoe UI Historic" w:hAnsi="Segoe UI Historic" w:cs="Segoe UI Historic"/>
          <w:sz w:val="24"/>
          <w:szCs w:val="24"/>
        </w:rPr>
        <w:t>S</w:t>
      </w:r>
      <w:r w:rsidR="00403012">
        <w:rPr>
          <w:rFonts w:ascii="Segoe UI Historic" w:hAnsi="Segoe UI Historic" w:cs="Segoe UI Historic"/>
          <w:sz w:val="24"/>
          <w:szCs w:val="24"/>
        </w:rPr>
        <w:t>tela</w:t>
      </w:r>
      <w:r w:rsidR="00025534">
        <w:rPr>
          <w:rFonts w:ascii="Segoe UI Historic" w:hAnsi="Segoe UI Historic" w:cs="Segoe UI Historic"/>
          <w:sz w:val="24"/>
          <w:szCs w:val="24"/>
        </w:rPr>
        <w:t xml:space="preserve"> in Akhet-Aten</w:t>
      </w:r>
      <w:r w:rsidR="00403012">
        <w:rPr>
          <w:rFonts w:ascii="Segoe UI Historic" w:hAnsi="Segoe UI Historic" w:cs="Segoe UI Historic"/>
          <w:sz w:val="24"/>
          <w:szCs w:val="24"/>
        </w:rPr>
        <w:t xml:space="preserve">, </w:t>
      </w:r>
      <w:r w:rsidR="00025534">
        <w:rPr>
          <w:rFonts w:ascii="Segoe UI Historic" w:hAnsi="Segoe UI Historic" w:cs="Segoe UI Historic"/>
          <w:sz w:val="24"/>
          <w:szCs w:val="24"/>
        </w:rPr>
        <w:t xml:space="preserve">produced in the eight regnal year of Akhenaten, </w:t>
      </w:r>
      <w:r w:rsidR="00630E51">
        <w:rPr>
          <w:rFonts w:ascii="Segoe UI Historic" w:hAnsi="Segoe UI Historic" w:cs="Segoe UI Historic"/>
          <w:sz w:val="24"/>
          <w:szCs w:val="24"/>
        </w:rPr>
        <w:t xml:space="preserve">states that the upbringing of the children of Akhenaten and Nefertiti was </w:t>
      </w:r>
      <w:r w:rsidR="0017028A">
        <w:rPr>
          <w:rFonts w:ascii="Segoe UI Historic" w:hAnsi="Segoe UI Historic" w:cs="Segoe UI Historic"/>
          <w:sz w:val="24"/>
          <w:szCs w:val="24"/>
        </w:rPr>
        <w:t xml:space="preserve">the </w:t>
      </w:r>
      <w:r w:rsidR="00630E51">
        <w:rPr>
          <w:rFonts w:ascii="Segoe UI Historic" w:hAnsi="Segoe UI Historic" w:cs="Segoe UI Historic"/>
          <w:sz w:val="24"/>
          <w:szCs w:val="24"/>
        </w:rPr>
        <w:t>responsibility of the latter but was directed by the former (Feucht, 2016: 206, 208</w:t>
      </w:r>
      <w:r w:rsidR="00025534">
        <w:rPr>
          <w:rFonts w:ascii="Segoe UI Historic" w:hAnsi="Segoe UI Historic" w:cs="Segoe UI Historic"/>
          <w:sz w:val="24"/>
          <w:szCs w:val="24"/>
        </w:rPr>
        <w:t xml:space="preserve">; Murnane, </w:t>
      </w:r>
      <w:r w:rsidR="00F31393">
        <w:rPr>
          <w:rFonts w:ascii="Segoe UI Historic" w:hAnsi="Segoe UI Historic" w:cs="Segoe UI Historic"/>
          <w:sz w:val="24"/>
          <w:szCs w:val="24"/>
        </w:rPr>
        <w:t xml:space="preserve">1995: </w:t>
      </w:r>
      <w:r w:rsidR="007D7483">
        <w:rPr>
          <w:rFonts w:ascii="Segoe UI Historic" w:hAnsi="Segoe UI Historic" w:cs="Segoe UI Historic"/>
          <w:sz w:val="24"/>
          <w:szCs w:val="24"/>
        </w:rPr>
        <w:t>83</w:t>
      </w:r>
      <w:r w:rsidR="00630E51">
        <w:rPr>
          <w:rFonts w:ascii="Segoe UI Historic" w:hAnsi="Segoe UI Historic" w:cs="Segoe UI Historic"/>
          <w:sz w:val="24"/>
          <w:szCs w:val="24"/>
        </w:rPr>
        <w:t>).</w:t>
      </w:r>
    </w:p>
    <w:p w14:paraId="1FF3E965" w14:textId="77777777" w:rsidR="00196208" w:rsidRDefault="00196208" w:rsidP="003E5C15">
      <w:pPr>
        <w:pStyle w:val="NoSpacing"/>
        <w:spacing w:line="360" w:lineRule="auto"/>
        <w:rPr>
          <w:rFonts w:ascii="Segoe UI Historic" w:hAnsi="Segoe UI Historic" w:cs="Segoe UI Historic"/>
          <w:sz w:val="24"/>
          <w:szCs w:val="24"/>
        </w:rPr>
      </w:pPr>
    </w:p>
    <w:p w14:paraId="459D3519" w14:textId="599A8927" w:rsidR="00F366CE" w:rsidRDefault="00E8037B" w:rsidP="003E5C15">
      <w:pPr>
        <w:pStyle w:val="NoSpacing"/>
        <w:spacing w:line="360" w:lineRule="auto"/>
        <w:rPr>
          <w:rFonts w:ascii="Segoe UI Historic" w:hAnsi="Segoe UI Historic" w:cs="Segoe UI Historic"/>
          <w:sz w:val="24"/>
          <w:szCs w:val="24"/>
        </w:rPr>
      </w:pPr>
      <w:r>
        <w:rPr>
          <w:rFonts w:ascii="Segoe UI Historic" w:hAnsi="Segoe UI Historic" w:cs="Segoe UI Historic"/>
          <w:sz w:val="24"/>
          <w:szCs w:val="24"/>
        </w:rPr>
        <w:t xml:space="preserve">Women as queens held </w:t>
      </w:r>
      <w:r w:rsidR="003717DE">
        <w:rPr>
          <w:rFonts w:ascii="Segoe UI Historic" w:hAnsi="Segoe UI Historic" w:cs="Segoe UI Historic"/>
          <w:sz w:val="24"/>
          <w:szCs w:val="24"/>
        </w:rPr>
        <w:t>pronounced</w:t>
      </w:r>
      <w:r>
        <w:rPr>
          <w:rFonts w:ascii="Segoe UI Historic" w:hAnsi="Segoe UI Historic" w:cs="Segoe UI Historic"/>
          <w:sz w:val="24"/>
          <w:szCs w:val="24"/>
        </w:rPr>
        <w:t xml:space="preserve"> significance.</w:t>
      </w:r>
      <w:r w:rsidR="00196208">
        <w:rPr>
          <w:rFonts w:ascii="Segoe UI Historic" w:hAnsi="Segoe UI Historic" w:cs="Segoe UI Historic"/>
          <w:sz w:val="24"/>
          <w:szCs w:val="24"/>
        </w:rPr>
        <w:t xml:space="preserve"> </w:t>
      </w:r>
      <w:r>
        <w:rPr>
          <w:rFonts w:ascii="Segoe UI Historic" w:hAnsi="Segoe UI Historic" w:cs="Segoe UI Historic"/>
          <w:sz w:val="24"/>
          <w:szCs w:val="24"/>
        </w:rPr>
        <w:t>T</w:t>
      </w:r>
      <w:r w:rsidRPr="001A0240">
        <w:rPr>
          <w:rFonts w:ascii="Segoe UI Historic" w:hAnsi="Segoe UI Historic" w:cs="Segoe UI Historic"/>
          <w:sz w:val="24"/>
          <w:szCs w:val="24"/>
        </w:rPr>
        <w:t xml:space="preserve">he </w:t>
      </w:r>
      <w:r w:rsidR="00196208" w:rsidRPr="001A0240">
        <w:rPr>
          <w:rFonts w:ascii="Segoe UI Historic" w:hAnsi="Segoe UI Historic" w:cs="Segoe UI Historic"/>
          <w:sz w:val="24"/>
          <w:szCs w:val="24"/>
        </w:rPr>
        <w:t>precedent had been set by A</w:t>
      </w:r>
      <w:r w:rsidR="00196208">
        <w:rPr>
          <w:rFonts w:ascii="Segoe UI Historic" w:hAnsi="Segoe UI Historic" w:cs="Segoe UI Historic"/>
          <w:sz w:val="24"/>
          <w:szCs w:val="24"/>
        </w:rPr>
        <w:t>hhotep and Tetisheri, mother and grandmother of Ahmose I respectively, at the beginning of the 18</w:t>
      </w:r>
      <w:r w:rsidR="00196208" w:rsidRPr="001A0240">
        <w:rPr>
          <w:rFonts w:ascii="Segoe UI Historic" w:hAnsi="Segoe UI Historic" w:cs="Segoe UI Historic"/>
          <w:sz w:val="24"/>
          <w:szCs w:val="24"/>
          <w:vertAlign w:val="superscript"/>
        </w:rPr>
        <w:t>th</w:t>
      </w:r>
      <w:r w:rsidR="00196208">
        <w:rPr>
          <w:rFonts w:ascii="Segoe UI Historic" w:hAnsi="Segoe UI Historic" w:cs="Segoe UI Historic"/>
          <w:sz w:val="24"/>
          <w:szCs w:val="24"/>
        </w:rPr>
        <w:t xml:space="preserve"> Dynasty. </w:t>
      </w:r>
      <w:r w:rsidR="00F10F80">
        <w:rPr>
          <w:rFonts w:ascii="Segoe UI Historic" w:hAnsi="Segoe UI Historic" w:cs="Segoe UI Historic"/>
          <w:sz w:val="24"/>
          <w:szCs w:val="24"/>
        </w:rPr>
        <w:t xml:space="preserve">Generally, </w:t>
      </w:r>
      <w:r>
        <w:rPr>
          <w:rFonts w:ascii="Segoe UI Historic" w:hAnsi="Segoe UI Historic" w:cs="Segoe UI Historic"/>
          <w:sz w:val="24"/>
          <w:szCs w:val="24"/>
        </w:rPr>
        <w:t xml:space="preserve">both </w:t>
      </w:r>
      <w:r w:rsidR="00F10F80">
        <w:rPr>
          <w:rFonts w:ascii="Segoe UI Historic" w:hAnsi="Segoe UI Historic" w:cs="Segoe UI Historic"/>
          <w:sz w:val="24"/>
          <w:szCs w:val="24"/>
        </w:rPr>
        <w:t>the wife and mother of a pharaoh played a vital role to the pharaoh</w:t>
      </w:r>
      <w:r>
        <w:rPr>
          <w:rFonts w:ascii="Segoe UI Historic" w:hAnsi="Segoe UI Historic" w:cs="Segoe UI Historic"/>
          <w:sz w:val="24"/>
          <w:szCs w:val="24"/>
        </w:rPr>
        <w:t>. H</w:t>
      </w:r>
      <w:r w:rsidR="00F10F80">
        <w:rPr>
          <w:rFonts w:ascii="Segoe UI Historic" w:hAnsi="Segoe UI Historic" w:cs="Segoe UI Historic"/>
          <w:sz w:val="24"/>
          <w:szCs w:val="24"/>
        </w:rPr>
        <w:t xml:space="preserve">is mother was </w:t>
      </w:r>
      <w:r>
        <w:rPr>
          <w:rFonts w:ascii="Segoe UI Historic" w:hAnsi="Segoe UI Historic" w:cs="Segoe UI Historic"/>
          <w:sz w:val="24"/>
          <w:szCs w:val="24"/>
        </w:rPr>
        <w:t xml:space="preserve">usually </w:t>
      </w:r>
      <w:r w:rsidR="00F10F80">
        <w:rPr>
          <w:rFonts w:ascii="Segoe UI Historic" w:hAnsi="Segoe UI Historic" w:cs="Segoe UI Historic"/>
          <w:sz w:val="24"/>
          <w:szCs w:val="24"/>
        </w:rPr>
        <w:t xml:space="preserve">the wife of the previous pharaoh, and the pharaoh’s wife would become the mother of his successor. </w:t>
      </w:r>
      <w:r w:rsidR="00196208">
        <w:rPr>
          <w:rFonts w:ascii="Segoe UI Historic" w:hAnsi="Segoe UI Historic" w:cs="Segoe UI Historic"/>
          <w:sz w:val="24"/>
          <w:szCs w:val="24"/>
        </w:rPr>
        <w:t>Ahmose I had yet to come of age when he became pharaoh and as a result, Ahhotep and Tetisheri became regents on his behalf. This was also reflected shortly after</w:t>
      </w:r>
      <w:r w:rsidR="00F366CE">
        <w:rPr>
          <w:rFonts w:ascii="Segoe UI Historic" w:hAnsi="Segoe UI Historic" w:cs="Segoe UI Historic"/>
          <w:sz w:val="24"/>
          <w:szCs w:val="24"/>
        </w:rPr>
        <w:t>wards</w:t>
      </w:r>
      <w:r w:rsidR="00196208">
        <w:rPr>
          <w:rFonts w:ascii="Segoe UI Historic" w:hAnsi="Segoe UI Historic" w:cs="Segoe UI Historic"/>
          <w:sz w:val="24"/>
          <w:szCs w:val="24"/>
        </w:rPr>
        <w:t xml:space="preserve"> when Ahmes-Nefertari took regency for her underage son, Amenhotep I,</w:t>
      </w:r>
      <w:r w:rsidR="00C356DA">
        <w:rPr>
          <w:rFonts w:ascii="Segoe UI Historic" w:hAnsi="Segoe UI Historic" w:cs="Segoe UI Historic"/>
          <w:sz w:val="24"/>
          <w:szCs w:val="24"/>
        </w:rPr>
        <w:t xml:space="preserve"> the nephew of Ahmose I </w:t>
      </w:r>
      <w:r w:rsidR="00196208">
        <w:rPr>
          <w:rFonts w:ascii="Segoe UI Historic" w:hAnsi="Segoe UI Historic" w:cs="Segoe UI Historic"/>
          <w:sz w:val="24"/>
          <w:szCs w:val="24"/>
        </w:rPr>
        <w:t xml:space="preserve">(Feucht, 2016: 210, 211). These showed the power the royal women had, and paved the way for the later pharaohs in conveying their wife as a queen, and subsequently their equal. </w:t>
      </w:r>
    </w:p>
    <w:p w14:paraId="67F9E6FC" w14:textId="77777777" w:rsidR="00C356DA" w:rsidRDefault="00C356DA" w:rsidP="003E5C15">
      <w:pPr>
        <w:pStyle w:val="NoSpacing"/>
        <w:spacing w:line="360" w:lineRule="auto"/>
        <w:rPr>
          <w:rFonts w:ascii="Segoe UI Historic" w:hAnsi="Segoe UI Historic" w:cs="Segoe UI Historic"/>
          <w:sz w:val="24"/>
          <w:szCs w:val="24"/>
        </w:rPr>
      </w:pPr>
    </w:p>
    <w:p w14:paraId="6A4E7098" w14:textId="3D5D73CF" w:rsidR="00196208" w:rsidRPr="004A229F" w:rsidRDefault="00196208" w:rsidP="003E5C15">
      <w:pPr>
        <w:pStyle w:val="NoSpacing"/>
        <w:spacing w:line="360" w:lineRule="auto"/>
        <w:rPr>
          <w:rFonts w:ascii="Segoe UI Historic" w:hAnsi="Segoe UI Historic" w:cs="Segoe UI Historic"/>
          <w:sz w:val="24"/>
          <w:szCs w:val="24"/>
        </w:rPr>
      </w:pPr>
      <w:r w:rsidRPr="006119AE">
        <w:rPr>
          <w:rFonts w:ascii="Segoe UI Historic" w:hAnsi="Segoe UI Historic" w:cs="Segoe UI Historic"/>
          <w:sz w:val="24"/>
          <w:szCs w:val="24"/>
        </w:rPr>
        <w:t>Royal women were seen in depicted scenes of the 17</w:t>
      </w:r>
      <w:r w:rsidRPr="006119AE">
        <w:rPr>
          <w:rFonts w:ascii="Segoe UI Historic" w:hAnsi="Segoe UI Historic" w:cs="Segoe UI Historic"/>
          <w:sz w:val="24"/>
          <w:szCs w:val="24"/>
          <w:vertAlign w:val="superscript"/>
        </w:rPr>
        <w:t>th</w:t>
      </w:r>
      <w:r w:rsidRPr="006119AE">
        <w:rPr>
          <w:rFonts w:ascii="Segoe UI Historic" w:hAnsi="Segoe UI Historic" w:cs="Segoe UI Historic"/>
          <w:sz w:val="24"/>
          <w:szCs w:val="24"/>
        </w:rPr>
        <w:t xml:space="preserve"> and 18</w:t>
      </w:r>
      <w:r w:rsidRPr="006119AE">
        <w:rPr>
          <w:rFonts w:ascii="Segoe UI Historic" w:hAnsi="Segoe UI Historic" w:cs="Segoe UI Historic"/>
          <w:sz w:val="24"/>
          <w:szCs w:val="24"/>
          <w:vertAlign w:val="superscript"/>
        </w:rPr>
        <w:t>th</w:t>
      </w:r>
      <w:r w:rsidRPr="006119AE">
        <w:rPr>
          <w:rFonts w:ascii="Segoe UI Historic" w:hAnsi="Segoe UI Historic" w:cs="Segoe UI Historic"/>
          <w:sz w:val="24"/>
          <w:szCs w:val="24"/>
        </w:rPr>
        <w:t xml:space="preserve"> Dynasty as ‘the centre of power’ (Zinn, 2016: 256; Schoske, 2008: 118)</w:t>
      </w:r>
      <w:r w:rsidR="00C67B8C">
        <w:rPr>
          <w:rFonts w:ascii="Segoe UI Historic" w:hAnsi="Segoe UI Historic" w:cs="Segoe UI Historic"/>
          <w:sz w:val="24"/>
          <w:szCs w:val="24"/>
        </w:rPr>
        <w:t>, and in</w:t>
      </w:r>
      <w:r w:rsidRPr="006119AE">
        <w:rPr>
          <w:rFonts w:ascii="Segoe UI Historic" w:hAnsi="Segoe UI Historic" w:cs="Segoe UI Historic"/>
          <w:sz w:val="24"/>
          <w:szCs w:val="24"/>
        </w:rPr>
        <w:t xml:space="preserve"> the absence of the Pharaoh, the </w:t>
      </w:r>
      <w:r w:rsidR="00616486">
        <w:rPr>
          <w:rFonts w:ascii="Segoe UI Historic" w:hAnsi="Segoe UI Historic" w:cs="Segoe UI Historic"/>
          <w:sz w:val="24"/>
          <w:szCs w:val="24"/>
        </w:rPr>
        <w:t>queens</w:t>
      </w:r>
      <w:r w:rsidRPr="006119AE">
        <w:rPr>
          <w:rFonts w:ascii="Segoe UI Historic" w:hAnsi="Segoe UI Historic" w:cs="Segoe UI Historic"/>
          <w:sz w:val="24"/>
          <w:szCs w:val="24"/>
        </w:rPr>
        <w:t xml:space="preserve"> were their equivalent</w:t>
      </w:r>
      <w:r w:rsidR="00817D28">
        <w:rPr>
          <w:rFonts w:ascii="Segoe UI Historic" w:hAnsi="Segoe UI Historic" w:cs="Segoe UI Historic"/>
          <w:sz w:val="24"/>
          <w:szCs w:val="24"/>
        </w:rPr>
        <w:t xml:space="preserve"> (Tyldesley, 2016: 275)</w:t>
      </w:r>
      <w:r w:rsidRPr="006119AE">
        <w:rPr>
          <w:rFonts w:ascii="Segoe UI Historic" w:hAnsi="Segoe UI Historic" w:cs="Segoe UI Historic"/>
          <w:sz w:val="24"/>
          <w:szCs w:val="24"/>
        </w:rPr>
        <w:t>.</w:t>
      </w:r>
      <w:r w:rsidR="008607DD">
        <w:rPr>
          <w:rFonts w:ascii="Segoe UI Historic" w:hAnsi="Segoe UI Historic" w:cs="Segoe UI Historic"/>
          <w:sz w:val="24"/>
          <w:szCs w:val="24"/>
        </w:rPr>
        <w:t xml:space="preserve"> </w:t>
      </w:r>
      <w:r w:rsidR="00DA5951">
        <w:rPr>
          <w:rFonts w:ascii="Segoe UI Historic" w:hAnsi="Segoe UI Historic" w:cs="Segoe UI Historic"/>
          <w:sz w:val="24"/>
          <w:szCs w:val="24"/>
        </w:rPr>
        <w:t>Women were essential to the legitimisation of the pharaoh to be the ruler of Egypt; the pharaoh’s divine conception between his mother and the god, Amun-Ra, which showed the pharaoh’s divinity and r</w:t>
      </w:r>
      <w:r w:rsidR="00F366CE">
        <w:rPr>
          <w:rFonts w:ascii="Segoe UI Historic" w:hAnsi="Segoe UI Historic" w:cs="Segoe UI Historic"/>
          <w:sz w:val="24"/>
          <w:szCs w:val="24"/>
        </w:rPr>
        <w:t>ight to rule (Rikala, 2003: 12). T</w:t>
      </w:r>
      <w:r w:rsidR="00DA5951">
        <w:rPr>
          <w:rFonts w:ascii="Segoe UI Historic" w:hAnsi="Segoe UI Historic" w:cs="Segoe UI Historic"/>
          <w:sz w:val="24"/>
          <w:szCs w:val="24"/>
        </w:rPr>
        <w:t xml:space="preserve">his was used particularly by Hatshepsut, in order to prove herself as the divine pharaoh and prevent </w:t>
      </w:r>
      <w:r w:rsidR="00EF4C68">
        <w:rPr>
          <w:rFonts w:ascii="Segoe UI Historic" w:hAnsi="Segoe UI Historic" w:cs="Segoe UI Historic"/>
          <w:sz w:val="24"/>
          <w:szCs w:val="24"/>
        </w:rPr>
        <w:t xml:space="preserve">the throne from </w:t>
      </w:r>
      <w:r w:rsidR="00DA5951">
        <w:rPr>
          <w:rFonts w:ascii="Segoe UI Historic" w:hAnsi="Segoe UI Historic" w:cs="Segoe UI Historic"/>
          <w:sz w:val="24"/>
          <w:szCs w:val="24"/>
        </w:rPr>
        <w:t>being usurped before Thutmose III could take the throne (Schoske, 2008: 194-</w:t>
      </w:r>
      <w:r w:rsidR="00DA5951">
        <w:rPr>
          <w:rFonts w:ascii="Segoe UI Historic" w:hAnsi="Segoe UI Historic" w:cs="Segoe UI Historic"/>
          <w:sz w:val="24"/>
          <w:szCs w:val="24"/>
        </w:rPr>
        <w:lastRenderedPageBreak/>
        <w:t>195)</w:t>
      </w:r>
      <w:r w:rsidR="000A27CC">
        <w:rPr>
          <w:rFonts w:ascii="Segoe UI Historic" w:hAnsi="Segoe UI Historic" w:cs="Segoe UI Historic"/>
          <w:sz w:val="24"/>
          <w:szCs w:val="24"/>
        </w:rPr>
        <w:t>. This was also the case with</w:t>
      </w:r>
      <w:r w:rsidR="004B4092">
        <w:rPr>
          <w:rFonts w:ascii="Segoe UI Historic" w:hAnsi="Segoe UI Historic" w:cs="Segoe UI Historic"/>
          <w:sz w:val="24"/>
          <w:szCs w:val="24"/>
        </w:rPr>
        <w:t xml:space="preserve">, Mutemwia, </w:t>
      </w:r>
      <w:r w:rsidR="000A27CC">
        <w:rPr>
          <w:rFonts w:ascii="Segoe UI Historic" w:hAnsi="Segoe UI Historic" w:cs="Segoe UI Historic"/>
          <w:sz w:val="24"/>
          <w:szCs w:val="24"/>
        </w:rPr>
        <w:t>the mother of A</w:t>
      </w:r>
      <w:r w:rsidR="00C356DA">
        <w:rPr>
          <w:rFonts w:ascii="Segoe UI Historic" w:hAnsi="Segoe UI Historic" w:cs="Segoe UI Historic"/>
          <w:sz w:val="24"/>
          <w:szCs w:val="24"/>
        </w:rPr>
        <w:t xml:space="preserve">menhotep </w:t>
      </w:r>
      <w:r w:rsidR="000A27CC">
        <w:rPr>
          <w:rFonts w:ascii="Segoe UI Historic" w:hAnsi="Segoe UI Historic" w:cs="Segoe UI Historic"/>
          <w:sz w:val="24"/>
          <w:szCs w:val="24"/>
        </w:rPr>
        <w:t xml:space="preserve">III, </w:t>
      </w:r>
      <w:r w:rsidR="004B4092">
        <w:rPr>
          <w:rFonts w:ascii="Segoe UI Historic" w:hAnsi="Segoe UI Historic" w:cs="Segoe UI Historic"/>
          <w:sz w:val="24"/>
          <w:szCs w:val="24"/>
        </w:rPr>
        <w:t>legitimising his right as the divine pharaoh and son of Amun, as well as increasing his mother’s previously low status (Tyldesley, 2016: 276)</w:t>
      </w:r>
      <w:r w:rsidR="00DA5951">
        <w:rPr>
          <w:rFonts w:ascii="Segoe UI Historic" w:hAnsi="Segoe UI Historic" w:cs="Segoe UI Historic"/>
          <w:sz w:val="24"/>
          <w:szCs w:val="24"/>
        </w:rPr>
        <w:t>.</w:t>
      </w:r>
      <w:r w:rsidR="004B4092">
        <w:rPr>
          <w:rFonts w:ascii="Segoe UI Historic" w:hAnsi="Segoe UI Historic" w:cs="Segoe UI Historic"/>
          <w:sz w:val="24"/>
          <w:szCs w:val="24"/>
        </w:rPr>
        <w:t xml:space="preserve"> </w:t>
      </w:r>
      <w:r w:rsidR="008607DD">
        <w:rPr>
          <w:rFonts w:ascii="Segoe UI Historic" w:hAnsi="Segoe UI Historic" w:cs="Segoe UI Historic"/>
          <w:sz w:val="24"/>
          <w:szCs w:val="24"/>
        </w:rPr>
        <w:t>Hatshepsut, a female pharaoh and regent for Thutmose III, needed a Great Royal Wife</w:t>
      </w:r>
      <w:r w:rsidR="00630E51">
        <w:rPr>
          <w:rFonts w:ascii="Segoe UI Historic" w:hAnsi="Segoe UI Historic" w:cs="Segoe UI Historic"/>
          <w:sz w:val="24"/>
          <w:szCs w:val="24"/>
        </w:rPr>
        <w:t>, who essentially held the feminised titles of the pharaoh and supp</w:t>
      </w:r>
      <w:r w:rsidR="0017028A">
        <w:rPr>
          <w:rFonts w:ascii="Segoe UI Historic" w:hAnsi="Segoe UI Historic" w:cs="Segoe UI Historic"/>
          <w:sz w:val="24"/>
          <w:szCs w:val="24"/>
        </w:rPr>
        <w:t>orted the wife’s</w:t>
      </w:r>
      <w:r w:rsidR="00630E51">
        <w:rPr>
          <w:rFonts w:ascii="Segoe UI Historic" w:hAnsi="Segoe UI Historic" w:cs="Segoe UI Historic"/>
          <w:sz w:val="24"/>
          <w:szCs w:val="24"/>
        </w:rPr>
        <w:t xml:space="preserve"> status as equal to the pharaoh (Dodson, 2007: 83),</w:t>
      </w:r>
      <w:r w:rsidR="008607DD">
        <w:rPr>
          <w:rFonts w:ascii="Segoe UI Historic" w:hAnsi="Segoe UI Historic" w:cs="Segoe UI Historic"/>
          <w:sz w:val="24"/>
          <w:szCs w:val="24"/>
        </w:rPr>
        <w:t xml:space="preserve"> in order to </w:t>
      </w:r>
      <w:r w:rsidR="00DA5951">
        <w:rPr>
          <w:rFonts w:ascii="Segoe UI Historic" w:hAnsi="Segoe UI Historic" w:cs="Segoe UI Historic"/>
          <w:sz w:val="24"/>
          <w:szCs w:val="24"/>
        </w:rPr>
        <w:t xml:space="preserve">further </w:t>
      </w:r>
      <w:r w:rsidR="008607DD">
        <w:rPr>
          <w:rFonts w:ascii="Segoe UI Historic" w:hAnsi="Segoe UI Historic" w:cs="Segoe UI Historic"/>
          <w:sz w:val="24"/>
          <w:szCs w:val="24"/>
        </w:rPr>
        <w:t xml:space="preserve">legitimise her role as pharaoh. </w:t>
      </w:r>
      <w:r w:rsidR="00E45355">
        <w:rPr>
          <w:rFonts w:ascii="Segoe UI Historic" w:hAnsi="Segoe UI Historic" w:cs="Segoe UI Historic"/>
          <w:sz w:val="24"/>
          <w:szCs w:val="24"/>
        </w:rPr>
        <w:t>In need of an</w:t>
      </w:r>
      <w:r w:rsidR="008607DD">
        <w:rPr>
          <w:rFonts w:ascii="Segoe UI Historic" w:hAnsi="Segoe UI Historic" w:cs="Segoe UI Historic"/>
          <w:sz w:val="24"/>
          <w:szCs w:val="24"/>
        </w:rPr>
        <w:t xml:space="preserve"> equivalent of the pharaoh’s wife</w:t>
      </w:r>
      <w:r w:rsidR="00E45355">
        <w:rPr>
          <w:rFonts w:ascii="Segoe UI Historic" w:hAnsi="Segoe UI Historic" w:cs="Segoe UI Historic"/>
          <w:sz w:val="24"/>
          <w:szCs w:val="24"/>
        </w:rPr>
        <w:t xml:space="preserve"> in </w:t>
      </w:r>
      <w:r w:rsidR="00C356DA">
        <w:rPr>
          <w:rFonts w:ascii="Segoe UI Historic" w:hAnsi="Segoe UI Historic" w:cs="Segoe UI Historic"/>
          <w:sz w:val="24"/>
          <w:szCs w:val="24"/>
        </w:rPr>
        <w:t xml:space="preserve">the </w:t>
      </w:r>
      <w:r w:rsidR="00E45355">
        <w:rPr>
          <w:rFonts w:ascii="Segoe UI Historic" w:hAnsi="Segoe UI Historic" w:cs="Segoe UI Historic"/>
          <w:sz w:val="24"/>
          <w:szCs w:val="24"/>
        </w:rPr>
        <w:t>ritual and political setting</w:t>
      </w:r>
      <w:r w:rsidR="00C356DA">
        <w:rPr>
          <w:rFonts w:ascii="Segoe UI Historic" w:hAnsi="Segoe UI Historic" w:cs="Segoe UI Historic"/>
          <w:sz w:val="24"/>
          <w:szCs w:val="24"/>
        </w:rPr>
        <w:t>s</w:t>
      </w:r>
      <w:r w:rsidR="008607DD">
        <w:rPr>
          <w:rFonts w:ascii="Segoe UI Historic" w:hAnsi="Segoe UI Historic" w:cs="Segoe UI Historic"/>
          <w:sz w:val="24"/>
          <w:szCs w:val="24"/>
        </w:rPr>
        <w:t>,</w:t>
      </w:r>
      <w:r w:rsidR="00DA5951">
        <w:rPr>
          <w:rFonts w:ascii="Segoe UI Historic" w:hAnsi="Segoe UI Historic" w:cs="Segoe UI Historic"/>
          <w:sz w:val="24"/>
          <w:szCs w:val="24"/>
        </w:rPr>
        <w:t xml:space="preserve"> she used her </w:t>
      </w:r>
      <w:r w:rsidR="008607DD">
        <w:rPr>
          <w:rFonts w:ascii="Segoe UI Historic" w:hAnsi="Segoe UI Historic" w:cs="Segoe UI Historic"/>
          <w:sz w:val="24"/>
          <w:szCs w:val="24"/>
        </w:rPr>
        <w:t>daughter, Neferure, who took on the titles and responsibilities the queen would have</w:t>
      </w:r>
      <w:r w:rsidR="00F366CE">
        <w:rPr>
          <w:rFonts w:ascii="Segoe UI Historic" w:hAnsi="Segoe UI Historic" w:cs="Segoe UI Historic"/>
          <w:sz w:val="24"/>
          <w:szCs w:val="24"/>
        </w:rPr>
        <w:t xml:space="preserve"> had</w:t>
      </w:r>
      <w:r w:rsidR="008607DD">
        <w:rPr>
          <w:rFonts w:ascii="Segoe UI Historic" w:hAnsi="Segoe UI Historic" w:cs="Segoe UI Historic"/>
          <w:sz w:val="24"/>
          <w:szCs w:val="24"/>
        </w:rPr>
        <w:t xml:space="preserve"> (Tyldesley, 2016: 272; Schoske, 2008: 198). This is arguably paralleled during the reign of Smenkhkare</w:t>
      </w:r>
      <w:r w:rsidR="005F2FD5">
        <w:rPr>
          <w:rFonts w:ascii="Segoe UI Historic" w:hAnsi="Segoe UI Historic" w:cs="Segoe UI Historic"/>
          <w:sz w:val="24"/>
          <w:szCs w:val="24"/>
        </w:rPr>
        <w:t xml:space="preserve"> (</w:t>
      </w:r>
      <w:r w:rsidR="008607DD">
        <w:rPr>
          <w:rFonts w:ascii="Segoe UI Historic" w:hAnsi="Segoe UI Historic" w:cs="Segoe UI Historic"/>
          <w:sz w:val="24"/>
          <w:szCs w:val="24"/>
        </w:rPr>
        <w:t>dispute</w:t>
      </w:r>
      <w:r w:rsidR="00F266EE">
        <w:rPr>
          <w:rFonts w:ascii="Segoe UI Historic" w:hAnsi="Segoe UI Historic" w:cs="Segoe UI Historic"/>
          <w:sz w:val="24"/>
          <w:szCs w:val="24"/>
        </w:rPr>
        <w:t>d</w:t>
      </w:r>
      <w:r w:rsidR="008607DD">
        <w:rPr>
          <w:rFonts w:ascii="Segoe UI Historic" w:hAnsi="Segoe UI Historic" w:cs="Segoe UI Historic"/>
          <w:sz w:val="24"/>
          <w:szCs w:val="24"/>
        </w:rPr>
        <w:t xml:space="preserve"> to have been Nefertiti under a pseudonym after her husband died</w:t>
      </w:r>
      <w:r w:rsidR="003E5C15">
        <w:rPr>
          <w:rFonts w:ascii="Segoe UI Historic" w:hAnsi="Segoe UI Historic" w:cs="Segoe UI Historic"/>
          <w:sz w:val="24"/>
          <w:szCs w:val="24"/>
        </w:rPr>
        <w:t xml:space="preserve"> </w:t>
      </w:r>
      <w:r w:rsidR="003717DE">
        <w:rPr>
          <w:rFonts w:ascii="Segoe UI Historic" w:hAnsi="Segoe UI Historic" w:cs="Segoe UI Historic"/>
          <w:sz w:val="24"/>
          <w:szCs w:val="24"/>
        </w:rPr>
        <w:t>[</w:t>
      </w:r>
      <w:r w:rsidR="008151FE" w:rsidRPr="00CF5F26">
        <w:rPr>
          <w:rFonts w:ascii="Segoe UI Historic" w:hAnsi="Segoe UI Historic" w:cs="Segoe UI Historic"/>
          <w:sz w:val="24"/>
          <w:szCs w:val="24"/>
        </w:rPr>
        <w:t>Kemp, 2012: 15</w:t>
      </w:r>
      <w:r w:rsidR="003717DE">
        <w:rPr>
          <w:rFonts w:ascii="Segoe UI Historic" w:hAnsi="Segoe UI Historic" w:cs="Segoe UI Historic"/>
          <w:sz w:val="24"/>
          <w:szCs w:val="24"/>
        </w:rPr>
        <w:t>]</w:t>
      </w:r>
      <w:r w:rsidR="005F2FD5">
        <w:rPr>
          <w:rFonts w:ascii="Segoe UI Historic" w:hAnsi="Segoe UI Historic" w:cs="Segoe UI Historic"/>
          <w:sz w:val="24"/>
          <w:szCs w:val="24"/>
        </w:rPr>
        <w:t>)</w:t>
      </w:r>
      <w:r w:rsidR="00167CFB">
        <w:rPr>
          <w:rFonts w:ascii="Segoe UI Historic" w:hAnsi="Segoe UI Historic" w:cs="Segoe UI Historic"/>
          <w:sz w:val="24"/>
          <w:szCs w:val="24"/>
        </w:rPr>
        <w:t>,</w:t>
      </w:r>
      <w:r w:rsidR="000A4E49">
        <w:rPr>
          <w:rFonts w:ascii="Segoe UI Historic" w:hAnsi="Segoe UI Historic" w:cs="Segoe UI Historic"/>
          <w:sz w:val="24"/>
          <w:szCs w:val="24"/>
        </w:rPr>
        <w:t xml:space="preserve"> as</w:t>
      </w:r>
      <w:r w:rsidR="0057292A">
        <w:rPr>
          <w:rFonts w:ascii="Segoe UI Historic" w:hAnsi="Segoe UI Historic" w:cs="Segoe UI Historic"/>
          <w:sz w:val="24"/>
          <w:szCs w:val="24"/>
        </w:rPr>
        <w:t xml:space="preserve"> the</w:t>
      </w:r>
      <w:r w:rsidR="008607DD">
        <w:rPr>
          <w:rFonts w:ascii="Segoe UI Historic" w:hAnsi="Segoe UI Historic" w:cs="Segoe UI Historic"/>
          <w:sz w:val="24"/>
          <w:szCs w:val="24"/>
        </w:rPr>
        <w:t xml:space="preserve"> next in line for pharaoh would have been the underage Tutankhamun</w:t>
      </w:r>
      <w:r w:rsidR="00E45355">
        <w:rPr>
          <w:rFonts w:ascii="Segoe UI Historic" w:hAnsi="Segoe UI Historic" w:cs="Segoe UI Historic"/>
          <w:sz w:val="24"/>
          <w:szCs w:val="24"/>
        </w:rPr>
        <w:t>.</w:t>
      </w:r>
      <w:r w:rsidR="008607DD">
        <w:rPr>
          <w:rFonts w:ascii="Segoe UI Historic" w:hAnsi="Segoe UI Historic" w:cs="Segoe UI Historic"/>
          <w:sz w:val="24"/>
          <w:szCs w:val="24"/>
        </w:rPr>
        <w:t xml:space="preserve"> Akhenaten’s eldest daughter, Meritaten, became the wife of Smenkhkare, and </w:t>
      </w:r>
      <w:r w:rsidR="00E45355">
        <w:rPr>
          <w:rFonts w:ascii="Segoe UI Historic" w:hAnsi="Segoe UI Historic" w:cs="Segoe UI Historic"/>
          <w:sz w:val="24"/>
          <w:szCs w:val="24"/>
        </w:rPr>
        <w:t>therefore</w:t>
      </w:r>
      <w:r w:rsidR="008607DD">
        <w:rPr>
          <w:rFonts w:ascii="Segoe UI Historic" w:hAnsi="Segoe UI Historic" w:cs="Segoe UI Historic"/>
          <w:sz w:val="24"/>
          <w:szCs w:val="24"/>
        </w:rPr>
        <w:t xml:space="preserve"> legitimise</w:t>
      </w:r>
      <w:r w:rsidR="00E45355">
        <w:rPr>
          <w:rFonts w:ascii="Segoe UI Historic" w:hAnsi="Segoe UI Historic" w:cs="Segoe UI Historic"/>
          <w:sz w:val="24"/>
          <w:szCs w:val="24"/>
        </w:rPr>
        <w:t>d</w:t>
      </w:r>
      <w:r w:rsidR="008607DD">
        <w:rPr>
          <w:rFonts w:ascii="Segoe UI Historic" w:hAnsi="Segoe UI Historic" w:cs="Segoe UI Historic"/>
          <w:sz w:val="24"/>
          <w:szCs w:val="24"/>
        </w:rPr>
        <w:t xml:space="preserve"> the pharaoh’s position as the ruler of Egypt. Women could have a near-equal role as pharaoh but had to go to a greater extent to ensure legitimisation of </w:t>
      </w:r>
      <w:r w:rsidR="00A113A0">
        <w:rPr>
          <w:rFonts w:ascii="Segoe UI Historic" w:hAnsi="Segoe UI Historic" w:cs="Segoe UI Historic"/>
          <w:sz w:val="24"/>
          <w:szCs w:val="24"/>
        </w:rPr>
        <w:t>their</w:t>
      </w:r>
      <w:r w:rsidR="008607DD">
        <w:rPr>
          <w:rFonts w:ascii="Segoe UI Historic" w:hAnsi="Segoe UI Historic" w:cs="Segoe UI Historic"/>
          <w:sz w:val="24"/>
          <w:szCs w:val="24"/>
        </w:rPr>
        <w:t xml:space="preserve"> throne, </w:t>
      </w:r>
      <w:r w:rsidR="00A113A0">
        <w:rPr>
          <w:rFonts w:ascii="Segoe UI Historic" w:hAnsi="Segoe UI Historic" w:cs="Segoe UI Historic"/>
          <w:sz w:val="24"/>
          <w:szCs w:val="24"/>
        </w:rPr>
        <w:t>al</w:t>
      </w:r>
      <w:r w:rsidR="008607DD">
        <w:rPr>
          <w:rFonts w:ascii="Segoe UI Historic" w:hAnsi="Segoe UI Historic" w:cs="Segoe UI Historic"/>
          <w:sz w:val="24"/>
          <w:szCs w:val="24"/>
        </w:rPr>
        <w:t>though</w:t>
      </w:r>
      <w:r w:rsidR="00A113A0">
        <w:rPr>
          <w:rFonts w:ascii="Segoe UI Historic" w:hAnsi="Segoe UI Historic" w:cs="Segoe UI Historic"/>
          <w:sz w:val="24"/>
          <w:szCs w:val="24"/>
        </w:rPr>
        <w:t xml:space="preserve"> it could be argued that</w:t>
      </w:r>
      <w:r w:rsidR="008607DD">
        <w:rPr>
          <w:rFonts w:ascii="Segoe UI Historic" w:hAnsi="Segoe UI Historic" w:cs="Segoe UI Historic"/>
          <w:sz w:val="24"/>
          <w:szCs w:val="24"/>
        </w:rPr>
        <w:t xml:space="preserve"> in the Amarna Period, it may not have been seen as acceptable for a women to be a pharaoh, hence the mystery surrounding the identity of Smenkhkare.</w:t>
      </w:r>
    </w:p>
    <w:p w14:paraId="542236E5" w14:textId="05A4AACF" w:rsidR="00B31297" w:rsidRDefault="00B31297" w:rsidP="003E5C15">
      <w:pPr>
        <w:pStyle w:val="NoSpacing"/>
        <w:spacing w:line="360" w:lineRule="auto"/>
        <w:rPr>
          <w:rFonts w:ascii="Segoe UI Historic" w:hAnsi="Segoe UI Historic" w:cs="Segoe UI Historic"/>
          <w:sz w:val="24"/>
          <w:szCs w:val="24"/>
        </w:rPr>
      </w:pPr>
    </w:p>
    <w:p w14:paraId="3443678C" w14:textId="7647F01B" w:rsidR="0023739B" w:rsidRPr="0023739B" w:rsidRDefault="0023739B" w:rsidP="003E5C15">
      <w:pPr>
        <w:pStyle w:val="NoSpacing"/>
        <w:spacing w:line="360" w:lineRule="auto"/>
        <w:rPr>
          <w:rFonts w:ascii="Segoe UI Historic" w:hAnsi="Segoe UI Historic" w:cs="Segoe UI Historic"/>
          <w:sz w:val="24"/>
          <w:szCs w:val="24"/>
        </w:rPr>
      </w:pPr>
      <w:r w:rsidRPr="0023739B">
        <w:rPr>
          <w:rFonts w:ascii="Segoe UI Historic" w:hAnsi="Segoe UI Historic" w:cs="Segoe UI Historic"/>
          <w:sz w:val="24"/>
          <w:szCs w:val="24"/>
        </w:rPr>
        <w:t>Amenhotep III, after becoming Pharaoh, broke from the general Pharaonic tradition of marrying an elite woman or woman of close relation to him</w:t>
      </w:r>
      <w:r w:rsidR="003B1907">
        <w:rPr>
          <w:rFonts w:ascii="Segoe UI Historic" w:hAnsi="Segoe UI Historic" w:cs="Segoe UI Historic"/>
          <w:sz w:val="24"/>
          <w:szCs w:val="24"/>
        </w:rPr>
        <w:t>. I</w:t>
      </w:r>
      <w:r w:rsidRPr="0023739B">
        <w:rPr>
          <w:rFonts w:ascii="Segoe UI Historic" w:hAnsi="Segoe UI Historic" w:cs="Segoe UI Historic"/>
          <w:sz w:val="24"/>
          <w:szCs w:val="24"/>
        </w:rPr>
        <w:t>nstead</w:t>
      </w:r>
      <w:r w:rsidR="003B1907">
        <w:rPr>
          <w:rFonts w:ascii="Segoe UI Historic" w:hAnsi="Segoe UI Historic" w:cs="Segoe UI Historic"/>
          <w:sz w:val="24"/>
          <w:szCs w:val="24"/>
        </w:rPr>
        <w:t>, he</w:t>
      </w:r>
      <w:r w:rsidRPr="0023739B">
        <w:rPr>
          <w:rFonts w:ascii="Segoe UI Historic" w:hAnsi="Segoe UI Historic" w:cs="Segoe UI Historic"/>
          <w:sz w:val="24"/>
          <w:szCs w:val="24"/>
        </w:rPr>
        <w:t xml:space="preserve"> chose to marry a non-royal woman, Tiye, who</w:t>
      </w:r>
      <w:r w:rsidR="0017028A">
        <w:rPr>
          <w:rFonts w:ascii="Segoe UI Historic" w:hAnsi="Segoe UI Historic" w:cs="Segoe UI Historic"/>
          <w:sz w:val="24"/>
          <w:szCs w:val="24"/>
        </w:rPr>
        <w:t>m</w:t>
      </w:r>
      <w:r w:rsidRPr="0023739B">
        <w:rPr>
          <w:rFonts w:ascii="Segoe UI Historic" w:hAnsi="Segoe UI Historic" w:cs="Segoe UI Historic"/>
          <w:sz w:val="24"/>
          <w:szCs w:val="24"/>
        </w:rPr>
        <w:t xml:space="preserve"> he proclaimed as his equal</w:t>
      </w:r>
      <w:r w:rsidR="00C356DA">
        <w:rPr>
          <w:rFonts w:ascii="Segoe UI Historic" w:hAnsi="Segoe UI Historic" w:cs="Segoe UI Historic"/>
          <w:sz w:val="24"/>
          <w:szCs w:val="24"/>
        </w:rPr>
        <w:t>,</w:t>
      </w:r>
      <w:r w:rsidRPr="0023739B">
        <w:rPr>
          <w:rFonts w:ascii="Segoe UI Historic" w:hAnsi="Segoe UI Historic" w:cs="Segoe UI Historic"/>
          <w:sz w:val="24"/>
          <w:szCs w:val="24"/>
        </w:rPr>
        <w:t xml:space="preserve"> regardless of her birth</w:t>
      </w:r>
      <w:r w:rsidR="00C356DA">
        <w:rPr>
          <w:rFonts w:ascii="Segoe UI Historic" w:hAnsi="Segoe UI Historic" w:cs="Segoe UI Historic"/>
          <w:sz w:val="24"/>
          <w:szCs w:val="24"/>
        </w:rPr>
        <w:t>,</w:t>
      </w:r>
      <w:r w:rsidRPr="0023739B">
        <w:rPr>
          <w:rFonts w:ascii="Segoe UI Historic" w:hAnsi="Segoe UI Historic" w:cs="Segoe UI Historic"/>
          <w:sz w:val="24"/>
          <w:szCs w:val="24"/>
        </w:rPr>
        <w:t xml:space="preserve"> upon the scarabs which were distributed throughout Egypt and the Mediterranean</w:t>
      </w:r>
      <w:r w:rsidR="00817D28">
        <w:rPr>
          <w:rFonts w:ascii="Segoe UI Historic" w:hAnsi="Segoe UI Historic" w:cs="Segoe UI Historic"/>
          <w:sz w:val="24"/>
          <w:szCs w:val="24"/>
        </w:rPr>
        <w:t xml:space="preserve"> (Feucht, 2016: 211-212)</w:t>
      </w:r>
      <w:r w:rsidRPr="0023739B">
        <w:rPr>
          <w:rFonts w:ascii="Segoe UI Historic" w:hAnsi="Segoe UI Historic" w:cs="Segoe UI Historic"/>
          <w:sz w:val="24"/>
          <w:szCs w:val="24"/>
        </w:rPr>
        <w:t>. Tiye was s</w:t>
      </w:r>
      <w:r w:rsidR="00A113A0">
        <w:rPr>
          <w:rFonts w:ascii="Segoe UI Historic" w:hAnsi="Segoe UI Historic" w:cs="Segoe UI Historic"/>
          <w:sz w:val="24"/>
          <w:szCs w:val="24"/>
        </w:rPr>
        <w:t xml:space="preserve">een as an equal to her husband: </w:t>
      </w:r>
      <w:r w:rsidRPr="0023739B">
        <w:rPr>
          <w:rFonts w:ascii="Segoe UI Historic" w:hAnsi="Segoe UI Historic" w:cs="Segoe UI Historic"/>
          <w:sz w:val="24"/>
          <w:szCs w:val="24"/>
        </w:rPr>
        <w:t>the temple</w:t>
      </w:r>
      <w:r w:rsidR="0017028A">
        <w:rPr>
          <w:rFonts w:ascii="Segoe UI Historic" w:hAnsi="Segoe UI Historic" w:cs="Segoe UI Historic"/>
          <w:sz w:val="24"/>
          <w:szCs w:val="24"/>
        </w:rPr>
        <w:t>,</w:t>
      </w:r>
      <w:r w:rsidRPr="0023739B">
        <w:rPr>
          <w:rFonts w:ascii="Segoe UI Historic" w:hAnsi="Segoe UI Historic" w:cs="Segoe UI Historic"/>
          <w:sz w:val="24"/>
          <w:szCs w:val="24"/>
        </w:rPr>
        <w:t xml:space="preserve"> </w:t>
      </w:r>
      <w:r w:rsidR="0017028A">
        <w:rPr>
          <w:rFonts w:ascii="Segoe UI Historic" w:hAnsi="Segoe UI Historic" w:cs="Segoe UI Historic"/>
          <w:sz w:val="24"/>
          <w:szCs w:val="24"/>
        </w:rPr>
        <w:t xml:space="preserve">built by her husband, </w:t>
      </w:r>
      <w:r w:rsidRPr="0023739B">
        <w:rPr>
          <w:rFonts w:ascii="Segoe UI Historic" w:hAnsi="Segoe UI Historic" w:cs="Segoe UI Historic"/>
          <w:sz w:val="24"/>
          <w:szCs w:val="24"/>
        </w:rPr>
        <w:t xml:space="preserve">dedicated to Tiye lies near to the temple of Amenhotep III, and </w:t>
      </w:r>
      <w:r w:rsidR="00A113A0">
        <w:rPr>
          <w:rFonts w:ascii="Segoe UI Historic" w:hAnsi="Segoe UI Historic" w:cs="Segoe UI Historic"/>
          <w:sz w:val="24"/>
          <w:szCs w:val="24"/>
        </w:rPr>
        <w:t xml:space="preserve">she </w:t>
      </w:r>
      <w:r w:rsidRPr="0023739B">
        <w:rPr>
          <w:rFonts w:ascii="Segoe UI Historic" w:hAnsi="Segoe UI Historic" w:cs="Segoe UI Historic"/>
          <w:sz w:val="24"/>
          <w:szCs w:val="24"/>
        </w:rPr>
        <w:t xml:space="preserve">was depicted in scenes at equal stature to the Pharaoh. In these scenes, she is portrayed with the items </w:t>
      </w:r>
      <w:r w:rsidR="00A113A0">
        <w:rPr>
          <w:rFonts w:ascii="Segoe UI Historic" w:hAnsi="Segoe UI Historic" w:cs="Segoe UI Historic"/>
          <w:sz w:val="24"/>
          <w:szCs w:val="24"/>
        </w:rPr>
        <w:t>customarily</w:t>
      </w:r>
      <w:r w:rsidRPr="0023739B">
        <w:rPr>
          <w:rFonts w:ascii="Segoe UI Historic" w:hAnsi="Segoe UI Historic" w:cs="Segoe UI Historic"/>
          <w:sz w:val="24"/>
          <w:szCs w:val="24"/>
        </w:rPr>
        <w:t xml:space="preserve"> associated with a priest, implying that she held a high status role as a priestess (Zinn, 2016: 257). One would presume this depiction </w:t>
      </w:r>
      <w:r w:rsidR="00817D28">
        <w:rPr>
          <w:rFonts w:ascii="Segoe UI Historic" w:hAnsi="Segoe UI Historic" w:cs="Segoe UI Historic"/>
          <w:sz w:val="24"/>
          <w:szCs w:val="24"/>
        </w:rPr>
        <w:t>to be Tiye as</w:t>
      </w:r>
      <w:r w:rsidRPr="0023739B">
        <w:rPr>
          <w:rFonts w:ascii="Segoe UI Historic" w:hAnsi="Segoe UI Historic" w:cs="Segoe UI Historic"/>
          <w:sz w:val="24"/>
          <w:szCs w:val="24"/>
        </w:rPr>
        <w:t xml:space="preserve"> the God’s Wife of Amun, however it is possible that</w:t>
      </w:r>
      <w:r w:rsidR="00817D28">
        <w:rPr>
          <w:rFonts w:ascii="Segoe UI Historic" w:hAnsi="Segoe UI Historic" w:cs="Segoe UI Historic"/>
          <w:sz w:val="24"/>
          <w:szCs w:val="24"/>
        </w:rPr>
        <w:t xml:space="preserve"> it is not,</w:t>
      </w:r>
      <w:r w:rsidRPr="0023739B">
        <w:rPr>
          <w:rFonts w:ascii="Segoe UI Historic" w:hAnsi="Segoe UI Historic" w:cs="Segoe UI Historic"/>
          <w:sz w:val="24"/>
          <w:szCs w:val="24"/>
        </w:rPr>
        <w:t xml:space="preserve"> </w:t>
      </w:r>
      <w:r w:rsidR="00817D28">
        <w:rPr>
          <w:rFonts w:ascii="Segoe UI Historic" w:hAnsi="Segoe UI Historic" w:cs="Segoe UI Historic"/>
          <w:sz w:val="24"/>
          <w:szCs w:val="24"/>
        </w:rPr>
        <w:t>because as a result of</w:t>
      </w:r>
      <w:r w:rsidRPr="0023739B">
        <w:rPr>
          <w:rFonts w:ascii="Segoe UI Historic" w:hAnsi="Segoe UI Historic" w:cs="Segoe UI Historic"/>
          <w:sz w:val="24"/>
          <w:szCs w:val="24"/>
        </w:rPr>
        <w:t xml:space="preserve"> her and her husband’s increasing worship of the </w:t>
      </w:r>
      <w:r w:rsidRPr="0023739B">
        <w:rPr>
          <w:rFonts w:ascii="Segoe UI Historic" w:hAnsi="Segoe UI Historic" w:cs="Segoe UI Historic"/>
          <w:sz w:val="24"/>
          <w:szCs w:val="24"/>
        </w:rPr>
        <w:lastRenderedPageBreak/>
        <w:t xml:space="preserve">solar deities, </w:t>
      </w:r>
      <w:r w:rsidR="00817D28">
        <w:rPr>
          <w:rFonts w:ascii="Segoe UI Historic" w:hAnsi="Segoe UI Historic" w:cs="Segoe UI Historic"/>
          <w:sz w:val="24"/>
          <w:szCs w:val="24"/>
        </w:rPr>
        <w:t>the pharaoh and Tiye</w:t>
      </w:r>
      <w:r w:rsidRPr="0023739B">
        <w:rPr>
          <w:rFonts w:ascii="Segoe UI Historic" w:hAnsi="Segoe UI Historic" w:cs="Segoe UI Historic"/>
          <w:sz w:val="24"/>
          <w:szCs w:val="24"/>
        </w:rPr>
        <w:t xml:space="preserve"> may not have been supported by the Amun priesthood (Tyldesley, 2015</w:t>
      </w:r>
      <w:r w:rsidR="001D28B2">
        <w:rPr>
          <w:rFonts w:ascii="Segoe UI Historic" w:hAnsi="Segoe UI Historic" w:cs="Segoe UI Historic"/>
          <w:sz w:val="24"/>
          <w:szCs w:val="24"/>
        </w:rPr>
        <w:t>a</w:t>
      </w:r>
      <w:r w:rsidRPr="0023739B">
        <w:rPr>
          <w:rFonts w:ascii="Segoe UI Historic" w:hAnsi="Segoe UI Historic" w:cs="Segoe UI Historic"/>
          <w:sz w:val="24"/>
          <w:szCs w:val="24"/>
        </w:rPr>
        <w:t>: 50).</w:t>
      </w:r>
    </w:p>
    <w:p w14:paraId="18E846E5" w14:textId="77777777" w:rsidR="0023739B" w:rsidRPr="0023739B" w:rsidRDefault="0023739B" w:rsidP="003E5C15">
      <w:pPr>
        <w:pStyle w:val="NoSpacing"/>
        <w:spacing w:line="360" w:lineRule="auto"/>
        <w:rPr>
          <w:rFonts w:ascii="Segoe UI Historic" w:hAnsi="Segoe UI Historic" w:cs="Segoe UI Historic"/>
          <w:sz w:val="24"/>
          <w:szCs w:val="24"/>
        </w:rPr>
      </w:pPr>
    </w:p>
    <w:p w14:paraId="21F47B49" w14:textId="4263AB78" w:rsidR="0023739B" w:rsidRPr="0023739B" w:rsidRDefault="0023739B" w:rsidP="003E5C15">
      <w:pPr>
        <w:pStyle w:val="NoSpacing"/>
        <w:spacing w:line="360" w:lineRule="auto"/>
        <w:rPr>
          <w:rFonts w:ascii="Segoe UI Historic" w:hAnsi="Segoe UI Historic" w:cs="Segoe UI Historic"/>
          <w:sz w:val="24"/>
          <w:szCs w:val="24"/>
        </w:rPr>
      </w:pPr>
      <w:r w:rsidRPr="0023739B">
        <w:rPr>
          <w:rFonts w:ascii="Segoe UI Historic" w:hAnsi="Segoe UI Historic" w:cs="Segoe UI Historic"/>
          <w:sz w:val="24"/>
          <w:szCs w:val="24"/>
        </w:rPr>
        <w:t>With Akhenaten’s erasure of the gods and goddesses - his change from Egyp</w:t>
      </w:r>
      <w:r w:rsidR="004B4092">
        <w:rPr>
          <w:rFonts w:ascii="Segoe UI Historic" w:hAnsi="Segoe UI Historic" w:cs="Segoe UI Historic"/>
          <w:sz w:val="24"/>
          <w:szCs w:val="24"/>
        </w:rPr>
        <w:t>tian polytheism to “monotheism”</w:t>
      </w:r>
      <w:r w:rsidRPr="0023739B">
        <w:rPr>
          <w:rFonts w:ascii="Segoe UI Historic" w:hAnsi="Segoe UI Historic" w:cs="Segoe UI Historic"/>
          <w:sz w:val="24"/>
          <w:szCs w:val="24"/>
        </w:rPr>
        <w:t xml:space="preserve"> </w:t>
      </w:r>
      <w:r w:rsidR="004B4092">
        <w:rPr>
          <w:rFonts w:ascii="Segoe UI Historic" w:hAnsi="Segoe UI Historic" w:cs="Segoe UI Historic"/>
          <w:sz w:val="24"/>
          <w:szCs w:val="24"/>
        </w:rPr>
        <w:t xml:space="preserve">or, </w:t>
      </w:r>
      <w:r w:rsidRPr="0023739B">
        <w:rPr>
          <w:rFonts w:ascii="Segoe UI Historic" w:hAnsi="Segoe UI Historic" w:cs="Segoe UI Historic"/>
          <w:sz w:val="24"/>
          <w:szCs w:val="24"/>
        </w:rPr>
        <w:t>arguably</w:t>
      </w:r>
      <w:r w:rsidR="004B4092">
        <w:rPr>
          <w:rFonts w:ascii="Segoe UI Historic" w:hAnsi="Segoe UI Historic" w:cs="Segoe UI Historic"/>
          <w:sz w:val="24"/>
          <w:szCs w:val="24"/>
        </w:rPr>
        <w:t>,</w:t>
      </w:r>
      <w:r w:rsidRPr="0023739B">
        <w:rPr>
          <w:rFonts w:ascii="Segoe UI Historic" w:hAnsi="Segoe UI Historic" w:cs="Segoe UI Historic"/>
          <w:sz w:val="24"/>
          <w:szCs w:val="24"/>
        </w:rPr>
        <w:t xml:space="preserve"> henotheism (Hoffmeier, 2015: 137) – Nefertiti seems to have been depicted in art as the substitution of a goddess (Williamson, 2015: </w:t>
      </w:r>
      <w:r w:rsidR="00C356DA">
        <w:rPr>
          <w:rFonts w:ascii="Segoe UI Historic" w:hAnsi="Segoe UI Historic" w:cs="Segoe UI Historic"/>
          <w:sz w:val="24"/>
          <w:szCs w:val="24"/>
        </w:rPr>
        <w:t>4)</w:t>
      </w:r>
      <w:r w:rsidR="003B1907">
        <w:rPr>
          <w:rFonts w:ascii="Segoe UI Historic" w:hAnsi="Segoe UI Historic" w:cs="Segoe UI Historic"/>
          <w:sz w:val="24"/>
          <w:szCs w:val="24"/>
        </w:rPr>
        <w:t>. S</w:t>
      </w:r>
      <w:r w:rsidRPr="0023739B">
        <w:rPr>
          <w:rFonts w:ascii="Segoe UI Historic" w:hAnsi="Segoe UI Historic" w:cs="Segoe UI Historic"/>
          <w:sz w:val="24"/>
          <w:szCs w:val="24"/>
        </w:rPr>
        <w:t xml:space="preserve">he </w:t>
      </w:r>
      <w:r w:rsidR="00C356DA">
        <w:rPr>
          <w:rFonts w:ascii="Segoe UI Historic" w:hAnsi="Segoe UI Historic" w:cs="Segoe UI Historic"/>
          <w:sz w:val="24"/>
          <w:szCs w:val="24"/>
        </w:rPr>
        <w:t>w</w:t>
      </w:r>
      <w:r w:rsidR="003B1907">
        <w:rPr>
          <w:rFonts w:ascii="Segoe UI Historic" w:hAnsi="Segoe UI Historic" w:cs="Segoe UI Historic"/>
          <w:sz w:val="24"/>
          <w:szCs w:val="24"/>
        </w:rPr>
        <w:t xml:space="preserve">as seen </w:t>
      </w:r>
      <w:r w:rsidRPr="0023739B">
        <w:rPr>
          <w:rFonts w:ascii="Segoe UI Historic" w:hAnsi="Segoe UI Historic" w:cs="Segoe UI Historic"/>
          <w:sz w:val="24"/>
          <w:szCs w:val="24"/>
        </w:rPr>
        <w:t>as the goddess of creation, the counterpart of Akhenaten’s role as the god of creation (Smithsonian Channel, 2018). Depictions in Akhet-Aten particularly show the representation of Nefertiti as a goddess alongside Akhenaten and</w:t>
      </w:r>
      <w:r w:rsidR="00A113A0">
        <w:rPr>
          <w:rFonts w:ascii="Segoe UI Historic" w:hAnsi="Segoe UI Historic" w:cs="Segoe UI Historic"/>
          <w:sz w:val="24"/>
          <w:szCs w:val="24"/>
        </w:rPr>
        <w:t xml:space="preserve"> Aten, forming the divine triad:</w:t>
      </w:r>
      <w:r w:rsidRPr="0023739B">
        <w:rPr>
          <w:rFonts w:ascii="Segoe UI Historic" w:hAnsi="Segoe UI Historic" w:cs="Segoe UI Historic"/>
          <w:sz w:val="24"/>
          <w:szCs w:val="24"/>
        </w:rPr>
        <w:t xml:space="preserve"> ‘Aten as the creator god’, the Pharaoh as Shu, and Nefertiti as Tefnut (Zinn, 2016: 260</w:t>
      </w:r>
      <w:r w:rsidR="001D28B2">
        <w:rPr>
          <w:rFonts w:ascii="Segoe UI Historic" w:hAnsi="Segoe UI Historic" w:cs="Segoe UI Historic"/>
          <w:sz w:val="24"/>
          <w:szCs w:val="24"/>
        </w:rPr>
        <w:t>; Tyldesley, 2015b: 51</w:t>
      </w:r>
      <w:r w:rsidRPr="0023739B">
        <w:rPr>
          <w:rFonts w:ascii="Segoe UI Historic" w:hAnsi="Segoe UI Historic" w:cs="Segoe UI Historic"/>
          <w:sz w:val="24"/>
          <w:szCs w:val="24"/>
        </w:rPr>
        <w:t xml:space="preserve">). The crown which Nefertiti is depicted wearing has a cobra at the </w:t>
      </w:r>
      <w:r w:rsidR="003B1907">
        <w:rPr>
          <w:rFonts w:ascii="Segoe UI Historic" w:hAnsi="Segoe UI Historic" w:cs="Segoe UI Historic"/>
          <w:sz w:val="24"/>
          <w:szCs w:val="24"/>
        </w:rPr>
        <w:t>forehead</w:t>
      </w:r>
      <w:r w:rsidRPr="0023739B">
        <w:rPr>
          <w:rFonts w:ascii="Segoe UI Historic" w:hAnsi="Segoe UI Historic" w:cs="Segoe UI Historic"/>
          <w:sz w:val="24"/>
          <w:szCs w:val="24"/>
        </w:rPr>
        <w:t>, this could be signifying the goddess Wadjet, one of the “Two Ladies” and the one depicted with reference as a solar deity; Nefertiti could have been seen as the human substit</w:t>
      </w:r>
      <w:r w:rsidR="009E4E7A">
        <w:rPr>
          <w:rFonts w:ascii="Segoe UI Historic" w:hAnsi="Segoe UI Historic" w:cs="Segoe UI Historic"/>
          <w:sz w:val="24"/>
          <w:szCs w:val="24"/>
        </w:rPr>
        <w:t xml:space="preserve">ute or manifestation of Wadjet </w:t>
      </w:r>
      <w:r w:rsidRPr="0023739B">
        <w:rPr>
          <w:rFonts w:ascii="Segoe UI Historic" w:hAnsi="Segoe UI Historic" w:cs="Segoe UI Historic"/>
          <w:sz w:val="24"/>
          <w:szCs w:val="24"/>
        </w:rPr>
        <w:t>(Neale, 2016: 70).</w:t>
      </w:r>
      <w:r w:rsidR="009E4E7A">
        <w:rPr>
          <w:rFonts w:ascii="Segoe UI Historic" w:hAnsi="Segoe UI Historic" w:cs="Segoe UI Historic"/>
          <w:sz w:val="24"/>
          <w:szCs w:val="24"/>
        </w:rPr>
        <w:t xml:space="preserve"> Traditional sarcophagi have depictions of Nephthys and Isis at the head and feet respectively,</w:t>
      </w:r>
      <w:r w:rsidR="0037274A">
        <w:rPr>
          <w:rFonts w:ascii="Segoe UI Historic" w:hAnsi="Segoe UI Historic" w:cs="Segoe UI Historic"/>
          <w:sz w:val="24"/>
          <w:szCs w:val="24"/>
        </w:rPr>
        <w:t xml:space="preserve"> whereas</w:t>
      </w:r>
      <w:r w:rsidR="009E4E7A">
        <w:rPr>
          <w:rFonts w:ascii="Segoe UI Historic" w:hAnsi="Segoe UI Historic" w:cs="Segoe UI Historic"/>
          <w:sz w:val="24"/>
          <w:szCs w:val="24"/>
        </w:rPr>
        <w:t xml:space="preserve"> upon Akhenaten’s sarcophagus Nefertiti</w:t>
      </w:r>
      <w:r w:rsidR="0037274A">
        <w:rPr>
          <w:rFonts w:ascii="Segoe UI Historic" w:hAnsi="Segoe UI Historic" w:cs="Segoe UI Historic"/>
          <w:sz w:val="24"/>
          <w:szCs w:val="24"/>
        </w:rPr>
        <w:t xml:space="preserve"> is displayed in place of the </w:t>
      </w:r>
      <w:r w:rsidR="009E4E7A">
        <w:rPr>
          <w:rFonts w:ascii="Segoe UI Historic" w:hAnsi="Segoe UI Historic" w:cs="Segoe UI Historic"/>
          <w:sz w:val="24"/>
          <w:szCs w:val="24"/>
        </w:rPr>
        <w:t>goddesses (</w:t>
      </w:r>
      <w:r w:rsidR="00D87310">
        <w:rPr>
          <w:rFonts w:ascii="Segoe UI Historic" w:hAnsi="Segoe UI Historic" w:cs="Segoe UI Historic"/>
          <w:sz w:val="24"/>
          <w:szCs w:val="24"/>
        </w:rPr>
        <w:t xml:space="preserve">Cooney, 2014: 283; </w:t>
      </w:r>
      <w:r w:rsidR="009E4E7A">
        <w:rPr>
          <w:rFonts w:ascii="Segoe UI Historic" w:hAnsi="Segoe UI Historic" w:cs="Segoe UI Historic"/>
          <w:sz w:val="24"/>
          <w:szCs w:val="24"/>
        </w:rPr>
        <w:t>Williamson, 2016: 17). These</w:t>
      </w:r>
      <w:r w:rsidR="0037274A">
        <w:rPr>
          <w:rFonts w:ascii="Segoe UI Historic" w:hAnsi="Segoe UI Historic" w:cs="Segoe UI Historic"/>
          <w:sz w:val="24"/>
          <w:szCs w:val="24"/>
        </w:rPr>
        <w:t xml:space="preserve"> portrayals of Nefertiti</w:t>
      </w:r>
      <w:r w:rsidR="009E4E7A">
        <w:rPr>
          <w:rFonts w:ascii="Segoe UI Historic" w:hAnsi="Segoe UI Historic" w:cs="Segoe UI Historic"/>
          <w:sz w:val="24"/>
          <w:szCs w:val="24"/>
        </w:rPr>
        <w:t xml:space="preserve">, </w:t>
      </w:r>
      <w:r w:rsidR="009E4E7A" w:rsidRPr="0023739B">
        <w:rPr>
          <w:rFonts w:ascii="Segoe UI Historic" w:hAnsi="Segoe UI Historic" w:cs="Segoe UI Historic"/>
          <w:sz w:val="24"/>
          <w:szCs w:val="24"/>
        </w:rPr>
        <w:t>there</w:t>
      </w:r>
      <w:r w:rsidR="009E4E7A">
        <w:rPr>
          <w:rFonts w:ascii="Segoe UI Historic" w:hAnsi="Segoe UI Historic" w:cs="Segoe UI Historic"/>
          <w:sz w:val="24"/>
          <w:szCs w:val="24"/>
        </w:rPr>
        <w:t>fore, solidify the suggestion of</w:t>
      </w:r>
      <w:r w:rsidR="009E4E7A" w:rsidRPr="0023739B">
        <w:rPr>
          <w:rFonts w:ascii="Segoe UI Historic" w:hAnsi="Segoe UI Historic" w:cs="Segoe UI Historic"/>
          <w:sz w:val="24"/>
          <w:szCs w:val="24"/>
        </w:rPr>
        <w:t xml:space="preserve"> </w:t>
      </w:r>
      <w:r w:rsidR="0037274A">
        <w:rPr>
          <w:rFonts w:ascii="Segoe UI Historic" w:hAnsi="Segoe UI Historic" w:cs="Segoe UI Historic"/>
          <w:sz w:val="24"/>
          <w:szCs w:val="24"/>
        </w:rPr>
        <w:t>her</w:t>
      </w:r>
      <w:r w:rsidR="009E4E7A" w:rsidRPr="0023739B">
        <w:rPr>
          <w:rFonts w:ascii="Segoe UI Historic" w:hAnsi="Segoe UI Historic" w:cs="Segoe UI Historic"/>
          <w:sz w:val="24"/>
          <w:szCs w:val="24"/>
        </w:rPr>
        <w:t xml:space="preserve"> portrayal as a goddess</w:t>
      </w:r>
      <w:r w:rsidR="009E4E7A">
        <w:rPr>
          <w:rFonts w:ascii="Segoe UI Historic" w:hAnsi="Segoe UI Historic" w:cs="Segoe UI Historic"/>
          <w:sz w:val="24"/>
          <w:szCs w:val="24"/>
        </w:rPr>
        <w:t>, which is not seen previously.</w:t>
      </w:r>
    </w:p>
    <w:p w14:paraId="3B2A6CEC" w14:textId="4530AB95" w:rsidR="0023739B" w:rsidRDefault="0023739B" w:rsidP="003E5C15">
      <w:pPr>
        <w:pStyle w:val="NoSpacing"/>
        <w:spacing w:line="360" w:lineRule="auto"/>
        <w:rPr>
          <w:rFonts w:ascii="Segoe UI Historic" w:hAnsi="Segoe UI Historic" w:cs="Segoe UI Historic"/>
          <w:sz w:val="24"/>
          <w:szCs w:val="24"/>
        </w:rPr>
      </w:pPr>
    </w:p>
    <w:p w14:paraId="50C9B29E" w14:textId="3604B334" w:rsidR="004B4092" w:rsidRDefault="003717DE" w:rsidP="003717DE">
      <w:pPr>
        <w:pStyle w:val="NoSpacing"/>
        <w:spacing w:line="360" w:lineRule="auto"/>
        <w:rPr>
          <w:rFonts w:ascii="Segoe UI Historic" w:hAnsi="Segoe UI Historic" w:cs="Segoe UI Historic"/>
          <w:sz w:val="24"/>
          <w:szCs w:val="24"/>
        </w:rPr>
      </w:pPr>
      <w:r>
        <w:rPr>
          <w:rFonts w:ascii="Segoe UI Historic" w:hAnsi="Segoe UI Historic" w:cs="Segoe UI Historic"/>
          <w:sz w:val="24"/>
          <w:szCs w:val="24"/>
        </w:rPr>
        <w:t>Another precedent for the later pharaohs to follow had been set at the beginning of the 18</w:t>
      </w:r>
      <w:r w:rsidRPr="003717DE">
        <w:rPr>
          <w:rFonts w:ascii="Segoe UI Historic" w:hAnsi="Segoe UI Historic" w:cs="Segoe UI Historic"/>
          <w:sz w:val="24"/>
          <w:szCs w:val="24"/>
          <w:vertAlign w:val="superscript"/>
        </w:rPr>
        <w:t>th</w:t>
      </w:r>
      <w:r>
        <w:rPr>
          <w:rFonts w:ascii="Segoe UI Historic" w:hAnsi="Segoe UI Historic" w:cs="Segoe UI Historic"/>
          <w:sz w:val="24"/>
          <w:szCs w:val="24"/>
        </w:rPr>
        <w:t xml:space="preserve"> Dynasty with the building of monuments in dedication to the royal women close to the pharaoh. </w:t>
      </w:r>
      <w:r w:rsidR="003B7D90">
        <w:rPr>
          <w:rFonts w:ascii="Segoe UI Historic" w:hAnsi="Segoe UI Historic" w:cs="Segoe UI Historic"/>
          <w:sz w:val="24"/>
          <w:szCs w:val="24"/>
        </w:rPr>
        <w:t>Ahmose I create</w:t>
      </w:r>
      <w:r w:rsidR="00715D1F">
        <w:rPr>
          <w:rFonts w:ascii="Segoe UI Historic" w:hAnsi="Segoe UI Historic" w:cs="Segoe UI Historic"/>
          <w:sz w:val="24"/>
          <w:szCs w:val="24"/>
        </w:rPr>
        <w:t>d</w:t>
      </w:r>
      <w:r w:rsidR="003B7D90">
        <w:rPr>
          <w:rFonts w:ascii="Segoe UI Historic" w:hAnsi="Segoe UI Historic" w:cs="Segoe UI Historic"/>
          <w:sz w:val="24"/>
          <w:szCs w:val="24"/>
        </w:rPr>
        <w:t xml:space="preserve"> monuments, in the form of a chapel and stelae</w:t>
      </w:r>
      <w:r>
        <w:rPr>
          <w:rFonts w:ascii="Segoe UI Historic" w:hAnsi="Segoe UI Historic" w:cs="Segoe UI Historic"/>
          <w:sz w:val="24"/>
          <w:szCs w:val="24"/>
        </w:rPr>
        <w:t>, to Tetisheri after her death, and</w:t>
      </w:r>
      <w:r w:rsidR="003B7D90">
        <w:rPr>
          <w:rFonts w:ascii="Segoe UI Historic" w:hAnsi="Segoe UI Historic" w:cs="Segoe UI Historic"/>
          <w:sz w:val="24"/>
          <w:szCs w:val="24"/>
        </w:rPr>
        <w:t xml:space="preserve"> Amenhotep II </w:t>
      </w:r>
      <w:r>
        <w:rPr>
          <w:rFonts w:ascii="Segoe UI Historic" w:hAnsi="Segoe UI Historic" w:cs="Segoe UI Historic"/>
          <w:sz w:val="24"/>
          <w:szCs w:val="24"/>
        </w:rPr>
        <w:t>continued</w:t>
      </w:r>
      <w:r w:rsidR="003B7D90">
        <w:rPr>
          <w:rFonts w:ascii="Segoe UI Historic" w:hAnsi="Segoe UI Historic" w:cs="Segoe UI Historic"/>
          <w:sz w:val="24"/>
          <w:szCs w:val="24"/>
        </w:rPr>
        <w:t xml:space="preserve"> this idea with a temple built for his wife, Tiyaa (Feucht, 2016: </w:t>
      </w:r>
      <w:r>
        <w:rPr>
          <w:rFonts w:ascii="Segoe UI Historic" w:hAnsi="Segoe UI Historic" w:cs="Segoe UI Historic"/>
          <w:sz w:val="24"/>
          <w:szCs w:val="24"/>
        </w:rPr>
        <w:t xml:space="preserve">210, </w:t>
      </w:r>
      <w:r w:rsidR="003B7D90">
        <w:rPr>
          <w:rFonts w:ascii="Segoe UI Historic" w:hAnsi="Segoe UI Historic" w:cs="Segoe UI Historic"/>
          <w:sz w:val="24"/>
          <w:szCs w:val="24"/>
        </w:rPr>
        <w:t xml:space="preserve">211). Within the Amarna Period, Amenhotep III built a temple for his wife, Tiye, and Akhenaten followed suit with sunshade chapels </w:t>
      </w:r>
      <w:r w:rsidR="00CE36DF">
        <w:rPr>
          <w:rFonts w:ascii="Segoe UI Historic" w:hAnsi="Segoe UI Historic" w:cs="Segoe UI Historic"/>
          <w:sz w:val="24"/>
          <w:szCs w:val="24"/>
        </w:rPr>
        <w:t>for</w:t>
      </w:r>
      <w:r w:rsidR="003B7D90">
        <w:rPr>
          <w:rFonts w:ascii="Segoe UI Historic" w:hAnsi="Segoe UI Historic" w:cs="Segoe UI Historic"/>
          <w:sz w:val="24"/>
          <w:szCs w:val="24"/>
        </w:rPr>
        <w:t xml:space="preserve"> </w:t>
      </w:r>
      <w:r w:rsidR="00DF70E9">
        <w:rPr>
          <w:rFonts w:ascii="Segoe UI Historic" w:hAnsi="Segoe UI Historic" w:cs="Segoe UI Historic"/>
          <w:sz w:val="24"/>
          <w:szCs w:val="24"/>
        </w:rPr>
        <w:t>the major women during his reign</w:t>
      </w:r>
      <w:r w:rsidR="003B7D90">
        <w:rPr>
          <w:rFonts w:ascii="Segoe UI Historic" w:hAnsi="Segoe UI Historic" w:cs="Segoe UI Historic"/>
          <w:sz w:val="24"/>
          <w:szCs w:val="24"/>
        </w:rPr>
        <w:t xml:space="preserve"> (Feucht, 2016: 211; Williamson, 2015: 3). </w:t>
      </w:r>
      <w:r w:rsidR="00DF70E9">
        <w:rPr>
          <w:rFonts w:ascii="Segoe UI Historic" w:hAnsi="Segoe UI Historic" w:cs="Segoe UI Historic"/>
          <w:sz w:val="24"/>
          <w:szCs w:val="24"/>
        </w:rPr>
        <w:t xml:space="preserve">The inspiration for Akhenaten’s design of the sunshade chapel </w:t>
      </w:r>
      <w:r w:rsidR="00DF70E9">
        <w:rPr>
          <w:rFonts w:ascii="Segoe UI Historic" w:hAnsi="Segoe UI Historic" w:cs="Segoe UI Historic"/>
          <w:sz w:val="24"/>
          <w:szCs w:val="24"/>
        </w:rPr>
        <w:lastRenderedPageBreak/>
        <w:t>may have arisen from Hatshepsut’s mortuary temple</w:t>
      </w:r>
      <w:r w:rsidR="00CE36DF">
        <w:rPr>
          <w:rFonts w:ascii="Segoe UI Historic" w:hAnsi="Segoe UI Historic" w:cs="Segoe UI Historic"/>
          <w:sz w:val="24"/>
          <w:szCs w:val="24"/>
        </w:rPr>
        <w:t xml:space="preserve"> in Deir el-Bahri</w:t>
      </w:r>
      <w:r w:rsidR="00DF70E9">
        <w:rPr>
          <w:rFonts w:ascii="Segoe UI Historic" w:hAnsi="Segoe UI Historic" w:cs="Segoe UI Historic"/>
          <w:sz w:val="24"/>
          <w:szCs w:val="24"/>
        </w:rPr>
        <w:t xml:space="preserve">, which includes </w:t>
      </w:r>
      <w:r w:rsidR="00CE36DF">
        <w:rPr>
          <w:rFonts w:ascii="Segoe UI Historic" w:hAnsi="Segoe UI Historic" w:cs="Segoe UI Historic"/>
          <w:sz w:val="24"/>
          <w:szCs w:val="24"/>
        </w:rPr>
        <w:t xml:space="preserve">within it </w:t>
      </w:r>
      <w:r w:rsidR="00DF70E9">
        <w:rPr>
          <w:rFonts w:ascii="Segoe UI Historic" w:hAnsi="Segoe UI Historic" w:cs="Segoe UI Historic"/>
          <w:sz w:val="24"/>
          <w:szCs w:val="24"/>
        </w:rPr>
        <w:t xml:space="preserve">a </w:t>
      </w:r>
      <w:r w:rsidR="00CE36DF">
        <w:rPr>
          <w:rFonts w:ascii="Segoe UI Historic" w:hAnsi="Segoe UI Historic" w:cs="Segoe UI Historic"/>
          <w:sz w:val="24"/>
          <w:szCs w:val="24"/>
        </w:rPr>
        <w:t xml:space="preserve">sunshade chapel to Re (Williamson, 2016: 16). </w:t>
      </w:r>
    </w:p>
    <w:p w14:paraId="1541AA78" w14:textId="5E530B2D" w:rsidR="004B4092" w:rsidRDefault="004B4092" w:rsidP="003E5C15">
      <w:pPr>
        <w:pStyle w:val="NoSpacing"/>
        <w:spacing w:line="360" w:lineRule="auto"/>
        <w:rPr>
          <w:rFonts w:ascii="Segoe UI Historic" w:hAnsi="Segoe UI Historic" w:cs="Segoe UI Historic"/>
          <w:sz w:val="24"/>
          <w:szCs w:val="24"/>
        </w:rPr>
      </w:pPr>
    </w:p>
    <w:p w14:paraId="19398A43" w14:textId="2507BCE8" w:rsidR="0023739B" w:rsidRDefault="0023739B" w:rsidP="003E5C15">
      <w:pPr>
        <w:pStyle w:val="NoSpacing"/>
        <w:spacing w:line="360" w:lineRule="auto"/>
        <w:rPr>
          <w:rFonts w:ascii="Segoe UI Historic" w:hAnsi="Segoe UI Historic" w:cs="Segoe UI Historic"/>
          <w:sz w:val="24"/>
          <w:szCs w:val="24"/>
        </w:rPr>
      </w:pPr>
      <w:r w:rsidRPr="0023739B">
        <w:rPr>
          <w:rFonts w:ascii="Segoe UI Historic" w:hAnsi="Segoe UI Historic" w:cs="Segoe UI Historic"/>
          <w:sz w:val="24"/>
          <w:szCs w:val="24"/>
        </w:rPr>
        <w:t xml:space="preserve">Meritaten is referred </w:t>
      </w:r>
      <w:r w:rsidR="003B7D90">
        <w:rPr>
          <w:rFonts w:ascii="Segoe UI Historic" w:hAnsi="Segoe UI Historic" w:cs="Segoe UI Historic"/>
          <w:sz w:val="24"/>
          <w:szCs w:val="24"/>
        </w:rPr>
        <w:t xml:space="preserve">to </w:t>
      </w:r>
      <w:r w:rsidRPr="0023739B">
        <w:rPr>
          <w:rFonts w:ascii="Segoe UI Historic" w:hAnsi="Segoe UI Historic" w:cs="Segoe UI Historic"/>
          <w:sz w:val="24"/>
          <w:szCs w:val="24"/>
        </w:rPr>
        <w:t>by Near Eastern rulers as the “mistress” of Akhenaten’s household</w:t>
      </w:r>
      <w:r w:rsidR="4CC8F5C6" w:rsidRPr="4CC8F5C6">
        <w:rPr>
          <w:rFonts w:ascii="Segoe UI Historic" w:hAnsi="Segoe UI Historic" w:cs="Segoe UI Historic"/>
          <w:sz w:val="24"/>
          <w:szCs w:val="24"/>
        </w:rPr>
        <w:t xml:space="preserve"> in Amarna Letter 11</w:t>
      </w:r>
      <w:r w:rsidRPr="0023739B">
        <w:rPr>
          <w:rFonts w:ascii="Segoe UI Historic" w:hAnsi="Segoe UI Historic" w:cs="Segoe UI Historic"/>
          <w:sz w:val="24"/>
          <w:szCs w:val="24"/>
        </w:rPr>
        <w:t>, suggesting that she was the one who controlled the household (Kemp, 2012: 14-15</w:t>
      </w:r>
      <w:r w:rsidR="4CC8F5C6" w:rsidRPr="4CC8F5C6">
        <w:rPr>
          <w:rFonts w:ascii="Segoe UI Historic" w:hAnsi="Segoe UI Historic" w:cs="Segoe UI Historic"/>
          <w:sz w:val="24"/>
          <w:szCs w:val="24"/>
        </w:rPr>
        <w:t>; Allen, 2009: note 64).</w:t>
      </w:r>
      <w:r w:rsidR="005F6F4A">
        <w:rPr>
          <w:rFonts w:ascii="Segoe UI Historic" w:hAnsi="Segoe UI Historic" w:cs="Segoe UI Historic"/>
          <w:sz w:val="24"/>
          <w:szCs w:val="24"/>
        </w:rPr>
        <w:t xml:space="preserve"> This suggests her importance to Akhenaten, as more than just his eldest daughter, and as a result, a temple dedicated to h</w:t>
      </w:r>
      <w:r w:rsidR="00C80DBA">
        <w:rPr>
          <w:rFonts w:ascii="Segoe UI Historic" w:hAnsi="Segoe UI Historic" w:cs="Segoe UI Historic"/>
          <w:sz w:val="24"/>
          <w:szCs w:val="24"/>
        </w:rPr>
        <w:t>er should</w:t>
      </w:r>
      <w:r w:rsidR="00B245B1">
        <w:rPr>
          <w:rFonts w:ascii="Segoe UI Historic" w:hAnsi="Segoe UI Historic" w:cs="Segoe UI Historic"/>
          <w:sz w:val="24"/>
          <w:szCs w:val="24"/>
        </w:rPr>
        <w:t xml:space="preserve"> be built.</w:t>
      </w:r>
      <w:r w:rsidR="00C80DBA">
        <w:rPr>
          <w:rFonts w:ascii="Segoe UI Historic" w:hAnsi="Segoe UI Historic" w:cs="Segoe UI Historic"/>
          <w:sz w:val="24"/>
          <w:szCs w:val="24"/>
        </w:rPr>
        <w:t xml:space="preserve"> </w:t>
      </w:r>
      <w:r w:rsidR="00B245B1">
        <w:rPr>
          <w:rFonts w:ascii="Segoe UI Historic" w:hAnsi="Segoe UI Historic" w:cs="Segoe UI Historic"/>
          <w:sz w:val="24"/>
          <w:szCs w:val="24"/>
        </w:rPr>
        <w:t>A</w:t>
      </w:r>
      <w:r w:rsidR="00C80DBA">
        <w:rPr>
          <w:rFonts w:ascii="Segoe UI Historic" w:hAnsi="Segoe UI Historic" w:cs="Segoe UI Historic"/>
          <w:sz w:val="24"/>
          <w:szCs w:val="24"/>
        </w:rPr>
        <w:t xml:space="preserve"> block from </w:t>
      </w:r>
      <w:r w:rsidR="00B245B1">
        <w:rPr>
          <w:rFonts w:ascii="Segoe UI Historic" w:hAnsi="Segoe UI Historic" w:cs="Segoe UI Historic"/>
          <w:sz w:val="24"/>
          <w:szCs w:val="24"/>
        </w:rPr>
        <w:t>one of her chapels</w:t>
      </w:r>
      <w:r w:rsidR="00C80DBA">
        <w:rPr>
          <w:rFonts w:ascii="Segoe UI Historic" w:hAnsi="Segoe UI Historic" w:cs="Segoe UI Historic"/>
          <w:sz w:val="24"/>
          <w:szCs w:val="24"/>
        </w:rPr>
        <w:t xml:space="preserve"> bears the </w:t>
      </w:r>
      <w:r w:rsidR="00C80DBA" w:rsidRPr="00C80DBA">
        <w:rPr>
          <w:rFonts w:ascii="Segoe UI Historic" w:hAnsi="Segoe UI Historic" w:cs="Segoe UI Historic"/>
          <w:sz w:val="24"/>
          <w:szCs w:val="24"/>
        </w:rPr>
        <w:t>inscription</w:t>
      </w:r>
      <w:r w:rsidR="005F6F4A" w:rsidRPr="00C80DBA">
        <w:rPr>
          <w:rFonts w:ascii="Segoe UI Historic" w:hAnsi="Segoe UI Historic" w:cs="Segoe UI Historic"/>
          <w:sz w:val="24"/>
          <w:szCs w:val="24"/>
        </w:rPr>
        <w:t xml:space="preserve"> </w:t>
      </w:r>
      <w:r w:rsidR="00C80DBA" w:rsidRPr="00C80DBA">
        <w:rPr>
          <w:rFonts w:ascii="Segoe UI Historic" w:hAnsi="Segoe UI Historic" w:cs="Segoe UI Historic"/>
          <w:sz w:val="24"/>
          <w:szCs w:val="24"/>
        </w:rPr>
        <w:t>‘in the Sunshade-chapel of the king’s daughter of his body, his beloved, in the House-of-Waenre in Akhet-Aten’, ‘</w:t>
      </w:r>
      <w:r w:rsidR="00C80DBA" w:rsidRPr="00C80DBA">
        <w:rPr>
          <w:rFonts w:ascii="Segoe UI Historic" w:hAnsi="Segoe UI Historic" w:cs="Segoe UI Historic"/>
          <w:i/>
          <w:sz w:val="24"/>
          <w:szCs w:val="24"/>
        </w:rPr>
        <w:t>m t</w:t>
      </w:r>
      <w:r w:rsidR="00C80DBA" w:rsidRPr="00C80DBA">
        <w:rPr>
          <w:rFonts w:ascii="Calibri" w:hAnsi="Calibri" w:cs="Calibri"/>
          <w:i/>
          <w:sz w:val="24"/>
          <w:szCs w:val="24"/>
        </w:rPr>
        <w:t>ȝ</w:t>
      </w:r>
      <w:r w:rsidR="00C80DBA" w:rsidRPr="00C80DBA">
        <w:rPr>
          <w:rFonts w:ascii="Segoe UI Historic" w:hAnsi="Segoe UI Historic" w:cs="Segoe UI Historic"/>
          <w:sz w:val="24"/>
          <w:szCs w:val="24"/>
        </w:rPr>
        <w:t xml:space="preserve"> </w:t>
      </w:r>
      <w:r w:rsidR="00C80DBA" w:rsidRPr="00C80DBA">
        <w:rPr>
          <w:rFonts w:ascii="Segoe UI Historic" w:hAnsi="Segoe UI Historic" w:cs="Segoe UI Historic"/>
          <w:i/>
          <w:sz w:val="24"/>
          <w:szCs w:val="24"/>
        </w:rPr>
        <w:t>šwt-Rˁ n s</w:t>
      </w:r>
      <w:r w:rsidR="00C80DBA" w:rsidRPr="00C80DBA">
        <w:rPr>
          <w:rFonts w:ascii="Calibri" w:hAnsi="Calibri" w:cs="Calibri"/>
          <w:i/>
          <w:sz w:val="24"/>
          <w:szCs w:val="24"/>
        </w:rPr>
        <w:t>ȝ</w:t>
      </w:r>
      <w:r w:rsidR="00C80DBA" w:rsidRPr="00C80DBA">
        <w:rPr>
          <w:rFonts w:ascii="Segoe UI Historic" w:hAnsi="Segoe UI Historic" w:cs="Segoe UI Historic"/>
          <w:i/>
          <w:sz w:val="24"/>
          <w:szCs w:val="24"/>
        </w:rPr>
        <w:t xml:space="preserve">t nswt n </w:t>
      </w:r>
      <w:r w:rsidR="00C80DBA" w:rsidRPr="00C80DBA">
        <w:rPr>
          <w:rFonts w:ascii="Calibri" w:hAnsi="Calibri" w:cs="Calibri"/>
          <w:i/>
          <w:sz w:val="24"/>
          <w:szCs w:val="24"/>
        </w:rPr>
        <w:t>ẖ</w:t>
      </w:r>
      <w:r w:rsidR="00C80DBA" w:rsidRPr="00C80DBA">
        <w:rPr>
          <w:rFonts w:ascii="Segoe UI Historic" w:hAnsi="Segoe UI Historic" w:cs="Segoe UI Historic"/>
          <w:i/>
          <w:sz w:val="24"/>
          <w:szCs w:val="24"/>
        </w:rPr>
        <w:t xml:space="preserve">t.f mrt.f Mrt-Itn m pr Wˁ-n-Rˁ m </w:t>
      </w:r>
      <w:r w:rsidR="00C80DBA" w:rsidRPr="00C80DBA">
        <w:rPr>
          <w:rFonts w:ascii="Calibri" w:hAnsi="Calibri" w:cs="Calibri"/>
          <w:i/>
          <w:sz w:val="24"/>
          <w:szCs w:val="24"/>
        </w:rPr>
        <w:t>ȝḫ</w:t>
      </w:r>
      <w:r w:rsidR="00C80DBA">
        <w:rPr>
          <w:rFonts w:ascii="Segoe UI Historic" w:hAnsi="Segoe UI Historic" w:cs="Segoe UI Historic"/>
          <w:i/>
          <w:sz w:val="24"/>
          <w:szCs w:val="24"/>
        </w:rPr>
        <w:t>t-Itn’</w:t>
      </w:r>
      <w:r w:rsidR="00C80DBA" w:rsidRPr="00C80DBA">
        <w:rPr>
          <w:rFonts w:ascii="Segoe UI Historic" w:hAnsi="Segoe UI Historic" w:cs="Segoe UI Historic"/>
          <w:sz w:val="24"/>
          <w:szCs w:val="24"/>
        </w:rPr>
        <w:t xml:space="preserve"> </w:t>
      </w:r>
      <w:r w:rsidR="00B245B1">
        <w:rPr>
          <w:rFonts w:ascii="Segoe UI Historic" w:hAnsi="Segoe UI Historic" w:cs="Segoe UI Historic"/>
          <w:sz w:val="24"/>
          <w:szCs w:val="24"/>
        </w:rPr>
        <w:t>; this was possibly from Heliopolis, but she also had two located in Akhet-Aten</w:t>
      </w:r>
      <w:r w:rsidR="00864CB8">
        <w:rPr>
          <w:rFonts w:ascii="Segoe UI Historic" w:hAnsi="Segoe UI Historic" w:cs="Segoe UI Historic"/>
          <w:sz w:val="24"/>
          <w:szCs w:val="24"/>
        </w:rPr>
        <w:t xml:space="preserve"> – one of which, the Meru-Aten, had previously been for Kiya, and possibly upon her death it became Meritaten’s</w:t>
      </w:r>
      <w:r w:rsidR="00B245B1">
        <w:rPr>
          <w:rFonts w:ascii="Segoe UI Historic" w:hAnsi="Segoe UI Historic" w:cs="Segoe UI Historic"/>
          <w:sz w:val="24"/>
          <w:szCs w:val="24"/>
        </w:rPr>
        <w:t xml:space="preserve"> </w:t>
      </w:r>
      <w:r w:rsidR="00C80DBA" w:rsidRPr="00C80DBA">
        <w:rPr>
          <w:rFonts w:ascii="Segoe UI Historic" w:hAnsi="Segoe UI Historic" w:cs="Segoe UI Historic"/>
          <w:sz w:val="24"/>
          <w:szCs w:val="24"/>
        </w:rPr>
        <w:t>(Wegner, 2017: 4</w:t>
      </w:r>
      <w:r w:rsidR="00864CB8">
        <w:rPr>
          <w:rFonts w:ascii="Segoe UI Historic" w:hAnsi="Segoe UI Historic" w:cs="Segoe UI Historic"/>
          <w:sz w:val="24"/>
          <w:szCs w:val="24"/>
        </w:rPr>
        <w:t>; Williamson, 2016: 18-19</w:t>
      </w:r>
      <w:r w:rsidR="00C80DBA" w:rsidRPr="00C80DBA">
        <w:rPr>
          <w:rFonts w:ascii="Segoe UI Historic" w:hAnsi="Segoe UI Historic" w:cs="Segoe UI Historic"/>
          <w:sz w:val="24"/>
          <w:szCs w:val="24"/>
        </w:rPr>
        <w:t>).</w:t>
      </w:r>
      <w:r w:rsidR="00C80DBA">
        <w:rPr>
          <w:rFonts w:ascii="Segoe UI Historic" w:hAnsi="Segoe UI Historic" w:cs="Segoe UI Historic"/>
          <w:sz w:val="24"/>
          <w:szCs w:val="24"/>
        </w:rPr>
        <w:t xml:space="preserve"> This </w:t>
      </w:r>
      <w:r w:rsidR="00D437EE">
        <w:rPr>
          <w:rFonts w:ascii="Segoe UI Historic" w:hAnsi="Segoe UI Historic" w:cs="Segoe UI Historic"/>
          <w:sz w:val="24"/>
          <w:szCs w:val="24"/>
        </w:rPr>
        <w:t xml:space="preserve">layout </w:t>
      </w:r>
      <w:r w:rsidR="00C80DBA">
        <w:rPr>
          <w:rFonts w:ascii="Segoe UI Historic" w:hAnsi="Segoe UI Historic" w:cs="Segoe UI Historic"/>
          <w:sz w:val="24"/>
          <w:szCs w:val="24"/>
        </w:rPr>
        <w:t xml:space="preserve">was representative of the </w:t>
      </w:r>
      <w:r w:rsidR="00D437EE">
        <w:rPr>
          <w:rFonts w:ascii="Segoe UI Historic" w:hAnsi="Segoe UI Historic" w:cs="Segoe UI Historic"/>
          <w:sz w:val="24"/>
          <w:szCs w:val="24"/>
        </w:rPr>
        <w:t xml:space="preserve">architectural </w:t>
      </w:r>
      <w:r w:rsidR="00B245B1">
        <w:rPr>
          <w:rFonts w:ascii="Segoe UI Historic" w:hAnsi="Segoe UI Historic" w:cs="Segoe UI Historic"/>
          <w:sz w:val="24"/>
          <w:szCs w:val="24"/>
        </w:rPr>
        <w:t>style Akhenaten</w:t>
      </w:r>
      <w:r w:rsidR="00D437EE">
        <w:rPr>
          <w:rFonts w:ascii="Segoe UI Historic" w:hAnsi="Segoe UI Historic" w:cs="Segoe UI Historic"/>
          <w:sz w:val="24"/>
          <w:szCs w:val="24"/>
        </w:rPr>
        <w:t xml:space="preserve"> applied to the Aten temples:</w:t>
      </w:r>
      <w:r w:rsidR="00B245B1">
        <w:rPr>
          <w:rFonts w:ascii="Segoe UI Historic" w:hAnsi="Segoe UI Historic" w:cs="Segoe UI Historic"/>
          <w:sz w:val="24"/>
          <w:szCs w:val="24"/>
        </w:rPr>
        <w:t xml:space="preserve"> without a roof to allow Aten to shine into the chapel, and reach all areas of the chapel (Wegner, 2017: Pl. 8).</w:t>
      </w:r>
    </w:p>
    <w:p w14:paraId="1F6C0DB1" w14:textId="77777777" w:rsidR="0023739B" w:rsidRPr="006119AE" w:rsidRDefault="0023739B" w:rsidP="003E5C15">
      <w:pPr>
        <w:pStyle w:val="NoSpacing"/>
        <w:spacing w:line="360" w:lineRule="auto"/>
        <w:rPr>
          <w:rFonts w:ascii="Segoe UI Historic" w:hAnsi="Segoe UI Historic" w:cs="Segoe UI Historic"/>
          <w:sz w:val="24"/>
          <w:szCs w:val="24"/>
        </w:rPr>
      </w:pPr>
    </w:p>
    <w:p w14:paraId="39B3858F" w14:textId="1E490B2F" w:rsidR="00B31297" w:rsidRPr="006119AE" w:rsidRDefault="00F431B3" w:rsidP="003E5C15">
      <w:pPr>
        <w:pStyle w:val="NoSpacing"/>
        <w:spacing w:line="360" w:lineRule="auto"/>
        <w:rPr>
          <w:rFonts w:ascii="Segoe UI Historic" w:hAnsi="Segoe UI Historic" w:cs="Segoe UI Historic"/>
          <w:sz w:val="24"/>
          <w:szCs w:val="24"/>
        </w:rPr>
      </w:pPr>
      <w:r w:rsidRPr="006119AE">
        <w:rPr>
          <w:rFonts w:ascii="Segoe UI Historic" w:hAnsi="Segoe UI Historic" w:cs="Segoe UI Historic"/>
          <w:sz w:val="24"/>
          <w:szCs w:val="24"/>
        </w:rPr>
        <w:t xml:space="preserve">Tragic loss appears to have occurred </w:t>
      </w:r>
      <w:r w:rsidR="00FB7066">
        <w:rPr>
          <w:rFonts w:ascii="Segoe UI Historic" w:hAnsi="Segoe UI Historic" w:cs="Segoe UI Historic"/>
          <w:sz w:val="24"/>
          <w:szCs w:val="24"/>
        </w:rPr>
        <w:t>potentially</w:t>
      </w:r>
      <w:r w:rsidRPr="006119AE">
        <w:rPr>
          <w:rFonts w:ascii="Segoe UI Historic" w:hAnsi="Segoe UI Historic" w:cs="Segoe UI Historic"/>
          <w:sz w:val="24"/>
          <w:szCs w:val="24"/>
        </w:rPr>
        <w:t xml:space="preserve"> prior to Akhenaten’s radical destruction of the existence to other gods and goddesses, namely Amun-Ra, the god which his father held prominent.</w:t>
      </w:r>
      <w:r w:rsidR="00FB7066">
        <w:rPr>
          <w:rFonts w:ascii="Segoe UI Historic" w:hAnsi="Segoe UI Historic" w:cs="Segoe UI Historic"/>
          <w:sz w:val="24"/>
          <w:szCs w:val="24"/>
        </w:rPr>
        <w:t xml:space="preserve"> (The dates of Akhenaten’s iconoclasm of the name Amun is uncertain, and may have occurred before moving to the new capital of Akhetaten, or may have occurred later in his reign (Bell, 2005: 301)</w:t>
      </w:r>
      <w:r w:rsidR="00E42F1D">
        <w:rPr>
          <w:rFonts w:ascii="Segoe UI Historic" w:hAnsi="Segoe UI Historic" w:cs="Segoe UI Historic"/>
          <w:sz w:val="24"/>
          <w:szCs w:val="24"/>
        </w:rPr>
        <w:t>; Allen (1996: 4) argues that this occurred between regnal year</w:t>
      </w:r>
      <w:r w:rsidR="001F7E63">
        <w:rPr>
          <w:rFonts w:ascii="Segoe UI Historic" w:hAnsi="Segoe UI Historic" w:cs="Segoe UI Historic"/>
          <w:sz w:val="24"/>
          <w:szCs w:val="24"/>
        </w:rPr>
        <w:t>s</w:t>
      </w:r>
      <w:r w:rsidR="00E42F1D">
        <w:rPr>
          <w:rFonts w:ascii="Segoe UI Historic" w:hAnsi="Segoe UI Historic" w:cs="Segoe UI Historic"/>
          <w:sz w:val="24"/>
          <w:szCs w:val="24"/>
        </w:rPr>
        <w:t xml:space="preserve"> 8 and 12</w:t>
      </w:r>
      <w:r w:rsidR="00FB7066">
        <w:rPr>
          <w:rFonts w:ascii="Segoe UI Historic" w:hAnsi="Segoe UI Historic" w:cs="Segoe UI Historic"/>
          <w:sz w:val="24"/>
          <w:szCs w:val="24"/>
        </w:rPr>
        <w:t>.)</w:t>
      </w:r>
      <w:r w:rsidRPr="006119AE">
        <w:rPr>
          <w:rFonts w:ascii="Segoe UI Historic" w:hAnsi="Segoe UI Historic" w:cs="Segoe UI Historic"/>
          <w:sz w:val="24"/>
          <w:szCs w:val="24"/>
        </w:rPr>
        <w:t xml:space="preserve"> The disappearance</w:t>
      </w:r>
      <w:r w:rsidR="001560F1">
        <w:rPr>
          <w:rFonts w:ascii="Segoe UI Historic" w:hAnsi="Segoe UI Historic" w:cs="Segoe UI Historic"/>
          <w:sz w:val="24"/>
          <w:szCs w:val="24"/>
        </w:rPr>
        <w:t>s</w:t>
      </w:r>
      <w:r w:rsidRPr="006119AE">
        <w:rPr>
          <w:rFonts w:ascii="Segoe UI Historic" w:hAnsi="Segoe UI Historic" w:cs="Segoe UI Historic"/>
          <w:sz w:val="24"/>
          <w:szCs w:val="24"/>
        </w:rPr>
        <w:t xml:space="preserve"> </w:t>
      </w:r>
      <w:r w:rsidR="005B43C6">
        <w:rPr>
          <w:rFonts w:ascii="Segoe UI Historic" w:hAnsi="Segoe UI Historic" w:cs="Segoe UI Historic"/>
          <w:sz w:val="24"/>
          <w:szCs w:val="24"/>
        </w:rPr>
        <w:t>or</w:t>
      </w:r>
      <w:r w:rsidRPr="006119AE">
        <w:rPr>
          <w:rFonts w:ascii="Segoe UI Historic" w:hAnsi="Segoe UI Historic" w:cs="Segoe UI Historic"/>
          <w:sz w:val="24"/>
          <w:szCs w:val="24"/>
        </w:rPr>
        <w:t xml:space="preserve"> deaths of his mother</w:t>
      </w:r>
      <w:r w:rsidR="005B43C6">
        <w:rPr>
          <w:rFonts w:ascii="Segoe UI Historic" w:hAnsi="Segoe UI Historic" w:cs="Segoe UI Historic"/>
          <w:sz w:val="24"/>
          <w:szCs w:val="24"/>
        </w:rPr>
        <w:t>, Tiye</w:t>
      </w:r>
      <w:r w:rsidRPr="006119AE">
        <w:rPr>
          <w:rFonts w:ascii="Segoe UI Historic" w:hAnsi="Segoe UI Historic" w:cs="Segoe UI Historic"/>
          <w:sz w:val="24"/>
          <w:szCs w:val="24"/>
        </w:rPr>
        <w:t xml:space="preserve">, </w:t>
      </w:r>
      <w:r w:rsidR="005B43C6">
        <w:rPr>
          <w:rFonts w:ascii="Segoe UI Historic" w:hAnsi="Segoe UI Historic" w:cs="Segoe UI Historic"/>
          <w:sz w:val="24"/>
          <w:szCs w:val="24"/>
        </w:rPr>
        <w:t>one of his</w:t>
      </w:r>
      <w:r w:rsidRPr="006119AE">
        <w:rPr>
          <w:rFonts w:ascii="Segoe UI Historic" w:hAnsi="Segoe UI Historic" w:cs="Segoe UI Historic"/>
          <w:sz w:val="24"/>
          <w:szCs w:val="24"/>
        </w:rPr>
        <w:t xml:space="preserve"> secondary wi</w:t>
      </w:r>
      <w:r w:rsidR="005B43C6">
        <w:rPr>
          <w:rFonts w:ascii="Segoe UI Historic" w:hAnsi="Segoe UI Historic" w:cs="Segoe UI Historic"/>
          <w:sz w:val="24"/>
          <w:szCs w:val="24"/>
        </w:rPr>
        <w:t>v</w:t>
      </w:r>
      <w:r w:rsidRPr="006119AE">
        <w:rPr>
          <w:rFonts w:ascii="Segoe UI Historic" w:hAnsi="Segoe UI Historic" w:cs="Segoe UI Historic"/>
          <w:sz w:val="24"/>
          <w:szCs w:val="24"/>
        </w:rPr>
        <w:t>e</w:t>
      </w:r>
      <w:r w:rsidR="005B43C6">
        <w:rPr>
          <w:rFonts w:ascii="Segoe UI Historic" w:hAnsi="Segoe UI Historic" w:cs="Segoe UI Historic"/>
          <w:sz w:val="24"/>
          <w:szCs w:val="24"/>
        </w:rPr>
        <w:t>s, Kiya (also referred to as Akhenaten’s beloved</w:t>
      </w:r>
      <w:r w:rsidR="005031E5">
        <w:rPr>
          <w:rFonts w:ascii="Segoe UI Historic" w:hAnsi="Segoe UI Historic" w:cs="Segoe UI Historic"/>
          <w:sz w:val="24"/>
          <w:szCs w:val="24"/>
        </w:rPr>
        <w:t xml:space="preserve"> [Tyldesley, 2015c: 46]</w:t>
      </w:r>
      <w:r w:rsidR="005B43C6">
        <w:rPr>
          <w:rFonts w:ascii="Segoe UI Historic" w:hAnsi="Segoe UI Historic" w:cs="Segoe UI Historic"/>
          <w:sz w:val="24"/>
          <w:szCs w:val="24"/>
        </w:rPr>
        <w:t>)</w:t>
      </w:r>
      <w:r w:rsidRPr="006119AE">
        <w:rPr>
          <w:rFonts w:ascii="Segoe UI Historic" w:hAnsi="Segoe UI Historic" w:cs="Segoe UI Historic"/>
          <w:sz w:val="24"/>
          <w:szCs w:val="24"/>
        </w:rPr>
        <w:t xml:space="preserve">, </w:t>
      </w:r>
      <w:r w:rsidR="00AC751E" w:rsidRPr="006119AE">
        <w:rPr>
          <w:rFonts w:ascii="Segoe UI Historic" w:hAnsi="Segoe UI Historic" w:cs="Segoe UI Historic"/>
          <w:sz w:val="24"/>
          <w:szCs w:val="24"/>
        </w:rPr>
        <w:t>his daughter</w:t>
      </w:r>
      <w:r w:rsidR="00C5482C">
        <w:rPr>
          <w:rFonts w:ascii="Segoe UI Historic" w:hAnsi="Segoe UI Historic" w:cs="Segoe UI Historic"/>
          <w:sz w:val="24"/>
          <w:szCs w:val="24"/>
        </w:rPr>
        <w:t>, Me</w:t>
      </w:r>
      <w:r w:rsidR="001073BC" w:rsidRPr="006119AE">
        <w:rPr>
          <w:rFonts w:ascii="Segoe UI Historic" w:hAnsi="Segoe UI Historic" w:cs="Segoe UI Historic"/>
          <w:sz w:val="24"/>
          <w:szCs w:val="24"/>
        </w:rPr>
        <w:t>ketaten</w:t>
      </w:r>
      <w:r w:rsidR="00C5482C">
        <w:rPr>
          <w:rFonts w:ascii="Segoe UI Historic" w:hAnsi="Segoe UI Historic" w:cs="Segoe UI Historic"/>
          <w:sz w:val="24"/>
          <w:szCs w:val="24"/>
        </w:rPr>
        <w:t>, and potentially his youngest three daughters</w:t>
      </w:r>
      <w:r w:rsidR="00AA7FCA" w:rsidRPr="006119AE">
        <w:rPr>
          <w:rFonts w:ascii="Segoe UI Historic" w:hAnsi="Segoe UI Historic" w:cs="Segoe UI Historic"/>
          <w:sz w:val="24"/>
          <w:szCs w:val="24"/>
        </w:rPr>
        <w:t xml:space="preserve"> </w:t>
      </w:r>
      <w:r w:rsidR="00C5482C">
        <w:rPr>
          <w:rFonts w:ascii="Segoe UI Historic" w:hAnsi="Segoe UI Historic" w:cs="Segoe UI Historic"/>
          <w:sz w:val="24"/>
          <w:szCs w:val="24"/>
        </w:rPr>
        <w:t>over a short space of time</w:t>
      </w:r>
      <w:r w:rsidR="00FB7066">
        <w:rPr>
          <w:rFonts w:ascii="Segoe UI Historic" w:hAnsi="Segoe UI Historic" w:cs="Segoe UI Historic"/>
          <w:sz w:val="24"/>
          <w:szCs w:val="24"/>
        </w:rPr>
        <w:t>, between regnal years 6 and 14</w:t>
      </w:r>
      <w:r w:rsidR="00C5482C">
        <w:rPr>
          <w:rFonts w:ascii="Segoe UI Historic" w:hAnsi="Segoe UI Historic" w:cs="Segoe UI Historic"/>
          <w:sz w:val="24"/>
          <w:szCs w:val="24"/>
        </w:rPr>
        <w:t xml:space="preserve"> (Redford, 1984: 199-200</w:t>
      </w:r>
      <w:r w:rsidR="005031E5">
        <w:rPr>
          <w:rFonts w:ascii="Segoe UI Historic" w:hAnsi="Segoe UI Historic" w:cs="Segoe UI Historic"/>
          <w:sz w:val="24"/>
          <w:szCs w:val="24"/>
        </w:rPr>
        <w:t>; Tyldesley, 2015c: 46</w:t>
      </w:r>
      <w:r w:rsidR="005F6F4A">
        <w:rPr>
          <w:rFonts w:ascii="Segoe UI Historic" w:hAnsi="Segoe UI Historic" w:cs="Segoe UI Historic"/>
          <w:sz w:val="24"/>
          <w:szCs w:val="24"/>
        </w:rPr>
        <w:t>; Williamson, 2015: 8</w:t>
      </w:r>
      <w:r w:rsidR="00C5482C">
        <w:rPr>
          <w:rFonts w:ascii="Segoe UI Historic" w:hAnsi="Segoe UI Historic" w:cs="Segoe UI Historic"/>
          <w:sz w:val="24"/>
          <w:szCs w:val="24"/>
        </w:rPr>
        <w:t>)</w:t>
      </w:r>
      <w:r w:rsidRPr="006119AE">
        <w:rPr>
          <w:rFonts w:ascii="Segoe UI Historic" w:hAnsi="Segoe UI Historic" w:cs="Segoe UI Historic"/>
          <w:sz w:val="24"/>
          <w:szCs w:val="24"/>
        </w:rPr>
        <w:t>, suggest the role which these women potentially played</w:t>
      </w:r>
      <w:r w:rsidR="00C5482C">
        <w:rPr>
          <w:rFonts w:ascii="Segoe UI Historic" w:hAnsi="Segoe UI Historic" w:cs="Segoe UI Historic"/>
          <w:sz w:val="24"/>
          <w:szCs w:val="24"/>
        </w:rPr>
        <w:t xml:space="preserve"> as well as the love he had for them</w:t>
      </w:r>
      <w:r w:rsidRPr="006119AE">
        <w:rPr>
          <w:rFonts w:ascii="Segoe UI Historic" w:hAnsi="Segoe UI Historic" w:cs="Segoe UI Historic"/>
          <w:sz w:val="24"/>
          <w:szCs w:val="24"/>
        </w:rPr>
        <w:t xml:space="preserve">; they </w:t>
      </w:r>
      <w:r w:rsidR="00AA7FCA" w:rsidRPr="006119AE">
        <w:rPr>
          <w:rFonts w:ascii="Segoe UI Historic" w:hAnsi="Segoe UI Historic" w:cs="Segoe UI Historic"/>
          <w:sz w:val="24"/>
          <w:szCs w:val="24"/>
        </w:rPr>
        <w:t xml:space="preserve">prevented the Pharaoh from making radical changes, such as destroying the </w:t>
      </w:r>
      <w:r w:rsidR="00AA7FCA" w:rsidRPr="006119AE">
        <w:rPr>
          <w:rFonts w:ascii="Segoe UI Historic" w:hAnsi="Segoe UI Historic" w:cs="Segoe UI Historic"/>
          <w:sz w:val="24"/>
          <w:szCs w:val="24"/>
        </w:rPr>
        <w:lastRenderedPageBreak/>
        <w:t>existence of the other gods and goddesses and therefore</w:t>
      </w:r>
      <w:r w:rsidRPr="006119AE">
        <w:rPr>
          <w:rFonts w:ascii="Segoe UI Historic" w:hAnsi="Segoe UI Historic" w:cs="Segoe UI Historic"/>
          <w:sz w:val="24"/>
          <w:szCs w:val="24"/>
        </w:rPr>
        <w:t xml:space="preserve"> enabl</w:t>
      </w:r>
      <w:r w:rsidR="0017028A">
        <w:rPr>
          <w:rFonts w:ascii="Segoe UI Historic" w:hAnsi="Segoe UI Historic" w:cs="Segoe UI Historic"/>
          <w:sz w:val="24"/>
          <w:szCs w:val="24"/>
        </w:rPr>
        <w:t>ed</w:t>
      </w:r>
      <w:r w:rsidRPr="006119AE">
        <w:rPr>
          <w:rFonts w:ascii="Segoe UI Historic" w:hAnsi="Segoe UI Historic" w:cs="Segoe UI Historic"/>
          <w:sz w:val="24"/>
          <w:szCs w:val="24"/>
        </w:rPr>
        <w:t xml:space="preserve"> peace to be kept</w:t>
      </w:r>
      <w:r w:rsidR="00AC751E" w:rsidRPr="006119AE">
        <w:rPr>
          <w:rFonts w:ascii="Segoe UI Historic" w:hAnsi="Segoe UI Historic" w:cs="Segoe UI Historic"/>
          <w:sz w:val="24"/>
          <w:szCs w:val="24"/>
        </w:rPr>
        <w:t xml:space="preserve"> within Egypt</w:t>
      </w:r>
      <w:r w:rsidRPr="006119AE">
        <w:rPr>
          <w:rFonts w:ascii="Segoe UI Historic" w:hAnsi="Segoe UI Historic" w:cs="Segoe UI Historic"/>
          <w:sz w:val="24"/>
          <w:szCs w:val="24"/>
        </w:rPr>
        <w:t xml:space="preserve"> despite the changes he was making</w:t>
      </w:r>
      <w:r w:rsidR="00AA7FCA" w:rsidRPr="006119AE">
        <w:rPr>
          <w:rFonts w:ascii="Segoe UI Historic" w:hAnsi="Segoe UI Historic" w:cs="Segoe UI Historic"/>
          <w:sz w:val="24"/>
          <w:szCs w:val="24"/>
        </w:rPr>
        <w:t xml:space="preserve">. However, with their disappearance, Akhenaten had lost women he held in high prestige, and therefore </w:t>
      </w:r>
      <w:r w:rsidR="00A113A0" w:rsidRPr="00A113A0">
        <w:rPr>
          <w:rFonts w:ascii="Segoe UI Historic" w:hAnsi="Segoe UI Historic" w:cs="Segoe UI Historic"/>
          <w:sz w:val="24"/>
          <w:szCs w:val="24"/>
        </w:rPr>
        <w:t xml:space="preserve">he may have decided </w:t>
      </w:r>
      <w:r w:rsidR="00AA7FCA" w:rsidRPr="006119AE">
        <w:rPr>
          <w:rFonts w:ascii="Segoe UI Historic" w:hAnsi="Segoe UI Historic" w:cs="Segoe UI Historic"/>
          <w:sz w:val="24"/>
          <w:szCs w:val="24"/>
        </w:rPr>
        <w:t xml:space="preserve">the gods </w:t>
      </w:r>
      <w:r w:rsidR="00E26BA5">
        <w:rPr>
          <w:rFonts w:ascii="Segoe UI Historic" w:hAnsi="Segoe UI Historic" w:cs="Segoe UI Historic"/>
          <w:sz w:val="24"/>
          <w:szCs w:val="24"/>
        </w:rPr>
        <w:t xml:space="preserve">that were </w:t>
      </w:r>
      <w:r w:rsidR="00AA7FCA" w:rsidRPr="006119AE">
        <w:rPr>
          <w:rFonts w:ascii="Segoe UI Historic" w:hAnsi="Segoe UI Historic" w:cs="Segoe UI Historic"/>
          <w:sz w:val="24"/>
          <w:szCs w:val="24"/>
        </w:rPr>
        <w:t>previously worshipped</w:t>
      </w:r>
      <w:r w:rsidR="00AC751E" w:rsidRPr="006119AE">
        <w:rPr>
          <w:rFonts w:ascii="Segoe UI Historic" w:hAnsi="Segoe UI Historic" w:cs="Segoe UI Historic"/>
          <w:sz w:val="24"/>
          <w:szCs w:val="24"/>
        </w:rPr>
        <w:t xml:space="preserve"> </w:t>
      </w:r>
      <w:r w:rsidR="00E26BA5">
        <w:rPr>
          <w:rFonts w:ascii="Segoe UI Historic" w:hAnsi="Segoe UI Historic" w:cs="Segoe UI Historic"/>
          <w:sz w:val="24"/>
          <w:szCs w:val="24"/>
        </w:rPr>
        <w:t>had to be removed.</w:t>
      </w:r>
      <w:r w:rsidR="00AA7FCA" w:rsidRPr="006119AE">
        <w:rPr>
          <w:rFonts w:ascii="Segoe UI Historic" w:hAnsi="Segoe UI Historic" w:cs="Segoe UI Historic"/>
          <w:sz w:val="24"/>
          <w:szCs w:val="24"/>
        </w:rPr>
        <w:t xml:space="preserve"> </w:t>
      </w:r>
      <w:r w:rsidR="00E26BA5">
        <w:rPr>
          <w:rFonts w:ascii="Segoe UI Historic" w:hAnsi="Segoe UI Historic" w:cs="Segoe UI Historic"/>
          <w:sz w:val="24"/>
          <w:szCs w:val="24"/>
        </w:rPr>
        <w:t>A</w:t>
      </w:r>
      <w:r w:rsidR="00AA7FCA" w:rsidRPr="006119AE">
        <w:rPr>
          <w:rFonts w:ascii="Segoe UI Historic" w:hAnsi="Segoe UI Historic" w:cs="Segoe UI Historic"/>
          <w:sz w:val="24"/>
          <w:szCs w:val="24"/>
        </w:rPr>
        <w:t xml:space="preserve"> question may be asked as to why these events occurred, and potentially the same ques</w:t>
      </w:r>
      <w:r w:rsidR="00E26BA5">
        <w:rPr>
          <w:rFonts w:ascii="Segoe UI Historic" w:hAnsi="Segoe UI Historic" w:cs="Segoe UI Historic"/>
          <w:sz w:val="24"/>
          <w:szCs w:val="24"/>
        </w:rPr>
        <w:t>tion which Akhenaten considered</w:t>
      </w:r>
      <w:r w:rsidR="00AA7FCA" w:rsidRPr="006119AE">
        <w:rPr>
          <w:rFonts w:ascii="Segoe UI Historic" w:hAnsi="Segoe UI Historic" w:cs="Segoe UI Historic"/>
          <w:sz w:val="24"/>
          <w:szCs w:val="24"/>
        </w:rPr>
        <w:t xml:space="preserve"> is </w:t>
      </w:r>
      <w:r w:rsidR="00E26BA5">
        <w:rPr>
          <w:rFonts w:ascii="Segoe UI Historic" w:hAnsi="Segoe UI Historic" w:cs="Segoe UI Historic"/>
          <w:sz w:val="24"/>
          <w:szCs w:val="24"/>
        </w:rPr>
        <w:t>whether</w:t>
      </w:r>
      <w:r w:rsidR="00AA7FCA" w:rsidRPr="006119AE">
        <w:rPr>
          <w:rFonts w:ascii="Segoe UI Historic" w:hAnsi="Segoe UI Historic" w:cs="Segoe UI Historic"/>
          <w:sz w:val="24"/>
          <w:szCs w:val="24"/>
        </w:rPr>
        <w:t xml:space="preserve"> Aten </w:t>
      </w:r>
      <w:r w:rsidR="00E26BA5">
        <w:rPr>
          <w:rFonts w:ascii="Segoe UI Historic" w:hAnsi="Segoe UI Historic" w:cs="Segoe UI Historic"/>
          <w:sz w:val="24"/>
          <w:szCs w:val="24"/>
        </w:rPr>
        <w:t xml:space="preserve">was </w:t>
      </w:r>
      <w:r w:rsidR="00AA7FCA" w:rsidRPr="006119AE">
        <w:rPr>
          <w:rFonts w:ascii="Segoe UI Historic" w:hAnsi="Segoe UI Historic" w:cs="Segoe UI Historic"/>
          <w:sz w:val="24"/>
          <w:szCs w:val="24"/>
        </w:rPr>
        <w:t xml:space="preserve">unhappy that dedications to other gods and goddesses still existed, and </w:t>
      </w:r>
      <w:r w:rsidR="00E26BA5">
        <w:rPr>
          <w:rFonts w:ascii="Segoe UI Historic" w:hAnsi="Segoe UI Historic" w:cs="Segoe UI Historic"/>
          <w:sz w:val="24"/>
          <w:szCs w:val="24"/>
        </w:rPr>
        <w:t xml:space="preserve">he </w:t>
      </w:r>
      <w:r w:rsidR="00AA7FCA" w:rsidRPr="006119AE">
        <w:rPr>
          <w:rFonts w:ascii="Segoe UI Historic" w:hAnsi="Segoe UI Historic" w:cs="Segoe UI Historic"/>
          <w:sz w:val="24"/>
          <w:szCs w:val="24"/>
        </w:rPr>
        <w:t>therefore caused distress to Akhenaten in ord</w:t>
      </w:r>
      <w:r w:rsidR="00E26BA5">
        <w:rPr>
          <w:rFonts w:ascii="Segoe UI Historic" w:hAnsi="Segoe UI Historic" w:cs="Segoe UI Historic"/>
          <w:sz w:val="24"/>
          <w:szCs w:val="24"/>
        </w:rPr>
        <w:t>er to make him the primary god</w:t>
      </w:r>
      <w:r w:rsidR="00AA7FCA" w:rsidRPr="006119AE">
        <w:rPr>
          <w:rFonts w:ascii="Segoe UI Historic" w:hAnsi="Segoe UI Historic" w:cs="Segoe UI Historic"/>
          <w:sz w:val="24"/>
          <w:szCs w:val="24"/>
        </w:rPr>
        <w:t>.</w:t>
      </w:r>
      <w:r w:rsidR="00F01F0C">
        <w:rPr>
          <w:rFonts w:ascii="Segoe UI Historic" w:hAnsi="Segoe UI Historic" w:cs="Segoe UI Historic"/>
          <w:sz w:val="24"/>
          <w:szCs w:val="24"/>
        </w:rPr>
        <w:t xml:space="preserve"> Another question</w:t>
      </w:r>
      <w:r w:rsidR="00D704FE" w:rsidRPr="006119AE">
        <w:rPr>
          <w:rFonts w:ascii="Segoe UI Historic" w:hAnsi="Segoe UI Historic" w:cs="Segoe UI Historic"/>
          <w:sz w:val="24"/>
          <w:szCs w:val="24"/>
        </w:rPr>
        <w:t xml:space="preserve"> could </w:t>
      </w:r>
      <w:r w:rsidR="00E26BA5">
        <w:rPr>
          <w:rFonts w:ascii="Segoe UI Historic" w:hAnsi="Segoe UI Historic" w:cs="Segoe UI Historic"/>
          <w:sz w:val="24"/>
          <w:szCs w:val="24"/>
        </w:rPr>
        <w:t xml:space="preserve">be </w:t>
      </w:r>
      <w:r w:rsidR="00D704FE" w:rsidRPr="006119AE">
        <w:rPr>
          <w:rFonts w:ascii="Segoe UI Historic" w:hAnsi="Segoe UI Historic" w:cs="Segoe UI Historic"/>
          <w:sz w:val="24"/>
          <w:szCs w:val="24"/>
        </w:rPr>
        <w:t>raise</w:t>
      </w:r>
      <w:r w:rsidR="00E26BA5">
        <w:rPr>
          <w:rFonts w:ascii="Segoe UI Historic" w:hAnsi="Segoe UI Historic" w:cs="Segoe UI Historic"/>
          <w:sz w:val="24"/>
          <w:szCs w:val="24"/>
        </w:rPr>
        <w:t>d -</w:t>
      </w:r>
      <w:r w:rsidR="00D704FE" w:rsidRPr="006119AE">
        <w:rPr>
          <w:rFonts w:ascii="Segoe UI Historic" w:hAnsi="Segoe UI Historic" w:cs="Segoe UI Historic"/>
          <w:sz w:val="24"/>
          <w:szCs w:val="24"/>
        </w:rPr>
        <w:t xml:space="preserve"> again which may have occurred to Akhenaten</w:t>
      </w:r>
      <w:r w:rsidR="00E26BA5">
        <w:rPr>
          <w:rFonts w:ascii="Segoe UI Historic" w:hAnsi="Segoe UI Historic" w:cs="Segoe UI Historic"/>
          <w:sz w:val="24"/>
          <w:szCs w:val="24"/>
        </w:rPr>
        <w:t xml:space="preserve"> - is</w:t>
      </w:r>
      <w:r w:rsidR="00D704FE" w:rsidRPr="006119AE">
        <w:rPr>
          <w:rFonts w:ascii="Segoe UI Historic" w:hAnsi="Segoe UI Historic" w:cs="Segoe UI Historic"/>
          <w:sz w:val="24"/>
          <w:szCs w:val="24"/>
        </w:rPr>
        <w:t xml:space="preserve"> that because of the power of Amun, and his ability to make and u</w:t>
      </w:r>
      <w:r w:rsidR="00E26BA5">
        <w:rPr>
          <w:rFonts w:ascii="Segoe UI Historic" w:hAnsi="Segoe UI Historic" w:cs="Segoe UI Historic"/>
          <w:sz w:val="24"/>
          <w:szCs w:val="24"/>
        </w:rPr>
        <w:t xml:space="preserve">nmake the Pharaoh, was </w:t>
      </w:r>
      <w:r w:rsidR="00D704FE" w:rsidRPr="006119AE">
        <w:rPr>
          <w:rFonts w:ascii="Segoe UI Historic" w:hAnsi="Segoe UI Historic" w:cs="Segoe UI Historic"/>
          <w:sz w:val="24"/>
          <w:szCs w:val="24"/>
        </w:rPr>
        <w:t>Amun unhappy with the wor</w:t>
      </w:r>
      <w:r w:rsidR="00E26BA5">
        <w:rPr>
          <w:rFonts w:ascii="Segoe UI Historic" w:hAnsi="Segoe UI Historic" w:cs="Segoe UI Historic"/>
          <w:sz w:val="24"/>
          <w:szCs w:val="24"/>
        </w:rPr>
        <w:t>ship of Aten as the primary god?</w:t>
      </w:r>
      <w:r w:rsidR="00D704FE" w:rsidRPr="006119AE">
        <w:rPr>
          <w:rFonts w:ascii="Segoe UI Historic" w:hAnsi="Segoe UI Historic" w:cs="Segoe UI Historic"/>
          <w:sz w:val="24"/>
          <w:szCs w:val="24"/>
        </w:rPr>
        <w:t xml:space="preserve"> </w:t>
      </w:r>
      <w:r w:rsidR="00E26BA5">
        <w:rPr>
          <w:rFonts w:ascii="Segoe UI Historic" w:hAnsi="Segoe UI Historic" w:cs="Segoe UI Historic"/>
          <w:sz w:val="24"/>
          <w:szCs w:val="24"/>
        </w:rPr>
        <w:t>This</w:t>
      </w:r>
      <w:r w:rsidR="00D704FE" w:rsidRPr="006119AE">
        <w:rPr>
          <w:rFonts w:ascii="Segoe UI Historic" w:hAnsi="Segoe UI Historic" w:cs="Segoe UI Historic"/>
          <w:sz w:val="24"/>
          <w:szCs w:val="24"/>
        </w:rPr>
        <w:t xml:space="preserve"> could have led to Akhenaten’s destruction of the evidence for Amun, in order to erase his very existence</w:t>
      </w:r>
      <w:r w:rsidR="00E26BA5">
        <w:rPr>
          <w:rFonts w:ascii="Segoe UI Historic" w:hAnsi="Segoe UI Historic" w:cs="Segoe UI Historic"/>
          <w:sz w:val="24"/>
          <w:szCs w:val="24"/>
        </w:rPr>
        <w:t>.</w:t>
      </w:r>
      <w:r w:rsidR="00D704FE" w:rsidRPr="006119AE">
        <w:rPr>
          <w:rFonts w:ascii="Segoe UI Historic" w:hAnsi="Segoe UI Historic" w:cs="Segoe UI Historic"/>
          <w:sz w:val="24"/>
          <w:szCs w:val="24"/>
        </w:rPr>
        <w:t xml:space="preserve"> The prominent women in Akhenaten’s life may have had a reluctance to be rid of the old gods,</w:t>
      </w:r>
      <w:r w:rsidR="0017028A">
        <w:rPr>
          <w:rFonts w:ascii="Segoe UI Historic" w:hAnsi="Segoe UI Historic" w:cs="Segoe UI Historic"/>
          <w:sz w:val="24"/>
          <w:szCs w:val="24"/>
        </w:rPr>
        <w:t xml:space="preserve"> possibly due to </w:t>
      </w:r>
      <w:r w:rsidR="00E26BA5">
        <w:rPr>
          <w:rFonts w:ascii="Segoe UI Historic" w:hAnsi="Segoe UI Historic" w:cs="Segoe UI Historic"/>
          <w:sz w:val="24"/>
          <w:szCs w:val="24"/>
        </w:rPr>
        <w:t>their continuing belief in these gods</w:t>
      </w:r>
      <w:r w:rsidR="0017028A">
        <w:rPr>
          <w:rFonts w:ascii="Segoe UI Historic" w:hAnsi="Segoe UI Historic" w:cs="Segoe UI Historic"/>
          <w:sz w:val="24"/>
          <w:szCs w:val="24"/>
        </w:rPr>
        <w:t xml:space="preserve">, but following the </w:t>
      </w:r>
      <w:r w:rsidR="00E26BA5">
        <w:rPr>
          <w:rFonts w:ascii="Segoe UI Historic" w:hAnsi="Segoe UI Historic" w:cs="Segoe UI Historic"/>
          <w:sz w:val="24"/>
          <w:szCs w:val="24"/>
        </w:rPr>
        <w:t>pharaoh’s</w:t>
      </w:r>
      <w:r w:rsidR="0017028A">
        <w:rPr>
          <w:rFonts w:ascii="Segoe UI Historic" w:hAnsi="Segoe UI Historic" w:cs="Segoe UI Historic"/>
          <w:sz w:val="24"/>
          <w:szCs w:val="24"/>
        </w:rPr>
        <w:t xml:space="preserve"> belief of Aten being the </w:t>
      </w:r>
      <w:r w:rsidR="00E26BA5">
        <w:rPr>
          <w:rFonts w:ascii="Segoe UI Historic" w:hAnsi="Segoe UI Historic" w:cs="Segoe UI Historic"/>
          <w:sz w:val="24"/>
          <w:szCs w:val="24"/>
        </w:rPr>
        <w:t>principal</w:t>
      </w:r>
      <w:r w:rsidR="00B443B1">
        <w:rPr>
          <w:rFonts w:ascii="Segoe UI Historic" w:hAnsi="Segoe UI Historic" w:cs="Segoe UI Historic"/>
          <w:sz w:val="24"/>
          <w:szCs w:val="24"/>
        </w:rPr>
        <w:t xml:space="preserve"> god, they</w:t>
      </w:r>
      <w:r w:rsidR="00D704FE" w:rsidRPr="006119AE">
        <w:rPr>
          <w:rFonts w:ascii="Segoe UI Historic" w:hAnsi="Segoe UI Historic" w:cs="Segoe UI Historic"/>
          <w:sz w:val="24"/>
          <w:szCs w:val="24"/>
        </w:rPr>
        <w:t xml:space="preserve"> might have, as a result, persuaded him to keep the</w:t>
      </w:r>
      <w:r w:rsidR="00B443B1">
        <w:rPr>
          <w:rFonts w:ascii="Segoe UI Historic" w:hAnsi="Segoe UI Historic" w:cs="Segoe UI Historic"/>
          <w:sz w:val="24"/>
          <w:szCs w:val="24"/>
        </w:rPr>
        <w:t>m in existence</w:t>
      </w:r>
      <w:r w:rsidR="00D704FE" w:rsidRPr="006119AE">
        <w:rPr>
          <w:rFonts w:ascii="Segoe UI Historic" w:hAnsi="Segoe UI Historic" w:cs="Segoe UI Historic"/>
          <w:sz w:val="24"/>
          <w:szCs w:val="24"/>
        </w:rPr>
        <w:t>, in order to please both the gods and the Pharaoh.</w:t>
      </w:r>
    </w:p>
    <w:p w14:paraId="4C084B4A" w14:textId="228F708F" w:rsidR="00B31297" w:rsidRPr="006119AE" w:rsidRDefault="00B31297" w:rsidP="003E5C15">
      <w:pPr>
        <w:pStyle w:val="NoSpacing"/>
        <w:spacing w:line="360" w:lineRule="auto"/>
        <w:rPr>
          <w:rFonts w:ascii="Segoe UI Historic" w:hAnsi="Segoe UI Historic" w:cs="Segoe UI Historic"/>
          <w:sz w:val="24"/>
          <w:szCs w:val="24"/>
        </w:rPr>
      </w:pPr>
    </w:p>
    <w:p w14:paraId="73DDD086" w14:textId="41C4B98C" w:rsidR="006F10D9" w:rsidRPr="006119AE" w:rsidRDefault="00A75CEF" w:rsidP="003E5C15">
      <w:pPr>
        <w:pStyle w:val="NoSpacing"/>
        <w:spacing w:line="360" w:lineRule="auto"/>
        <w:rPr>
          <w:rFonts w:ascii="Segoe UI Historic" w:hAnsi="Segoe UI Historic" w:cs="Segoe UI Historic"/>
          <w:sz w:val="24"/>
          <w:szCs w:val="24"/>
        </w:rPr>
      </w:pPr>
      <w:r>
        <w:rPr>
          <w:rFonts w:ascii="Segoe UI Historic" w:hAnsi="Segoe UI Historic" w:cs="Segoe UI Historic"/>
          <w:sz w:val="24"/>
          <w:szCs w:val="24"/>
        </w:rPr>
        <w:t xml:space="preserve">In conclusion, the role of women during the Amarna Period is only able to be explored through the royal and elite women. These royal and elite women were able to hold prestigious titles, as well as, specifically the queen, hold the feminised titles of the pharaoh and </w:t>
      </w:r>
      <w:r w:rsidR="00B443B1">
        <w:rPr>
          <w:rFonts w:ascii="Segoe UI Historic" w:hAnsi="Segoe UI Historic" w:cs="Segoe UI Historic"/>
          <w:sz w:val="24"/>
          <w:szCs w:val="24"/>
        </w:rPr>
        <w:t xml:space="preserve">be </w:t>
      </w:r>
      <w:r>
        <w:rPr>
          <w:rFonts w:ascii="Segoe UI Historic" w:hAnsi="Segoe UI Historic" w:cs="Segoe UI Historic"/>
          <w:sz w:val="24"/>
          <w:szCs w:val="24"/>
        </w:rPr>
        <w:t>depicted as equal to him. These are comparable to the pre-Amarna Period of the 18</w:t>
      </w:r>
      <w:r w:rsidRPr="00A75CEF">
        <w:rPr>
          <w:rFonts w:ascii="Segoe UI Historic" w:hAnsi="Segoe UI Historic" w:cs="Segoe UI Historic"/>
          <w:sz w:val="24"/>
          <w:szCs w:val="24"/>
          <w:vertAlign w:val="superscript"/>
        </w:rPr>
        <w:t>th</w:t>
      </w:r>
      <w:r>
        <w:rPr>
          <w:rFonts w:ascii="Segoe UI Historic" w:hAnsi="Segoe UI Historic" w:cs="Segoe UI Historic"/>
          <w:sz w:val="24"/>
          <w:szCs w:val="24"/>
        </w:rPr>
        <w:t xml:space="preserve"> Dynasty, particularly with the importance of the religious titles, and precursor of the queen’s status as equal to the pharaoh.</w:t>
      </w:r>
    </w:p>
    <w:p w14:paraId="0D173FFA" w14:textId="08666FEF" w:rsidR="006F10D9" w:rsidRPr="006119AE" w:rsidRDefault="006F10D9" w:rsidP="003E5C15">
      <w:pPr>
        <w:pStyle w:val="NoSpacing"/>
        <w:spacing w:line="360" w:lineRule="auto"/>
        <w:rPr>
          <w:rFonts w:ascii="Segoe UI Historic" w:hAnsi="Segoe UI Historic" w:cs="Segoe UI Historic"/>
          <w:sz w:val="24"/>
          <w:szCs w:val="24"/>
        </w:rPr>
      </w:pPr>
    </w:p>
    <w:p w14:paraId="5CE0C637" w14:textId="5FE23CB2" w:rsidR="006F10D9" w:rsidRPr="006119AE" w:rsidRDefault="006F10D9" w:rsidP="003E5C15">
      <w:pPr>
        <w:pStyle w:val="NoSpacing"/>
        <w:spacing w:line="360" w:lineRule="auto"/>
        <w:rPr>
          <w:rFonts w:ascii="Segoe UI Historic" w:hAnsi="Segoe UI Historic" w:cs="Segoe UI Historic"/>
          <w:sz w:val="24"/>
          <w:szCs w:val="24"/>
        </w:rPr>
      </w:pPr>
    </w:p>
    <w:p w14:paraId="053F5B6C" w14:textId="35C92C73" w:rsidR="006F10D9" w:rsidRPr="006119AE" w:rsidRDefault="006F10D9" w:rsidP="003E5C15">
      <w:pPr>
        <w:pStyle w:val="NoSpacing"/>
        <w:spacing w:line="360" w:lineRule="auto"/>
        <w:rPr>
          <w:rFonts w:ascii="Segoe UI Historic" w:hAnsi="Segoe UI Historic" w:cs="Segoe UI Historic"/>
          <w:sz w:val="24"/>
          <w:szCs w:val="24"/>
        </w:rPr>
      </w:pPr>
    </w:p>
    <w:p w14:paraId="01BAF8F8" w14:textId="112AB663" w:rsidR="006F10D9" w:rsidRPr="006119AE" w:rsidRDefault="006F10D9" w:rsidP="003E5C15">
      <w:pPr>
        <w:pStyle w:val="NoSpacing"/>
        <w:spacing w:line="360" w:lineRule="auto"/>
        <w:rPr>
          <w:rFonts w:ascii="Segoe UI Historic" w:hAnsi="Segoe UI Historic" w:cs="Segoe UI Historic"/>
          <w:sz w:val="24"/>
          <w:szCs w:val="24"/>
        </w:rPr>
      </w:pPr>
    </w:p>
    <w:p w14:paraId="44EBE8F0" w14:textId="25B666EF" w:rsidR="00845552" w:rsidRPr="006119AE" w:rsidRDefault="00845552" w:rsidP="003E5C15">
      <w:pPr>
        <w:spacing w:line="360" w:lineRule="auto"/>
        <w:rPr>
          <w:rFonts w:ascii="Segoe UI Historic" w:hAnsi="Segoe UI Historic" w:cs="Segoe UI Historic"/>
          <w:sz w:val="24"/>
          <w:szCs w:val="24"/>
        </w:rPr>
      </w:pPr>
      <w:r w:rsidRPr="006119AE">
        <w:rPr>
          <w:rFonts w:ascii="Segoe UI Historic" w:hAnsi="Segoe UI Historic" w:cs="Segoe UI Historic"/>
          <w:sz w:val="24"/>
          <w:szCs w:val="24"/>
        </w:rPr>
        <w:br w:type="page"/>
      </w:r>
    </w:p>
    <w:p w14:paraId="0354DC77" w14:textId="03858802" w:rsidR="00845552" w:rsidRPr="006119AE" w:rsidRDefault="00845552" w:rsidP="003E5C15">
      <w:pPr>
        <w:pStyle w:val="NoSpacing"/>
        <w:spacing w:line="360" w:lineRule="auto"/>
        <w:rPr>
          <w:rFonts w:ascii="Segoe UI Historic" w:hAnsi="Segoe UI Historic" w:cs="Segoe UI Historic"/>
          <w:sz w:val="28"/>
          <w:szCs w:val="24"/>
          <w:u w:val="single"/>
        </w:rPr>
      </w:pPr>
      <w:r w:rsidRPr="006119AE">
        <w:rPr>
          <w:rFonts w:ascii="Segoe UI Historic" w:hAnsi="Segoe UI Historic" w:cs="Segoe UI Historic"/>
          <w:sz w:val="28"/>
          <w:szCs w:val="24"/>
          <w:u w:val="single"/>
        </w:rPr>
        <w:lastRenderedPageBreak/>
        <w:t>Bibliography</w:t>
      </w:r>
    </w:p>
    <w:p w14:paraId="77B671C3" w14:textId="35474F28" w:rsidR="00845552" w:rsidRDefault="00845552" w:rsidP="003E5C15">
      <w:pPr>
        <w:pStyle w:val="NoSpacing"/>
        <w:spacing w:line="360" w:lineRule="auto"/>
        <w:rPr>
          <w:rFonts w:ascii="Segoe UI Historic" w:hAnsi="Segoe UI Historic" w:cs="Segoe UI Historic"/>
          <w:sz w:val="24"/>
          <w:szCs w:val="24"/>
        </w:rPr>
      </w:pPr>
    </w:p>
    <w:p w14:paraId="5192D7D0" w14:textId="77777777" w:rsidR="00E42F1D" w:rsidRPr="006119AE" w:rsidRDefault="00E42F1D" w:rsidP="003E5C15">
      <w:pPr>
        <w:pStyle w:val="NoSpacing"/>
        <w:spacing w:line="360" w:lineRule="auto"/>
        <w:rPr>
          <w:rFonts w:ascii="Segoe UI Historic" w:hAnsi="Segoe UI Historic" w:cs="Segoe UI Historic"/>
          <w:sz w:val="24"/>
          <w:szCs w:val="24"/>
        </w:rPr>
      </w:pPr>
      <w:r>
        <w:rPr>
          <w:rFonts w:ascii="Segoe UI Historic" w:hAnsi="Segoe UI Historic" w:cs="Segoe UI Historic"/>
          <w:sz w:val="24"/>
          <w:szCs w:val="24"/>
        </w:rPr>
        <w:t xml:space="preserve">Allen, J.P. 1996. ‘The Religion of Amarna’. In Arnold, D. </w:t>
      </w:r>
      <w:r w:rsidRPr="006119AE">
        <w:rPr>
          <w:rFonts w:ascii="Segoe UI Historic" w:hAnsi="Segoe UI Historic" w:cs="Segoe UI Historic"/>
          <w:i/>
          <w:sz w:val="24"/>
          <w:szCs w:val="24"/>
        </w:rPr>
        <w:t>The Royal Women of Amarna: Images of Beauty from Ancient Egypt</w:t>
      </w:r>
      <w:r w:rsidRPr="006119AE">
        <w:rPr>
          <w:rFonts w:ascii="Segoe UI Historic" w:hAnsi="Segoe UI Historic" w:cs="Segoe UI Historic"/>
          <w:sz w:val="24"/>
          <w:szCs w:val="24"/>
        </w:rPr>
        <w:t>. New York: Metropolitan Museum of Art.</w:t>
      </w:r>
    </w:p>
    <w:p w14:paraId="373AF950" w14:textId="320B68C5" w:rsidR="4CC8F5C6" w:rsidRDefault="4CC8F5C6" w:rsidP="4CC8F5C6">
      <w:pPr>
        <w:pStyle w:val="NoSpacing"/>
        <w:spacing w:line="360" w:lineRule="auto"/>
        <w:rPr>
          <w:rFonts w:ascii="Segoe UI Historic" w:hAnsi="Segoe UI Historic" w:cs="Segoe UI Historic"/>
          <w:sz w:val="24"/>
          <w:szCs w:val="24"/>
        </w:rPr>
      </w:pPr>
    </w:p>
    <w:p w14:paraId="1800362A" w14:textId="3AEF7AD4" w:rsidR="4CC8F5C6" w:rsidRDefault="4CC8F5C6" w:rsidP="4CC8F5C6">
      <w:pPr>
        <w:pStyle w:val="NoSpacing"/>
        <w:spacing w:line="360" w:lineRule="auto"/>
        <w:rPr>
          <w:rFonts w:ascii="Segoe UI Historic" w:eastAsia="Segoe UI Historic" w:hAnsi="Segoe UI Historic" w:cs="Segoe UI Historic"/>
          <w:sz w:val="24"/>
          <w:szCs w:val="24"/>
        </w:rPr>
      </w:pPr>
      <w:r w:rsidRPr="4CC8F5C6">
        <w:rPr>
          <w:rFonts w:ascii="Segoe UI Historic" w:hAnsi="Segoe UI Historic" w:cs="Segoe UI Historic"/>
          <w:sz w:val="24"/>
          <w:szCs w:val="24"/>
        </w:rPr>
        <w:t xml:space="preserve">Allen, J.P. 2009. ‘The Amarna Succession’. </w:t>
      </w:r>
      <w:r w:rsidR="00EF4C68">
        <w:rPr>
          <w:rFonts w:ascii="Segoe UI Historic" w:hAnsi="Segoe UI Historic" w:cs="Segoe UI Historic"/>
          <w:sz w:val="24"/>
          <w:szCs w:val="24"/>
        </w:rPr>
        <w:t xml:space="preserve">In Brand, P.J. and Cooper, L. (eds.) </w:t>
      </w:r>
      <w:r w:rsidRPr="4CC8F5C6">
        <w:rPr>
          <w:rFonts w:ascii="Segoe UI Historic" w:hAnsi="Segoe UI Historic" w:cs="Segoe UI Historic"/>
          <w:i/>
          <w:iCs/>
          <w:sz w:val="24"/>
          <w:szCs w:val="24"/>
        </w:rPr>
        <w:t xml:space="preserve">Causing his name to live: studies in Egyptian epigraphy and history </w:t>
      </w:r>
      <w:r w:rsidR="00EF4C68">
        <w:rPr>
          <w:rFonts w:ascii="Segoe UI Historic" w:hAnsi="Segoe UI Historic" w:cs="Segoe UI Historic"/>
          <w:i/>
          <w:iCs/>
          <w:sz w:val="24"/>
          <w:szCs w:val="24"/>
        </w:rPr>
        <w:t>in memory of William J. Murnane</w:t>
      </w:r>
      <w:r w:rsidRPr="4CC8F5C6">
        <w:rPr>
          <w:rFonts w:ascii="Segoe UI Historic" w:hAnsi="Segoe UI Historic" w:cs="Segoe UI Historic"/>
          <w:sz w:val="24"/>
          <w:szCs w:val="24"/>
        </w:rPr>
        <w:t xml:space="preserve">. Available at: </w:t>
      </w:r>
      <w:r w:rsidRPr="4CC8F5C6">
        <w:rPr>
          <w:rFonts w:ascii="Segoe UI Historic" w:eastAsia="Segoe UI Historic" w:hAnsi="Segoe UI Historic" w:cs="Segoe UI Historic"/>
          <w:sz w:val="24"/>
          <w:szCs w:val="24"/>
        </w:rPr>
        <w:t>https://cpb-us-w2.wpmucdn.com/blogs.memphis.edu/dist/4/463/files/2014/03/Allen-z82g3a.pdf. [Accessed on: 06.06.2019].</w:t>
      </w:r>
    </w:p>
    <w:p w14:paraId="0BB47B7D" w14:textId="711D5AB1" w:rsidR="00E42F1D" w:rsidRPr="00E42F1D" w:rsidRDefault="00E42F1D" w:rsidP="003E5C15">
      <w:pPr>
        <w:pStyle w:val="NoSpacing"/>
        <w:spacing w:line="360" w:lineRule="auto"/>
        <w:rPr>
          <w:rFonts w:ascii="Segoe UI Historic" w:hAnsi="Segoe UI Historic" w:cs="Segoe UI Historic"/>
          <w:i/>
          <w:sz w:val="24"/>
          <w:szCs w:val="24"/>
        </w:rPr>
      </w:pPr>
    </w:p>
    <w:p w14:paraId="7AD2C4E4" w14:textId="3F47F595" w:rsidR="00360587" w:rsidRPr="006119AE" w:rsidRDefault="00360587" w:rsidP="003E5C15">
      <w:pPr>
        <w:pStyle w:val="NoSpacing"/>
        <w:spacing w:line="360" w:lineRule="auto"/>
        <w:rPr>
          <w:rFonts w:ascii="Segoe UI Historic" w:hAnsi="Segoe UI Historic" w:cs="Segoe UI Historic"/>
          <w:sz w:val="24"/>
          <w:szCs w:val="24"/>
        </w:rPr>
      </w:pPr>
      <w:r w:rsidRPr="006119AE">
        <w:rPr>
          <w:rFonts w:ascii="Segoe UI Historic" w:hAnsi="Segoe UI Historic" w:cs="Segoe UI Historic"/>
          <w:sz w:val="24"/>
          <w:szCs w:val="24"/>
        </w:rPr>
        <w:t xml:space="preserve">Arnold, D. 1996. </w:t>
      </w:r>
      <w:r w:rsidRPr="006119AE">
        <w:rPr>
          <w:rFonts w:ascii="Segoe UI Historic" w:hAnsi="Segoe UI Historic" w:cs="Segoe UI Historic"/>
          <w:i/>
          <w:sz w:val="24"/>
          <w:szCs w:val="24"/>
        </w:rPr>
        <w:t>The Royal Women of Amarna: Images of Beauty from Ancient Egypt</w:t>
      </w:r>
      <w:r w:rsidRPr="006119AE">
        <w:rPr>
          <w:rFonts w:ascii="Segoe UI Historic" w:hAnsi="Segoe UI Historic" w:cs="Segoe UI Historic"/>
          <w:sz w:val="24"/>
          <w:szCs w:val="24"/>
        </w:rPr>
        <w:t>. New York: Metropolitan Museum of Art.</w:t>
      </w:r>
    </w:p>
    <w:p w14:paraId="0A18EBA5" w14:textId="0A3B3281" w:rsidR="00360587" w:rsidRDefault="00360587" w:rsidP="003E5C15">
      <w:pPr>
        <w:pStyle w:val="NoSpacing"/>
        <w:spacing w:line="360" w:lineRule="auto"/>
        <w:rPr>
          <w:rFonts w:ascii="Segoe UI Historic" w:hAnsi="Segoe UI Historic" w:cs="Segoe UI Historic"/>
          <w:sz w:val="24"/>
          <w:szCs w:val="24"/>
        </w:rPr>
      </w:pPr>
    </w:p>
    <w:p w14:paraId="1C0D3A36" w14:textId="5F4CC126" w:rsidR="00FB7066" w:rsidRPr="00FB7066" w:rsidRDefault="00FB7066" w:rsidP="003E5C15">
      <w:pPr>
        <w:pStyle w:val="NoSpacing"/>
        <w:spacing w:line="360" w:lineRule="auto"/>
        <w:rPr>
          <w:rFonts w:ascii="Segoe UI Historic" w:hAnsi="Segoe UI Historic" w:cs="Segoe UI Historic"/>
          <w:sz w:val="24"/>
          <w:szCs w:val="24"/>
        </w:rPr>
      </w:pPr>
      <w:r>
        <w:rPr>
          <w:rFonts w:ascii="Segoe UI Historic" w:hAnsi="Segoe UI Historic" w:cs="Segoe UI Historic"/>
          <w:sz w:val="24"/>
          <w:szCs w:val="24"/>
        </w:rPr>
        <w:t xml:space="preserve">Bell, L. 2005. ‘The New Kingdom “Divine” Temple: The Example of Luxor.’ In Shafer, B.E. (ed.) </w:t>
      </w:r>
      <w:r>
        <w:rPr>
          <w:rFonts w:ascii="Segoe UI Historic" w:hAnsi="Segoe UI Historic" w:cs="Segoe UI Historic"/>
          <w:i/>
          <w:sz w:val="24"/>
          <w:szCs w:val="24"/>
        </w:rPr>
        <w:t xml:space="preserve">Temples of Ancient Egypt. </w:t>
      </w:r>
      <w:r>
        <w:rPr>
          <w:rFonts w:ascii="Segoe UI Historic" w:hAnsi="Segoe UI Historic" w:cs="Segoe UI Historic"/>
          <w:sz w:val="24"/>
          <w:szCs w:val="24"/>
        </w:rPr>
        <w:t>London: I.B. Tauris &amp; Co. Ltd.</w:t>
      </w:r>
    </w:p>
    <w:p w14:paraId="2CB3BE79" w14:textId="6F50BD7A" w:rsidR="00FB7066" w:rsidRDefault="00FB7066" w:rsidP="003E5C15">
      <w:pPr>
        <w:pStyle w:val="NoSpacing"/>
        <w:spacing w:line="360" w:lineRule="auto"/>
        <w:rPr>
          <w:rFonts w:ascii="Segoe UI Historic" w:hAnsi="Segoe UI Historic" w:cs="Segoe UI Historic"/>
          <w:sz w:val="24"/>
          <w:szCs w:val="24"/>
        </w:rPr>
      </w:pPr>
    </w:p>
    <w:p w14:paraId="0781ED55" w14:textId="57916089" w:rsidR="00D87310" w:rsidRDefault="006763CB" w:rsidP="003E5C15">
      <w:pPr>
        <w:pStyle w:val="NoSpacing"/>
        <w:spacing w:line="360" w:lineRule="auto"/>
        <w:rPr>
          <w:rFonts w:ascii="Segoe UI Historic" w:hAnsi="Segoe UI Historic" w:cs="Segoe UI Historic"/>
          <w:sz w:val="24"/>
          <w:szCs w:val="24"/>
        </w:rPr>
      </w:pPr>
      <w:r>
        <w:rPr>
          <w:rFonts w:ascii="Segoe UI Historic" w:hAnsi="Segoe UI Historic" w:cs="Segoe UI Historic"/>
          <w:sz w:val="24"/>
          <w:szCs w:val="24"/>
        </w:rPr>
        <w:t xml:space="preserve">Cooney, K. M. </w:t>
      </w:r>
      <w:r w:rsidR="00D87310" w:rsidRPr="00D87310">
        <w:rPr>
          <w:rFonts w:ascii="Segoe UI Historic" w:hAnsi="Segoe UI Historic" w:cs="Segoe UI Historic"/>
          <w:sz w:val="24"/>
          <w:szCs w:val="24"/>
        </w:rPr>
        <w:t xml:space="preserve">2014. </w:t>
      </w:r>
      <w:r>
        <w:rPr>
          <w:rFonts w:ascii="Segoe UI Historic" w:hAnsi="Segoe UI Historic" w:cs="Segoe UI Historic"/>
          <w:sz w:val="24"/>
          <w:szCs w:val="24"/>
        </w:rPr>
        <w:t>‘</w:t>
      </w:r>
      <w:r w:rsidR="00D87310" w:rsidRPr="00D87310">
        <w:rPr>
          <w:rFonts w:ascii="Segoe UI Historic" w:hAnsi="Segoe UI Historic" w:cs="Segoe UI Historic"/>
          <w:sz w:val="24"/>
          <w:szCs w:val="24"/>
        </w:rPr>
        <w:t>Coffins, Cartonnage, and Sarcophagi</w:t>
      </w:r>
      <w:r>
        <w:rPr>
          <w:rFonts w:ascii="Segoe UI Historic" w:hAnsi="Segoe UI Historic" w:cs="Segoe UI Historic"/>
          <w:sz w:val="24"/>
          <w:szCs w:val="24"/>
        </w:rPr>
        <w:t>’</w:t>
      </w:r>
      <w:r w:rsidR="00D87310" w:rsidRPr="00D87310">
        <w:rPr>
          <w:rFonts w:ascii="Segoe UI Historic" w:hAnsi="Segoe UI Historic" w:cs="Segoe UI Historic"/>
          <w:sz w:val="24"/>
          <w:szCs w:val="24"/>
        </w:rPr>
        <w:t xml:space="preserve">. </w:t>
      </w:r>
      <w:r w:rsidR="00D87310" w:rsidRPr="00C356DA">
        <w:rPr>
          <w:rFonts w:ascii="Segoe UI Historic" w:hAnsi="Segoe UI Historic" w:cs="Segoe UI Historic"/>
          <w:sz w:val="24"/>
          <w:szCs w:val="24"/>
          <w:lang w:val="de-DE"/>
        </w:rPr>
        <w:t xml:space="preserve">In </w:t>
      </w:r>
      <w:r w:rsidRPr="00C356DA">
        <w:rPr>
          <w:rFonts w:ascii="Segoe UI Historic" w:hAnsi="Segoe UI Historic" w:cs="Segoe UI Historic"/>
          <w:sz w:val="24"/>
          <w:szCs w:val="24"/>
          <w:lang w:val="de-DE"/>
        </w:rPr>
        <w:t xml:space="preserve">Hartwig, M.K. (ed.) </w:t>
      </w:r>
      <w:r w:rsidR="00D87310" w:rsidRPr="006763CB">
        <w:rPr>
          <w:rFonts w:ascii="Segoe UI Historic" w:hAnsi="Segoe UI Historic" w:cs="Segoe UI Historic"/>
          <w:i/>
          <w:sz w:val="24"/>
          <w:szCs w:val="24"/>
        </w:rPr>
        <w:t>A Companion to Ancient Egyptian Art</w:t>
      </w:r>
      <w:r w:rsidR="00D87310" w:rsidRPr="00D87310">
        <w:rPr>
          <w:rFonts w:ascii="Segoe UI Historic" w:hAnsi="Segoe UI Historic" w:cs="Segoe UI Historic"/>
          <w:sz w:val="24"/>
          <w:szCs w:val="24"/>
        </w:rPr>
        <w:t xml:space="preserve">. </w:t>
      </w:r>
      <w:r w:rsidR="00C356DA">
        <w:rPr>
          <w:rFonts w:ascii="Segoe UI Historic" w:hAnsi="Segoe UI Historic" w:cs="Segoe UI Historic"/>
          <w:sz w:val="24"/>
          <w:szCs w:val="24"/>
        </w:rPr>
        <w:t xml:space="preserve">Chichester: Wiley-Blackwell. </w:t>
      </w:r>
      <w:r>
        <w:rPr>
          <w:rFonts w:ascii="Segoe UI Historic" w:hAnsi="Segoe UI Historic" w:cs="Segoe UI Historic"/>
          <w:sz w:val="24"/>
          <w:szCs w:val="24"/>
        </w:rPr>
        <w:t xml:space="preserve">Available at: </w:t>
      </w:r>
      <w:r w:rsidR="00D87310" w:rsidRPr="00D87310">
        <w:rPr>
          <w:rFonts w:ascii="Segoe UI Historic" w:hAnsi="Segoe UI Historic" w:cs="Segoe UI Historic"/>
          <w:sz w:val="24"/>
          <w:szCs w:val="24"/>
        </w:rPr>
        <w:t>doi:10.1002/9781118325070.ch14</w:t>
      </w:r>
      <w:r>
        <w:rPr>
          <w:rFonts w:ascii="Segoe UI Historic" w:hAnsi="Segoe UI Historic" w:cs="Segoe UI Historic"/>
          <w:sz w:val="24"/>
          <w:szCs w:val="24"/>
        </w:rPr>
        <w:t>. [Accessed on: 20.05.2019].</w:t>
      </w:r>
    </w:p>
    <w:p w14:paraId="1D749AA3" w14:textId="77777777" w:rsidR="00D87310" w:rsidRPr="006119AE" w:rsidRDefault="00D87310" w:rsidP="003E5C15">
      <w:pPr>
        <w:pStyle w:val="NoSpacing"/>
        <w:spacing w:line="360" w:lineRule="auto"/>
        <w:rPr>
          <w:rFonts w:ascii="Segoe UI Historic" w:hAnsi="Segoe UI Historic" w:cs="Segoe UI Historic"/>
          <w:sz w:val="24"/>
          <w:szCs w:val="24"/>
        </w:rPr>
      </w:pPr>
    </w:p>
    <w:p w14:paraId="6C245C4B" w14:textId="6044EC25" w:rsidR="00A75CEF" w:rsidRDefault="00A75CEF" w:rsidP="003E5C15">
      <w:pPr>
        <w:pStyle w:val="NoSpacing"/>
        <w:spacing w:line="360" w:lineRule="auto"/>
        <w:rPr>
          <w:rFonts w:ascii="Segoe UI Historic" w:hAnsi="Segoe UI Historic" w:cs="Segoe UI Historic"/>
          <w:sz w:val="24"/>
          <w:szCs w:val="24"/>
        </w:rPr>
      </w:pPr>
      <w:r>
        <w:rPr>
          <w:rFonts w:ascii="Segoe UI Historic" w:hAnsi="Segoe UI Historic" w:cs="Segoe UI Historic"/>
          <w:sz w:val="24"/>
          <w:szCs w:val="24"/>
        </w:rPr>
        <w:t xml:space="preserve">Dodson, A. 2011. ‘The Monarchy’. In Wilkinson, T. (ed.) </w:t>
      </w:r>
      <w:r>
        <w:rPr>
          <w:rFonts w:ascii="Segoe UI Historic" w:hAnsi="Segoe UI Historic" w:cs="Segoe UI Historic"/>
          <w:i/>
          <w:sz w:val="24"/>
          <w:szCs w:val="24"/>
        </w:rPr>
        <w:t>The Egyptian World</w:t>
      </w:r>
      <w:r>
        <w:rPr>
          <w:rFonts w:ascii="Segoe UI Historic" w:hAnsi="Segoe UI Historic" w:cs="Segoe UI Historic"/>
          <w:sz w:val="24"/>
          <w:szCs w:val="24"/>
        </w:rPr>
        <w:t>. London: Routledge.</w:t>
      </w:r>
    </w:p>
    <w:p w14:paraId="7BCD2DAB" w14:textId="2DBB4CE8" w:rsidR="001C69D1" w:rsidRDefault="001C69D1" w:rsidP="003E5C15">
      <w:pPr>
        <w:pStyle w:val="NoSpacing"/>
        <w:spacing w:line="360" w:lineRule="auto"/>
        <w:rPr>
          <w:rFonts w:ascii="Segoe UI Historic" w:hAnsi="Segoe UI Historic" w:cs="Segoe UI Historic"/>
          <w:sz w:val="24"/>
          <w:szCs w:val="24"/>
        </w:rPr>
      </w:pPr>
    </w:p>
    <w:p w14:paraId="7B98FB4F" w14:textId="13FB69F4" w:rsidR="00196208" w:rsidRPr="00196208" w:rsidRDefault="00196208" w:rsidP="003E5C15">
      <w:pPr>
        <w:pStyle w:val="NoSpacing"/>
        <w:spacing w:line="360" w:lineRule="auto"/>
        <w:rPr>
          <w:rFonts w:ascii="Segoe UI Historic" w:hAnsi="Segoe UI Historic" w:cs="Segoe UI Historic"/>
          <w:i/>
          <w:sz w:val="24"/>
          <w:szCs w:val="24"/>
        </w:rPr>
      </w:pPr>
      <w:r>
        <w:rPr>
          <w:rFonts w:ascii="Segoe UI Historic" w:hAnsi="Segoe UI Historic" w:cs="Segoe UI Historic"/>
          <w:sz w:val="24"/>
          <w:szCs w:val="24"/>
        </w:rPr>
        <w:t>Feucht, E. 2016. ‘Motherhood in Phar</w:t>
      </w:r>
      <w:r w:rsidR="00DF70E9">
        <w:rPr>
          <w:rFonts w:ascii="Segoe UI Historic" w:hAnsi="Segoe UI Historic" w:cs="Segoe UI Historic"/>
          <w:sz w:val="24"/>
          <w:szCs w:val="24"/>
        </w:rPr>
        <w:t>a</w:t>
      </w:r>
      <w:r>
        <w:rPr>
          <w:rFonts w:ascii="Segoe UI Historic" w:hAnsi="Segoe UI Historic" w:cs="Segoe UI Historic"/>
          <w:sz w:val="24"/>
          <w:szCs w:val="24"/>
        </w:rPr>
        <w:t xml:space="preserve">onic Egypt’. </w:t>
      </w:r>
      <w:r w:rsidRPr="006119AE">
        <w:rPr>
          <w:rFonts w:ascii="Segoe UI Historic" w:hAnsi="Segoe UI Historic" w:cs="Segoe UI Historic"/>
          <w:sz w:val="24"/>
          <w:szCs w:val="24"/>
        </w:rPr>
        <w:t xml:space="preserve">In Ziegler, C. </w:t>
      </w:r>
      <w:r w:rsidRPr="006119AE">
        <w:rPr>
          <w:rFonts w:ascii="Segoe UI Historic" w:hAnsi="Segoe UI Historic" w:cs="Segoe UI Historic"/>
          <w:i/>
          <w:sz w:val="24"/>
          <w:szCs w:val="24"/>
        </w:rPr>
        <w:t>Queens of Egypt: From Hetepheres to Cleopatra</w:t>
      </w:r>
      <w:r w:rsidRPr="006119AE">
        <w:rPr>
          <w:rFonts w:ascii="Segoe UI Historic" w:hAnsi="Segoe UI Historic" w:cs="Segoe UI Historic"/>
          <w:sz w:val="24"/>
          <w:szCs w:val="24"/>
        </w:rPr>
        <w:t>. Monaco: Grimaldi Forum.</w:t>
      </w:r>
    </w:p>
    <w:p w14:paraId="1517714D" w14:textId="225614D1" w:rsidR="00196208" w:rsidRDefault="00196208" w:rsidP="003E5C15">
      <w:pPr>
        <w:pStyle w:val="NoSpacing"/>
        <w:spacing w:line="360" w:lineRule="auto"/>
        <w:rPr>
          <w:rFonts w:ascii="Segoe UI Historic" w:hAnsi="Segoe UI Historic" w:cs="Segoe UI Historic"/>
          <w:sz w:val="24"/>
          <w:szCs w:val="24"/>
        </w:rPr>
      </w:pPr>
    </w:p>
    <w:p w14:paraId="08BA087B" w14:textId="2E4DC6B1" w:rsidR="4CC8F5C6" w:rsidRDefault="4CC8F5C6" w:rsidP="4CC8F5C6">
      <w:pPr>
        <w:pStyle w:val="NoSpacing"/>
        <w:spacing w:line="360" w:lineRule="auto"/>
        <w:rPr>
          <w:rFonts w:ascii="Segoe UI Historic" w:hAnsi="Segoe UI Historic" w:cs="Segoe UI Historic"/>
          <w:sz w:val="24"/>
          <w:szCs w:val="24"/>
        </w:rPr>
      </w:pPr>
      <w:r w:rsidRPr="4CC8F5C6">
        <w:rPr>
          <w:rFonts w:ascii="Segoe UI Historic" w:hAnsi="Segoe UI Historic" w:cs="Segoe UI Historic"/>
          <w:sz w:val="24"/>
          <w:szCs w:val="24"/>
        </w:rPr>
        <w:lastRenderedPageBreak/>
        <w:t xml:space="preserve">Green, L. 1996. ‘The Royal Women of Amarna: Who Was Who’. In Arnold, D. </w:t>
      </w:r>
      <w:r w:rsidRPr="4CC8F5C6">
        <w:rPr>
          <w:rFonts w:ascii="Segoe UI Historic" w:hAnsi="Segoe UI Historic" w:cs="Segoe UI Historic"/>
          <w:i/>
          <w:iCs/>
          <w:sz w:val="24"/>
          <w:szCs w:val="24"/>
        </w:rPr>
        <w:t>The Royal Women of Amarna: Images of Beauty from Ancient Egypt</w:t>
      </w:r>
      <w:r w:rsidRPr="4CC8F5C6">
        <w:rPr>
          <w:rFonts w:ascii="Segoe UI Historic" w:hAnsi="Segoe UI Historic" w:cs="Segoe UI Historic"/>
          <w:sz w:val="24"/>
          <w:szCs w:val="24"/>
        </w:rPr>
        <w:t>. New York: Metropolitan Museum of Art.</w:t>
      </w:r>
    </w:p>
    <w:p w14:paraId="0DEAC8EA" w14:textId="369CF3F6" w:rsidR="4CC8F5C6" w:rsidRDefault="4CC8F5C6" w:rsidP="4CC8F5C6">
      <w:pPr>
        <w:pStyle w:val="NoSpacing"/>
        <w:spacing w:line="360" w:lineRule="auto"/>
        <w:rPr>
          <w:rFonts w:ascii="Segoe UI Historic" w:hAnsi="Segoe UI Historic" w:cs="Segoe UI Historic"/>
          <w:sz w:val="24"/>
          <w:szCs w:val="24"/>
        </w:rPr>
      </w:pPr>
    </w:p>
    <w:p w14:paraId="5B694FB2" w14:textId="1821FDF4" w:rsidR="00FB7066" w:rsidRPr="00FB7066" w:rsidRDefault="00FB7066" w:rsidP="003E5C15">
      <w:pPr>
        <w:pStyle w:val="NoSpacing"/>
        <w:spacing w:line="360" w:lineRule="auto"/>
        <w:rPr>
          <w:rFonts w:ascii="Segoe UI Historic" w:hAnsi="Segoe UI Historic" w:cs="Segoe UI Historic"/>
          <w:sz w:val="24"/>
          <w:szCs w:val="24"/>
        </w:rPr>
      </w:pPr>
      <w:r>
        <w:rPr>
          <w:rFonts w:ascii="Segoe UI Historic" w:hAnsi="Segoe UI Historic" w:cs="Segoe UI Historic"/>
          <w:sz w:val="24"/>
          <w:szCs w:val="24"/>
        </w:rPr>
        <w:t xml:space="preserve">Hoffmeier, J.K. 2015. </w:t>
      </w:r>
      <w:r>
        <w:rPr>
          <w:rFonts w:ascii="Segoe UI Historic" w:hAnsi="Segoe UI Historic" w:cs="Segoe UI Historic"/>
          <w:i/>
          <w:sz w:val="24"/>
          <w:szCs w:val="24"/>
        </w:rPr>
        <w:t>Akhenaten and the Origins of Monotheism</w:t>
      </w:r>
      <w:r>
        <w:rPr>
          <w:rFonts w:ascii="Segoe UI Historic" w:hAnsi="Segoe UI Historic" w:cs="Segoe UI Historic"/>
          <w:sz w:val="24"/>
          <w:szCs w:val="24"/>
        </w:rPr>
        <w:t>. Oxford: Oxford University Press.</w:t>
      </w:r>
    </w:p>
    <w:p w14:paraId="52FB37A7" w14:textId="77777777" w:rsidR="00FB7066" w:rsidRPr="006119AE" w:rsidRDefault="00FB7066" w:rsidP="003E5C15">
      <w:pPr>
        <w:pStyle w:val="NoSpacing"/>
        <w:spacing w:line="360" w:lineRule="auto"/>
        <w:rPr>
          <w:rFonts w:ascii="Segoe UI Historic" w:hAnsi="Segoe UI Historic" w:cs="Segoe UI Historic"/>
          <w:sz w:val="24"/>
          <w:szCs w:val="24"/>
        </w:rPr>
      </w:pPr>
    </w:p>
    <w:p w14:paraId="59757EA1" w14:textId="0C5AA6FB" w:rsidR="00D90198" w:rsidRPr="006119AE" w:rsidRDefault="00D90198" w:rsidP="003E5C15">
      <w:pPr>
        <w:pStyle w:val="NoSpacing"/>
        <w:spacing w:line="360" w:lineRule="auto"/>
        <w:rPr>
          <w:rFonts w:ascii="Segoe UI Historic" w:hAnsi="Segoe UI Historic" w:cs="Segoe UI Historic"/>
          <w:sz w:val="24"/>
          <w:szCs w:val="24"/>
        </w:rPr>
      </w:pPr>
      <w:r w:rsidRPr="006119AE">
        <w:rPr>
          <w:rFonts w:ascii="Segoe UI Historic" w:hAnsi="Segoe UI Historic" w:cs="Segoe UI Historic"/>
          <w:sz w:val="24"/>
          <w:szCs w:val="24"/>
        </w:rPr>
        <w:t xml:space="preserve">Kemp, B. 2012. </w:t>
      </w:r>
      <w:r w:rsidRPr="006119AE">
        <w:rPr>
          <w:rFonts w:ascii="Segoe UI Historic" w:hAnsi="Segoe UI Historic" w:cs="Segoe UI Historic"/>
          <w:i/>
          <w:sz w:val="24"/>
          <w:szCs w:val="24"/>
        </w:rPr>
        <w:t>The City of Akhenaten and Nefertiti: Amarna and Its People</w:t>
      </w:r>
      <w:r w:rsidRPr="006119AE">
        <w:rPr>
          <w:rFonts w:ascii="Segoe UI Historic" w:hAnsi="Segoe UI Historic" w:cs="Segoe UI Historic"/>
          <w:sz w:val="24"/>
          <w:szCs w:val="24"/>
        </w:rPr>
        <w:t>. London: Thames and Hudson.</w:t>
      </w:r>
    </w:p>
    <w:p w14:paraId="2865CEAA" w14:textId="08738ECD" w:rsidR="002609FD" w:rsidRDefault="002609FD" w:rsidP="003E5C15">
      <w:pPr>
        <w:pStyle w:val="NoSpacing"/>
        <w:spacing w:line="360" w:lineRule="auto"/>
        <w:rPr>
          <w:rFonts w:ascii="Segoe UI Historic" w:hAnsi="Segoe UI Historic" w:cs="Segoe UI Historic"/>
          <w:sz w:val="24"/>
          <w:szCs w:val="24"/>
        </w:rPr>
      </w:pPr>
    </w:p>
    <w:p w14:paraId="543A1594" w14:textId="314D9A3E" w:rsidR="00C30232" w:rsidRDefault="00C30232" w:rsidP="003E5C15">
      <w:pPr>
        <w:pStyle w:val="NoSpacing"/>
        <w:spacing w:line="360" w:lineRule="auto"/>
        <w:rPr>
          <w:rFonts w:ascii="Segoe UI Historic" w:hAnsi="Segoe UI Historic" w:cs="Segoe UI Historic"/>
          <w:sz w:val="24"/>
          <w:szCs w:val="24"/>
        </w:rPr>
      </w:pPr>
      <w:r w:rsidRPr="00C30232">
        <w:rPr>
          <w:rFonts w:ascii="Segoe UI Historic" w:hAnsi="Segoe UI Historic" w:cs="Segoe UI Historic"/>
          <w:sz w:val="24"/>
          <w:szCs w:val="24"/>
        </w:rPr>
        <w:t xml:space="preserve">Murnane, William J. 1995. </w:t>
      </w:r>
      <w:r w:rsidRPr="00C30232">
        <w:rPr>
          <w:rFonts w:ascii="Segoe UI Historic" w:hAnsi="Segoe UI Historic" w:cs="Segoe UI Historic"/>
          <w:i/>
          <w:iCs/>
          <w:sz w:val="24"/>
          <w:szCs w:val="24"/>
        </w:rPr>
        <w:t>Texts from the Amarna Period in Egypt</w:t>
      </w:r>
      <w:r w:rsidRPr="00C30232">
        <w:rPr>
          <w:rFonts w:ascii="Segoe UI Historic" w:hAnsi="Segoe UI Historic" w:cs="Segoe UI Historic"/>
          <w:sz w:val="24"/>
          <w:szCs w:val="24"/>
        </w:rPr>
        <w:t>. Atlanta: Scholars Pr</w:t>
      </w:r>
      <w:r w:rsidR="00D950C5">
        <w:rPr>
          <w:rFonts w:ascii="Segoe UI Historic" w:hAnsi="Segoe UI Historic" w:cs="Segoe UI Historic"/>
          <w:sz w:val="24"/>
          <w:szCs w:val="24"/>
        </w:rPr>
        <w:t>ess</w:t>
      </w:r>
      <w:r w:rsidRPr="00C30232">
        <w:rPr>
          <w:rFonts w:ascii="Segoe UI Historic" w:hAnsi="Segoe UI Historic" w:cs="Segoe UI Historic"/>
          <w:sz w:val="24"/>
          <w:szCs w:val="24"/>
        </w:rPr>
        <w:t>.</w:t>
      </w:r>
    </w:p>
    <w:p w14:paraId="5A2DDB05" w14:textId="77777777" w:rsidR="00C30232" w:rsidRDefault="00C30232" w:rsidP="003E5C15">
      <w:pPr>
        <w:pStyle w:val="NoSpacing"/>
        <w:spacing w:line="360" w:lineRule="auto"/>
        <w:rPr>
          <w:rFonts w:ascii="Segoe UI Historic" w:hAnsi="Segoe UI Historic" w:cs="Segoe UI Historic"/>
          <w:sz w:val="24"/>
          <w:szCs w:val="24"/>
        </w:rPr>
      </w:pPr>
    </w:p>
    <w:p w14:paraId="7C5183AD" w14:textId="4462406D" w:rsidR="001B6BBB" w:rsidRPr="00B41327" w:rsidRDefault="001B6BBB" w:rsidP="003E5C15">
      <w:pPr>
        <w:pStyle w:val="NoSpacing"/>
        <w:spacing w:line="360" w:lineRule="auto"/>
        <w:rPr>
          <w:rFonts w:ascii="Segoe UI Historic" w:hAnsi="Segoe UI Historic" w:cs="Segoe UI Historic"/>
          <w:sz w:val="24"/>
          <w:szCs w:val="24"/>
        </w:rPr>
      </w:pPr>
      <w:r>
        <w:rPr>
          <w:rFonts w:ascii="Segoe UI Historic" w:hAnsi="Segoe UI Historic" w:cs="Segoe UI Historic"/>
          <w:sz w:val="24"/>
          <w:szCs w:val="24"/>
        </w:rPr>
        <w:t xml:space="preserve">Neale, S. 2016. </w:t>
      </w:r>
      <w:r w:rsidR="00B41327">
        <w:rPr>
          <w:rFonts w:ascii="Segoe UI Historic" w:hAnsi="Segoe UI Historic" w:cs="Segoe UI Historic"/>
          <w:i/>
          <w:sz w:val="24"/>
          <w:szCs w:val="24"/>
        </w:rPr>
        <w:t>Akhenaten and the Amarna Period – Some Further Thoughts and Considerations</w:t>
      </w:r>
      <w:r w:rsidR="00B41327">
        <w:rPr>
          <w:rFonts w:ascii="Segoe UI Historic" w:hAnsi="Segoe UI Historic" w:cs="Segoe UI Historic"/>
          <w:sz w:val="24"/>
          <w:szCs w:val="24"/>
        </w:rPr>
        <w:t xml:space="preserve">. Available at: </w:t>
      </w:r>
      <w:r w:rsidR="00B41327" w:rsidRPr="00B41327">
        <w:rPr>
          <w:rFonts w:ascii="Segoe UI Historic" w:hAnsi="Segoe UI Historic" w:cs="Segoe UI Historic"/>
          <w:sz w:val="24"/>
          <w:szCs w:val="24"/>
        </w:rPr>
        <w:t>https://www.academia.edu/4462750/AKHENATEN_AND_THE_AMARNA_PERIOD_-_SOME_FURTHER_THOUGHTS_AND_CONSIDERATIONS</w:t>
      </w:r>
      <w:r w:rsidR="00B41327">
        <w:rPr>
          <w:rFonts w:ascii="Segoe UI Historic" w:hAnsi="Segoe UI Historic" w:cs="Segoe UI Historic"/>
          <w:sz w:val="24"/>
          <w:szCs w:val="24"/>
        </w:rPr>
        <w:t>. [Accessed on: 15.05.2019].</w:t>
      </w:r>
    </w:p>
    <w:p w14:paraId="542013C3" w14:textId="77777777" w:rsidR="001B6BBB" w:rsidRDefault="001B6BBB" w:rsidP="003E5C15">
      <w:pPr>
        <w:pStyle w:val="NoSpacing"/>
        <w:spacing w:line="360" w:lineRule="auto"/>
        <w:rPr>
          <w:rFonts w:ascii="Segoe UI Historic" w:hAnsi="Segoe UI Historic" w:cs="Segoe UI Historic"/>
          <w:sz w:val="24"/>
          <w:szCs w:val="24"/>
        </w:rPr>
      </w:pPr>
    </w:p>
    <w:p w14:paraId="7C026715" w14:textId="638CE185" w:rsidR="00196208" w:rsidRPr="006119AE" w:rsidRDefault="00196208" w:rsidP="003E5C15">
      <w:pPr>
        <w:pStyle w:val="NoSpacing"/>
        <w:spacing w:line="360" w:lineRule="auto"/>
        <w:rPr>
          <w:rFonts w:ascii="Segoe UI Historic" w:hAnsi="Segoe UI Historic" w:cs="Segoe UI Historic"/>
          <w:i/>
          <w:sz w:val="24"/>
          <w:szCs w:val="24"/>
        </w:rPr>
      </w:pPr>
      <w:r>
        <w:rPr>
          <w:rFonts w:ascii="Segoe UI Historic" w:hAnsi="Segoe UI Historic" w:cs="Segoe UI Historic"/>
          <w:sz w:val="24"/>
          <w:szCs w:val="24"/>
        </w:rPr>
        <w:t xml:space="preserve">Onstine, S. 2016. ‘Women’s participation in the religious hierarchy of Ancient Egypt’. </w:t>
      </w:r>
      <w:r w:rsidR="00176554" w:rsidRPr="006119AE">
        <w:rPr>
          <w:rFonts w:ascii="Segoe UI Historic" w:hAnsi="Segoe UI Historic" w:cs="Segoe UI Historic"/>
          <w:sz w:val="24"/>
          <w:szCs w:val="24"/>
        </w:rPr>
        <w:t xml:space="preserve">In Budin, S.L. and Turfa, J.M. (eds.) </w:t>
      </w:r>
      <w:r w:rsidR="00176554" w:rsidRPr="006119AE">
        <w:rPr>
          <w:rFonts w:ascii="Segoe UI Historic" w:hAnsi="Segoe UI Historic" w:cs="Segoe UI Historic"/>
          <w:i/>
          <w:sz w:val="24"/>
          <w:szCs w:val="24"/>
        </w:rPr>
        <w:t>Women in Antiquity: Real women across the Ancient World</w:t>
      </w:r>
      <w:r w:rsidR="00176554" w:rsidRPr="006119AE">
        <w:rPr>
          <w:rFonts w:ascii="Segoe UI Historic" w:hAnsi="Segoe UI Historic" w:cs="Segoe UI Historic"/>
          <w:sz w:val="24"/>
          <w:szCs w:val="24"/>
        </w:rPr>
        <w:t>. London: Routledge.</w:t>
      </w:r>
    </w:p>
    <w:p w14:paraId="016E5017" w14:textId="1134963B" w:rsidR="00196208" w:rsidRDefault="00196208" w:rsidP="003E5C15">
      <w:pPr>
        <w:pStyle w:val="NoSpacing"/>
        <w:spacing w:line="360" w:lineRule="auto"/>
        <w:rPr>
          <w:rFonts w:ascii="Segoe UI Historic" w:hAnsi="Segoe UI Historic" w:cs="Segoe UI Historic"/>
          <w:sz w:val="24"/>
          <w:szCs w:val="24"/>
        </w:rPr>
      </w:pPr>
    </w:p>
    <w:p w14:paraId="4B3BF2BA" w14:textId="77777777" w:rsidR="00A82EB7" w:rsidRDefault="00A82EB7" w:rsidP="003E5C15">
      <w:pPr>
        <w:pStyle w:val="NoSpacing"/>
        <w:spacing w:line="360" w:lineRule="auto"/>
        <w:rPr>
          <w:rFonts w:ascii="Segoe UI Historic" w:hAnsi="Segoe UI Historic" w:cs="Segoe UI Historic"/>
          <w:sz w:val="24"/>
          <w:szCs w:val="24"/>
        </w:rPr>
      </w:pPr>
      <w:r>
        <w:rPr>
          <w:rFonts w:ascii="Segoe UI Historic" w:hAnsi="Segoe UI Historic" w:cs="Segoe UI Historic"/>
          <w:sz w:val="24"/>
          <w:szCs w:val="24"/>
        </w:rPr>
        <w:t xml:space="preserve">Rikala, M. 2003. ‘A rebirth for the pharaoh: reflections on the classification of the New Kingdom divine birth cycle as rebirth’. </w:t>
      </w:r>
      <w:r>
        <w:rPr>
          <w:rFonts w:ascii="Segoe UI Historic" w:hAnsi="Segoe UI Historic" w:cs="Segoe UI Historic"/>
          <w:i/>
          <w:sz w:val="24"/>
          <w:szCs w:val="24"/>
        </w:rPr>
        <w:t>S</w:t>
      </w:r>
      <w:r w:rsidRPr="00777014">
        <w:rPr>
          <w:rFonts w:ascii="Segoe UI Historic" w:hAnsi="Segoe UI Historic" w:cs="Segoe UI Historic"/>
          <w:i/>
          <w:sz w:val="24"/>
          <w:szCs w:val="24"/>
        </w:rPr>
        <w:t>cripta Instituti Donneriani Aboensis</w:t>
      </w:r>
      <w:r>
        <w:rPr>
          <w:rFonts w:ascii="Segoe UI Historic" w:hAnsi="Segoe UI Historic" w:cs="Segoe UI Historic"/>
          <w:sz w:val="24"/>
          <w:szCs w:val="24"/>
        </w:rPr>
        <w:t xml:space="preserve">, Vol. 18, pp. 176-188. Available at: </w:t>
      </w:r>
      <w:r w:rsidRPr="00777014">
        <w:rPr>
          <w:rFonts w:ascii="Segoe UI Historic" w:hAnsi="Segoe UI Historic" w:cs="Segoe UI Historic"/>
          <w:sz w:val="24"/>
          <w:szCs w:val="24"/>
        </w:rPr>
        <w:t>https://doi.org/10.30674/scripta.67291</w:t>
      </w:r>
      <w:r>
        <w:rPr>
          <w:rFonts w:ascii="Segoe UI Historic" w:hAnsi="Segoe UI Historic" w:cs="Segoe UI Historic"/>
          <w:sz w:val="24"/>
          <w:szCs w:val="24"/>
        </w:rPr>
        <w:t>. [Accessed on: 15.05.2019].</w:t>
      </w:r>
    </w:p>
    <w:p w14:paraId="0C43B524" w14:textId="77777777" w:rsidR="00A82EB7" w:rsidRPr="006119AE" w:rsidRDefault="00A82EB7" w:rsidP="003E5C15">
      <w:pPr>
        <w:pStyle w:val="NoSpacing"/>
        <w:spacing w:line="360" w:lineRule="auto"/>
        <w:rPr>
          <w:rFonts w:ascii="Segoe UI Historic" w:hAnsi="Segoe UI Historic" w:cs="Segoe UI Historic"/>
          <w:sz w:val="24"/>
          <w:szCs w:val="24"/>
        </w:rPr>
      </w:pPr>
    </w:p>
    <w:p w14:paraId="0D4B49F7" w14:textId="449FD273" w:rsidR="00B76083" w:rsidRPr="006119AE" w:rsidRDefault="00B76083" w:rsidP="003E5C15">
      <w:pPr>
        <w:pStyle w:val="NoSpacing"/>
        <w:spacing w:line="360" w:lineRule="auto"/>
        <w:rPr>
          <w:rFonts w:ascii="Segoe UI Historic" w:hAnsi="Segoe UI Historic" w:cs="Segoe UI Historic"/>
          <w:i/>
          <w:sz w:val="24"/>
          <w:szCs w:val="24"/>
        </w:rPr>
      </w:pPr>
      <w:r w:rsidRPr="006119AE">
        <w:rPr>
          <w:rFonts w:ascii="Segoe UI Historic" w:hAnsi="Segoe UI Historic" w:cs="Segoe UI Historic"/>
          <w:sz w:val="24"/>
          <w:szCs w:val="24"/>
        </w:rPr>
        <w:t>Schoske, S. 2008. ‘At the centre of power: Tiye, Ahhotep and Hatshepsut’</w:t>
      </w:r>
      <w:r w:rsidR="00255C25" w:rsidRPr="006119AE">
        <w:rPr>
          <w:rFonts w:ascii="Segoe UI Historic" w:hAnsi="Segoe UI Historic" w:cs="Segoe UI Historic"/>
          <w:sz w:val="24"/>
          <w:szCs w:val="24"/>
        </w:rPr>
        <w:t xml:space="preserve">. In Ziegler, C. </w:t>
      </w:r>
      <w:r w:rsidR="00255C25" w:rsidRPr="006119AE">
        <w:rPr>
          <w:rFonts w:ascii="Segoe UI Historic" w:hAnsi="Segoe UI Historic" w:cs="Segoe UI Historic"/>
          <w:i/>
          <w:sz w:val="24"/>
          <w:szCs w:val="24"/>
        </w:rPr>
        <w:t>Queens of Egypt: From Hetepheres to Cleopatra</w:t>
      </w:r>
      <w:r w:rsidR="00255C25" w:rsidRPr="006119AE">
        <w:rPr>
          <w:rFonts w:ascii="Segoe UI Historic" w:hAnsi="Segoe UI Historic" w:cs="Segoe UI Historic"/>
          <w:sz w:val="24"/>
          <w:szCs w:val="24"/>
        </w:rPr>
        <w:t>. Monaco: Grimaldi Forum.</w:t>
      </w:r>
    </w:p>
    <w:p w14:paraId="78813FB1" w14:textId="77777777" w:rsidR="00B76083" w:rsidRPr="006119AE" w:rsidRDefault="00B76083" w:rsidP="003E5C15">
      <w:pPr>
        <w:pStyle w:val="NoSpacing"/>
        <w:spacing w:line="360" w:lineRule="auto"/>
        <w:rPr>
          <w:rFonts w:ascii="Segoe UI Historic" w:hAnsi="Segoe UI Historic" w:cs="Segoe UI Historic"/>
          <w:sz w:val="24"/>
          <w:szCs w:val="24"/>
        </w:rPr>
      </w:pPr>
    </w:p>
    <w:p w14:paraId="1483836A" w14:textId="720A73B4" w:rsidR="007854DC" w:rsidRPr="006119AE" w:rsidRDefault="007854DC" w:rsidP="003E5C15">
      <w:pPr>
        <w:pStyle w:val="NoSpacing"/>
        <w:spacing w:line="360" w:lineRule="auto"/>
        <w:rPr>
          <w:rFonts w:ascii="Segoe UI Historic" w:hAnsi="Segoe UI Historic" w:cs="Segoe UI Historic"/>
          <w:sz w:val="24"/>
          <w:szCs w:val="24"/>
        </w:rPr>
      </w:pPr>
      <w:r w:rsidRPr="006119AE">
        <w:rPr>
          <w:rFonts w:ascii="Segoe UI Historic" w:hAnsi="Segoe UI Historic" w:cs="Segoe UI Historic"/>
          <w:sz w:val="24"/>
          <w:szCs w:val="24"/>
        </w:rPr>
        <w:lastRenderedPageBreak/>
        <w:t xml:space="preserve">Smithsonian Channel. 2018. </w:t>
      </w:r>
      <w:r w:rsidRPr="006119AE">
        <w:rPr>
          <w:rFonts w:ascii="Segoe UI Historic" w:hAnsi="Segoe UI Historic" w:cs="Segoe UI Historic"/>
          <w:i/>
          <w:sz w:val="24"/>
          <w:szCs w:val="24"/>
        </w:rPr>
        <w:t>How Akhenaten Demolished Centuries of Egyptian Tradition</w:t>
      </w:r>
      <w:r w:rsidRPr="006119AE">
        <w:rPr>
          <w:rFonts w:ascii="Segoe UI Historic" w:hAnsi="Segoe UI Historic" w:cs="Segoe UI Historic"/>
          <w:sz w:val="24"/>
          <w:szCs w:val="24"/>
        </w:rPr>
        <w:t>. YouTube. Available at: https://www.youtube.com/watch?v=h2JbcMoVv24. [Accessed on: 11.05.2019].</w:t>
      </w:r>
    </w:p>
    <w:p w14:paraId="0F820A55" w14:textId="434CDA6C" w:rsidR="007854DC" w:rsidRDefault="007854DC" w:rsidP="003E5C15">
      <w:pPr>
        <w:pStyle w:val="NoSpacing"/>
        <w:spacing w:line="360" w:lineRule="auto"/>
        <w:rPr>
          <w:rFonts w:ascii="Segoe UI Historic" w:hAnsi="Segoe UI Historic" w:cs="Segoe UI Historic"/>
          <w:sz w:val="24"/>
          <w:szCs w:val="24"/>
        </w:rPr>
      </w:pPr>
    </w:p>
    <w:p w14:paraId="44235060" w14:textId="41024E54" w:rsidR="00817D28" w:rsidRDefault="00817D28" w:rsidP="003E5C15">
      <w:pPr>
        <w:pStyle w:val="NoSpacing"/>
        <w:spacing w:line="360" w:lineRule="auto"/>
        <w:rPr>
          <w:rFonts w:ascii="Segoe UI Historic" w:hAnsi="Segoe UI Historic" w:cs="Segoe UI Historic"/>
          <w:sz w:val="24"/>
          <w:szCs w:val="24"/>
        </w:rPr>
      </w:pPr>
      <w:r>
        <w:rPr>
          <w:rFonts w:ascii="Segoe UI Historic" w:hAnsi="Segoe UI Historic" w:cs="Segoe UI Historic"/>
          <w:sz w:val="24"/>
          <w:szCs w:val="24"/>
        </w:rPr>
        <w:t xml:space="preserve">Tyldesley, J. 2015a. ‘Egypt’s Sun Queens: Part 1 – Sunrise’. </w:t>
      </w:r>
      <w:r>
        <w:rPr>
          <w:rFonts w:ascii="Segoe UI Historic" w:hAnsi="Segoe UI Historic" w:cs="Segoe UI Historic"/>
          <w:i/>
          <w:sz w:val="24"/>
          <w:szCs w:val="24"/>
        </w:rPr>
        <w:t>Ancient Egypt Magazine</w:t>
      </w:r>
      <w:r>
        <w:rPr>
          <w:rFonts w:ascii="Segoe UI Historic" w:hAnsi="Segoe UI Historic" w:cs="Segoe UI Historic"/>
          <w:sz w:val="24"/>
          <w:szCs w:val="24"/>
        </w:rPr>
        <w:t>, Vol. 16, Issue 1, pp. 50-54.</w:t>
      </w:r>
    </w:p>
    <w:p w14:paraId="1083D45F" w14:textId="77777777" w:rsidR="00817D28" w:rsidRDefault="00817D28" w:rsidP="003E5C15">
      <w:pPr>
        <w:pStyle w:val="NoSpacing"/>
        <w:spacing w:line="360" w:lineRule="auto"/>
        <w:rPr>
          <w:rFonts w:ascii="Segoe UI Historic" w:hAnsi="Segoe UI Historic" w:cs="Segoe UI Historic"/>
          <w:sz w:val="24"/>
          <w:szCs w:val="24"/>
        </w:rPr>
      </w:pPr>
    </w:p>
    <w:p w14:paraId="19CF47CF" w14:textId="77777777" w:rsidR="00817D28" w:rsidRDefault="00817D28" w:rsidP="003E5C15">
      <w:pPr>
        <w:pStyle w:val="NoSpacing"/>
        <w:spacing w:line="360" w:lineRule="auto"/>
        <w:rPr>
          <w:rFonts w:ascii="Segoe UI Historic" w:hAnsi="Segoe UI Historic" w:cs="Segoe UI Historic"/>
          <w:sz w:val="24"/>
          <w:szCs w:val="24"/>
        </w:rPr>
      </w:pPr>
      <w:r>
        <w:rPr>
          <w:rFonts w:ascii="Segoe UI Historic" w:hAnsi="Segoe UI Historic" w:cs="Segoe UI Historic"/>
          <w:sz w:val="24"/>
          <w:szCs w:val="24"/>
        </w:rPr>
        <w:t xml:space="preserve">Tyldesley, J. 2015b. ‘Egypt’s Sun Queens: Part 2 – Nefertiti’. </w:t>
      </w:r>
      <w:r>
        <w:rPr>
          <w:rFonts w:ascii="Segoe UI Historic" w:hAnsi="Segoe UI Historic" w:cs="Segoe UI Historic"/>
          <w:i/>
          <w:sz w:val="24"/>
          <w:szCs w:val="24"/>
        </w:rPr>
        <w:t>Ancient Egypt</w:t>
      </w:r>
      <w:r w:rsidRPr="00982819">
        <w:rPr>
          <w:rFonts w:ascii="Segoe UI Historic" w:hAnsi="Segoe UI Historic" w:cs="Segoe UI Historic"/>
          <w:i/>
          <w:sz w:val="24"/>
          <w:szCs w:val="24"/>
        </w:rPr>
        <w:t xml:space="preserve"> </w:t>
      </w:r>
      <w:r>
        <w:rPr>
          <w:rFonts w:ascii="Segoe UI Historic" w:hAnsi="Segoe UI Historic" w:cs="Segoe UI Historic"/>
          <w:i/>
          <w:sz w:val="24"/>
          <w:szCs w:val="24"/>
        </w:rPr>
        <w:t>Magazine</w:t>
      </w:r>
      <w:r>
        <w:rPr>
          <w:rFonts w:ascii="Segoe UI Historic" w:hAnsi="Segoe UI Historic" w:cs="Segoe UI Historic"/>
          <w:sz w:val="24"/>
          <w:szCs w:val="24"/>
        </w:rPr>
        <w:t>, Vol. 16, Issue 2, pp. 48-53.</w:t>
      </w:r>
    </w:p>
    <w:p w14:paraId="73EBB85C" w14:textId="77777777" w:rsidR="00817D28" w:rsidRDefault="00817D28" w:rsidP="003E5C15">
      <w:pPr>
        <w:pStyle w:val="NoSpacing"/>
        <w:spacing w:line="360" w:lineRule="auto"/>
        <w:rPr>
          <w:rFonts w:ascii="Segoe UI Historic" w:hAnsi="Segoe UI Historic" w:cs="Segoe UI Historic"/>
          <w:sz w:val="24"/>
          <w:szCs w:val="24"/>
        </w:rPr>
      </w:pPr>
    </w:p>
    <w:p w14:paraId="76644689" w14:textId="534AB417" w:rsidR="00817D28" w:rsidRDefault="00817D28" w:rsidP="003E5C15">
      <w:pPr>
        <w:pStyle w:val="NoSpacing"/>
        <w:spacing w:line="360" w:lineRule="auto"/>
        <w:rPr>
          <w:rFonts w:ascii="Segoe UI Historic" w:hAnsi="Segoe UI Historic" w:cs="Segoe UI Historic"/>
          <w:sz w:val="24"/>
          <w:szCs w:val="24"/>
        </w:rPr>
      </w:pPr>
      <w:r>
        <w:rPr>
          <w:rFonts w:ascii="Segoe UI Historic" w:hAnsi="Segoe UI Historic" w:cs="Segoe UI Historic"/>
          <w:sz w:val="24"/>
          <w:szCs w:val="24"/>
        </w:rPr>
        <w:t xml:space="preserve">Tyldesley, J. 2015c. ‘Egypt’s Sun Queens: Part 3 – Sunset’. </w:t>
      </w:r>
      <w:r>
        <w:rPr>
          <w:rFonts w:ascii="Segoe UI Historic" w:hAnsi="Segoe UI Historic" w:cs="Segoe UI Historic"/>
          <w:i/>
          <w:sz w:val="24"/>
          <w:szCs w:val="24"/>
        </w:rPr>
        <w:t>Ancient Egypt</w:t>
      </w:r>
      <w:r w:rsidRPr="00982819">
        <w:rPr>
          <w:rFonts w:ascii="Segoe UI Historic" w:hAnsi="Segoe UI Historic" w:cs="Segoe UI Historic"/>
          <w:i/>
          <w:sz w:val="24"/>
          <w:szCs w:val="24"/>
        </w:rPr>
        <w:t xml:space="preserve"> </w:t>
      </w:r>
      <w:r>
        <w:rPr>
          <w:rFonts w:ascii="Segoe UI Historic" w:hAnsi="Segoe UI Historic" w:cs="Segoe UI Historic"/>
          <w:i/>
          <w:sz w:val="24"/>
          <w:szCs w:val="24"/>
        </w:rPr>
        <w:t>Magazine</w:t>
      </w:r>
      <w:r>
        <w:rPr>
          <w:rFonts w:ascii="Segoe UI Historic" w:hAnsi="Segoe UI Historic" w:cs="Segoe UI Historic"/>
          <w:sz w:val="24"/>
          <w:szCs w:val="24"/>
        </w:rPr>
        <w:t>, Vol. 16, Issue 3, pp. 46-50.</w:t>
      </w:r>
    </w:p>
    <w:p w14:paraId="3C2D39CC" w14:textId="77777777" w:rsidR="00817D28" w:rsidRDefault="00817D28" w:rsidP="003E5C15">
      <w:pPr>
        <w:pStyle w:val="NoSpacing"/>
        <w:spacing w:line="360" w:lineRule="auto"/>
        <w:rPr>
          <w:rFonts w:ascii="Segoe UI Historic" w:hAnsi="Segoe UI Historic" w:cs="Segoe UI Historic"/>
          <w:sz w:val="24"/>
          <w:szCs w:val="24"/>
        </w:rPr>
      </w:pPr>
    </w:p>
    <w:p w14:paraId="5C64FAA1" w14:textId="3C8457E8" w:rsidR="00196208" w:rsidRPr="006119AE" w:rsidRDefault="00196208" w:rsidP="003E5C15">
      <w:pPr>
        <w:pStyle w:val="NoSpacing"/>
        <w:spacing w:line="360" w:lineRule="auto"/>
        <w:rPr>
          <w:rFonts w:ascii="Segoe UI Historic" w:hAnsi="Segoe UI Historic" w:cs="Segoe UI Historic"/>
          <w:i/>
          <w:sz w:val="24"/>
          <w:szCs w:val="24"/>
        </w:rPr>
      </w:pPr>
      <w:r>
        <w:rPr>
          <w:rFonts w:ascii="Segoe UI Historic" w:hAnsi="Segoe UI Historic" w:cs="Segoe UI Historic"/>
          <w:sz w:val="24"/>
          <w:szCs w:val="24"/>
        </w:rPr>
        <w:t xml:space="preserve">Tyldesley, J. 2016. ‘The role of Egypt’s dynastic queens’. </w:t>
      </w:r>
      <w:r w:rsidRPr="006119AE">
        <w:rPr>
          <w:rFonts w:ascii="Segoe UI Historic" w:hAnsi="Segoe UI Historic" w:cs="Segoe UI Historic"/>
          <w:sz w:val="24"/>
          <w:szCs w:val="24"/>
        </w:rPr>
        <w:t xml:space="preserve">In Ziegler, C. </w:t>
      </w:r>
      <w:r w:rsidRPr="006119AE">
        <w:rPr>
          <w:rFonts w:ascii="Segoe UI Historic" w:hAnsi="Segoe UI Historic" w:cs="Segoe UI Historic"/>
          <w:i/>
          <w:sz w:val="24"/>
          <w:szCs w:val="24"/>
        </w:rPr>
        <w:t>Queens of Egypt: From Hetepheres to Cleopatra</w:t>
      </w:r>
      <w:r w:rsidRPr="006119AE">
        <w:rPr>
          <w:rFonts w:ascii="Segoe UI Historic" w:hAnsi="Segoe UI Historic" w:cs="Segoe UI Historic"/>
          <w:sz w:val="24"/>
          <w:szCs w:val="24"/>
        </w:rPr>
        <w:t>. Monaco: Grimaldi Forum.</w:t>
      </w:r>
    </w:p>
    <w:p w14:paraId="746390E1" w14:textId="3B34E478" w:rsidR="00196208" w:rsidRDefault="00196208" w:rsidP="003E5C15">
      <w:pPr>
        <w:pStyle w:val="NoSpacing"/>
        <w:spacing w:line="360" w:lineRule="auto"/>
        <w:rPr>
          <w:rFonts w:ascii="Segoe UI Historic" w:hAnsi="Segoe UI Historic" w:cs="Segoe UI Historic"/>
          <w:sz w:val="24"/>
          <w:szCs w:val="24"/>
        </w:rPr>
      </w:pPr>
    </w:p>
    <w:p w14:paraId="772DAA41" w14:textId="16F073CA" w:rsidR="00A75CEF" w:rsidRPr="00A75CEF" w:rsidRDefault="00A75CEF" w:rsidP="003E5C15">
      <w:pPr>
        <w:pStyle w:val="NoSpacing"/>
        <w:spacing w:line="360" w:lineRule="auto"/>
        <w:rPr>
          <w:rFonts w:ascii="Segoe UI Historic" w:hAnsi="Segoe UI Historic" w:cs="Segoe UI Historic"/>
          <w:sz w:val="24"/>
          <w:szCs w:val="24"/>
        </w:rPr>
      </w:pPr>
      <w:r>
        <w:rPr>
          <w:rFonts w:ascii="Segoe UI Historic" w:hAnsi="Segoe UI Historic" w:cs="Segoe UI Historic"/>
          <w:sz w:val="24"/>
          <w:szCs w:val="24"/>
        </w:rPr>
        <w:t xml:space="preserve">van der Mieroop, M. 2011. </w:t>
      </w:r>
      <w:r>
        <w:rPr>
          <w:rFonts w:ascii="Segoe UI Historic" w:hAnsi="Segoe UI Historic" w:cs="Segoe UI Historic"/>
          <w:i/>
          <w:sz w:val="24"/>
          <w:szCs w:val="24"/>
        </w:rPr>
        <w:t>A History of Ancient Egypt</w:t>
      </w:r>
      <w:r>
        <w:rPr>
          <w:rFonts w:ascii="Segoe UI Historic" w:hAnsi="Segoe UI Historic" w:cs="Segoe UI Historic"/>
          <w:sz w:val="24"/>
          <w:szCs w:val="24"/>
        </w:rPr>
        <w:t>. Chichester: Wiley-Blackwell.</w:t>
      </w:r>
    </w:p>
    <w:p w14:paraId="5056F645" w14:textId="77777777" w:rsidR="00A75CEF" w:rsidRPr="006119AE" w:rsidRDefault="00A75CEF" w:rsidP="003E5C15">
      <w:pPr>
        <w:pStyle w:val="NoSpacing"/>
        <w:spacing w:line="360" w:lineRule="auto"/>
        <w:rPr>
          <w:rFonts w:ascii="Segoe UI Historic" w:hAnsi="Segoe UI Historic" w:cs="Segoe UI Historic"/>
          <w:sz w:val="24"/>
          <w:szCs w:val="24"/>
        </w:rPr>
      </w:pPr>
    </w:p>
    <w:p w14:paraId="64B611D8" w14:textId="2CE5E475" w:rsidR="002609FD" w:rsidRPr="006119AE" w:rsidRDefault="002609FD" w:rsidP="003E5C15">
      <w:pPr>
        <w:pStyle w:val="NoSpacing"/>
        <w:spacing w:line="360" w:lineRule="auto"/>
        <w:rPr>
          <w:rFonts w:ascii="Segoe UI Historic" w:hAnsi="Segoe UI Historic" w:cs="Segoe UI Historic"/>
          <w:sz w:val="24"/>
          <w:szCs w:val="24"/>
        </w:rPr>
      </w:pPr>
      <w:r w:rsidRPr="006119AE">
        <w:rPr>
          <w:rFonts w:ascii="Segoe UI Historic" w:hAnsi="Segoe UI Historic" w:cs="Segoe UI Historic"/>
          <w:sz w:val="24"/>
          <w:szCs w:val="24"/>
        </w:rPr>
        <w:t xml:space="preserve">Wegner, J. 2017. </w:t>
      </w:r>
      <w:r w:rsidRPr="006119AE">
        <w:rPr>
          <w:rFonts w:ascii="Segoe UI Historic" w:hAnsi="Segoe UI Historic" w:cs="Segoe UI Historic"/>
          <w:i/>
          <w:sz w:val="24"/>
          <w:szCs w:val="24"/>
        </w:rPr>
        <w:t>The Sunshade Chapel of Meritaten from the House-of-Waenre of Akhenaten</w:t>
      </w:r>
      <w:r w:rsidRPr="006119AE">
        <w:rPr>
          <w:rFonts w:ascii="Segoe UI Historic" w:hAnsi="Segoe UI Historic" w:cs="Segoe UI Historic"/>
          <w:sz w:val="24"/>
          <w:szCs w:val="24"/>
        </w:rPr>
        <w:t>. Philadelphia: University of Pennsylvania Museum of Archaeology and Anthropology.</w:t>
      </w:r>
    </w:p>
    <w:p w14:paraId="71578EC8" w14:textId="4BD0DD7A" w:rsidR="00D90198" w:rsidRDefault="00D90198" w:rsidP="003E5C15">
      <w:pPr>
        <w:pStyle w:val="NoSpacing"/>
        <w:spacing w:line="360" w:lineRule="auto"/>
        <w:rPr>
          <w:rFonts w:ascii="Segoe UI Historic" w:hAnsi="Segoe UI Historic" w:cs="Segoe UI Historic"/>
          <w:sz w:val="24"/>
          <w:szCs w:val="24"/>
        </w:rPr>
      </w:pPr>
    </w:p>
    <w:p w14:paraId="26CD6F22" w14:textId="790D3C26" w:rsidR="00162E88" w:rsidRPr="00F05DBD" w:rsidRDefault="00162E88" w:rsidP="003E5C15">
      <w:pPr>
        <w:pStyle w:val="NoSpacing"/>
        <w:spacing w:line="360" w:lineRule="auto"/>
        <w:rPr>
          <w:rFonts w:ascii="Segoe UI Historic" w:hAnsi="Segoe UI Historic" w:cs="Segoe UI Historic"/>
          <w:sz w:val="24"/>
          <w:szCs w:val="24"/>
        </w:rPr>
      </w:pPr>
      <w:r>
        <w:rPr>
          <w:rFonts w:ascii="Segoe UI Historic" w:hAnsi="Segoe UI Historic" w:cs="Segoe UI Historic"/>
          <w:sz w:val="24"/>
          <w:szCs w:val="24"/>
        </w:rPr>
        <w:t>Willia</w:t>
      </w:r>
      <w:r w:rsidR="001A2F74">
        <w:rPr>
          <w:rFonts w:ascii="Segoe UI Historic" w:hAnsi="Segoe UI Historic" w:cs="Segoe UI Historic"/>
          <w:sz w:val="24"/>
          <w:szCs w:val="24"/>
        </w:rPr>
        <w:t xml:space="preserve">mson, J. 2016. </w:t>
      </w:r>
      <w:r w:rsidR="001A2F74" w:rsidRPr="001A2F74">
        <w:rPr>
          <w:rFonts w:ascii="Segoe UI Historic" w:hAnsi="Segoe UI Historic" w:cs="Segoe UI Historic"/>
          <w:i/>
          <w:sz w:val="24"/>
          <w:szCs w:val="24"/>
        </w:rPr>
        <w:t>Nefertiti’s Sun</w:t>
      </w:r>
      <w:r w:rsidR="001A2F74">
        <w:rPr>
          <w:rFonts w:ascii="Segoe UI Historic" w:hAnsi="Segoe UI Historic" w:cs="Segoe UI Historic"/>
          <w:i/>
          <w:sz w:val="24"/>
          <w:szCs w:val="24"/>
        </w:rPr>
        <w:t xml:space="preserve"> Temple: A New Cult </w:t>
      </w:r>
      <w:r w:rsidR="00F05DBD">
        <w:rPr>
          <w:rFonts w:ascii="Segoe UI Historic" w:hAnsi="Segoe UI Historic" w:cs="Segoe UI Historic"/>
          <w:i/>
          <w:sz w:val="24"/>
          <w:szCs w:val="24"/>
        </w:rPr>
        <w:t>Complex at Tell el-Amarna. Volume 1</w:t>
      </w:r>
      <w:r w:rsidR="00F05DBD">
        <w:rPr>
          <w:rFonts w:ascii="Segoe UI Historic" w:hAnsi="Segoe UI Historic" w:cs="Segoe UI Historic"/>
          <w:sz w:val="24"/>
          <w:szCs w:val="24"/>
        </w:rPr>
        <w:t>. Leiden: Brill.</w:t>
      </w:r>
    </w:p>
    <w:p w14:paraId="0A65E146" w14:textId="77777777" w:rsidR="00162E88" w:rsidRPr="006119AE" w:rsidRDefault="00162E88" w:rsidP="003E5C15">
      <w:pPr>
        <w:pStyle w:val="NoSpacing"/>
        <w:spacing w:line="360" w:lineRule="auto"/>
        <w:rPr>
          <w:rFonts w:ascii="Segoe UI Historic" w:hAnsi="Segoe UI Historic" w:cs="Segoe UI Historic"/>
          <w:sz w:val="24"/>
          <w:szCs w:val="24"/>
        </w:rPr>
      </w:pPr>
    </w:p>
    <w:p w14:paraId="324BA2A0" w14:textId="77777777" w:rsidR="00845552" w:rsidRPr="006119AE" w:rsidRDefault="00845552" w:rsidP="003E5C15">
      <w:pPr>
        <w:pStyle w:val="NoSpacing"/>
        <w:spacing w:line="360" w:lineRule="auto"/>
        <w:rPr>
          <w:rFonts w:ascii="Segoe UI Historic" w:hAnsi="Segoe UI Historic" w:cs="Segoe UI Historic"/>
          <w:sz w:val="24"/>
          <w:szCs w:val="24"/>
        </w:rPr>
      </w:pPr>
      <w:r w:rsidRPr="006119AE">
        <w:rPr>
          <w:rFonts w:ascii="Segoe UI Historic" w:hAnsi="Segoe UI Historic" w:cs="Segoe UI Historic"/>
          <w:sz w:val="24"/>
          <w:szCs w:val="24"/>
        </w:rPr>
        <w:t xml:space="preserve">Zinn, K. 2016. ‘Women in Amarna: legendary royals, forgotten elite, unknown populace?’. In Budin, S.L. and Turfa, J.M. (eds.) </w:t>
      </w:r>
      <w:r w:rsidRPr="006119AE">
        <w:rPr>
          <w:rFonts w:ascii="Segoe UI Historic" w:hAnsi="Segoe UI Historic" w:cs="Segoe UI Historic"/>
          <w:i/>
          <w:sz w:val="24"/>
          <w:szCs w:val="24"/>
        </w:rPr>
        <w:t>Women in Antiquity: Real women across the Ancient World</w:t>
      </w:r>
      <w:r w:rsidRPr="006119AE">
        <w:rPr>
          <w:rFonts w:ascii="Segoe UI Historic" w:hAnsi="Segoe UI Historic" w:cs="Segoe UI Historic"/>
          <w:sz w:val="24"/>
          <w:szCs w:val="24"/>
        </w:rPr>
        <w:t>. London: Routledge.</w:t>
      </w:r>
    </w:p>
    <w:p w14:paraId="1FDDFA0B" w14:textId="77777777" w:rsidR="00845552" w:rsidRPr="006119AE" w:rsidRDefault="00845552" w:rsidP="003E5C15">
      <w:pPr>
        <w:pStyle w:val="NoSpacing"/>
        <w:spacing w:line="360" w:lineRule="auto"/>
        <w:rPr>
          <w:rFonts w:ascii="Segoe UI Historic" w:hAnsi="Segoe UI Historic" w:cs="Segoe UI Historic"/>
          <w:sz w:val="24"/>
          <w:szCs w:val="24"/>
        </w:rPr>
      </w:pPr>
    </w:p>
    <w:p w14:paraId="7973F597" w14:textId="044FC854" w:rsidR="00845552" w:rsidRPr="006119AE" w:rsidRDefault="00845552" w:rsidP="003E5C15">
      <w:pPr>
        <w:pStyle w:val="NoSpacing"/>
        <w:spacing w:line="360" w:lineRule="auto"/>
        <w:rPr>
          <w:rFonts w:ascii="Segoe UI Historic" w:hAnsi="Segoe UI Historic" w:cs="Segoe UI Historic"/>
          <w:sz w:val="24"/>
          <w:szCs w:val="24"/>
        </w:rPr>
      </w:pPr>
      <w:r w:rsidRPr="006119AE">
        <w:rPr>
          <w:rFonts w:ascii="Segoe UI Historic" w:hAnsi="Segoe UI Historic" w:cs="Segoe UI Historic"/>
          <w:sz w:val="24"/>
          <w:szCs w:val="24"/>
        </w:rPr>
        <w:lastRenderedPageBreak/>
        <w:t>Ziegler, C.</w:t>
      </w:r>
      <w:r w:rsidR="00255C25" w:rsidRPr="006119AE">
        <w:rPr>
          <w:rFonts w:ascii="Segoe UI Historic" w:hAnsi="Segoe UI Historic" w:cs="Segoe UI Historic"/>
          <w:sz w:val="24"/>
          <w:szCs w:val="24"/>
        </w:rPr>
        <w:t xml:space="preserve"> 2008.</w:t>
      </w:r>
      <w:r w:rsidRPr="006119AE">
        <w:rPr>
          <w:rFonts w:ascii="Segoe UI Historic" w:hAnsi="Segoe UI Historic" w:cs="Segoe UI Historic"/>
          <w:sz w:val="24"/>
          <w:szCs w:val="24"/>
        </w:rPr>
        <w:t xml:space="preserve"> </w:t>
      </w:r>
      <w:r w:rsidRPr="006119AE">
        <w:rPr>
          <w:rFonts w:ascii="Segoe UI Historic" w:hAnsi="Segoe UI Historic" w:cs="Segoe UI Historic"/>
          <w:i/>
          <w:sz w:val="24"/>
          <w:szCs w:val="24"/>
        </w:rPr>
        <w:t>Queens of Egypt: From Hetepheres to Cleopatra</w:t>
      </w:r>
      <w:r w:rsidRPr="006119AE">
        <w:rPr>
          <w:rFonts w:ascii="Segoe UI Historic" w:hAnsi="Segoe UI Historic" w:cs="Segoe UI Historic"/>
          <w:sz w:val="24"/>
          <w:szCs w:val="24"/>
        </w:rPr>
        <w:t>. Monaco: Grimaldi Forum.</w:t>
      </w:r>
    </w:p>
    <w:p w14:paraId="4FDBE119" w14:textId="680AB047" w:rsidR="005B43C6" w:rsidRPr="006119AE" w:rsidRDefault="005B43C6" w:rsidP="003E5C15">
      <w:pPr>
        <w:pStyle w:val="NoSpacing"/>
        <w:spacing w:line="360" w:lineRule="auto"/>
        <w:rPr>
          <w:rFonts w:ascii="Segoe UI Historic" w:hAnsi="Segoe UI Historic" w:cs="Segoe UI Historic"/>
          <w:sz w:val="24"/>
          <w:szCs w:val="24"/>
        </w:rPr>
      </w:pPr>
    </w:p>
    <w:sectPr w:rsidR="005B43C6" w:rsidRPr="006119A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2CAF93E"/>
    <w:rsid w:val="00021BE2"/>
    <w:rsid w:val="00025534"/>
    <w:rsid w:val="0003713B"/>
    <w:rsid w:val="000A27CC"/>
    <w:rsid w:val="000A4E49"/>
    <w:rsid w:val="000B6A17"/>
    <w:rsid w:val="00105995"/>
    <w:rsid w:val="001073BC"/>
    <w:rsid w:val="0015183F"/>
    <w:rsid w:val="001560F1"/>
    <w:rsid w:val="00162E88"/>
    <w:rsid w:val="00167CFB"/>
    <w:rsid w:val="0017028A"/>
    <w:rsid w:val="00176554"/>
    <w:rsid w:val="00181FDA"/>
    <w:rsid w:val="00196208"/>
    <w:rsid w:val="001A2F74"/>
    <w:rsid w:val="001B6BBB"/>
    <w:rsid w:val="001C69D1"/>
    <w:rsid w:val="001D28B2"/>
    <w:rsid w:val="001F7E63"/>
    <w:rsid w:val="00215E87"/>
    <w:rsid w:val="0022639E"/>
    <w:rsid w:val="0023739B"/>
    <w:rsid w:val="00255C25"/>
    <w:rsid w:val="002609FD"/>
    <w:rsid w:val="00357B04"/>
    <w:rsid w:val="00360587"/>
    <w:rsid w:val="003675B4"/>
    <w:rsid w:val="003717DE"/>
    <w:rsid w:val="0037274A"/>
    <w:rsid w:val="003B1907"/>
    <w:rsid w:val="003B7D90"/>
    <w:rsid w:val="003E5C15"/>
    <w:rsid w:val="00403012"/>
    <w:rsid w:val="004B4092"/>
    <w:rsid w:val="005031E5"/>
    <w:rsid w:val="00523194"/>
    <w:rsid w:val="00526B66"/>
    <w:rsid w:val="00536172"/>
    <w:rsid w:val="0057292A"/>
    <w:rsid w:val="005B43C6"/>
    <w:rsid w:val="005B5074"/>
    <w:rsid w:val="005F2FD5"/>
    <w:rsid w:val="005F6F4A"/>
    <w:rsid w:val="006119AE"/>
    <w:rsid w:val="006130CA"/>
    <w:rsid w:val="00614237"/>
    <w:rsid w:val="00616486"/>
    <w:rsid w:val="006209CC"/>
    <w:rsid w:val="00630E51"/>
    <w:rsid w:val="006763CB"/>
    <w:rsid w:val="00677553"/>
    <w:rsid w:val="006F10D9"/>
    <w:rsid w:val="00715D1F"/>
    <w:rsid w:val="00726A65"/>
    <w:rsid w:val="007633FB"/>
    <w:rsid w:val="007854DC"/>
    <w:rsid w:val="007D7483"/>
    <w:rsid w:val="007E4C3D"/>
    <w:rsid w:val="008151FE"/>
    <w:rsid w:val="00817D28"/>
    <w:rsid w:val="00845552"/>
    <w:rsid w:val="008607DD"/>
    <w:rsid w:val="00864CB8"/>
    <w:rsid w:val="00900583"/>
    <w:rsid w:val="009E0048"/>
    <w:rsid w:val="009E4E7A"/>
    <w:rsid w:val="00A073F4"/>
    <w:rsid w:val="00A113A0"/>
    <w:rsid w:val="00A75CEF"/>
    <w:rsid w:val="00A82EB7"/>
    <w:rsid w:val="00AA7FCA"/>
    <w:rsid w:val="00AC751E"/>
    <w:rsid w:val="00B074F3"/>
    <w:rsid w:val="00B245B1"/>
    <w:rsid w:val="00B31297"/>
    <w:rsid w:val="00B41327"/>
    <w:rsid w:val="00B443B1"/>
    <w:rsid w:val="00B67E0E"/>
    <w:rsid w:val="00B76083"/>
    <w:rsid w:val="00BD2250"/>
    <w:rsid w:val="00C105F0"/>
    <w:rsid w:val="00C23F3E"/>
    <w:rsid w:val="00C30232"/>
    <w:rsid w:val="00C356DA"/>
    <w:rsid w:val="00C5482C"/>
    <w:rsid w:val="00C67B8C"/>
    <w:rsid w:val="00C80DBA"/>
    <w:rsid w:val="00CE36DF"/>
    <w:rsid w:val="00CEA3C3"/>
    <w:rsid w:val="00CF5F26"/>
    <w:rsid w:val="00D437EE"/>
    <w:rsid w:val="00D704FE"/>
    <w:rsid w:val="00D87310"/>
    <w:rsid w:val="00D90198"/>
    <w:rsid w:val="00D950C5"/>
    <w:rsid w:val="00DA5951"/>
    <w:rsid w:val="00DC09EC"/>
    <w:rsid w:val="00DF70E9"/>
    <w:rsid w:val="00E26BA5"/>
    <w:rsid w:val="00E42F1D"/>
    <w:rsid w:val="00E45355"/>
    <w:rsid w:val="00E8037B"/>
    <w:rsid w:val="00EF4C68"/>
    <w:rsid w:val="00F01F0C"/>
    <w:rsid w:val="00F05DBD"/>
    <w:rsid w:val="00F10F80"/>
    <w:rsid w:val="00F266EE"/>
    <w:rsid w:val="00F31393"/>
    <w:rsid w:val="00F366CE"/>
    <w:rsid w:val="00F431B3"/>
    <w:rsid w:val="00F444B3"/>
    <w:rsid w:val="00F7015D"/>
    <w:rsid w:val="00FB7066"/>
    <w:rsid w:val="00FC188F"/>
    <w:rsid w:val="409CAC32"/>
    <w:rsid w:val="4CC8F5C6"/>
    <w:rsid w:val="62CAF93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AF93E"/>
  <w15:chartTrackingRefBased/>
  <w15:docId w15:val="{660171BE-05B5-4973-8B13-DA67938AE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23194"/>
    <w:pPr>
      <w:spacing w:after="0" w:line="240" w:lineRule="auto"/>
    </w:pPr>
  </w:style>
  <w:style w:type="character" w:styleId="Hyperlink">
    <w:name w:val="Hyperlink"/>
    <w:basedOn w:val="DefaultParagraphFont"/>
    <w:uiPriority w:val="99"/>
    <w:unhideWhenUsed/>
    <w:rsid w:val="001C69D1"/>
    <w:rPr>
      <w:color w:val="0563C1" w:themeColor="hyperlink"/>
      <w:u w:val="single"/>
    </w:rPr>
  </w:style>
  <w:style w:type="character" w:styleId="CommentReference">
    <w:name w:val="annotation reference"/>
    <w:basedOn w:val="DefaultParagraphFont"/>
    <w:uiPriority w:val="99"/>
    <w:semiHidden/>
    <w:unhideWhenUsed/>
    <w:rsid w:val="001073BC"/>
    <w:rPr>
      <w:sz w:val="16"/>
      <w:szCs w:val="16"/>
    </w:rPr>
  </w:style>
  <w:style w:type="paragraph" w:styleId="CommentText">
    <w:name w:val="annotation text"/>
    <w:basedOn w:val="Normal"/>
    <w:link w:val="CommentTextChar"/>
    <w:uiPriority w:val="99"/>
    <w:semiHidden/>
    <w:unhideWhenUsed/>
    <w:rsid w:val="001073BC"/>
    <w:pPr>
      <w:spacing w:line="240" w:lineRule="auto"/>
    </w:pPr>
    <w:rPr>
      <w:sz w:val="20"/>
      <w:szCs w:val="20"/>
    </w:rPr>
  </w:style>
  <w:style w:type="character" w:customStyle="1" w:styleId="CommentTextChar">
    <w:name w:val="Comment Text Char"/>
    <w:basedOn w:val="DefaultParagraphFont"/>
    <w:link w:val="CommentText"/>
    <w:uiPriority w:val="99"/>
    <w:semiHidden/>
    <w:rsid w:val="001073BC"/>
    <w:rPr>
      <w:sz w:val="20"/>
      <w:szCs w:val="20"/>
    </w:rPr>
  </w:style>
  <w:style w:type="paragraph" w:styleId="CommentSubject">
    <w:name w:val="annotation subject"/>
    <w:basedOn w:val="CommentText"/>
    <w:next w:val="CommentText"/>
    <w:link w:val="CommentSubjectChar"/>
    <w:uiPriority w:val="99"/>
    <w:semiHidden/>
    <w:unhideWhenUsed/>
    <w:rsid w:val="001073BC"/>
    <w:rPr>
      <w:b/>
      <w:bCs/>
    </w:rPr>
  </w:style>
  <w:style w:type="character" w:customStyle="1" w:styleId="CommentSubjectChar">
    <w:name w:val="Comment Subject Char"/>
    <w:basedOn w:val="CommentTextChar"/>
    <w:link w:val="CommentSubject"/>
    <w:uiPriority w:val="99"/>
    <w:semiHidden/>
    <w:rsid w:val="001073BC"/>
    <w:rPr>
      <w:b/>
      <w:bCs/>
      <w:sz w:val="20"/>
      <w:szCs w:val="20"/>
    </w:rPr>
  </w:style>
  <w:style w:type="paragraph" w:styleId="BalloonText">
    <w:name w:val="Balloon Text"/>
    <w:basedOn w:val="Normal"/>
    <w:link w:val="BalloonTextChar"/>
    <w:uiPriority w:val="99"/>
    <w:semiHidden/>
    <w:unhideWhenUsed/>
    <w:rsid w:val="001073B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73B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ECB128-BFD0-42F6-91E5-E2CC2F902F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10</Pages>
  <Words>2447</Words>
  <Characters>13949</Characters>
  <Application>Microsoft Office Word</Application>
  <DocSecurity>0</DocSecurity>
  <Lines>116</Lines>
  <Paragraphs>32</Paragraphs>
  <ScaleCrop>false</ScaleCrop>
  <Company/>
  <LinksUpToDate>false</LinksUpToDate>
  <CharactersWithSpaces>16364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Georgie Whittock (1600137)</dc:creator>
  <cp:keywords/>
  <dc:description/>
  <cp:lastModifiedBy>Georgie Whittock (1600137)</cp:lastModifiedBy>
  <cp:revision>21</cp:revision>
  <cp:lastPrinted>2019-05-20T07:03:00Z</cp:lastPrinted>
  <dcterms:created xsi:type="dcterms:W3CDTF">2019-06-05T08:32:00Z</dcterms:created>
  <dcterms:modified xsi:type="dcterms:W3CDTF">2019-06-07T09:08:00Z</dcterms:modified>
</cp:coreProperties>
</file>