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468888E0" w14:textId="56947136" w:rsidR="009227AA" w:rsidRPr="003C3B3B" w:rsidRDefault="00FD31C3">
      <w:pPr>
        <w:rPr>
          <w:rFonts w:ascii="Arial" w:hAnsi="Arial" w:cs="Arial"/>
          <w:sz w:val="32"/>
          <w:szCs w:val="32"/>
        </w:rPr>
      </w:pPr>
      <w:r w:rsidRPr="003C3B3B">
        <w:rPr>
          <w:rFonts w:ascii="Arial" w:hAnsi="Arial" w:cs="Arial"/>
          <w:sz w:val="32"/>
          <w:szCs w:val="32"/>
        </w:rPr>
        <w:t>“Using the work of one of the theorists discussed in class, examine a single cultural phenomenon using their analytical tools.”</w:t>
      </w:r>
    </w:p>
    <w:p w14:paraId="796A462B" w14:textId="0A3C8864" w:rsidR="00FD31C3" w:rsidRPr="003C3B3B" w:rsidRDefault="00FD31C3">
      <w:pPr>
        <w:rPr>
          <w:rFonts w:ascii="Arial" w:hAnsi="Arial" w:cs="Arial"/>
          <w:sz w:val="28"/>
          <w:szCs w:val="28"/>
        </w:rPr>
      </w:pPr>
    </w:p>
    <w:p w14:paraId="4F17C267" w14:textId="2E656408" w:rsidR="0015564A" w:rsidRPr="003C3B3B" w:rsidRDefault="00E61976">
      <w:pPr>
        <w:rPr>
          <w:rFonts w:ascii="Arial" w:hAnsi="Arial" w:cs="Arial"/>
          <w:sz w:val="28"/>
          <w:szCs w:val="28"/>
        </w:rPr>
      </w:pPr>
      <w:r w:rsidRPr="003C3B3B">
        <w:rPr>
          <w:rFonts w:ascii="Arial" w:hAnsi="Arial" w:cs="Arial"/>
          <w:sz w:val="28"/>
          <w:szCs w:val="28"/>
        </w:rPr>
        <w:t xml:space="preserve">During this essay, the trend of our </w:t>
      </w:r>
      <w:proofErr w:type="gramStart"/>
      <w:r w:rsidRPr="003C3B3B">
        <w:rPr>
          <w:rFonts w:ascii="Arial" w:hAnsi="Arial" w:cs="Arial"/>
          <w:sz w:val="28"/>
          <w:szCs w:val="28"/>
        </w:rPr>
        <w:t>modern day</w:t>
      </w:r>
      <w:proofErr w:type="gramEnd"/>
      <w:r w:rsidRPr="003C3B3B">
        <w:rPr>
          <w:rFonts w:ascii="Arial" w:hAnsi="Arial" w:cs="Arial"/>
          <w:sz w:val="28"/>
          <w:szCs w:val="28"/>
        </w:rPr>
        <w:t xml:space="preserve"> cultural </w:t>
      </w:r>
      <w:r w:rsidR="00454657" w:rsidRPr="003C3B3B">
        <w:rPr>
          <w:rFonts w:ascii="Arial" w:hAnsi="Arial" w:cs="Arial"/>
          <w:sz w:val="28"/>
          <w:szCs w:val="28"/>
        </w:rPr>
        <w:t>knowledge and the experience we have available to us affecting the preconceptions we create about the past shall be explored,</w:t>
      </w:r>
      <w:r w:rsidR="00AD17BF" w:rsidRPr="003C3B3B">
        <w:rPr>
          <w:rFonts w:ascii="Arial" w:hAnsi="Arial" w:cs="Arial"/>
          <w:sz w:val="28"/>
          <w:szCs w:val="28"/>
        </w:rPr>
        <w:t xml:space="preserve"> with a reference to the work of Michael Foucault.</w:t>
      </w:r>
      <w:r w:rsidR="006822DA" w:rsidRPr="003C3B3B">
        <w:rPr>
          <w:rFonts w:ascii="Arial" w:hAnsi="Arial" w:cs="Arial"/>
          <w:sz w:val="28"/>
          <w:szCs w:val="28"/>
        </w:rPr>
        <w:t xml:space="preserve"> Several examples shall be used throughout, and a conclusion will be made.</w:t>
      </w:r>
      <w:r w:rsidR="00565530">
        <w:rPr>
          <w:rFonts w:ascii="Arial" w:hAnsi="Arial" w:cs="Arial"/>
          <w:sz w:val="28"/>
          <w:szCs w:val="28"/>
        </w:rPr>
        <w:t xml:space="preserve"> </w:t>
      </w:r>
      <w:r w:rsidR="00743D3B" w:rsidRPr="003C3B3B">
        <w:rPr>
          <w:rFonts w:ascii="Arial" w:hAnsi="Arial" w:cs="Arial"/>
          <w:sz w:val="28"/>
          <w:szCs w:val="28"/>
        </w:rPr>
        <w:t xml:space="preserve">Michel Foucault created the ideas of Truth, Knowledge, and Power, and how they </w:t>
      </w:r>
      <w:r w:rsidR="00472774" w:rsidRPr="003C3B3B">
        <w:rPr>
          <w:rFonts w:ascii="Arial" w:hAnsi="Arial" w:cs="Arial"/>
          <w:sz w:val="28"/>
          <w:szCs w:val="28"/>
        </w:rPr>
        <w:t xml:space="preserve">interlink and interact with one another. Truth is dependent on the way in which a society creates and maintains </w:t>
      </w:r>
      <w:r w:rsidR="00F05D1D" w:rsidRPr="003C3B3B">
        <w:rPr>
          <w:rFonts w:ascii="Arial" w:hAnsi="Arial" w:cs="Arial"/>
          <w:sz w:val="28"/>
          <w:szCs w:val="28"/>
        </w:rPr>
        <w:t>it and</w:t>
      </w:r>
      <w:r w:rsidR="00472774" w:rsidRPr="003C3B3B">
        <w:rPr>
          <w:rFonts w:ascii="Arial" w:hAnsi="Arial" w:cs="Arial"/>
          <w:sz w:val="28"/>
          <w:szCs w:val="28"/>
        </w:rPr>
        <w:t xml:space="preserve"> </w:t>
      </w:r>
      <w:r w:rsidR="00585FF2" w:rsidRPr="003C3B3B">
        <w:rPr>
          <w:rFonts w:ascii="Arial" w:hAnsi="Arial" w:cs="Arial"/>
          <w:sz w:val="28"/>
          <w:szCs w:val="28"/>
        </w:rPr>
        <w:t>can be a constantly fluid idea</w:t>
      </w:r>
      <w:r w:rsidR="00F05D1D" w:rsidRPr="003C3B3B">
        <w:rPr>
          <w:rFonts w:ascii="Arial" w:hAnsi="Arial" w:cs="Arial"/>
          <w:sz w:val="28"/>
          <w:szCs w:val="28"/>
        </w:rPr>
        <w:t xml:space="preserve"> – it </w:t>
      </w:r>
      <w:proofErr w:type="gramStart"/>
      <w:r w:rsidR="00F05D1D" w:rsidRPr="003C3B3B">
        <w:rPr>
          <w:rFonts w:ascii="Arial" w:hAnsi="Arial" w:cs="Arial"/>
          <w:sz w:val="28"/>
          <w:szCs w:val="28"/>
        </w:rPr>
        <w:t>is capable of changing</w:t>
      </w:r>
      <w:proofErr w:type="gramEnd"/>
      <w:r w:rsidR="00F05D1D" w:rsidRPr="003C3B3B">
        <w:rPr>
          <w:rFonts w:ascii="Arial" w:hAnsi="Arial" w:cs="Arial"/>
          <w:sz w:val="28"/>
          <w:szCs w:val="28"/>
        </w:rPr>
        <w:t xml:space="preserve">. Knowledge is an </w:t>
      </w:r>
      <w:r w:rsidR="009B12FD" w:rsidRPr="003C3B3B">
        <w:rPr>
          <w:rFonts w:ascii="Arial" w:hAnsi="Arial" w:cs="Arial"/>
          <w:sz w:val="28"/>
          <w:szCs w:val="28"/>
        </w:rPr>
        <w:t xml:space="preserve">individual dependant way of bringing information into context with known truths, differing throughout time and societies. </w:t>
      </w:r>
      <w:r w:rsidR="00047848" w:rsidRPr="003C3B3B">
        <w:rPr>
          <w:rFonts w:ascii="Arial" w:hAnsi="Arial" w:cs="Arial"/>
          <w:sz w:val="28"/>
          <w:szCs w:val="28"/>
        </w:rPr>
        <w:t xml:space="preserve">Both truth and knowledge are produced through power, which everything is subject to. It is an </w:t>
      </w:r>
      <w:r w:rsidR="00AC0C91" w:rsidRPr="003C3B3B">
        <w:rPr>
          <w:rFonts w:ascii="Arial" w:hAnsi="Arial" w:cs="Arial"/>
          <w:sz w:val="28"/>
          <w:szCs w:val="28"/>
        </w:rPr>
        <w:t xml:space="preserve">exercise of power to categorise knowledge in to </w:t>
      </w:r>
      <w:r w:rsidR="006713BA" w:rsidRPr="003C3B3B">
        <w:rPr>
          <w:rFonts w:ascii="Arial" w:hAnsi="Arial" w:cs="Arial"/>
          <w:sz w:val="28"/>
          <w:szCs w:val="28"/>
        </w:rPr>
        <w:t>truth.</w:t>
      </w:r>
    </w:p>
    <w:p w14:paraId="27734800" w14:textId="0C9DF3C2" w:rsidR="0096435E" w:rsidRPr="003C3B3B" w:rsidRDefault="0096435E">
      <w:pPr>
        <w:rPr>
          <w:rFonts w:ascii="Arial" w:hAnsi="Arial" w:cs="Arial"/>
          <w:sz w:val="28"/>
          <w:szCs w:val="28"/>
        </w:rPr>
      </w:pPr>
    </w:p>
    <w:p w14:paraId="7DE02D97" w14:textId="5F031640" w:rsidR="008F3353" w:rsidRPr="003C3B3B" w:rsidRDefault="003A2BBB">
      <w:pPr>
        <w:rPr>
          <w:rFonts w:ascii="Arial" w:hAnsi="Arial" w:cs="Arial"/>
          <w:sz w:val="28"/>
          <w:szCs w:val="28"/>
        </w:rPr>
      </w:pPr>
      <w:r w:rsidRPr="003C3B3B">
        <w:rPr>
          <w:rFonts w:ascii="Arial" w:hAnsi="Arial" w:cs="Arial"/>
          <w:sz w:val="28"/>
          <w:szCs w:val="28"/>
        </w:rPr>
        <w:t>In</w:t>
      </w:r>
      <w:r w:rsidR="006D182B" w:rsidRPr="003C3B3B">
        <w:rPr>
          <w:rFonts w:ascii="Arial" w:hAnsi="Arial" w:cs="Arial"/>
          <w:sz w:val="28"/>
          <w:szCs w:val="28"/>
        </w:rPr>
        <w:t xml:space="preserve"> 1878</w:t>
      </w:r>
      <w:r w:rsidRPr="003C3B3B">
        <w:rPr>
          <w:rFonts w:ascii="Arial" w:hAnsi="Arial" w:cs="Arial"/>
          <w:sz w:val="28"/>
          <w:szCs w:val="28"/>
        </w:rPr>
        <w:t xml:space="preserve"> </w:t>
      </w:r>
      <w:r w:rsidR="005808D7" w:rsidRPr="003C3B3B">
        <w:rPr>
          <w:rFonts w:ascii="Arial" w:hAnsi="Arial" w:cs="Arial"/>
          <w:sz w:val="28"/>
          <w:szCs w:val="28"/>
        </w:rPr>
        <w:t>a 10</w:t>
      </w:r>
      <w:r w:rsidR="005808D7" w:rsidRPr="003C3B3B">
        <w:rPr>
          <w:rFonts w:ascii="Arial" w:hAnsi="Arial" w:cs="Arial"/>
          <w:sz w:val="28"/>
          <w:szCs w:val="28"/>
          <w:vertAlign w:val="superscript"/>
        </w:rPr>
        <w:t>th</w:t>
      </w:r>
      <w:r w:rsidR="005808D7" w:rsidRPr="003C3B3B">
        <w:rPr>
          <w:rFonts w:ascii="Arial" w:hAnsi="Arial" w:cs="Arial"/>
          <w:sz w:val="28"/>
          <w:szCs w:val="28"/>
        </w:rPr>
        <w:t xml:space="preserve"> Century burial tomb was </w:t>
      </w:r>
      <w:r w:rsidR="00EC13D5" w:rsidRPr="003C3B3B">
        <w:rPr>
          <w:rFonts w:ascii="Arial" w:hAnsi="Arial" w:cs="Arial"/>
          <w:sz w:val="28"/>
          <w:szCs w:val="28"/>
        </w:rPr>
        <w:t>excavated</w:t>
      </w:r>
      <w:r w:rsidR="0073244B" w:rsidRPr="003C3B3B">
        <w:rPr>
          <w:rFonts w:ascii="Arial" w:hAnsi="Arial" w:cs="Arial"/>
          <w:sz w:val="28"/>
          <w:szCs w:val="28"/>
        </w:rPr>
        <w:t xml:space="preserve"> in </w:t>
      </w:r>
      <w:proofErr w:type="spellStart"/>
      <w:r w:rsidR="0073244B" w:rsidRPr="003C3B3B">
        <w:rPr>
          <w:rFonts w:ascii="Arial" w:hAnsi="Arial" w:cs="Arial"/>
          <w:sz w:val="28"/>
          <w:szCs w:val="28"/>
        </w:rPr>
        <w:t>Birka</w:t>
      </w:r>
      <w:proofErr w:type="spellEnd"/>
      <w:r w:rsidR="0073244B" w:rsidRPr="003C3B3B">
        <w:rPr>
          <w:rFonts w:ascii="Arial" w:hAnsi="Arial" w:cs="Arial"/>
          <w:sz w:val="28"/>
          <w:szCs w:val="28"/>
        </w:rPr>
        <w:t xml:space="preserve"> Sweden</w:t>
      </w:r>
      <w:r w:rsidR="00E42C5C" w:rsidRPr="003C3B3B">
        <w:rPr>
          <w:rStyle w:val="FootnoteReference"/>
          <w:rFonts w:ascii="Arial" w:hAnsi="Arial" w:cs="Arial"/>
          <w:sz w:val="28"/>
          <w:szCs w:val="28"/>
        </w:rPr>
        <w:footnoteReference w:id="1"/>
      </w:r>
      <w:r w:rsidR="00EC13D5" w:rsidRPr="003C3B3B">
        <w:rPr>
          <w:rFonts w:ascii="Arial" w:hAnsi="Arial" w:cs="Arial"/>
          <w:sz w:val="28"/>
          <w:szCs w:val="28"/>
        </w:rPr>
        <w:t xml:space="preserve">, and the remains were identified as a </w:t>
      </w:r>
      <w:proofErr w:type="gramStart"/>
      <w:r w:rsidR="00EC13D5" w:rsidRPr="003C3B3B">
        <w:rPr>
          <w:rFonts w:ascii="Arial" w:hAnsi="Arial" w:cs="Arial"/>
          <w:sz w:val="28"/>
          <w:szCs w:val="28"/>
        </w:rPr>
        <w:t>high ranking</w:t>
      </w:r>
      <w:proofErr w:type="gramEnd"/>
      <w:r w:rsidR="00EC13D5" w:rsidRPr="003C3B3B">
        <w:rPr>
          <w:rFonts w:ascii="Arial" w:hAnsi="Arial" w:cs="Arial"/>
          <w:sz w:val="28"/>
          <w:szCs w:val="28"/>
        </w:rPr>
        <w:t xml:space="preserve"> Viking warrior</w:t>
      </w:r>
      <w:r w:rsidR="00E579F7" w:rsidRPr="003C3B3B">
        <w:rPr>
          <w:rFonts w:ascii="Arial" w:hAnsi="Arial" w:cs="Arial"/>
          <w:sz w:val="28"/>
          <w:szCs w:val="28"/>
        </w:rPr>
        <w:t xml:space="preserve"> due to the location of the burial and the grave goods – a full set of weaponry, two horses, and a game suggesting command</w:t>
      </w:r>
      <w:r w:rsidR="00E42C5C" w:rsidRPr="003C3B3B">
        <w:rPr>
          <w:rStyle w:val="FootnoteReference"/>
          <w:rFonts w:ascii="Arial" w:hAnsi="Arial" w:cs="Arial"/>
          <w:sz w:val="28"/>
          <w:szCs w:val="28"/>
        </w:rPr>
        <w:footnoteReference w:id="2"/>
      </w:r>
      <w:r w:rsidR="00E579F7" w:rsidRPr="003C3B3B">
        <w:rPr>
          <w:rFonts w:ascii="Arial" w:hAnsi="Arial" w:cs="Arial"/>
          <w:sz w:val="28"/>
          <w:szCs w:val="28"/>
        </w:rPr>
        <w:t>.</w:t>
      </w:r>
      <w:r w:rsidR="001C43B0" w:rsidRPr="003C3B3B">
        <w:rPr>
          <w:rFonts w:ascii="Arial" w:hAnsi="Arial" w:cs="Arial"/>
          <w:sz w:val="28"/>
          <w:szCs w:val="28"/>
        </w:rPr>
        <w:t xml:space="preserve"> Although the </w:t>
      </w:r>
      <w:r w:rsidR="00CD5E6E" w:rsidRPr="003C3B3B">
        <w:rPr>
          <w:rFonts w:ascii="Arial" w:hAnsi="Arial" w:cs="Arial"/>
          <w:sz w:val="28"/>
          <w:szCs w:val="28"/>
        </w:rPr>
        <w:t>remains</w:t>
      </w:r>
      <w:r w:rsidR="001C43B0" w:rsidRPr="003C3B3B">
        <w:rPr>
          <w:rFonts w:ascii="Arial" w:hAnsi="Arial" w:cs="Arial"/>
          <w:sz w:val="28"/>
          <w:szCs w:val="28"/>
        </w:rPr>
        <w:t xml:space="preserve"> were originally assumed to be male, </w:t>
      </w:r>
      <w:r w:rsidR="00CD5E6E" w:rsidRPr="003C3B3B">
        <w:rPr>
          <w:rFonts w:ascii="Arial" w:hAnsi="Arial" w:cs="Arial"/>
          <w:sz w:val="28"/>
          <w:szCs w:val="28"/>
        </w:rPr>
        <w:t xml:space="preserve">in 2017 </w:t>
      </w:r>
      <w:r w:rsidR="00721E9F" w:rsidRPr="003C3B3B">
        <w:rPr>
          <w:rFonts w:ascii="Arial" w:hAnsi="Arial" w:cs="Arial"/>
          <w:sz w:val="28"/>
          <w:szCs w:val="28"/>
        </w:rPr>
        <w:t>they were discovered to be female</w:t>
      </w:r>
      <w:r w:rsidR="00E42C5C" w:rsidRPr="003C3B3B">
        <w:rPr>
          <w:rStyle w:val="FootnoteReference"/>
          <w:rFonts w:ascii="Arial" w:hAnsi="Arial" w:cs="Arial"/>
          <w:sz w:val="28"/>
          <w:szCs w:val="28"/>
        </w:rPr>
        <w:footnoteReference w:id="3"/>
      </w:r>
      <w:r w:rsidR="00721E9F" w:rsidRPr="003C3B3B">
        <w:rPr>
          <w:rFonts w:ascii="Arial" w:hAnsi="Arial" w:cs="Arial"/>
          <w:sz w:val="28"/>
          <w:szCs w:val="28"/>
        </w:rPr>
        <w:t>.</w:t>
      </w:r>
      <w:r w:rsidR="009D46D6" w:rsidRPr="003C3B3B">
        <w:rPr>
          <w:rFonts w:ascii="Arial" w:hAnsi="Arial" w:cs="Arial"/>
          <w:sz w:val="28"/>
          <w:szCs w:val="28"/>
        </w:rPr>
        <w:t xml:space="preserve"> However, there were many </w:t>
      </w:r>
      <w:r w:rsidR="00DA51DC" w:rsidRPr="003C3B3B">
        <w:rPr>
          <w:rFonts w:ascii="Arial" w:hAnsi="Arial" w:cs="Arial"/>
          <w:sz w:val="28"/>
          <w:szCs w:val="28"/>
        </w:rPr>
        <w:t xml:space="preserve">who argued against this due to concerns that </w:t>
      </w:r>
      <w:r w:rsidR="00427E47" w:rsidRPr="003C3B3B">
        <w:rPr>
          <w:rFonts w:ascii="Arial" w:hAnsi="Arial" w:cs="Arial"/>
          <w:sz w:val="28"/>
          <w:szCs w:val="28"/>
        </w:rPr>
        <w:t xml:space="preserve">the bones had been mislabelled, mixed with other remains, </w:t>
      </w:r>
      <w:r w:rsidR="00A124B8" w:rsidRPr="003C3B3B">
        <w:rPr>
          <w:rFonts w:ascii="Arial" w:hAnsi="Arial" w:cs="Arial"/>
          <w:sz w:val="28"/>
          <w:szCs w:val="28"/>
        </w:rPr>
        <w:t xml:space="preserve">that the grave was shared with a male </w:t>
      </w:r>
      <w:r w:rsidR="00E42C5C" w:rsidRPr="003C3B3B">
        <w:rPr>
          <w:rFonts w:ascii="Arial" w:hAnsi="Arial" w:cs="Arial"/>
          <w:sz w:val="28"/>
          <w:szCs w:val="28"/>
        </w:rPr>
        <w:t>warrio</w:t>
      </w:r>
      <w:r w:rsidR="00C02A9B" w:rsidRPr="003C3B3B">
        <w:rPr>
          <w:rFonts w:ascii="Arial" w:hAnsi="Arial" w:cs="Arial"/>
          <w:sz w:val="28"/>
          <w:szCs w:val="28"/>
        </w:rPr>
        <w:t>r</w:t>
      </w:r>
      <w:r w:rsidR="00A124B8" w:rsidRPr="003C3B3B">
        <w:rPr>
          <w:rFonts w:ascii="Arial" w:hAnsi="Arial" w:cs="Arial"/>
          <w:sz w:val="28"/>
          <w:szCs w:val="28"/>
        </w:rPr>
        <w:t xml:space="preserve">, or that the </w:t>
      </w:r>
      <w:r w:rsidR="00D46D75" w:rsidRPr="003C3B3B">
        <w:rPr>
          <w:rFonts w:ascii="Arial" w:hAnsi="Arial" w:cs="Arial"/>
          <w:sz w:val="28"/>
          <w:szCs w:val="28"/>
        </w:rPr>
        <w:t xml:space="preserve">occupant was </w:t>
      </w:r>
      <w:proofErr w:type="gramStart"/>
      <w:r w:rsidR="00D46D75" w:rsidRPr="003C3B3B">
        <w:rPr>
          <w:rFonts w:ascii="Arial" w:hAnsi="Arial" w:cs="Arial"/>
          <w:sz w:val="28"/>
          <w:szCs w:val="28"/>
        </w:rPr>
        <w:t>actually a</w:t>
      </w:r>
      <w:proofErr w:type="gramEnd"/>
      <w:r w:rsidR="00D46D75" w:rsidRPr="003C3B3B">
        <w:rPr>
          <w:rFonts w:ascii="Arial" w:hAnsi="Arial" w:cs="Arial"/>
          <w:sz w:val="28"/>
          <w:szCs w:val="28"/>
        </w:rPr>
        <w:t xml:space="preserve"> transgender man</w:t>
      </w:r>
      <w:r w:rsidR="00350F46" w:rsidRPr="003C3B3B">
        <w:rPr>
          <w:rStyle w:val="FootnoteReference"/>
          <w:rFonts w:ascii="Arial" w:hAnsi="Arial" w:cs="Arial"/>
          <w:sz w:val="28"/>
          <w:szCs w:val="28"/>
        </w:rPr>
        <w:footnoteReference w:id="4"/>
      </w:r>
      <w:r w:rsidR="00D46D75" w:rsidRPr="003C3B3B">
        <w:rPr>
          <w:rFonts w:ascii="Arial" w:hAnsi="Arial" w:cs="Arial"/>
          <w:sz w:val="28"/>
          <w:szCs w:val="28"/>
        </w:rPr>
        <w:t xml:space="preserve">. </w:t>
      </w:r>
      <w:r w:rsidR="00553B53" w:rsidRPr="003C3B3B">
        <w:rPr>
          <w:rFonts w:ascii="Arial" w:hAnsi="Arial" w:cs="Arial"/>
          <w:sz w:val="28"/>
          <w:szCs w:val="28"/>
        </w:rPr>
        <w:t xml:space="preserve">These arguments are largely a result of </w:t>
      </w:r>
      <w:r w:rsidR="008A6720" w:rsidRPr="003C3B3B">
        <w:rPr>
          <w:rFonts w:ascii="Arial" w:hAnsi="Arial" w:cs="Arial"/>
          <w:sz w:val="28"/>
          <w:szCs w:val="28"/>
        </w:rPr>
        <w:t xml:space="preserve">people being unwilling to imagine a woman in a role that </w:t>
      </w:r>
      <w:r w:rsidR="00E2655B" w:rsidRPr="003C3B3B">
        <w:rPr>
          <w:rFonts w:ascii="Arial" w:hAnsi="Arial" w:cs="Arial"/>
          <w:sz w:val="28"/>
          <w:szCs w:val="28"/>
        </w:rPr>
        <w:t xml:space="preserve">they would expect a man in, due to their personal experiences. Despite Viking </w:t>
      </w:r>
      <w:r w:rsidR="00AC5629" w:rsidRPr="003C3B3B">
        <w:rPr>
          <w:rFonts w:ascii="Arial" w:hAnsi="Arial" w:cs="Arial"/>
          <w:sz w:val="28"/>
          <w:szCs w:val="28"/>
        </w:rPr>
        <w:t>sagas</w:t>
      </w:r>
      <w:r w:rsidR="00E2655B" w:rsidRPr="003C3B3B">
        <w:rPr>
          <w:rFonts w:ascii="Arial" w:hAnsi="Arial" w:cs="Arial"/>
          <w:sz w:val="28"/>
          <w:szCs w:val="28"/>
        </w:rPr>
        <w:t xml:space="preserve"> </w:t>
      </w:r>
      <w:r w:rsidR="00C159B7" w:rsidRPr="003C3B3B">
        <w:rPr>
          <w:rFonts w:ascii="Arial" w:hAnsi="Arial" w:cs="Arial"/>
          <w:sz w:val="28"/>
          <w:szCs w:val="28"/>
        </w:rPr>
        <w:t xml:space="preserve">and imagery </w:t>
      </w:r>
      <w:r w:rsidR="00573FAE" w:rsidRPr="003C3B3B">
        <w:rPr>
          <w:rFonts w:ascii="Arial" w:hAnsi="Arial" w:cs="Arial"/>
          <w:sz w:val="28"/>
          <w:szCs w:val="28"/>
        </w:rPr>
        <w:t xml:space="preserve">commonly including </w:t>
      </w:r>
      <w:r w:rsidR="00C159B7" w:rsidRPr="003C3B3B">
        <w:rPr>
          <w:rFonts w:ascii="Arial" w:hAnsi="Arial" w:cs="Arial"/>
          <w:sz w:val="28"/>
          <w:szCs w:val="28"/>
        </w:rPr>
        <w:t xml:space="preserve">women depicted as </w:t>
      </w:r>
      <w:r w:rsidR="00C159B7" w:rsidRPr="003C3B3B">
        <w:rPr>
          <w:rFonts w:ascii="Arial" w:hAnsi="Arial" w:cs="Arial"/>
          <w:sz w:val="28"/>
          <w:szCs w:val="28"/>
        </w:rPr>
        <w:lastRenderedPageBreak/>
        <w:t xml:space="preserve">Valkyries and referencing shield maidens, </w:t>
      </w:r>
      <w:r w:rsidR="009A00E3" w:rsidRPr="003C3B3B">
        <w:rPr>
          <w:rFonts w:ascii="Arial" w:hAnsi="Arial" w:cs="Arial"/>
          <w:sz w:val="28"/>
          <w:szCs w:val="28"/>
        </w:rPr>
        <w:t>some archaeologists consider this to</w:t>
      </w:r>
      <w:r w:rsidR="00E34E28" w:rsidRPr="003C3B3B">
        <w:rPr>
          <w:rFonts w:ascii="Arial" w:hAnsi="Arial" w:cs="Arial"/>
          <w:sz w:val="28"/>
          <w:szCs w:val="28"/>
        </w:rPr>
        <w:t xml:space="preserve"> simply be mythological embellishment</w:t>
      </w:r>
      <w:r w:rsidR="00350F46" w:rsidRPr="003C3B3B">
        <w:rPr>
          <w:rStyle w:val="FootnoteReference"/>
          <w:rFonts w:ascii="Arial" w:hAnsi="Arial" w:cs="Arial"/>
          <w:sz w:val="28"/>
          <w:szCs w:val="28"/>
        </w:rPr>
        <w:footnoteReference w:id="5"/>
      </w:r>
      <w:r w:rsidR="00E34E28" w:rsidRPr="003C3B3B">
        <w:rPr>
          <w:rFonts w:ascii="Arial" w:hAnsi="Arial" w:cs="Arial"/>
          <w:sz w:val="28"/>
          <w:szCs w:val="28"/>
        </w:rPr>
        <w:t xml:space="preserve">, though this is a belief likely caused by </w:t>
      </w:r>
      <w:r w:rsidR="00CA0C23" w:rsidRPr="003C3B3B">
        <w:rPr>
          <w:rFonts w:ascii="Arial" w:hAnsi="Arial" w:cs="Arial"/>
          <w:sz w:val="28"/>
          <w:szCs w:val="28"/>
        </w:rPr>
        <w:t xml:space="preserve">an </w:t>
      </w:r>
      <w:r w:rsidR="00A30E15" w:rsidRPr="003C3B3B">
        <w:rPr>
          <w:rFonts w:ascii="Arial" w:hAnsi="Arial" w:cs="Arial"/>
          <w:sz w:val="28"/>
          <w:szCs w:val="28"/>
        </w:rPr>
        <w:t xml:space="preserve">expectation of modern gender roles </w:t>
      </w:r>
      <w:r w:rsidR="00CA0C23" w:rsidRPr="003C3B3B">
        <w:rPr>
          <w:rFonts w:ascii="Arial" w:hAnsi="Arial" w:cs="Arial"/>
          <w:sz w:val="28"/>
          <w:szCs w:val="28"/>
        </w:rPr>
        <w:t>to be in place in the past.</w:t>
      </w:r>
      <w:r w:rsidR="00461E79" w:rsidRPr="003C3B3B">
        <w:rPr>
          <w:rFonts w:ascii="Arial" w:hAnsi="Arial" w:cs="Arial"/>
          <w:sz w:val="28"/>
          <w:szCs w:val="28"/>
        </w:rPr>
        <w:t xml:space="preserve"> Whilst </w:t>
      </w:r>
      <w:r w:rsidR="000F4F71" w:rsidRPr="003C3B3B">
        <w:rPr>
          <w:rFonts w:ascii="Arial" w:hAnsi="Arial" w:cs="Arial"/>
          <w:sz w:val="28"/>
          <w:szCs w:val="28"/>
        </w:rPr>
        <w:t xml:space="preserve">the osteological evidence of worse health in females suggests that there </w:t>
      </w:r>
      <w:r w:rsidR="00B3479F" w:rsidRPr="003C3B3B">
        <w:rPr>
          <w:rFonts w:ascii="Arial" w:hAnsi="Arial" w:cs="Arial"/>
          <w:sz w:val="28"/>
          <w:szCs w:val="28"/>
        </w:rPr>
        <w:t xml:space="preserve">was some kind of </w:t>
      </w:r>
      <w:proofErr w:type="gramStart"/>
      <w:r w:rsidR="00B3479F" w:rsidRPr="003C3B3B">
        <w:rPr>
          <w:rFonts w:ascii="Arial" w:hAnsi="Arial" w:cs="Arial"/>
          <w:sz w:val="28"/>
          <w:szCs w:val="28"/>
        </w:rPr>
        <w:t>sex based</w:t>
      </w:r>
      <w:proofErr w:type="gramEnd"/>
      <w:r w:rsidR="00B3479F" w:rsidRPr="003C3B3B">
        <w:rPr>
          <w:rFonts w:ascii="Arial" w:hAnsi="Arial" w:cs="Arial"/>
          <w:sz w:val="28"/>
          <w:szCs w:val="28"/>
        </w:rPr>
        <w:t xml:space="preserve"> labour division</w:t>
      </w:r>
      <w:r w:rsidR="00CA5E77" w:rsidRPr="003C3B3B">
        <w:rPr>
          <w:rStyle w:val="FootnoteReference"/>
          <w:rFonts w:ascii="Arial" w:hAnsi="Arial" w:cs="Arial"/>
          <w:sz w:val="28"/>
          <w:szCs w:val="28"/>
        </w:rPr>
        <w:footnoteReference w:id="6"/>
      </w:r>
      <w:r w:rsidR="00B3479F" w:rsidRPr="003C3B3B">
        <w:rPr>
          <w:rFonts w:ascii="Arial" w:hAnsi="Arial" w:cs="Arial"/>
          <w:sz w:val="28"/>
          <w:szCs w:val="28"/>
        </w:rPr>
        <w:t xml:space="preserve">, this should not overlook the evidence of female </w:t>
      </w:r>
      <w:r w:rsidR="00CA5E77" w:rsidRPr="003C3B3B">
        <w:rPr>
          <w:rFonts w:ascii="Arial" w:hAnsi="Arial" w:cs="Arial"/>
          <w:sz w:val="28"/>
          <w:szCs w:val="28"/>
        </w:rPr>
        <w:t>warriors.</w:t>
      </w:r>
      <w:r w:rsidR="00CA0C23" w:rsidRPr="003C3B3B">
        <w:rPr>
          <w:rFonts w:ascii="Arial" w:hAnsi="Arial" w:cs="Arial"/>
          <w:sz w:val="28"/>
          <w:szCs w:val="28"/>
        </w:rPr>
        <w:t xml:space="preserve"> </w:t>
      </w:r>
      <w:r w:rsidR="00F53F2D" w:rsidRPr="003C3B3B">
        <w:rPr>
          <w:rFonts w:ascii="Arial" w:hAnsi="Arial" w:cs="Arial"/>
          <w:sz w:val="28"/>
          <w:szCs w:val="28"/>
        </w:rPr>
        <w:t xml:space="preserve">Although </w:t>
      </w:r>
      <w:r w:rsidR="003957A2" w:rsidRPr="003C3B3B">
        <w:rPr>
          <w:rFonts w:ascii="Arial" w:hAnsi="Arial" w:cs="Arial"/>
          <w:sz w:val="28"/>
          <w:szCs w:val="28"/>
        </w:rPr>
        <w:t>some</w:t>
      </w:r>
      <w:r w:rsidR="00464F8E" w:rsidRPr="003C3B3B">
        <w:rPr>
          <w:rFonts w:ascii="Arial" w:hAnsi="Arial" w:cs="Arial"/>
          <w:sz w:val="28"/>
          <w:szCs w:val="28"/>
        </w:rPr>
        <w:t xml:space="preserve"> of the original excavations carried out in </w:t>
      </w:r>
      <w:proofErr w:type="spellStart"/>
      <w:r w:rsidR="00464F8E" w:rsidRPr="003C3B3B">
        <w:rPr>
          <w:rFonts w:ascii="Arial" w:hAnsi="Arial" w:cs="Arial"/>
          <w:sz w:val="28"/>
          <w:szCs w:val="28"/>
        </w:rPr>
        <w:t>Birka</w:t>
      </w:r>
      <w:proofErr w:type="spellEnd"/>
      <w:r w:rsidR="00464F8E" w:rsidRPr="003C3B3B">
        <w:rPr>
          <w:rFonts w:ascii="Arial" w:hAnsi="Arial" w:cs="Arial"/>
          <w:sz w:val="28"/>
          <w:szCs w:val="28"/>
        </w:rPr>
        <w:t xml:space="preserve"> </w:t>
      </w:r>
      <w:r w:rsidR="003957A2" w:rsidRPr="003C3B3B">
        <w:rPr>
          <w:rFonts w:ascii="Arial" w:hAnsi="Arial" w:cs="Arial"/>
          <w:sz w:val="28"/>
          <w:szCs w:val="28"/>
        </w:rPr>
        <w:t>were mixed up</w:t>
      </w:r>
      <w:r w:rsidR="00AE0C8F" w:rsidRPr="003C3B3B">
        <w:rPr>
          <w:rStyle w:val="FootnoteReference"/>
          <w:rFonts w:ascii="Arial" w:hAnsi="Arial" w:cs="Arial"/>
          <w:sz w:val="28"/>
          <w:szCs w:val="28"/>
        </w:rPr>
        <w:footnoteReference w:id="7"/>
      </w:r>
      <w:r w:rsidR="003957A2" w:rsidRPr="003C3B3B">
        <w:rPr>
          <w:rFonts w:ascii="Arial" w:hAnsi="Arial" w:cs="Arial"/>
          <w:sz w:val="28"/>
          <w:szCs w:val="28"/>
        </w:rPr>
        <w:t xml:space="preserve">, </w:t>
      </w:r>
      <w:r w:rsidR="00B012A6" w:rsidRPr="003C3B3B">
        <w:rPr>
          <w:rFonts w:ascii="Arial" w:hAnsi="Arial" w:cs="Arial"/>
          <w:sz w:val="28"/>
          <w:szCs w:val="28"/>
        </w:rPr>
        <w:t xml:space="preserve">analysis of both the mitochondrial and nuclear DNA of the full set of remains </w:t>
      </w:r>
      <w:r w:rsidR="00AE0C8F" w:rsidRPr="003C3B3B">
        <w:rPr>
          <w:rFonts w:ascii="Arial" w:hAnsi="Arial" w:cs="Arial"/>
          <w:sz w:val="28"/>
          <w:szCs w:val="28"/>
        </w:rPr>
        <w:t xml:space="preserve">determined that the remains from the site </w:t>
      </w:r>
      <w:r w:rsidR="00A87455" w:rsidRPr="003C3B3B">
        <w:rPr>
          <w:rFonts w:ascii="Arial" w:hAnsi="Arial" w:cs="Arial"/>
          <w:sz w:val="28"/>
          <w:szCs w:val="28"/>
        </w:rPr>
        <w:t>all came</w:t>
      </w:r>
      <w:r w:rsidR="00AE0C8F" w:rsidRPr="003C3B3B">
        <w:rPr>
          <w:rFonts w:ascii="Arial" w:hAnsi="Arial" w:cs="Arial"/>
          <w:sz w:val="28"/>
          <w:szCs w:val="28"/>
        </w:rPr>
        <w:t xml:space="preserve"> from one woman</w:t>
      </w:r>
      <w:r w:rsidR="00AE0C8F" w:rsidRPr="003C3B3B">
        <w:rPr>
          <w:rStyle w:val="FootnoteReference"/>
          <w:rFonts w:ascii="Arial" w:hAnsi="Arial" w:cs="Arial"/>
          <w:sz w:val="28"/>
          <w:szCs w:val="28"/>
        </w:rPr>
        <w:footnoteReference w:id="8"/>
      </w:r>
      <w:r w:rsidR="00AE0C8F" w:rsidRPr="003C3B3B">
        <w:rPr>
          <w:rFonts w:ascii="Arial" w:hAnsi="Arial" w:cs="Arial"/>
          <w:sz w:val="28"/>
          <w:szCs w:val="28"/>
        </w:rPr>
        <w:t xml:space="preserve">. </w:t>
      </w:r>
      <w:r w:rsidR="00C02A9B" w:rsidRPr="003C3B3B">
        <w:rPr>
          <w:rFonts w:ascii="Arial" w:hAnsi="Arial" w:cs="Arial"/>
          <w:sz w:val="28"/>
          <w:szCs w:val="28"/>
        </w:rPr>
        <w:t xml:space="preserve">The suggestion that the occupant of the grave was a transgender man </w:t>
      </w:r>
      <w:r w:rsidR="008F3353" w:rsidRPr="003C3B3B">
        <w:rPr>
          <w:rFonts w:ascii="Arial" w:hAnsi="Arial" w:cs="Arial"/>
          <w:sz w:val="28"/>
          <w:szCs w:val="28"/>
        </w:rPr>
        <w:t>is pushing terminology created in the modern west on to the past, something that should not be done.</w:t>
      </w:r>
    </w:p>
    <w:p w14:paraId="62633A6B" w14:textId="51A17CA0" w:rsidR="00F01A42" w:rsidRPr="003C3B3B" w:rsidRDefault="008F3353" w:rsidP="008F3353">
      <w:pPr>
        <w:rPr>
          <w:rFonts w:ascii="Arial" w:hAnsi="Arial" w:cs="Arial"/>
          <w:sz w:val="28"/>
          <w:szCs w:val="28"/>
        </w:rPr>
      </w:pPr>
      <w:r w:rsidRPr="003C3B3B">
        <w:rPr>
          <w:rFonts w:ascii="Arial" w:hAnsi="Arial" w:cs="Arial"/>
          <w:sz w:val="28"/>
          <w:szCs w:val="28"/>
        </w:rPr>
        <w:t xml:space="preserve">The terminology </w:t>
      </w:r>
      <w:proofErr w:type="gramStart"/>
      <w:r w:rsidRPr="003C3B3B">
        <w:rPr>
          <w:rFonts w:ascii="Arial" w:hAnsi="Arial" w:cs="Arial"/>
          <w:sz w:val="28"/>
          <w:szCs w:val="28"/>
        </w:rPr>
        <w:t>in regard to</w:t>
      </w:r>
      <w:proofErr w:type="gramEnd"/>
      <w:r w:rsidRPr="003C3B3B">
        <w:rPr>
          <w:rFonts w:ascii="Arial" w:hAnsi="Arial" w:cs="Arial"/>
          <w:sz w:val="28"/>
          <w:szCs w:val="28"/>
        </w:rPr>
        <w:t xml:space="preserve"> gender and sexuality that we are accustomed to today is a result of the heteronormativity found in our time and culture. Because of this we cannot idly apply such terminology as homosexual or transgender to people in the distant past, as this interprets their society as having the same heteronormative views </w:t>
      </w:r>
      <w:r w:rsidR="009E2422" w:rsidRPr="003C3B3B">
        <w:rPr>
          <w:rFonts w:ascii="Arial" w:hAnsi="Arial" w:cs="Arial"/>
          <w:sz w:val="28"/>
          <w:szCs w:val="28"/>
        </w:rPr>
        <w:t xml:space="preserve">on sex gender and sexuality </w:t>
      </w:r>
      <w:r w:rsidRPr="003C3B3B">
        <w:rPr>
          <w:rFonts w:ascii="Arial" w:hAnsi="Arial" w:cs="Arial"/>
          <w:sz w:val="28"/>
          <w:szCs w:val="28"/>
        </w:rPr>
        <w:t>as ours – when this may not be the case. Doing so can prevent us from viewing historical material in context, which in turn prevents us from properly learning from it. An example of this is found within the literature surrounding the ancient Egyptian Pharoah Hatshepsut. Ruling not in the role of king’s mother or queen’s regent but instead as a female king, Hatshepsut was often depicted as male throughout her reign</w:t>
      </w:r>
      <w:r w:rsidRPr="003C3B3B">
        <w:rPr>
          <w:rStyle w:val="FootnoteReference"/>
          <w:rFonts w:ascii="Arial" w:hAnsi="Arial" w:cs="Arial"/>
          <w:sz w:val="28"/>
          <w:szCs w:val="28"/>
        </w:rPr>
        <w:footnoteReference w:id="9"/>
      </w:r>
      <w:r w:rsidRPr="003C3B3B">
        <w:rPr>
          <w:rFonts w:ascii="Arial" w:hAnsi="Arial" w:cs="Arial"/>
          <w:sz w:val="28"/>
          <w:szCs w:val="28"/>
        </w:rPr>
        <w:t xml:space="preserve">. The suggestion that some have made, that Hatshepsut was homosexual or transgender for presenting in a masculine way, is a result of our heteronormative understanding of our modern culture, that a </w:t>
      </w:r>
      <w:proofErr w:type="gramStart"/>
      <w:r w:rsidRPr="003C3B3B">
        <w:rPr>
          <w:rFonts w:ascii="Arial" w:hAnsi="Arial" w:cs="Arial"/>
          <w:sz w:val="28"/>
          <w:szCs w:val="28"/>
        </w:rPr>
        <w:t>women</w:t>
      </w:r>
      <w:proofErr w:type="gramEnd"/>
      <w:r w:rsidRPr="003C3B3B">
        <w:rPr>
          <w:rFonts w:ascii="Arial" w:hAnsi="Arial" w:cs="Arial"/>
          <w:sz w:val="28"/>
          <w:szCs w:val="28"/>
        </w:rPr>
        <w:t xml:space="preserve"> who presents in a stereotypically masculine way must not be heterosexual or female, and not of the time in which Hatshepsut lived. Although our Western view of sexuality involves terms such as ‘gay’ and ‘straight’, which sexes an individual may </w:t>
      </w:r>
      <w:r w:rsidR="00E63AE4" w:rsidRPr="003C3B3B">
        <w:rPr>
          <w:rFonts w:ascii="Arial" w:hAnsi="Arial" w:cs="Arial"/>
          <w:sz w:val="28"/>
          <w:szCs w:val="28"/>
        </w:rPr>
        <w:t xml:space="preserve">or may not </w:t>
      </w:r>
      <w:r w:rsidRPr="003C3B3B">
        <w:rPr>
          <w:rFonts w:ascii="Arial" w:hAnsi="Arial" w:cs="Arial"/>
          <w:sz w:val="28"/>
          <w:szCs w:val="28"/>
        </w:rPr>
        <w:t xml:space="preserve">be attracted to, ancient Egypt had a different concept. </w:t>
      </w:r>
      <w:r w:rsidRPr="003C3B3B">
        <w:rPr>
          <w:rFonts w:ascii="Arial" w:hAnsi="Arial" w:cs="Arial"/>
          <w:sz w:val="28"/>
          <w:szCs w:val="28"/>
        </w:rPr>
        <w:lastRenderedPageBreak/>
        <w:t>Instead, there was a focus on the role an individual took during intercourse, their choice of partners, and their partners’ age</w:t>
      </w:r>
      <w:r w:rsidRPr="003C3B3B">
        <w:rPr>
          <w:rStyle w:val="FootnoteReference"/>
          <w:rFonts w:ascii="Arial" w:hAnsi="Arial" w:cs="Arial"/>
          <w:sz w:val="28"/>
          <w:szCs w:val="28"/>
        </w:rPr>
        <w:footnoteReference w:id="10"/>
      </w:r>
      <w:r w:rsidRPr="003C3B3B">
        <w:rPr>
          <w:rFonts w:ascii="Arial" w:hAnsi="Arial" w:cs="Arial"/>
          <w:sz w:val="28"/>
          <w:szCs w:val="28"/>
        </w:rPr>
        <w:t>. It was these factors and not the sexes of the partners that were judged. As ancient societies like ancient Egypt didn’t have the same system of heteronormativity that we have now, we cannot apply the terms we have produced in our modern-day societies to it.</w:t>
      </w:r>
    </w:p>
    <w:p w14:paraId="25E56D6C" w14:textId="4ECF4542" w:rsidR="00D463BF" w:rsidRPr="003C3B3B" w:rsidRDefault="008E5237">
      <w:pPr>
        <w:rPr>
          <w:rFonts w:ascii="Arial" w:hAnsi="Arial" w:cs="Arial"/>
          <w:sz w:val="28"/>
          <w:szCs w:val="28"/>
        </w:rPr>
      </w:pPr>
      <w:r w:rsidRPr="003C3B3B">
        <w:rPr>
          <w:rFonts w:ascii="Arial" w:hAnsi="Arial" w:cs="Arial"/>
          <w:sz w:val="28"/>
          <w:szCs w:val="28"/>
        </w:rPr>
        <w:t xml:space="preserve">This is somewhere where </w:t>
      </w:r>
      <w:r w:rsidR="00616A2F" w:rsidRPr="003C3B3B">
        <w:rPr>
          <w:rFonts w:ascii="Arial" w:hAnsi="Arial" w:cs="Arial"/>
          <w:sz w:val="28"/>
          <w:szCs w:val="28"/>
        </w:rPr>
        <w:t xml:space="preserve">Foucault’s terms of Truth, Knowledge and Power can come into play. </w:t>
      </w:r>
      <w:r w:rsidR="00624868" w:rsidRPr="003C3B3B">
        <w:rPr>
          <w:rFonts w:ascii="Arial" w:hAnsi="Arial" w:cs="Arial"/>
          <w:sz w:val="28"/>
          <w:szCs w:val="28"/>
        </w:rPr>
        <w:t xml:space="preserve">As previously mentioned, </w:t>
      </w:r>
      <w:r w:rsidR="00C1393F" w:rsidRPr="003C3B3B">
        <w:rPr>
          <w:rFonts w:ascii="Arial" w:hAnsi="Arial" w:cs="Arial"/>
          <w:sz w:val="28"/>
          <w:szCs w:val="28"/>
        </w:rPr>
        <w:t xml:space="preserve">these terms are constantly fluid and change between different </w:t>
      </w:r>
      <w:r w:rsidR="00487CC5" w:rsidRPr="003C3B3B">
        <w:rPr>
          <w:rFonts w:ascii="Arial" w:hAnsi="Arial" w:cs="Arial"/>
          <w:sz w:val="28"/>
          <w:szCs w:val="28"/>
        </w:rPr>
        <w:t xml:space="preserve">times, </w:t>
      </w:r>
      <w:r w:rsidR="00C1393F" w:rsidRPr="003C3B3B">
        <w:rPr>
          <w:rFonts w:ascii="Arial" w:hAnsi="Arial" w:cs="Arial"/>
          <w:sz w:val="28"/>
          <w:szCs w:val="28"/>
        </w:rPr>
        <w:t>societies</w:t>
      </w:r>
      <w:r w:rsidR="00487CC5" w:rsidRPr="003C3B3B">
        <w:rPr>
          <w:rFonts w:ascii="Arial" w:hAnsi="Arial" w:cs="Arial"/>
          <w:sz w:val="28"/>
          <w:szCs w:val="28"/>
        </w:rPr>
        <w:t>,</w:t>
      </w:r>
      <w:r w:rsidR="00C1393F" w:rsidRPr="003C3B3B">
        <w:rPr>
          <w:rFonts w:ascii="Arial" w:hAnsi="Arial" w:cs="Arial"/>
          <w:sz w:val="28"/>
          <w:szCs w:val="28"/>
        </w:rPr>
        <w:t xml:space="preserve"> and </w:t>
      </w:r>
      <w:r w:rsidR="00487CC5" w:rsidRPr="003C3B3B">
        <w:rPr>
          <w:rFonts w:ascii="Arial" w:hAnsi="Arial" w:cs="Arial"/>
          <w:sz w:val="28"/>
          <w:szCs w:val="28"/>
        </w:rPr>
        <w:t>individuals</w:t>
      </w:r>
      <w:r w:rsidR="00CB49C8" w:rsidRPr="003C3B3B">
        <w:rPr>
          <w:rFonts w:ascii="Arial" w:hAnsi="Arial" w:cs="Arial"/>
          <w:sz w:val="28"/>
          <w:szCs w:val="28"/>
        </w:rPr>
        <w:t xml:space="preserve"> - this is the case also with terminology. </w:t>
      </w:r>
      <w:r w:rsidR="00E82BF3" w:rsidRPr="003C3B3B">
        <w:rPr>
          <w:rFonts w:ascii="Arial" w:hAnsi="Arial" w:cs="Arial"/>
          <w:sz w:val="28"/>
          <w:szCs w:val="28"/>
        </w:rPr>
        <w:t xml:space="preserve">Whilst the </w:t>
      </w:r>
      <w:r w:rsidR="00E82217" w:rsidRPr="003C3B3B">
        <w:rPr>
          <w:rFonts w:ascii="Arial" w:hAnsi="Arial" w:cs="Arial"/>
          <w:sz w:val="28"/>
          <w:szCs w:val="28"/>
        </w:rPr>
        <w:t>T</w:t>
      </w:r>
      <w:r w:rsidR="00E82BF3" w:rsidRPr="003C3B3B">
        <w:rPr>
          <w:rFonts w:ascii="Arial" w:hAnsi="Arial" w:cs="Arial"/>
          <w:sz w:val="28"/>
          <w:szCs w:val="28"/>
        </w:rPr>
        <w:t xml:space="preserve">ruth in the modern Western world may be that a man who </w:t>
      </w:r>
      <w:r w:rsidR="00675E82" w:rsidRPr="003C3B3B">
        <w:rPr>
          <w:rFonts w:ascii="Arial" w:hAnsi="Arial" w:cs="Arial"/>
          <w:sz w:val="28"/>
          <w:szCs w:val="28"/>
        </w:rPr>
        <w:t xml:space="preserve">is attracted to and </w:t>
      </w:r>
      <w:r w:rsidR="00E82BF3" w:rsidRPr="003C3B3B">
        <w:rPr>
          <w:rFonts w:ascii="Arial" w:hAnsi="Arial" w:cs="Arial"/>
          <w:sz w:val="28"/>
          <w:szCs w:val="28"/>
        </w:rPr>
        <w:t xml:space="preserve">has intercourse </w:t>
      </w:r>
      <w:r w:rsidR="00675E82" w:rsidRPr="003C3B3B">
        <w:rPr>
          <w:rFonts w:ascii="Arial" w:hAnsi="Arial" w:cs="Arial"/>
          <w:sz w:val="28"/>
          <w:szCs w:val="28"/>
        </w:rPr>
        <w:t xml:space="preserve">exclusively </w:t>
      </w:r>
      <w:r w:rsidR="00E82BF3" w:rsidRPr="003C3B3B">
        <w:rPr>
          <w:rFonts w:ascii="Arial" w:hAnsi="Arial" w:cs="Arial"/>
          <w:sz w:val="28"/>
          <w:szCs w:val="28"/>
        </w:rPr>
        <w:t xml:space="preserve">with other men </w:t>
      </w:r>
      <w:r w:rsidR="00675E82" w:rsidRPr="003C3B3B">
        <w:rPr>
          <w:rFonts w:ascii="Arial" w:hAnsi="Arial" w:cs="Arial"/>
          <w:sz w:val="28"/>
          <w:szCs w:val="28"/>
        </w:rPr>
        <w:t xml:space="preserve">is homosexual, in other cultures he may not have this label, like in the </w:t>
      </w:r>
      <w:r w:rsidR="004D12FE" w:rsidRPr="003C3B3B">
        <w:rPr>
          <w:rFonts w:ascii="Arial" w:hAnsi="Arial" w:cs="Arial"/>
          <w:sz w:val="28"/>
          <w:szCs w:val="28"/>
        </w:rPr>
        <w:t>a</w:t>
      </w:r>
      <w:r w:rsidR="00675E82" w:rsidRPr="003C3B3B">
        <w:rPr>
          <w:rFonts w:ascii="Arial" w:hAnsi="Arial" w:cs="Arial"/>
          <w:sz w:val="28"/>
          <w:szCs w:val="28"/>
        </w:rPr>
        <w:t xml:space="preserve">ncient Egyptian example used before. The knowledge </w:t>
      </w:r>
      <w:r w:rsidR="00E82217" w:rsidRPr="003C3B3B">
        <w:rPr>
          <w:rFonts w:ascii="Arial" w:hAnsi="Arial" w:cs="Arial"/>
          <w:sz w:val="28"/>
          <w:szCs w:val="28"/>
        </w:rPr>
        <w:t xml:space="preserve">would therefore be that </w:t>
      </w:r>
      <w:r w:rsidR="004D12FE" w:rsidRPr="003C3B3B">
        <w:rPr>
          <w:rFonts w:ascii="Arial" w:hAnsi="Arial" w:cs="Arial"/>
          <w:sz w:val="28"/>
          <w:szCs w:val="28"/>
        </w:rPr>
        <w:t xml:space="preserve">we label things in the West to differentiate from the heteronormative, but in ancient Egypt there was no heteronormative and so labelling was unnecessary. The Power would therefore be using information in </w:t>
      </w:r>
      <w:r w:rsidR="00A12306" w:rsidRPr="003C3B3B">
        <w:rPr>
          <w:rFonts w:ascii="Arial" w:hAnsi="Arial" w:cs="Arial"/>
          <w:sz w:val="28"/>
          <w:szCs w:val="28"/>
        </w:rPr>
        <w:t xml:space="preserve">context, and not </w:t>
      </w:r>
      <w:r w:rsidR="00212803" w:rsidRPr="003C3B3B">
        <w:rPr>
          <w:rFonts w:ascii="Arial" w:hAnsi="Arial" w:cs="Arial"/>
          <w:sz w:val="28"/>
          <w:szCs w:val="28"/>
        </w:rPr>
        <w:t>using</w:t>
      </w:r>
      <w:r w:rsidR="00C42C8B" w:rsidRPr="003C3B3B">
        <w:rPr>
          <w:rFonts w:ascii="Arial" w:hAnsi="Arial" w:cs="Arial"/>
          <w:sz w:val="28"/>
          <w:szCs w:val="28"/>
        </w:rPr>
        <w:t xml:space="preserve"> </w:t>
      </w:r>
      <w:r w:rsidR="00212803" w:rsidRPr="003C3B3B">
        <w:rPr>
          <w:rFonts w:ascii="Arial" w:hAnsi="Arial" w:cs="Arial"/>
          <w:sz w:val="28"/>
          <w:szCs w:val="28"/>
        </w:rPr>
        <w:t xml:space="preserve">time and culture specific created </w:t>
      </w:r>
      <w:r w:rsidR="00C42C8B" w:rsidRPr="003C3B3B">
        <w:rPr>
          <w:rFonts w:ascii="Arial" w:hAnsi="Arial" w:cs="Arial"/>
          <w:sz w:val="28"/>
          <w:szCs w:val="28"/>
        </w:rPr>
        <w:t xml:space="preserve">terminology </w:t>
      </w:r>
      <w:r w:rsidR="009E329E" w:rsidRPr="003C3B3B">
        <w:rPr>
          <w:rFonts w:ascii="Arial" w:hAnsi="Arial" w:cs="Arial"/>
          <w:sz w:val="28"/>
          <w:szCs w:val="28"/>
        </w:rPr>
        <w:t>in reference to</w:t>
      </w:r>
      <w:r w:rsidR="00C42C8B" w:rsidRPr="003C3B3B">
        <w:rPr>
          <w:rFonts w:ascii="Arial" w:hAnsi="Arial" w:cs="Arial"/>
          <w:sz w:val="28"/>
          <w:szCs w:val="28"/>
        </w:rPr>
        <w:t xml:space="preserve"> </w:t>
      </w:r>
      <w:r w:rsidR="00212803" w:rsidRPr="003C3B3B">
        <w:rPr>
          <w:rFonts w:ascii="Arial" w:hAnsi="Arial" w:cs="Arial"/>
          <w:sz w:val="28"/>
          <w:szCs w:val="28"/>
        </w:rPr>
        <w:t xml:space="preserve">other societies. </w:t>
      </w:r>
    </w:p>
    <w:p w14:paraId="348E5E20" w14:textId="54BDC385" w:rsidR="00D463BF" w:rsidRPr="003C3B3B" w:rsidRDefault="00D463BF">
      <w:pPr>
        <w:rPr>
          <w:rFonts w:ascii="Arial" w:hAnsi="Arial" w:cs="Arial"/>
          <w:sz w:val="28"/>
          <w:szCs w:val="28"/>
        </w:rPr>
      </w:pPr>
    </w:p>
    <w:p w14:paraId="04751C87" w14:textId="31F166BF" w:rsidR="00751ABC" w:rsidRPr="003C3B3B" w:rsidRDefault="009B361F">
      <w:pPr>
        <w:rPr>
          <w:rFonts w:ascii="Arial" w:hAnsi="Arial" w:cs="Arial"/>
          <w:sz w:val="28"/>
          <w:szCs w:val="28"/>
        </w:rPr>
      </w:pPr>
      <w:r w:rsidRPr="003C3B3B">
        <w:rPr>
          <w:rFonts w:ascii="Arial" w:hAnsi="Arial" w:cs="Arial"/>
          <w:sz w:val="28"/>
          <w:szCs w:val="28"/>
        </w:rPr>
        <w:t xml:space="preserve">There are two types of binary binds. </w:t>
      </w:r>
      <w:r w:rsidR="005C64ED" w:rsidRPr="003C3B3B">
        <w:rPr>
          <w:rFonts w:ascii="Arial" w:hAnsi="Arial" w:cs="Arial"/>
          <w:sz w:val="28"/>
          <w:szCs w:val="28"/>
        </w:rPr>
        <w:t>The first is the two sex and two gender model, which follows the idea that men an</w:t>
      </w:r>
      <w:r w:rsidR="00143D87" w:rsidRPr="003C3B3B">
        <w:rPr>
          <w:rFonts w:ascii="Arial" w:hAnsi="Arial" w:cs="Arial"/>
          <w:sz w:val="28"/>
          <w:szCs w:val="28"/>
        </w:rPr>
        <w:t>d</w:t>
      </w:r>
      <w:r w:rsidR="005C64ED" w:rsidRPr="003C3B3B">
        <w:rPr>
          <w:rFonts w:ascii="Arial" w:hAnsi="Arial" w:cs="Arial"/>
          <w:sz w:val="28"/>
          <w:szCs w:val="28"/>
        </w:rPr>
        <w:t xml:space="preserve"> women are the only normative </w:t>
      </w:r>
      <w:r w:rsidR="00143D87" w:rsidRPr="003C3B3B">
        <w:rPr>
          <w:rFonts w:ascii="Arial" w:hAnsi="Arial" w:cs="Arial"/>
          <w:sz w:val="28"/>
          <w:szCs w:val="28"/>
        </w:rPr>
        <w:t>gender identities</w:t>
      </w:r>
      <w:r w:rsidR="00224DB8" w:rsidRPr="003C3B3B">
        <w:rPr>
          <w:rStyle w:val="FootnoteReference"/>
          <w:rFonts w:ascii="Arial" w:hAnsi="Arial" w:cs="Arial"/>
          <w:sz w:val="28"/>
          <w:szCs w:val="28"/>
        </w:rPr>
        <w:footnoteReference w:id="11"/>
      </w:r>
      <w:r w:rsidR="00143D87" w:rsidRPr="003C3B3B">
        <w:rPr>
          <w:rFonts w:ascii="Arial" w:hAnsi="Arial" w:cs="Arial"/>
          <w:sz w:val="28"/>
          <w:szCs w:val="28"/>
        </w:rPr>
        <w:t>. The second is the sex and gender model</w:t>
      </w:r>
      <w:r w:rsidR="0007087A" w:rsidRPr="003C3B3B">
        <w:rPr>
          <w:rFonts w:ascii="Arial" w:hAnsi="Arial" w:cs="Arial"/>
          <w:sz w:val="28"/>
          <w:szCs w:val="28"/>
        </w:rPr>
        <w:t xml:space="preserve">, which separates sex as the biological and gender as a socially constructed </w:t>
      </w:r>
      <w:r w:rsidR="00F27B44" w:rsidRPr="003C3B3B">
        <w:rPr>
          <w:rFonts w:ascii="Arial" w:hAnsi="Arial" w:cs="Arial"/>
          <w:sz w:val="28"/>
          <w:szCs w:val="28"/>
        </w:rPr>
        <w:t>concept</w:t>
      </w:r>
      <w:r w:rsidR="00224DB8" w:rsidRPr="003C3B3B">
        <w:rPr>
          <w:rStyle w:val="FootnoteReference"/>
          <w:rFonts w:ascii="Arial" w:hAnsi="Arial" w:cs="Arial"/>
          <w:sz w:val="28"/>
          <w:szCs w:val="28"/>
        </w:rPr>
        <w:footnoteReference w:id="12"/>
      </w:r>
      <w:r w:rsidR="00F27B44" w:rsidRPr="003C3B3B">
        <w:rPr>
          <w:rFonts w:ascii="Arial" w:hAnsi="Arial" w:cs="Arial"/>
          <w:sz w:val="28"/>
          <w:szCs w:val="28"/>
        </w:rPr>
        <w:t>.</w:t>
      </w:r>
      <w:r w:rsidR="006960C6" w:rsidRPr="003C3B3B">
        <w:rPr>
          <w:rFonts w:ascii="Arial" w:hAnsi="Arial" w:cs="Arial"/>
          <w:sz w:val="28"/>
          <w:szCs w:val="28"/>
        </w:rPr>
        <w:t xml:space="preserve"> The </w:t>
      </w:r>
      <w:r w:rsidR="002D1C86" w:rsidRPr="003C3B3B">
        <w:rPr>
          <w:rFonts w:ascii="Arial" w:hAnsi="Arial" w:cs="Arial"/>
          <w:sz w:val="28"/>
          <w:szCs w:val="28"/>
        </w:rPr>
        <w:t xml:space="preserve">more modern </w:t>
      </w:r>
      <w:r w:rsidR="006960C6" w:rsidRPr="003C3B3B">
        <w:rPr>
          <w:rFonts w:ascii="Arial" w:hAnsi="Arial" w:cs="Arial"/>
          <w:sz w:val="28"/>
          <w:szCs w:val="28"/>
        </w:rPr>
        <w:t>normali</w:t>
      </w:r>
      <w:r w:rsidR="00310027" w:rsidRPr="003C3B3B">
        <w:rPr>
          <w:rFonts w:ascii="Arial" w:hAnsi="Arial" w:cs="Arial"/>
          <w:sz w:val="28"/>
          <w:szCs w:val="28"/>
        </w:rPr>
        <w:t>sat</w:t>
      </w:r>
      <w:r w:rsidR="006960C6" w:rsidRPr="003C3B3B">
        <w:rPr>
          <w:rFonts w:ascii="Arial" w:hAnsi="Arial" w:cs="Arial"/>
          <w:sz w:val="28"/>
          <w:szCs w:val="28"/>
        </w:rPr>
        <w:t xml:space="preserve">ion of the </w:t>
      </w:r>
      <w:r w:rsidR="00310027" w:rsidRPr="003C3B3B">
        <w:rPr>
          <w:rFonts w:ascii="Arial" w:hAnsi="Arial" w:cs="Arial"/>
          <w:sz w:val="28"/>
          <w:szCs w:val="28"/>
        </w:rPr>
        <w:t xml:space="preserve">two sex two gender </w:t>
      </w:r>
      <w:r w:rsidR="00FA6DDF" w:rsidRPr="003C3B3B">
        <w:rPr>
          <w:rFonts w:ascii="Arial" w:hAnsi="Arial" w:cs="Arial"/>
          <w:sz w:val="28"/>
          <w:szCs w:val="28"/>
        </w:rPr>
        <w:t>model has resulted in the expectation of men and women to take on different types of labour due to their biological differences</w:t>
      </w:r>
      <w:r w:rsidR="002D1C86" w:rsidRPr="003C3B3B">
        <w:rPr>
          <w:rFonts w:ascii="Arial" w:hAnsi="Arial" w:cs="Arial"/>
          <w:sz w:val="28"/>
          <w:szCs w:val="28"/>
        </w:rPr>
        <w:t>, for example women taking on domestic tasks and men taking on more physical tasks.</w:t>
      </w:r>
      <w:r w:rsidR="00BF491B" w:rsidRPr="003C3B3B">
        <w:rPr>
          <w:rFonts w:ascii="Arial" w:hAnsi="Arial" w:cs="Arial"/>
          <w:sz w:val="28"/>
          <w:szCs w:val="28"/>
        </w:rPr>
        <w:t xml:space="preserve"> </w:t>
      </w:r>
      <w:r w:rsidR="001A32A1" w:rsidRPr="003C3B3B">
        <w:rPr>
          <w:rFonts w:ascii="Arial" w:hAnsi="Arial" w:cs="Arial"/>
          <w:sz w:val="28"/>
          <w:szCs w:val="28"/>
        </w:rPr>
        <w:t>Pushing these expectations on to past cultures</w:t>
      </w:r>
      <w:r w:rsidR="001A5967" w:rsidRPr="003C3B3B">
        <w:rPr>
          <w:rFonts w:ascii="Arial" w:hAnsi="Arial" w:cs="Arial"/>
          <w:sz w:val="28"/>
          <w:szCs w:val="28"/>
        </w:rPr>
        <w:t>, without any evidence of the contrary,</w:t>
      </w:r>
      <w:r w:rsidR="001A32A1" w:rsidRPr="003C3B3B">
        <w:rPr>
          <w:rFonts w:ascii="Arial" w:hAnsi="Arial" w:cs="Arial"/>
          <w:sz w:val="28"/>
          <w:szCs w:val="28"/>
        </w:rPr>
        <w:t xml:space="preserve"> can prevent us from properly studying them</w:t>
      </w:r>
      <w:r w:rsidR="008723C6" w:rsidRPr="003C3B3B">
        <w:rPr>
          <w:rFonts w:ascii="Arial" w:hAnsi="Arial" w:cs="Arial"/>
          <w:sz w:val="28"/>
          <w:szCs w:val="28"/>
        </w:rPr>
        <w:t xml:space="preserve"> in context</w:t>
      </w:r>
      <w:r w:rsidR="001A32A1" w:rsidRPr="003C3B3B">
        <w:rPr>
          <w:rFonts w:ascii="Arial" w:hAnsi="Arial" w:cs="Arial"/>
          <w:sz w:val="28"/>
          <w:szCs w:val="28"/>
        </w:rPr>
        <w:t>.</w:t>
      </w:r>
    </w:p>
    <w:p w14:paraId="7C4C437B" w14:textId="4F4C3200" w:rsidR="005A17FE" w:rsidRPr="003C3B3B" w:rsidRDefault="0071619E">
      <w:pPr>
        <w:rPr>
          <w:rFonts w:ascii="Arial" w:hAnsi="Arial" w:cs="Arial"/>
          <w:sz w:val="28"/>
          <w:szCs w:val="28"/>
        </w:rPr>
      </w:pPr>
      <w:r w:rsidRPr="003C3B3B">
        <w:rPr>
          <w:rFonts w:ascii="Arial" w:hAnsi="Arial" w:cs="Arial"/>
          <w:sz w:val="28"/>
          <w:szCs w:val="28"/>
        </w:rPr>
        <w:lastRenderedPageBreak/>
        <w:t xml:space="preserve">When researching the past, researchers must consider that what was considered the truth and knowledge </w:t>
      </w:r>
      <w:r w:rsidR="00164F99" w:rsidRPr="003C3B3B">
        <w:rPr>
          <w:rFonts w:ascii="Arial" w:hAnsi="Arial" w:cs="Arial"/>
          <w:sz w:val="28"/>
          <w:szCs w:val="28"/>
        </w:rPr>
        <w:t xml:space="preserve">in that time and culture is </w:t>
      </w:r>
      <w:r w:rsidR="006D58FA" w:rsidRPr="003C3B3B">
        <w:rPr>
          <w:rFonts w:ascii="Arial" w:hAnsi="Arial" w:cs="Arial"/>
          <w:sz w:val="28"/>
          <w:szCs w:val="28"/>
        </w:rPr>
        <w:t xml:space="preserve">extremely </w:t>
      </w:r>
      <w:r w:rsidR="00164F99" w:rsidRPr="003C3B3B">
        <w:rPr>
          <w:rFonts w:ascii="Arial" w:hAnsi="Arial" w:cs="Arial"/>
          <w:sz w:val="28"/>
          <w:szCs w:val="28"/>
        </w:rPr>
        <w:t>likely to be very different to what is in this modern time and culture.</w:t>
      </w:r>
      <w:r w:rsidR="00657998" w:rsidRPr="003C3B3B">
        <w:rPr>
          <w:rFonts w:ascii="Arial" w:hAnsi="Arial" w:cs="Arial"/>
          <w:sz w:val="28"/>
          <w:szCs w:val="28"/>
        </w:rPr>
        <w:t xml:space="preserve"> An example of this is found with gender roles. Whilst now </w:t>
      </w:r>
      <w:r w:rsidR="00010832" w:rsidRPr="003C3B3B">
        <w:rPr>
          <w:rFonts w:ascii="Arial" w:hAnsi="Arial" w:cs="Arial"/>
          <w:sz w:val="28"/>
          <w:szCs w:val="28"/>
        </w:rPr>
        <w:t xml:space="preserve">the truth is that </w:t>
      </w:r>
      <w:r w:rsidR="00657998" w:rsidRPr="003C3B3B">
        <w:rPr>
          <w:rFonts w:ascii="Arial" w:hAnsi="Arial" w:cs="Arial"/>
          <w:sz w:val="28"/>
          <w:szCs w:val="28"/>
        </w:rPr>
        <w:t xml:space="preserve">the expectation is commonly that women would take on more </w:t>
      </w:r>
      <w:r w:rsidR="00010832" w:rsidRPr="003C3B3B">
        <w:rPr>
          <w:rFonts w:ascii="Arial" w:hAnsi="Arial" w:cs="Arial"/>
          <w:sz w:val="28"/>
          <w:szCs w:val="28"/>
        </w:rPr>
        <w:t xml:space="preserve">domestic tasks and men more physical tasks, </w:t>
      </w:r>
      <w:r w:rsidR="000A5B94" w:rsidRPr="003C3B3B">
        <w:rPr>
          <w:rFonts w:ascii="Arial" w:hAnsi="Arial" w:cs="Arial"/>
          <w:sz w:val="28"/>
          <w:szCs w:val="28"/>
        </w:rPr>
        <w:t xml:space="preserve">likely </w:t>
      </w:r>
      <w:r w:rsidR="00D43536" w:rsidRPr="003C3B3B">
        <w:rPr>
          <w:rFonts w:ascii="Arial" w:hAnsi="Arial" w:cs="Arial"/>
          <w:sz w:val="28"/>
          <w:szCs w:val="28"/>
        </w:rPr>
        <w:t xml:space="preserve">due to parenting only their own children, in societies where </w:t>
      </w:r>
      <w:proofErr w:type="spellStart"/>
      <w:r w:rsidR="00D43536" w:rsidRPr="003C3B3B">
        <w:rPr>
          <w:rFonts w:ascii="Arial" w:hAnsi="Arial" w:cs="Arial"/>
          <w:sz w:val="28"/>
          <w:szCs w:val="28"/>
        </w:rPr>
        <w:t>alloparenting</w:t>
      </w:r>
      <w:proofErr w:type="spellEnd"/>
      <w:r w:rsidR="00D43536" w:rsidRPr="003C3B3B">
        <w:rPr>
          <w:rFonts w:ascii="Arial" w:hAnsi="Arial" w:cs="Arial"/>
          <w:sz w:val="28"/>
          <w:szCs w:val="28"/>
        </w:rPr>
        <w:t>,</w:t>
      </w:r>
      <w:r w:rsidR="00BC76FD" w:rsidRPr="003C3B3B">
        <w:rPr>
          <w:rFonts w:ascii="Arial" w:hAnsi="Arial" w:cs="Arial"/>
          <w:sz w:val="28"/>
          <w:szCs w:val="28"/>
        </w:rPr>
        <w:t xml:space="preserve"> that is the shared upbringing of children, was the norm, </w:t>
      </w:r>
      <w:r w:rsidR="00D420B0" w:rsidRPr="003C3B3B">
        <w:rPr>
          <w:rFonts w:ascii="Arial" w:hAnsi="Arial" w:cs="Arial"/>
          <w:sz w:val="28"/>
          <w:szCs w:val="28"/>
        </w:rPr>
        <w:t xml:space="preserve">the truth can change. </w:t>
      </w:r>
      <w:r w:rsidR="0011721A" w:rsidRPr="003C3B3B">
        <w:rPr>
          <w:rFonts w:ascii="Arial" w:hAnsi="Arial" w:cs="Arial"/>
          <w:sz w:val="28"/>
          <w:szCs w:val="28"/>
        </w:rPr>
        <w:t xml:space="preserve">An example of this is </w:t>
      </w:r>
      <w:r w:rsidR="00A40CAD" w:rsidRPr="003C3B3B">
        <w:rPr>
          <w:rFonts w:ascii="Arial" w:hAnsi="Arial" w:cs="Arial"/>
          <w:sz w:val="28"/>
          <w:szCs w:val="28"/>
        </w:rPr>
        <w:t xml:space="preserve">found </w:t>
      </w:r>
      <w:r w:rsidR="0011721A" w:rsidRPr="003C3B3B">
        <w:rPr>
          <w:rFonts w:ascii="Arial" w:hAnsi="Arial" w:cs="Arial"/>
          <w:sz w:val="28"/>
          <w:szCs w:val="28"/>
        </w:rPr>
        <w:t xml:space="preserve">looking at studies on atlatl as grave goods both before and after </w:t>
      </w:r>
      <w:r w:rsidR="00A40CAD" w:rsidRPr="003C3B3B">
        <w:rPr>
          <w:rFonts w:ascii="Arial" w:hAnsi="Arial" w:cs="Arial"/>
          <w:sz w:val="28"/>
          <w:szCs w:val="28"/>
        </w:rPr>
        <w:t xml:space="preserve">they were recognised as hunting tools. </w:t>
      </w:r>
      <w:r w:rsidR="009777AD" w:rsidRPr="003C3B3B">
        <w:rPr>
          <w:rFonts w:ascii="Arial" w:hAnsi="Arial" w:cs="Arial"/>
          <w:sz w:val="28"/>
          <w:szCs w:val="28"/>
        </w:rPr>
        <w:t>Although the truth of the atlatl burials was that atlatls were buried with men and women at an equal amount</w:t>
      </w:r>
      <w:r w:rsidR="00224DB8" w:rsidRPr="003C3B3B">
        <w:rPr>
          <w:rStyle w:val="FootnoteReference"/>
          <w:rFonts w:ascii="Arial" w:hAnsi="Arial" w:cs="Arial"/>
          <w:sz w:val="28"/>
          <w:szCs w:val="28"/>
        </w:rPr>
        <w:footnoteReference w:id="13"/>
      </w:r>
      <w:r w:rsidR="009777AD" w:rsidRPr="003C3B3B">
        <w:rPr>
          <w:rFonts w:ascii="Arial" w:hAnsi="Arial" w:cs="Arial"/>
          <w:sz w:val="28"/>
          <w:szCs w:val="28"/>
        </w:rPr>
        <w:t xml:space="preserve">, once </w:t>
      </w:r>
      <w:r w:rsidR="00FB01FA" w:rsidRPr="003C3B3B">
        <w:rPr>
          <w:rFonts w:ascii="Arial" w:hAnsi="Arial" w:cs="Arial"/>
          <w:sz w:val="28"/>
          <w:szCs w:val="28"/>
        </w:rPr>
        <w:t>their correct purpose was discovered</w:t>
      </w:r>
      <w:r w:rsidR="009777AD" w:rsidRPr="003C3B3B">
        <w:rPr>
          <w:rFonts w:ascii="Arial" w:hAnsi="Arial" w:cs="Arial"/>
          <w:sz w:val="28"/>
          <w:szCs w:val="28"/>
        </w:rPr>
        <w:t xml:space="preserve"> the idea of them being buried with women did not fit into the </w:t>
      </w:r>
      <w:proofErr w:type="gramStart"/>
      <w:r w:rsidR="009777AD" w:rsidRPr="003C3B3B">
        <w:rPr>
          <w:rFonts w:ascii="Arial" w:hAnsi="Arial" w:cs="Arial"/>
          <w:sz w:val="28"/>
          <w:szCs w:val="28"/>
        </w:rPr>
        <w:t>researchers</w:t>
      </w:r>
      <w:proofErr w:type="gramEnd"/>
      <w:r w:rsidR="009777AD" w:rsidRPr="003C3B3B">
        <w:rPr>
          <w:rFonts w:ascii="Arial" w:hAnsi="Arial" w:cs="Arial"/>
          <w:sz w:val="28"/>
          <w:szCs w:val="28"/>
        </w:rPr>
        <w:t xml:space="preserve"> knowledge of their own time, where the expectation would be that only men would hunt. This </w:t>
      </w:r>
      <w:proofErr w:type="gramStart"/>
      <w:r w:rsidR="009777AD" w:rsidRPr="003C3B3B">
        <w:rPr>
          <w:rFonts w:ascii="Arial" w:hAnsi="Arial" w:cs="Arial"/>
          <w:sz w:val="28"/>
          <w:szCs w:val="28"/>
        </w:rPr>
        <w:t>lead</w:t>
      </w:r>
      <w:proofErr w:type="gramEnd"/>
      <w:r w:rsidR="009777AD" w:rsidRPr="003C3B3B">
        <w:rPr>
          <w:rFonts w:ascii="Arial" w:hAnsi="Arial" w:cs="Arial"/>
          <w:sz w:val="28"/>
          <w:szCs w:val="28"/>
        </w:rPr>
        <w:t xml:space="preserve"> to questioning of the reasons behind burial with atlatls, with such suggestions that men had buried them with female loved ones as an expression of grief</w:t>
      </w:r>
      <w:r w:rsidR="0088078C" w:rsidRPr="003C3B3B">
        <w:rPr>
          <w:rStyle w:val="FootnoteReference"/>
          <w:rFonts w:ascii="Arial" w:hAnsi="Arial" w:cs="Arial"/>
          <w:sz w:val="28"/>
          <w:szCs w:val="28"/>
        </w:rPr>
        <w:footnoteReference w:id="14"/>
      </w:r>
      <w:r w:rsidR="009777AD" w:rsidRPr="003C3B3B">
        <w:rPr>
          <w:rFonts w:ascii="Arial" w:hAnsi="Arial" w:cs="Arial"/>
          <w:sz w:val="28"/>
          <w:szCs w:val="28"/>
        </w:rPr>
        <w:t xml:space="preserve"> – because this idea fit better into the experiences of the researchers. However, this is not looking at the time and culture in its correct context. Bringing</w:t>
      </w:r>
      <w:r w:rsidR="00D420B0" w:rsidRPr="003C3B3B">
        <w:rPr>
          <w:rFonts w:ascii="Arial" w:hAnsi="Arial" w:cs="Arial"/>
          <w:sz w:val="28"/>
          <w:szCs w:val="28"/>
        </w:rPr>
        <w:t xml:space="preserve"> down large </w:t>
      </w:r>
      <w:r w:rsidR="003D2BF4" w:rsidRPr="003C3B3B">
        <w:rPr>
          <w:rFonts w:ascii="Arial" w:hAnsi="Arial" w:cs="Arial"/>
          <w:sz w:val="28"/>
          <w:szCs w:val="28"/>
        </w:rPr>
        <w:t>prey meant that many people were needed</w:t>
      </w:r>
      <w:r w:rsidR="00987315" w:rsidRPr="003C3B3B">
        <w:rPr>
          <w:rFonts w:ascii="Arial" w:hAnsi="Arial" w:cs="Arial"/>
          <w:sz w:val="28"/>
          <w:szCs w:val="28"/>
        </w:rPr>
        <w:t xml:space="preserve"> - </w:t>
      </w:r>
      <w:r w:rsidR="003D2BF4" w:rsidRPr="003C3B3B">
        <w:rPr>
          <w:rFonts w:ascii="Arial" w:hAnsi="Arial" w:cs="Arial"/>
          <w:sz w:val="28"/>
          <w:szCs w:val="28"/>
        </w:rPr>
        <w:t>men women and children were all trained to do so</w:t>
      </w:r>
      <w:r w:rsidR="0088078C" w:rsidRPr="003C3B3B">
        <w:rPr>
          <w:rStyle w:val="FootnoteReference"/>
          <w:rFonts w:ascii="Arial" w:hAnsi="Arial" w:cs="Arial"/>
          <w:sz w:val="28"/>
          <w:szCs w:val="28"/>
        </w:rPr>
        <w:footnoteReference w:id="15"/>
      </w:r>
      <w:r w:rsidR="003D2BF4" w:rsidRPr="003C3B3B">
        <w:rPr>
          <w:rFonts w:ascii="Arial" w:hAnsi="Arial" w:cs="Arial"/>
          <w:sz w:val="28"/>
          <w:szCs w:val="28"/>
        </w:rPr>
        <w:t xml:space="preserve">. </w:t>
      </w:r>
      <w:r w:rsidR="00D22979" w:rsidRPr="003C3B3B">
        <w:rPr>
          <w:rFonts w:ascii="Arial" w:hAnsi="Arial" w:cs="Arial"/>
          <w:sz w:val="28"/>
          <w:szCs w:val="28"/>
        </w:rPr>
        <w:t xml:space="preserve">It is a result of looking at </w:t>
      </w:r>
      <w:r w:rsidR="00902EBE" w:rsidRPr="003C3B3B">
        <w:rPr>
          <w:rFonts w:ascii="Arial" w:hAnsi="Arial" w:cs="Arial"/>
          <w:sz w:val="28"/>
          <w:szCs w:val="28"/>
        </w:rPr>
        <w:t>modern day hunter gatherer groups that has led to the suggestion that women would not hunt</w:t>
      </w:r>
      <w:r w:rsidR="0088078C" w:rsidRPr="003C3B3B">
        <w:rPr>
          <w:rStyle w:val="FootnoteReference"/>
          <w:rFonts w:ascii="Arial" w:hAnsi="Arial" w:cs="Arial"/>
          <w:sz w:val="28"/>
          <w:szCs w:val="28"/>
        </w:rPr>
        <w:footnoteReference w:id="16"/>
      </w:r>
      <w:r w:rsidR="00902EBE" w:rsidRPr="003C3B3B">
        <w:rPr>
          <w:rFonts w:ascii="Arial" w:hAnsi="Arial" w:cs="Arial"/>
          <w:sz w:val="28"/>
          <w:szCs w:val="28"/>
        </w:rPr>
        <w:t xml:space="preserve">. If looked at in the correct context it would be much easier to </w:t>
      </w:r>
      <w:r w:rsidR="0088078C" w:rsidRPr="003C3B3B">
        <w:rPr>
          <w:rFonts w:ascii="Arial" w:hAnsi="Arial" w:cs="Arial"/>
          <w:sz w:val="28"/>
          <w:szCs w:val="28"/>
        </w:rPr>
        <w:t>categorise</w:t>
      </w:r>
      <w:r w:rsidR="00902EBE" w:rsidRPr="003C3B3B">
        <w:rPr>
          <w:rFonts w:ascii="Arial" w:hAnsi="Arial" w:cs="Arial"/>
          <w:sz w:val="28"/>
          <w:szCs w:val="28"/>
        </w:rPr>
        <w:t xml:space="preserve"> the truth into knowledge</w:t>
      </w:r>
      <w:r w:rsidR="0088078C" w:rsidRPr="003C3B3B">
        <w:rPr>
          <w:rFonts w:ascii="Arial" w:hAnsi="Arial" w:cs="Arial"/>
          <w:sz w:val="28"/>
          <w:szCs w:val="28"/>
        </w:rPr>
        <w:t>, and proper learning could commence.</w:t>
      </w:r>
    </w:p>
    <w:p w14:paraId="6B67AD77" w14:textId="0376A931" w:rsidR="001B6513" w:rsidRPr="003C3B3B" w:rsidRDefault="001B6513">
      <w:pPr>
        <w:rPr>
          <w:rFonts w:ascii="Arial" w:hAnsi="Arial" w:cs="Arial"/>
          <w:sz w:val="28"/>
          <w:szCs w:val="28"/>
        </w:rPr>
      </w:pPr>
    </w:p>
    <w:p w14:paraId="20AAD778" w14:textId="58B69393" w:rsidR="001B6513" w:rsidRPr="003C3B3B" w:rsidRDefault="004902A9">
      <w:pPr>
        <w:rPr>
          <w:rFonts w:ascii="Arial" w:hAnsi="Arial" w:cs="Arial"/>
          <w:sz w:val="28"/>
          <w:szCs w:val="28"/>
        </w:rPr>
      </w:pPr>
      <w:r w:rsidRPr="003C3B3B">
        <w:rPr>
          <w:rFonts w:ascii="Arial" w:hAnsi="Arial" w:cs="Arial"/>
          <w:sz w:val="28"/>
          <w:szCs w:val="28"/>
        </w:rPr>
        <w:t>To conclude,</w:t>
      </w:r>
      <w:r w:rsidR="00565530">
        <w:rPr>
          <w:rFonts w:ascii="Arial" w:hAnsi="Arial" w:cs="Arial"/>
          <w:sz w:val="28"/>
          <w:szCs w:val="28"/>
        </w:rPr>
        <w:t xml:space="preserve"> </w:t>
      </w:r>
      <w:r w:rsidR="00122676">
        <w:rPr>
          <w:rFonts w:ascii="Arial" w:hAnsi="Arial" w:cs="Arial"/>
          <w:sz w:val="28"/>
          <w:szCs w:val="28"/>
        </w:rPr>
        <w:t xml:space="preserve">it is important to study </w:t>
      </w:r>
      <w:r w:rsidR="00DF5E26">
        <w:rPr>
          <w:rFonts w:ascii="Arial" w:hAnsi="Arial" w:cs="Arial"/>
          <w:sz w:val="28"/>
          <w:szCs w:val="28"/>
        </w:rPr>
        <w:t xml:space="preserve">things in the correct context, especially when they are from another time or culture, as we limit what we can learn from something if we </w:t>
      </w:r>
      <w:r w:rsidR="002E4367">
        <w:rPr>
          <w:rFonts w:ascii="Arial" w:hAnsi="Arial" w:cs="Arial"/>
          <w:sz w:val="28"/>
          <w:szCs w:val="28"/>
        </w:rPr>
        <w:t xml:space="preserve">push our </w:t>
      </w:r>
      <w:proofErr w:type="gramStart"/>
      <w:r w:rsidR="002E4367">
        <w:rPr>
          <w:rFonts w:ascii="Arial" w:hAnsi="Arial" w:cs="Arial"/>
          <w:sz w:val="28"/>
          <w:szCs w:val="28"/>
        </w:rPr>
        <w:t>modern day</w:t>
      </w:r>
      <w:proofErr w:type="gramEnd"/>
      <w:r w:rsidR="002E4367">
        <w:rPr>
          <w:rFonts w:ascii="Arial" w:hAnsi="Arial" w:cs="Arial"/>
          <w:sz w:val="28"/>
          <w:szCs w:val="28"/>
        </w:rPr>
        <w:t xml:space="preserve"> cultural experiences and beliefs on to it.</w:t>
      </w:r>
    </w:p>
    <w:p w14:paraId="337181B0" w14:textId="2488F92F" w:rsidR="001B6513" w:rsidRPr="003C3B3B" w:rsidRDefault="001B6513">
      <w:pPr>
        <w:rPr>
          <w:rFonts w:ascii="Arial" w:hAnsi="Arial" w:cs="Arial"/>
          <w:sz w:val="28"/>
          <w:szCs w:val="28"/>
        </w:rPr>
      </w:pPr>
    </w:p>
    <w:p w14:paraId="35CC350D" w14:textId="761BF74E" w:rsidR="001B6513" w:rsidRPr="003C3B3B" w:rsidRDefault="001B6513">
      <w:pPr>
        <w:rPr>
          <w:rFonts w:ascii="Arial" w:hAnsi="Arial" w:cs="Arial"/>
          <w:sz w:val="28"/>
          <w:szCs w:val="28"/>
        </w:rPr>
      </w:pPr>
    </w:p>
    <w:p w14:paraId="29EB6565" w14:textId="469DA97C" w:rsidR="001B6513" w:rsidRPr="003C3B3B" w:rsidRDefault="001B6513">
      <w:pPr>
        <w:rPr>
          <w:rFonts w:ascii="Arial" w:hAnsi="Arial" w:cs="Arial"/>
          <w:sz w:val="28"/>
          <w:szCs w:val="28"/>
        </w:rPr>
      </w:pPr>
    </w:p>
    <w:p w14:paraId="297BD310" w14:textId="0E5CDE90" w:rsidR="001B6513" w:rsidRPr="003C3B3B" w:rsidRDefault="001B6513">
      <w:pPr>
        <w:rPr>
          <w:rFonts w:ascii="Arial" w:hAnsi="Arial" w:cs="Arial"/>
          <w:sz w:val="28"/>
          <w:szCs w:val="28"/>
        </w:rPr>
      </w:pPr>
    </w:p>
    <w:p w14:paraId="1BD2F44F" w14:textId="06F344CF" w:rsidR="001B6513" w:rsidRPr="003C3B3B" w:rsidRDefault="001B6513">
      <w:pPr>
        <w:rPr>
          <w:rFonts w:ascii="Arial" w:hAnsi="Arial" w:cs="Arial"/>
          <w:sz w:val="28"/>
          <w:szCs w:val="28"/>
        </w:rPr>
      </w:pPr>
    </w:p>
    <w:p w14:paraId="3DA35EF7" w14:textId="3F7EF230" w:rsidR="001B6513" w:rsidRPr="003C3B3B" w:rsidRDefault="001B6513">
      <w:pPr>
        <w:rPr>
          <w:rFonts w:ascii="Arial" w:hAnsi="Arial" w:cs="Arial"/>
          <w:sz w:val="28"/>
          <w:szCs w:val="28"/>
        </w:rPr>
      </w:pPr>
    </w:p>
    <w:p w14:paraId="041DE7B8" w14:textId="0A4F2DE0" w:rsidR="001B6513" w:rsidRPr="003C3B3B" w:rsidRDefault="001B6513">
      <w:pPr>
        <w:rPr>
          <w:rFonts w:ascii="Arial" w:hAnsi="Arial" w:cs="Arial"/>
          <w:sz w:val="28"/>
          <w:szCs w:val="28"/>
        </w:rPr>
      </w:pPr>
    </w:p>
    <w:p w14:paraId="1A9FAE6A" w14:textId="7AF2C948" w:rsidR="001B6513" w:rsidRPr="003C3B3B" w:rsidRDefault="001B6513">
      <w:pPr>
        <w:rPr>
          <w:rFonts w:ascii="Arial" w:hAnsi="Arial" w:cs="Arial"/>
          <w:sz w:val="28"/>
          <w:szCs w:val="28"/>
        </w:rPr>
      </w:pPr>
    </w:p>
    <w:p w14:paraId="4F20D8E0" w14:textId="3A2CDDD2" w:rsidR="001B6513" w:rsidRPr="003C3B3B" w:rsidRDefault="001B6513">
      <w:pPr>
        <w:rPr>
          <w:rFonts w:ascii="Arial" w:hAnsi="Arial" w:cs="Arial"/>
          <w:sz w:val="28"/>
          <w:szCs w:val="28"/>
        </w:rPr>
      </w:pPr>
    </w:p>
    <w:p w14:paraId="66468FF6" w14:textId="3C0DC5EE" w:rsidR="001B6513" w:rsidRPr="003C3B3B" w:rsidRDefault="001B6513">
      <w:pPr>
        <w:rPr>
          <w:rFonts w:ascii="Arial" w:hAnsi="Arial" w:cs="Arial"/>
          <w:sz w:val="28"/>
          <w:szCs w:val="28"/>
        </w:rPr>
      </w:pPr>
    </w:p>
    <w:p w14:paraId="776F1512" w14:textId="7B885D07" w:rsidR="001B6513" w:rsidRPr="003C3B3B" w:rsidRDefault="001B6513">
      <w:pPr>
        <w:rPr>
          <w:rFonts w:ascii="Arial" w:hAnsi="Arial" w:cs="Arial"/>
          <w:sz w:val="28"/>
          <w:szCs w:val="28"/>
        </w:rPr>
      </w:pPr>
    </w:p>
    <w:p w14:paraId="3965E1BC" w14:textId="1491BD72" w:rsidR="001B6513" w:rsidRPr="003C3B3B" w:rsidRDefault="001B6513" w:rsidP="001B6513">
      <w:pPr>
        <w:jc w:val="center"/>
        <w:rPr>
          <w:rFonts w:ascii="Arial" w:hAnsi="Arial" w:cs="Arial"/>
          <w:sz w:val="28"/>
          <w:szCs w:val="28"/>
        </w:rPr>
      </w:pPr>
    </w:p>
    <w:p w14:paraId="361D7137" w14:textId="228D2AAB" w:rsidR="001B6513" w:rsidRPr="003C3B3B" w:rsidRDefault="001B6513" w:rsidP="001B6513">
      <w:pPr>
        <w:jc w:val="center"/>
        <w:rPr>
          <w:rFonts w:ascii="Arial" w:hAnsi="Arial" w:cs="Arial"/>
          <w:sz w:val="28"/>
          <w:szCs w:val="28"/>
        </w:rPr>
      </w:pPr>
    </w:p>
    <w:p w14:paraId="1CAA93E0" w14:textId="56F7C33A" w:rsidR="001B6513" w:rsidRPr="003C3B3B" w:rsidRDefault="001B6513" w:rsidP="001B6513">
      <w:pPr>
        <w:jc w:val="center"/>
        <w:rPr>
          <w:rFonts w:ascii="Arial" w:hAnsi="Arial" w:cs="Arial"/>
          <w:sz w:val="28"/>
          <w:szCs w:val="28"/>
        </w:rPr>
      </w:pPr>
    </w:p>
    <w:p w14:paraId="7A097384" w14:textId="56A691A5" w:rsidR="001B6513" w:rsidRPr="003C3B3B" w:rsidRDefault="006713BA" w:rsidP="001B6513">
      <w:pPr>
        <w:rPr>
          <w:rFonts w:ascii="Arial" w:hAnsi="Arial" w:cs="Arial"/>
          <w:sz w:val="28"/>
          <w:szCs w:val="28"/>
        </w:rPr>
      </w:pPr>
      <w:proofErr w:type="gramStart"/>
      <w:r w:rsidRPr="003C3B3B">
        <w:rPr>
          <w:rFonts w:ascii="Arial" w:hAnsi="Arial" w:cs="Arial"/>
          <w:sz w:val="28"/>
          <w:szCs w:val="28"/>
        </w:rPr>
        <w:t>Bibliography :</w:t>
      </w:r>
      <w:proofErr w:type="gramEnd"/>
    </w:p>
    <w:p w14:paraId="4978B435" w14:textId="77777777" w:rsidR="00775AF5" w:rsidRPr="002E4367" w:rsidRDefault="00775AF5" w:rsidP="00775AF5">
      <w:pPr>
        <w:rPr>
          <w:rFonts w:ascii="Arial" w:hAnsi="Arial" w:cs="Arial"/>
          <w:sz w:val="20"/>
          <w:szCs w:val="20"/>
        </w:rPr>
      </w:pPr>
      <w:proofErr w:type="spellStart"/>
      <w:r w:rsidRPr="002E4367">
        <w:rPr>
          <w:rFonts w:ascii="Arial" w:hAnsi="Arial" w:cs="Arial"/>
          <w:sz w:val="20"/>
          <w:szCs w:val="20"/>
        </w:rPr>
        <w:t>Ghisleni</w:t>
      </w:r>
      <w:proofErr w:type="spellEnd"/>
      <w:r w:rsidRPr="002E4367">
        <w:rPr>
          <w:rFonts w:ascii="Arial" w:hAnsi="Arial" w:cs="Arial"/>
          <w:sz w:val="20"/>
          <w:szCs w:val="20"/>
        </w:rPr>
        <w:t xml:space="preserve">, L., Jordan, A.M. and </w:t>
      </w:r>
      <w:proofErr w:type="spellStart"/>
      <w:r w:rsidRPr="002E4367">
        <w:rPr>
          <w:rFonts w:ascii="Arial" w:hAnsi="Arial" w:cs="Arial"/>
          <w:sz w:val="20"/>
          <w:szCs w:val="20"/>
        </w:rPr>
        <w:t>Fioccoprile</w:t>
      </w:r>
      <w:proofErr w:type="spellEnd"/>
      <w:r w:rsidRPr="002E4367">
        <w:rPr>
          <w:rFonts w:ascii="Arial" w:hAnsi="Arial" w:cs="Arial"/>
          <w:sz w:val="20"/>
          <w:szCs w:val="20"/>
        </w:rPr>
        <w:t>, E. (2016) ‘Introduction to “Binary Binds”: Deconstructing Sex and Gender Dichotomies in Archaeological Practice’, New York, Springer.</w:t>
      </w:r>
    </w:p>
    <w:p w14:paraId="63D97488" w14:textId="7FF9FBFB" w:rsidR="00647375" w:rsidRPr="002E4367" w:rsidRDefault="002E4367" w:rsidP="00647375">
      <w:pPr>
        <w:rPr>
          <w:rFonts w:ascii="Arial" w:hAnsi="Arial" w:cs="Arial"/>
          <w:sz w:val="20"/>
          <w:szCs w:val="20"/>
        </w:rPr>
      </w:pPr>
      <w:hyperlink r:id="rId10" w:history="1">
        <w:r w:rsidR="00A269FF" w:rsidRPr="002E4367">
          <w:rPr>
            <w:rStyle w:val="Hyperlink"/>
            <w:rFonts w:ascii="Arial" w:hAnsi="Arial" w:cs="Arial"/>
            <w:color w:val="auto"/>
            <w:sz w:val="20"/>
            <w:szCs w:val="20"/>
            <w:u w:val="none"/>
          </w:rPr>
          <w:t>https://www.history.com/news/viking-warrior-female-gender-identity</w:t>
        </w:r>
      </w:hyperlink>
      <w:r w:rsidR="00A269FF" w:rsidRPr="002E4367">
        <w:rPr>
          <w:rFonts w:ascii="Arial" w:hAnsi="Arial" w:cs="Arial"/>
          <w:sz w:val="20"/>
          <w:szCs w:val="20"/>
        </w:rPr>
        <w:t xml:space="preserve"> - accessed 11/03/2022</w:t>
      </w:r>
    </w:p>
    <w:p w14:paraId="34458061" w14:textId="77777777" w:rsidR="00A269FF" w:rsidRPr="002E4367" w:rsidRDefault="002E4367" w:rsidP="00A269FF">
      <w:pPr>
        <w:rPr>
          <w:rFonts w:ascii="Arial" w:hAnsi="Arial" w:cs="Arial"/>
          <w:sz w:val="20"/>
          <w:szCs w:val="20"/>
        </w:rPr>
      </w:pPr>
      <w:hyperlink r:id="rId11" w:history="1">
        <w:r w:rsidR="00A269FF" w:rsidRPr="002E4367">
          <w:rPr>
            <w:rStyle w:val="Hyperlink"/>
            <w:rFonts w:ascii="Arial" w:hAnsi="Arial" w:cs="Arial"/>
            <w:color w:val="auto"/>
            <w:sz w:val="20"/>
            <w:szCs w:val="20"/>
            <w:u w:val="none"/>
          </w:rPr>
          <w:t>https://www.nationalgeographic.com/history/article/viking-warrior-woman-archaeology-spd</w:t>
        </w:r>
      </w:hyperlink>
      <w:r w:rsidR="00A269FF" w:rsidRPr="002E4367">
        <w:rPr>
          <w:rFonts w:ascii="Arial" w:hAnsi="Arial" w:cs="Arial"/>
          <w:sz w:val="20"/>
          <w:szCs w:val="20"/>
        </w:rPr>
        <w:t xml:space="preserve"> - accessed 11/03/2022</w:t>
      </w:r>
    </w:p>
    <w:p w14:paraId="701D5F8D" w14:textId="77777777" w:rsidR="003C3B3B" w:rsidRPr="002E4367" w:rsidRDefault="002E4367" w:rsidP="003C3B3B">
      <w:pPr>
        <w:rPr>
          <w:rFonts w:ascii="Arial" w:hAnsi="Arial" w:cs="Arial"/>
          <w:sz w:val="20"/>
          <w:szCs w:val="20"/>
        </w:rPr>
      </w:pPr>
      <w:hyperlink r:id="rId12" w:history="1">
        <w:r w:rsidR="003C3B3B" w:rsidRPr="002E4367">
          <w:rPr>
            <w:rStyle w:val="Hyperlink"/>
            <w:rFonts w:ascii="Arial" w:hAnsi="Arial" w:cs="Arial"/>
            <w:color w:val="auto"/>
            <w:sz w:val="20"/>
            <w:szCs w:val="20"/>
            <w:u w:val="none"/>
          </w:rPr>
          <w:t>https://www.researchgate.net/publication/312474924_People_in_Transition_Life_in_the_Malaren_Valley_from_an_Osteological_Perspective</w:t>
        </w:r>
      </w:hyperlink>
      <w:r w:rsidR="003C3B3B" w:rsidRPr="002E4367">
        <w:rPr>
          <w:rStyle w:val="Hyperlink"/>
          <w:rFonts w:ascii="Arial" w:hAnsi="Arial" w:cs="Arial"/>
          <w:color w:val="auto"/>
          <w:sz w:val="20"/>
          <w:szCs w:val="20"/>
          <w:u w:val="none"/>
        </w:rPr>
        <w:t xml:space="preserve"> - accessed 11/03/2022</w:t>
      </w:r>
    </w:p>
    <w:p w14:paraId="69BEA896" w14:textId="77777777" w:rsidR="003C3B3B" w:rsidRPr="002E4367" w:rsidRDefault="002E4367" w:rsidP="003C3B3B">
      <w:pPr>
        <w:rPr>
          <w:rFonts w:ascii="Arial" w:hAnsi="Arial" w:cs="Arial"/>
          <w:sz w:val="20"/>
          <w:szCs w:val="20"/>
        </w:rPr>
      </w:pPr>
      <w:hyperlink r:id="rId13" w:history="1">
        <w:r w:rsidR="003C3B3B" w:rsidRPr="002E4367">
          <w:rPr>
            <w:rStyle w:val="Hyperlink"/>
            <w:rFonts w:ascii="Arial" w:hAnsi="Arial" w:cs="Arial"/>
            <w:color w:val="auto"/>
            <w:sz w:val="20"/>
            <w:szCs w:val="20"/>
            <w:u w:val="none"/>
          </w:rPr>
          <w:t>https://www.science.org/doi/10.1126/sciadv.abd0310</w:t>
        </w:r>
      </w:hyperlink>
      <w:r w:rsidR="003C3B3B" w:rsidRPr="002E4367">
        <w:rPr>
          <w:rStyle w:val="Hyperlink"/>
          <w:rFonts w:ascii="Arial" w:hAnsi="Arial" w:cs="Arial"/>
          <w:color w:val="auto"/>
          <w:sz w:val="20"/>
          <w:szCs w:val="20"/>
          <w:u w:val="none"/>
        </w:rPr>
        <w:t xml:space="preserve"> - accessed 11/03/2022</w:t>
      </w:r>
    </w:p>
    <w:p w14:paraId="11CF0CE5" w14:textId="77777777" w:rsidR="003C3B3B" w:rsidRPr="002E4367" w:rsidRDefault="002E4367" w:rsidP="003C3B3B">
      <w:pPr>
        <w:rPr>
          <w:rFonts w:ascii="Arial" w:hAnsi="Arial" w:cs="Arial"/>
          <w:sz w:val="20"/>
          <w:szCs w:val="20"/>
        </w:rPr>
      </w:pPr>
      <w:hyperlink r:id="rId14" w:history="1">
        <w:r w:rsidR="003C3B3B" w:rsidRPr="002E4367">
          <w:rPr>
            <w:rStyle w:val="Hyperlink"/>
            <w:rFonts w:ascii="Arial" w:hAnsi="Arial" w:cs="Arial"/>
            <w:color w:val="auto"/>
            <w:sz w:val="20"/>
            <w:szCs w:val="20"/>
            <w:u w:val="none"/>
          </w:rPr>
          <w:t>https://www.smithsonianmag.com/smart-news/9000-year-old-big-game-hunter-peru-prompts-questions-about-hunter-gatherer-gender-roles-180976218/</w:t>
        </w:r>
      </w:hyperlink>
      <w:r w:rsidR="003C3B3B" w:rsidRPr="002E4367">
        <w:rPr>
          <w:rStyle w:val="Hyperlink"/>
          <w:rFonts w:ascii="Arial" w:hAnsi="Arial" w:cs="Arial"/>
          <w:color w:val="auto"/>
          <w:sz w:val="20"/>
          <w:szCs w:val="20"/>
          <w:u w:val="none"/>
        </w:rPr>
        <w:t xml:space="preserve"> - accessed 11/03/2022</w:t>
      </w:r>
    </w:p>
    <w:p w14:paraId="3444CF89" w14:textId="1EF3ABA0" w:rsidR="00A269FF" w:rsidRPr="002E4367" w:rsidRDefault="002E4367" w:rsidP="00647375">
      <w:pPr>
        <w:rPr>
          <w:rFonts w:ascii="Arial" w:hAnsi="Arial" w:cs="Arial"/>
          <w:sz w:val="20"/>
          <w:szCs w:val="20"/>
        </w:rPr>
      </w:pPr>
      <w:hyperlink r:id="rId15" w:history="1">
        <w:r w:rsidR="003C3B3B" w:rsidRPr="002E4367">
          <w:rPr>
            <w:rStyle w:val="Hyperlink"/>
            <w:rFonts w:ascii="Arial" w:hAnsi="Arial" w:cs="Arial"/>
            <w:color w:val="auto"/>
            <w:sz w:val="20"/>
            <w:szCs w:val="20"/>
            <w:u w:val="none"/>
          </w:rPr>
          <w:t>https://www.smithsonianmag.com/smart-news/researchers-reaffirm-famed-ancient-viking-warrior-was-biologically-female-180971541/</w:t>
        </w:r>
      </w:hyperlink>
      <w:r w:rsidR="003C3B3B" w:rsidRPr="002E4367">
        <w:rPr>
          <w:rFonts w:ascii="Arial" w:hAnsi="Arial" w:cs="Arial"/>
          <w:sz w:val="20"/>
          <w:szCs w:val="20"/>
        </w:rPr>
        <w:t xml:space="preserve"> - accessed 11/03/2022</w:t>
      </w:r>
    </w:p>
    <w:p w14:paraId="7ABDD144" w14:textId="0D01A3C0" w:rsidR="00647375" w:rsidRPr="002E4367" w:rsidRDefault="00647375" w:rsidP="00647375">
      <w:pPr>
        <w:rPr>
          <w:rFonts w:ascii="Arial" w:hAnsi="Arial" w:cs="Arial"/>
          <w:sz w:val="20"/>
          <w:szCs w:val="20"/>
        </w:rPr>
      </w:pPr>
      <w:r w:rsidRPr="002E4367">
        <w:rPr>
          <w:rFonts w:ascii="Arial" w:hAnsi="Arial" w:cs="Arial"/>
          <w:sz w:val="20"/>
          <w:szCs w:val="20"/>
        </w:rPr>
        <w:t xml:space="preserve">Matic, U. (2016) ‘(De)queering Hatshepsut: Binary Bind in Archaeology of Egypt and Kingship Beyond the Corporeal’, </w:t>
      </w:r>
      <w:r w:rsidR="00FB3190" w:rsidRPr="002E4367">
        <w:rPr>
          <w:rFonts w:ascii="Arial" w:hAnsi="Arial" w:cs="Arial"/>
          <w:sz w:val="20"/>
          <w:szCs w:val="20"/>
        </w:rPr>
        <w:t>New York, Springer.</w:t>
      </w:r>
    </w:p>
    <w:p w14:paraId="59A79011" w14:textId="4EA7F26F" w:rsidR="00A617AC" w:rsidRPr="003C3B3B" w:rsidRDefault="00A617AC" w:rsidP="0044465D">
      <w:pPr>
        <w:rPr>
          <w:rFonts w:ascii="Arial" w:hAnsi="Arial" w:cs="Arial"/>
          <w:sz w:val="16"/>
          <w:szCs w:val="16"/>
        </w:rPr>
      </w:pPr>
    </w:p>
    <w:p w14:paraId="743C527A" w14:textId="77777777" w:rsidR="00B94A5B" w:rsidRPr="003C3B3B" w:rsidRDefault="00B94A5B" w:rsidP="00B94A5B">
      <w:pPr>
        <w:rPr>
          <w:rFonts w:ascii="Arial" w:hAnsi="Arial" w:cs="Arial"/>
          <w:sz w:val="16"/>
          <w:szCs w:val="16"/>
        </w:rPr>
      </w:pPr>
    </w:p>
    <w:p w14:paraId="3095EA7B" w14:textId="02514342" w:rsidR="0044465D" w:rsidRPr="003C3B3B" w:rsidRDefault="0044465D" w:rsidP="0044465D">
      <w:pPr>
        <w:rPr>
          <w:rFonts w:ascii="Arial" w:hAnsi="Arial" w:cs="Arial"/>
          <w:sz w:val="16"/>
          <w:szCs w:val="16"/>
        </w:rPr>
      </w:pPr>
    </w:p>
    <w:p w14:paraId="028DF4E6" w14:textId="77777777" w:rsidR="0044465D" w:rsidRPr="003C3B3B" w:rsidRDefault="0044465D" w:rsidP="0044465D">
      <w:pPr>
        <w:jc w:val="right"/>
        <w:rPr>
          <w:rFonts w:ascii="Arial" w:hAnsi="Arial" w:cs="Arial"/>
          <w:sz w:val="28"/>
          <w:szCs w:val="28"/>
        </w:rPr>
      </w:pPr>
    </w:p>
    <w:sectPr w:rsidR="0044465D" w:rsidRPr="003C3B3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FD8AFB" w14:textId="77777777" w:rsidR="00B82BEA" w:rsidRDefault="00B82BEA" w:rsidP="00684D0C">
      <w:pPr>
        <w:spacing w:after="0" w:line="240" w:lineRule="auto"/>
      </w:pPr>
      <w:r>
        <w:separator/>
      </w:r>
    </w:p>
  </w:endnote>
  <w:endnote w:type="continuationSeparator" w:id="0">
    <w:p w14:paraId="4EDDF9EA" w14:textId="77777777" w:rsidR="00B82BEA" w:rsidRDefault="00B82BEA" w:rsidP="00684D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4FEC2A" w14:textId="77777777" w:rsidR="00B82BEA" w:rsidRDefault="00B82BEA" w:rsidP="00684D0C">
      <w:pPr>
        <w:spacing w:after="0" w:line="240" w:lineRule="auto"/>
      </w:pPr>
      <w:r>
        <w:separator/>
      </w:r>
    </w:p>
  </w:footnote>
  <w:footnote w:type="continuationSeparator" w:id="0">
    <w:p w14:paraId="6B5ED5B3" w14:textId="77777777" w:rsidR="00B82BEA" w:rsidRDefault="00B82BEA" w:rsidP="00684D0C">
      <w:pPr>
        <w:spacing w:after="0" w:line="240" w:lineRule="auto"/>
      </w:pPr>
      <w:r>
        <w:continuationSeparator/>
      </w:r>
    </w:p>
  </w:footnote>
  <w:footnote w:id="1">
    <w:p w14:paraId="0A2E8BF4" w14:textId="58662792" w:rsidR="00E42C5C" w:rsidRPr="009A2187" w:rsidRDefault="00E42C5C" w:rsidP="009A2187">
      <w:pPr>
        <w:rPr>
          <w:rFonts w:ascii="Arial" w:hAnsi="Arial" w:cs="Arial"/>
          <w:sz w:val="16"/>
          <w:szCs w:val="16"/>
        </w:rPr>
      </w:pPr>
      <w:r>
        <w:rPr>
          <w:rStyle w:val="FootnoteReference"/>
        </w:rPr>
        <w:footnoteRef/>
      </w:r>
      <w:r>
        <w:t xml:space="preserve"> </w:t>
      </w:r>
      <w:hyperlink r:id="rId1" w:history="1">
        <w:r w:rsidR="009A2187" w:rsidRPr="00AA3865">
          <w:rPr>
            <w:rStyle w:val="Hyperlink"/>
            <w:rFonts w:ascii="Arial" w:hAnsi="Arial" w:cs="Arial"/>
            <w:color w:val="auto"/>
            <w:sz w:val="16"/>
            <w:szCs w:val="16"/>
            <w:u w:val="none"/>
          </w:rPr>
          <w:t>https://www.smithsonianmag.com/smart-news/researchers-reaffirm-famed-ancient-viking-warrior-was-biologically-female-180971541/</w:t>
        </w:r>
      </w:hyperlink>
      <w:r w:rsidR="009A2187" w:rsidRPr="00AA3865">
        <w:rPr>
          <w:rFonts w:ascii="Arial" w:hAnsi="Arial" w:cs="Arial"/>
          <w:sz w:val="16"/>
          <w:szCs w:val="16"/>
        </w:rPr>
        <w:t xml:space="preserve"> - accessed 11/03/2022</w:t>
      </w:r>
    </w:p>
  </w:footnote>
  <w:footnote w:id="2">
    <w:p w14:paraId="27BEF4BC" w14:textId="61208224" w:rsidR="00E42C5C" w:rsidRPr="009A2187" w:rsidRDefault="00E42C5C" w:rsidP="009A2187">
      <w:pPr>
        <w:rPr>
          <w:rFonts w:ascii="Arial" w:hAnsi="Arial" w:cs="Arial"/>
          <w:sz w:val="16"/>
          <w:szCs w:val="16"/>
        </w:rPr>
      </w:pPr>
      <w:r>
        <w:rPr>
          <w:rStyle w:val="FootnoteReference"/>
        </w:rPr>
        <w:footnoteRef/>
      </w:r>
      <w:r>
        <w:t xml:space="preserve"> </w:t>
      </w:r>
      <w:hyperlink r:id="rId2" w:history="1">
        <w:r w:rsidR="009A2187" w:rsidRPr="00AA3865">
          <w:rPr>
            <w:rStyle w:val="Hyperlink"/>
            <w:rFonts w:ascii="Arial" w:hAnsi="Arial" w:cs="Arial"/>
            <w:color w:val="auto"/>
            <w:sz w:val="16"/>
            <w:szCs w:val="16"/>
            <w:u w:val="none"/>
          </w:rPr>
          <w:t>https://www.smithsonianmag.com/smart-news/researchers-reaffirm-famed-ancient-viking-warrior-was-biologically-female-180971541/</w:t>
        </w:r>
      </w:hyperlink>
      <w:r w:rsidR="009A2187" w:rsidRPr="00AA3865">
        <w:rPr>
          <w:rFonts w:ascii="Arial" w:hAnsi="Arial" w:cs="Arial"/>
          <w:sz w:val="16"/>
          <w:szCs w:val="16"/>
        </w:rPr>
        <w:t xml:space="preserve"> - accessed 11/03/2022</w:t>
      </w:r>
    </w:p>
  </w:footnote>
  <w:footnote w:id="3">
    <w:p w14:paraId="5A090D70" w14:textId="7FD3BA3E" w:rsidR="00E42C5C" w:rsidRPr="00097019" w:rsidRDefault="00E42C5C" w:rsidP="00097019">
      <w:pPr>
        <w:rPr>
          <w:rFonts w:ascii="Arial" w:hAnsi="Arial" w:cs="Arial"/>
          <w:sz w:val="16"/>
          <w:szCs w:val="16"/>
        </w:rPr>
      </w:pPr>
      <w:r>
        <w:rPr>
          <w:rStyle w:val="FootnoteReference"/>
        </w:rPr>
        <w:footnoteRef/>
      </w:r>
      <w:r>
        <w:t xml:space="preserve"> </w:t>
      </w:r>
      <w:hyperlink r:id="rId3" w:history="1">
        <w:r w:rsidR="00097019" w:rsidRPr="00AA3865">
          <w:rPr>
            <w:rStyle w:val="Hyperlink"/>
            <w:rFonts w:ascii="Arial" w:hAnsi="Arial" w:cs="Arial"/>
            <w:color w:val="auto"/>
            <w:sz w:val="16"/>
            <w:szCs w:val="16"/>
            <w:u w:val="none"/>
          </w:rPr>
          <w:t>https://www.history.com/news/viking-warrior-female-gender-identity</w:t>
        </w:r>
      </w:hyperlink>
      <w:r w:rsidR="00097019" w:rsidRPr="00AA3865">
        <w:rPr>
          <w:rFonts w:ascii="Arial" w:hAnsi="Arial" w:cs="Arial"/>
          <w:sz w:val="16"/>
          <w:szCs w:val="16"/>
        </w:rPr>
        <w:t xml:space="preserve"> - accessed 11/03/2022</w:t>
      </w:r>
    </w:p>
  </w:footnote>
  <w:footnote w:id="4">
    <w:p w14:paraId="119EC51A" w14:textId="61C58CB9" w:rsidR="00350F46" w:rsidRPr="0073520F" w:rsidRDefault="00350F46" w:rsidP="0073520F">
      <w:pPr>
        <w:rPr>
          <w:rFonts w:ascii="Arial" w:hAnsi="Arial" w:cs="Arial"/>
          <w:sz w:val="16"/>
          <w:szCs w:val="16"/>
        </w:rPr>
      </w:pPr>
      <w:r>
        <w:rPr>
          <w:rStyle w:val="FootnoteReference"/>
        </w:rPr>
        <w:footnoteRef/>
      </w:r>
      <w:r>
        <w:t xml:space="preserve"> </w:t>
      </w:r>
      <w:hyperlink r:id="rId4" w:history="1">
        <w:r w:rsidR="0073520F" w:rsidRPr="00AA3865">
          <w:rPr>
            <w:rStyle w:val="Hyperlink"/>
            <w:rFonts w:ascii="Arial" w:hAnsi="Arial" w:cs="Arial"/>
            <w:color w:val="auto"/>
            <w:sz w:val="16"/>
            <w:szCs w:val="16"/>
            <w:u w:val="none"/>
          </w:rPr>
          <w:t>https://www.smithsonianmag.com/smart-news/researchers-reaffirm-famed-ancient-viking-warrior-was-biologically-female-180971541/</w:t>
        </w:r>
      </w:hyperlink>
      <w:r w:rsidR="0073520F" w:rsidRPr="00AA3865">
        <w:rPr>
          <w:rFonts w:ascii="Arial" w:hAnsi="Arial" w:cs="Arial"/>
          <w:sz w:val="16"/>
          <w:szCs w:val="16"/>
        </w:rPr>
        <w:t xml:space="preserve"> - accessed 11/03/2022</w:t>
      </w:r>
    </w:p>
  </w:footnote>
  <w:footnote w:id="5">
    <w:p w14:paraId="4B990D16" w14:textId="1E3B928D" w:rsidR="00350F46" w:rsidRPr="00AF2FE9" w:rsidRDefault="00350F46" w:rsidP="00AF2FE9">
      <w:pPr>
        <w:rPr>
          <w:rFonts w:ascii="Arial" w:hAnsi="Arial" w:cs="Arial"/>
          <w:sz w:val="16"/>
          <w:szCs w:val="16"/>
        </w:rPr>
      </w:pPr>
      <w:r>
        <w:rPr>
          <w:rStyle w:val="FootnoteReference"/>
        </w:rPr>
        <w:footnoteRef/>
      </w:r>
      <w:r>
        <w:t xml:space="preserve"> </w:t>
      </w:r>
      <w:hyperlink r:id="rId5" w:history="1">
        <w:r w:rsidR="00AF2FE9" w:rsidRPr="00AA3865">
          <w:rPr>
            <w:rStyle w:val="Hyperlink"/>
            <w:rFonts w:ascii="Arial" w:hAnsi="Arial" w:cs="Arial"/>
            <w:color w:val="auto"/>
            <w:sz w:val="16"/>
            <w:szCs w:val="16"/>
            <w:u w:val="none"/>
          </w:rPr>
          <w:t>https://www.nationalgeographic.com/history/article/viking-warrior-woman-archaeology-spd</w:t>
        </w:r>
      </w:hyperlink>
      <w:r w:rsidR="00AF2FE9" w:rsidRPr="00AA3865">
        <w:rPr>
          <w:rFonts w:ascii="Arial" w:hAnsi="Arial" w:cs="Arial"/>
          <w:sz w:val="16"/>
          <w:szCs w:val="16"/>
        </w:rPr>
        <w:t xml:space="preserve"> - accessed 11/03/2022</w:t>
      </w:r>
    </w:p>
  </w:footnote>
  <w:footnote w:id="6">
    <w:p w14:paraId="0F768034" w14:textId="59B0FBE9" w:rsidR="00CA5E77" w:rsidRPr="00B60935" w:rsidRDefault="00CA5E77" w:rsidP="00A617AC">
      <w:pPr>
        <w:rPr>
          <w:rFonts w:ascii="Arial" w:hAnsi="Arial" w:cs="Arial"/>
          <w:color w:val="000000" w:themeColor="text1"/>
          <w:sz w:val="16"/>
          <w:szCs w:val="16"/>
        </w:rPr>
      </w:pPr>
      <w:r w:rsidRPr="00B60935">
        <w:rPr>
          <w:rStyle w:val="FootnoteReference"/>
          <w:color w:val="000000" w:themeColor="text1"/>
          <w:sz w:val="16"/>
          <w:szCs w:val="16"/>
        </w:rPr>
        <w:footnoteRef/>
      </w:r>
      <w:hyperlink r:id="rId6" w:history="1">
        <w:r w:rsidR="00B60935" w:rsidRPr="00B60935">
          <w:rPr>
            <w:rStyle w:val="Hyperlink"/>
            <w:rFonts w:ascii="Arial" w:hAnsi="Arial" w:cs="Arial"/>
            <w:color w:val="000000" w:themeColor="text1"/>
            <w:sz w:val="16"/>
            <w:szCs w:val="16"/>
            <w:u w:val="none"/>
          </w:rPr>
          <w:t>https://www.researchgate.net/publication/312474924_People_in_Transition_Life_in_the_Malaren_Valley_from_an_Osteological_Perspective</w:t>
        </w:r>
      </w:hyperlink>
      <w:r w:rsidR="00B60935" w:rsidRPr="00B60935">
        <w:rPr>
          <w:rStyle w:val="Hyperlink"/>
          <w:rFonts w:ascii="Arial" w:hAnsi="Arial" w:cs="Arial"/>
          <w:color w:val="000000" w:themeColor="text1"/>
          <w:sz w:val="16"/>
          <w:szCs w:val="16"/>
          <w:u w:val="none"/>
        </w:rPr>
        <w:t xml:space="preserve"> - accessed </w:t>
      </w:r>
      <w:r w:rsidR="00B60935">
        <w:rPr>
          <w:rStyle w:val="Hyperlink"/>
          <w:rFonts w:ascii="Arial" w:hAnsi="Arial" w:cs="Arial"/>
          <w:color w:val="000000" w:themeColor="text1"/>
          <w:sz w:val="16"/>
          <w:szCs w:val="16"/>
          <w:u w:val="none"/>
        </w:rPr>
        <w:t>11/03/2022</w:t>
      </w:r>
    </w:p>
  </w:footnote>
  <w:footnote w:id="7">
    <w:p w14:paraId="0395F10A" w14:textId="6A6ECD2F" w:rsidR="00AE0C8F" w:rsidRPr="00B60935" w:rsidRDefault="00AE0C8F" w:rsidP="00B60935">
      <w:pPr>
        <w:rPr>
          <w:rFonts w:ascii="Arial" w:hAnsi="Arial" w:cs="Arial"/>
          <w:color w:val="000000" w:themeColor="text1"/>
          <w:sz w:val="16"/>
          <w:szCs w:val="16"/>
        </w:rPr>
      </w:pPr>
      <w:r w:rsidRPr="00B60935">
        <w:rPr>
          <w:rStyle w:val="FootnoteReference"/>
          <w:color w:val="000000" w:themeColor="text1"/>
        </w:rPr>
        <w:footnoteRef/>
      </w:r>
      <w:hyperlink r:id="rId7" w:history="1">
        <w:r w:rsidR="00B60935" w:rsidRPr="00B60935">
          <w:rPr>
            <w:rStyle w:val="Hyperlink"/>
            <w:rFonts w:ascii="Arial" w:hAnsi="Arial" w:cs="Arial"/>
            <w:color w:val="000000" w:themeColor="text1"/>
            <w:sz w:val="16"/>
            <w:szCs w:val="16"/>
            <w:u w:val="none"/>
          </w:rPr>
          <w:t>https://www.researchgate.net/publication/312474924_People_in_Transition_Life_in_the_Malaren_Valley_from_an_Osteological_Perspective</w:t>
        </w:r>
      </w:hyperlink>
      <w:r w:rsidR="00B60935" w:rsidRPr="00B60935">
        <w:rPr>
          <w:rStyle w:val="Hyperlink"/>
          <w:rFonts w:ascii="Arial" w:hAnsi="Arial" w:cs="Arial"/>
          <w:color w:val="000000" w:themeColor="text1"/>
          <w:sz w:val="16"/>
          <w:szCs w:val="16"/>
          <w:u w:val="none"/>
        </w:rPr>
        <w:t xml:space="preserve"> </w:t>
      </w:r>
      <w:r w:rsidR="00B60935">
        <w:rPr>
          <w:rStyle w:val="Hyperlink"/>
          <w:rFonts w:ascii="Arial" w:hAnsi="Arial" w:cs="Arial"/>
          <w:color w:val="000000" w:themeColor="text1"/>
          <w:sz w:val="16"/>
          <w:szCs w:val="16"/>
          <w:u w:val="none"/>
        </w:rPr>
        <w:t>- accessed 11/03/2022</w:t>
      </w:r>
    </w:p>
  </w:footnote>
  <w:footnote w:id="8">
    <w:p w14:paraId="004F20C0" w14:textId="5A5F6D85" w:rsidR="00AE0C8F" w:rsidRPr="00AF2FE9" w:rsidRDefault="00AE0C8F" w:rsidP="00AF2FE9">
      <w:pPr>
        <w:rPr>
          <w:rFonts w:ascii="Arial" w:hAnsi="Arial" w:cs="Arial"/>
          <w:sz w:val="16"/>
          <w:szCs w:val="16"/>
        </w:rPr>
      </w:pPr>
      <w:r>
        <w:rPr>
          <w:rStyle w:val="FootnoteReference"/>
        </w:rPr>
        <w:footnoteRef/>
      </w:r>
      <w:r>
        <w:t xml:space="preserve"> </w:t>
      </w:r>
      <w:hyperlink r:id="rId8" w:history="1">
        <w:r w:rsidR="00AF2FE9" w:rsidRPr="00AA3865">
          <w:rPr>
            <w:rStyle w:val="Hyperlink"/>
            <w:rFonts w:ascii="Arial" w:hAnsi="Arial" w:cs="Arial"/>
            <w:color w:val="auto"/>
            <w:sz w:val="16"/>
            <w:szCs w:val="16"/>
            <w:u w:val="none"/>
          </w:rPr>
          <w:t>https://www.nationalgeographic.com/history/article/viking-warrior-woman-archaeology-spd</w:t>
        </w:r>
      </w:hyperlink>
      <w:r w:rsidR="00AF2FE9" w:rsidRPr="00AA3865">
        <w:rPr>
          <w:rFonts w:ascii="Arial" w:hAnsi="Arial" w:cs="Arial"/>
          <w:sz w:val="16"/>
          <w:szCs w:val="16"/>
        </w:rPr>
        <w:t xml:space="preserve"> - accessed 11/03/2022</w:t>
      </w:r>
    </w:p>
  </w:footnote>
  <w:footnote w:id="9">
    <w:p w14:paraId="03DB84DE" w14:textId="1E4855D7" w:rsidR="008F3353" w:rsidRPr="00FB3190" w:rsidRDefault="008F3353" w:rsidP="008F3353">
      <w:pPr>
        <w:pStyle w:val="FootnoteText"/>
        <w:rPr>
          <w:rFonts w:ascii="Arial" w:hAnsi="Arial" w:cs="Arial"/>
          <w:sz w:val="16"/>
          <w:szCs w:val="16"/>
        </w:rPr>
      </w:pPr>
      <w:r w:rsidRPr="00FB3190">
        <w:rPr>
          <w:rStyle w:val="FootnoteReference"/>
          <w:rFonts w:cstheme="minorHAnsi"/>
        </w:rPr>
        <w:footnoteRef/>
      </w:r>
      <w:r w:rsidRPr="00FB3190">
        <w:rPr>
          <w:rFonts w:cstheme="minorHAnsi"/>
        </w:rPr>
        <w:t xml:space="preserve"> </w:t>
      </w:r>
      <w:r w:rsidR="00FB3190" w:rsidRPr="00FB3190">
        <w:rPr>
          <w:rFonts w:ascii="Arial" w:hAnsi="Arial" w:cs="Arial"/>
          <w:sz w:val="16"/>
          <w:szCs w:val="16"/>
        </w:rPr>
        <w:t>Matic, U. (2016) ‘(De)queering Hatshepsut: Binary Bind in Archaeology of Egypt and Kingship Beyond the Corporeal’, New York, Springer.</w:t>
      </w:r>
    </w:p>
  </w:footnote>
  <w:footnote w:id="10">
    <w:p w14:paraId="1784E7A2" w14:textId="07EA0AF3" w:rsidR="008F3353" w:rsidRDefault="008F3353" w:rsidP="008F3353">
      <w:pPr>
        <w:pStyle w:val="FootnoteText"/>
      </w:pPr>
      <w:r>
        <w:rPr>
          <w:rStyle w:val="FootnoteReference"/>
        </w:rPr>
        <w:footnoteRef/>
      </w:r>
      <w:r>
        <w:t xml:space="preserve"> </w:t>
      </w:r>
      <w:r w:rsidR="00FB3190" w:rsidRPr="00FB3190">
        <w:rPr>
          <w:rFonts w:ascii="Arial" w:hAnsi="Arial" w:cs="Arial"/>
          <w:sz w:val="16"/>
          <w:szCs w:val="16"/>
        </w:rPr>
        <w:t>Matic, U. (2016) ‘(De)queering Hatshepsut: Binary Bind in Archaeology of Egypt and Kingship Beyond the Corporeal’, New York, Springer.</w:t>
      </w:r>
    </w:p>
  </w:footnote>
  <w:footnote w:id="11">
    <w:p w14:paraId="30B09141" w14:textId="43FDC95C" w:rsidR="00224DB8" w:rsidRPr="00775AF5" w:rsidRDefault="00224DB8" w:rsidP="00775AF5">
      <w:pPr>
        <w:rPr>
          <w:rFonts w:ascii="Arial" w:hAnsi="Arial" w:cs="Arial"/>
          <w:sz w:val="16"/>
          <w:szCs w:val="16"/>
        </w:rPr>
      </w:pPr>
      <w:r>
        <w:rPr>
          <w:rStyle w:val="FootnoteReference"/>
        </w:rPr>
        <w:footnoteRef/>
      </w:r>
      <w:r>
        <w:t xml:space="preserve"> </w:t>
      </w:r>
      <w:proofErr w:type="spellStart"/>
      <w:r w:rsidR="00775AF5" w:rsidRPr="00775AF5">
        <w:rPr>
          <w:rFonts w:ascii="Arial" w:hAnsi="Arial" w:cs="Arial"/>
          <w:sz w:val="16"/>
          <w:szCs w:val="16"/>
        </w:rPr>
        <w:t>Ghisleni</w:t>
      </w:r>
      <w:proofErr w:type="spellEnd"/>
      <w:r w:rsidR="00775AF5" w:rsidRPr="00775AF5">
        <w:rPr>
          <w:rFonts w:ascii="Arial" w:hAnsi="Arial" w:cs="Arial"/>
          <w:sz w:val="16"/>
          <w:szCs w:val="16"/>
        </w:rPr>
        <w:t xml:space="preserve">, L., Jordan, A.M. and </w:t>
      </w:r>
      <w:proofErr w:type="spellStart"/>
      <w:r w:rsidR="00775AF5" w:rsidRPr="00775AF5">
        <w:rPr>
          <w:rFonts w:ascii="Arial" w:hAnsi="Arial" w:cs="Arial"/>
          <w:sz w:val="16"/>
          <w:szCs w:val="16"/>
        </w:rPr>
        <w:t>Fioccoprile</w:t>
      </w:r>
      <w:proofErr w:type="spellEnd"/>
      <w:r w:rsidR="00775AF5" w:rsidRPr="00775AF5">
        <w:rPr>
          <w:rFonts w:ascii="Arial" w:hAnsi="Arial" w:cs="Arial"/>
          <w:sz w:val="16"/>
          <w:szCs w:val="16"/>
        </w:rPr>
        <w:t>, E. (2016) ‘Introduction to “Binary Binds”: Deconstructing Sex and Gender Dichotomies in Archaeological Practice’, New York, Springer.</w:t>
      </w:r>
    </w:p>
  </w:footnote>
  <w:footnote w:id="12">
    <w:p w14:paraId="14BB33A3" w14:textId="46CF9B5C" w:rsidR="00224DB8" w:rsidRPr="00775AF5" w:rsidRDefault="00224DB8" w:rsidP="00775AF5">
      <w:pPr>
        <w:rPr>
          <w:rFonts w:ascii="Arial" w:hAnsi="Arial" w:cs="Arial"/>
          <w:sz w:val="16"/>
          <w:szCs w:val="16"/>
        </w:rPr>
      </w:pPr>
      <w:r>
        <w:rPr>
          <w:rStyle w:val="FootnoteReference"/>
        </w:rPr>
        <w:footnoteRef/>
      </w:r>
      <w:r>
        <w:t xml:space="preserve"> </w:t>
      </w:r>
      <w:proofErr w:type="spellStart"/>
      <w:r w:rsidR="00775AF5" w:rsidRPr="00775AF5">
        <w:rPr>
          <w:rFonts w:ascii="Arial" w:hAnsi="Arial" w:cs="Arial"/>
          <w:sz w:val="16"/>
          <w:szCs w:val="16"/>
        </w:rPr>
        <w:t>Ghisleni</w:t>
      </w:r>
      <w:proofErr w:type="spellEnd"/>
      <w:r w:rsidR="00775AF5" w:rsidRPr="00775AF5">
        <w:rPr>
          <w:rFonts w:ascii="Arial" w:hAnsi="Arial" w:cs="Arial"/>
          <w:sz w:val="16"/>
          <w:szCs w:val="16"/>
        </w:rPr>
        <w:t xml:space="preserve">, L., Jordan, A.M. and </w:t>
      </w:r>
      <w:proofErr w:type="spellStart"/>
      <w:r w:rsidR="00775AF5" w:rsidRPr="00775AF5">
        <w:rPr>
          <w:rFonts w:ascii="Arial" w:hAnsi="Arial" w:cs="Arial"/>
          <w:sz w:val="16"/>
          <w:szCs w:val="16"/>
        </w:rPr>
        <w:t>Fioccoprile</w:t>
      </w:r>
      <w:proofErr w:type="spellEnd"/>
      <w:r w:rsidR="00775AF5" w:rsidRPr="00775AF5">
        <w:rPr>
          <w:rFonts w:ascii="Arial" w:hAnsi="Arial" w:cs="Arial"/>
          <w:sz w:val="16"/>
          <w:szCs w:val="16"/>
        </w:rPr>
        <w:t>, E. (2016) ‘Introduction to “Binary Binds”: Deconstructing Sex and Gender Dichotomies in Archaeological Practice’, New York, Springer.</w:t>
      </w:r>
    </w:p>
  </w:footnote>
  <w:footnote w:id="13">
    <w:p w14:paraId="39270E68" w14:textId="4E6B4B48" w:rsidR="00224DB8" w:rsidRPr="004C027A" w:rsidRDefault="00224DB8" w:rsidP="004C027A">
      <w:pPr>
        <w:rPr>
          <w:rFonts w:ascii="Arial" w:hAnsi="Arial" w:cs="Arial"/>
          <w:sz w:val="16"/>
          <w:szCs w:val="16"/>
        </w:rPr>
      </w:pPr>
      <w:r>
        <w:rPr>
          <w:rStyle w:val="FootnoteReference"/>
        </w:rPr>
        <w:footnoteRef/>
      </w:r>
      <w:r>
        <w:t xml:space="preserve"> </w:t>
      </w:r>
      <w:hyperlink r:id="rId9" w:history="1">
        <w:r w:rsidR="004C027A" w:rsidRPr="004C027A">
          <w:rPr>
            <w:rStyle w:val="Hyperlink"/>
            <w:rFonts w:ascii="Arial" w:hAnsi="Arial" w:cs="Arial"/>
            <w:color w:val="auto"/>
            <w:sz w:val="16"/>
            <w:szCs w:val="16"/>
            <w:u w:val="none"/>
          </w:rPr>
          <w:t>https://www.science.org/doi/10.1126/sciadv.abd0310</w:t>
        </w:r>
      </w:hyperlink>
      <w:r w:rsidR="004C027A" w:rsidRPr="004C027A">
        <w:rPr>
          <w:rStyle w:val="Hyperlink"/>
          <w:rFonts w:ascii="Arial" w:hAnsi="Arial" w:cs="Arial"/>
          <w:color w:val="auto"/>
          <w:sz w:val="16"/>
          <w:szCs w:val="16"/>
          <w:u w:val="none"/>
        </w:rPr>
        <w:t xml:space="preserve"> - accessed 11/03/2022</w:t>
      </w:r>
    </w:p>
  </w:footnote>
  <w:footnote w:id="14">
    <w:p w14:paraId="417C1AB7" w14:textId="74E9BDDB" w:rsidR="0088078C" w:rsidRPr="00A838C3" w:rsidRDefault="0088078C" w:rsidP="00A838C3">
      <w:pPr>
        <w:rPr>
          <w:rFonts w:ascii="Arial" w:hAnsi="Arial" w:cs="Arial"/>
          <w:sz w:val="16"/>
          <w:szCs w:val="16"/>
        </w:rPr>
      </w:pPr>
      <w:r>
        <w:rPr>
          <w:rStyle w:val="FootnoteReference"/>
        </w:rPr>
        <w:footnoteRef/>
      </w:r>
      <w:r>
        <w:t xml:space="preserve"> </w:t>
      </w:r>
      <w:hyperlink r:id="rId10" w:history="1">
        <w:r w:rsidR="00A838C3" w:rsidRPr="00A838C3">
          <w:rPr>
            <w:rStyle w:val="Hyperlink"/>
            <w:rFonts w:ascii="Arial" w:hAnsi="Arial" w:cs="Arial"/>
            <w:color w:val="auto"/>
            <w:sz w:val="16"/>
            <w:szCs w:val="16"/>
            <w:u w:val="none"/>
          </w:rPr>
          <w:t>https://www.smithsonianmag.com/smart-news/9000-year-old-big-game-hunter-peru-prompts-questions-about-hunter-gatherer-gender-roles-180976218/</w:t>
        </w:r>
      </w:hyperlink>
      <w:r w:rsidR="00A838C3">
        <w:rPr>
          <w:rStyle w:val="Hyperlink"/>
          <w:rFonts w:ascii="Arial" w:hAnsi="Arial" w:cs="Arial"/>
          <w:color w:val="auto"/>
          <w:sz w:val="16"/>
          <w:szCs w:val="16"/>
          <w:u w:val="none"/>
        </w:rPr>
        <w:t xml:space="preserve"> - accessed 11/03/2022</w:t>
      </w:r>
    </w:p>
  </w:footnote>
  <w:footnote w:id="15">
    <w:p w14:paraId="7E7FD6AB" w14:textId="08DEBAB0" w:rsidR="0088078C" w:rsidRPr="008E234C" w:rsidRDefault="0088078C" w:rsidP="008E234C">
      <w:pPr>
        <w:rPr>
          <w:rFonts w:ascii="Arial" w:hAnsi="Arial" w:cs="Arial"/>
          <w:sz w:val="16"/>
          <w:szCs w:val="16"/>
        </w:rPr>
      </w:pPr>
      <w:r>
        <w:rPr>
          <w:rStyle w:val="FootnoteReference"/>
        </w:rPr>
        <w:footnoteRef/>
      </w:r>
      <w:r>
        <w:t xml:space="preserve"> </w:t>
      </w:r>
      <w:hyperlink r:id="rId11" w:history="1">
        <w:r w:rsidR="008E234C" w:rsidRPr="00A838C3">
          <w:rPr>
            <w:rStyle w:val="Hyperlink"/>
            <w:rFonts w:ascii="Arial" w:hAnsi="Arial" w:cs="Arial"/>
            <w:color w:val="auto"/>
            <w:sz w:val="16"/>
            <w:szCs w:val="16"/>
            <w:u w:val="none"/>
          </w:rPr>
          <w:t>https://www.smithsonianmag.com/smart-news/9000-year-old-big-game-hunter-peru-prompts-questions-about-hunter-gatherer-gender-roles-180976218/</w:t>
        </w:r>
      </w:hyperlink>
      <w:r w:rsidR="008E234C">
        <w:rPr>
          <w:rStyle w:val="Hyperlink"/>
          <w:rFonts w:ascii="Arial" w:hAnsi="Arial" w:cs="Arial"/>
          <w:color w:val="auto"/>
          <w:sz w:val="16"/>
          <w:szCs w:val="16"/>
          <w:u w:val="none"/>
        </w:rPr>
        <w:t xml:space="preserve"> - accessed 11/03/2022</w:t>
      </w:r>
    </w:p>
  </w:footnote>
  <w:footnote w:id="16">
    <w:p w14:paraId="4911232B" w14:textId="25F02281" w:rsidR="0088078C" w:rsidRPr="009E1ACB" w:rsidRDefault="0088078C" w:rsidP="009E1ACB">
      <w:pPr>
        <w:rPr>
          <w:rFonts w:ascii="Arial" w:hAnsi="Arial" w:cs="Arial"/>
          <w:sz w:val="16"/>
          <w:szCs w:val="16"/>
        </w:rPr>
      </w:pPr>
      <w:r>
        <w:rPr>
          <w:rStyle w:val="FootnoteReference"/>
        </w:rPr>
        <w:footnoteRef/>
      </w:r>
      <w:r>
        <w:t xml:space="preserve"> </w:t>
      </w:r>
      <w:hyperlink r:id="rId12" w:history="1">
        <w:r w:rsidR="009E1ACB" w:rsidRPr="00A838C3">
          <w:rPr>
            <w:rStyle w:val="Hyperlink"/>
            <w:rFonts w:ascii="Arial" w:hAnsi="Arial" w:cs="Arial"/>
            <w:color w:val="auto"/>
            <w:sz w:val="16"/>
            <w:szCs w:val="16"/>
            <w:u w:val="none"/>
          </w:rPr>
          <w:t>https://www.smithsonianmag.com/smart-news/9000-year-old-big-game-hunter-peru-prompts-questions-about-hunter-gatherer-gender-roles-180976218/</w:t>
        </w:r>
      </w:hyperlink>
      <w:r w:rsidR="009E1ACB">
        <w:rPr>
          <w:rStyle w:val="Hyperlink"/>
          <w:rFonts w:ascii="Arial" w:hAnsi="Arial" w:cs="Arial"/>
          <w:color w:val="auto"/>
          <w:sz w:val="16"/>
          <w:szCs w:val="16"/>
          <w:u w:val="none"/>
        </w:rPr>
        <w:t xml:space="preserve"> - accessed 11/03/2022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1C3"/>
    <w:rsid w:val="00010832"/>
    <w:rsid w:val="00047848"/>
    <w:rsid w:val="000634F0"/>
    <w:rsid w:val="0007087A"/>
    <w:rsid w:val="00085E23"/>
    <w:rsid w:val="00097019"/>
    <w:rsid w:val="000A5B94"/>
    <w:rsid w:val="000F4F71"/>
    <w:rsid w:val="00100F91"/>
    <w:rsid w:val="0011721A"/>
    <w:rsid w:val="00122676"/>
    <w:rsid w:val="00143C99"/>
    <w:rsid w:val="00143D87"/>
    <w:rsid w:val="001549CC"/>
    <w:rsid w:val="0015564A"/>
    <w:rsid w:val="00164F99"/>
    <w:rsid w:val="00166A3B"/>
    <w:rsid w:val="001A32A1"/>
    <w:rsid w:val="001A5967"/>
    <w:rsid w:val="001B415D"/>
    <w:rsid w:val="001B44E1"/>
    <w:rsid w:val="001B6513"/>
    <w:rsid w:val="001C43B0"/>
    <w:rsid w:val="001E6570"/>
    <w:rsid w:val="00212803"/>
    <w:rsid w:val="00224DB8"/>
    <w:rsid w:val="00244238"/>
    <w:rsid w:val="00276D7A"/>
    <w:rsid w:val="002D1C86"/>
    <w:rsid w:val="002E4367"/>
    <w:rsid w:val="00306E60"/>
    <w:rsid w:val="00310027"/>
    <w:rsid w:val="00310066"/>
    <w:rsid w:val="00313F4B"/>
    <w:rsid w:val="00317996"/>
    <w:rsid w:val="003466F7"/>
    <w:rsid w:val="00350F46"/>
    <w:rsid w:val="003562B1"/>
    <w:rsid w:val="003957A2"/>
    <w:rsid w:val="003A2BBB"/>
    <w:rsid w:val="003C3B3B"/>
    <w:rsid w:val="003D2BF4"/>
    <w:rsid w:val="004171A4"/>
    <w:rsid w:val="00427E47"/>
    <w:rsid w:val="0044465D"/>
    <w:rsid w:val="00454657"/>
    <w:rsid w:val="00461E79"/>
    <w:rsid w:val="00464F8E"/>
    <w:rsid w:val="00472774"/>
    <w:rsid w:val="00487CC5"/>
    <w:rsid w:val="004902A9"/>
    <w:rsid w:val="004B287A"/>
    <w:rsid w:val="004B7F59"/>
    <w:rsid w:val="004C027A"/>
    <w:rsid w:val="004C70F6"/>
    <w:rsid w:val="004D12FE"/>
    <w:rsid w:val="005452EF"/>
    <w:rsid w:val="00553B53"/>
    <w:rsid w:val="00565530"/>
    <w:rsid w:val="005665E2"/>
    <w:rsid w:val="00573FAE"/>
    <w:rsid w:val="005808D7"/>
    <w:rsid w:val="00585FF2"/>
    <w:rsid w:val="00590656"/>
    <w:rsid w:val="005A17FE"/>
    <w:rsid w:val="005C2A55"/>
    <w:rsid w:val="005C64ED"/>
    <w:rsid w:val="005C78DF"/>
    <w:rsid w:val="0061281E"/>
    <w:rsid w:val="00616A2F"/>
    <w:rsid w:val="00623252"/>
    <w:rsid w:val="00624868"/>
    <w:rsid w:val="006360A4"/>
    <w:rsid w:val="00647375"/>
    <w:rsid w:val="00657998"/>
    <w:rsid w:val="006713BA"/>
    <w:rsid w:val="00675E82"/>
    <w:rsid w:val="006822DA"/>
    <w:rsid w:val="00684D0C"/>
    <w:rsid w:val="006960C6"/>
    <w:rsid w:val="006D182B"/>
    <w:rsid w:val="006D2ABB"/>
    <w:rsid w:val="006D58FA"/>
    <w:rsid w:val="00714BBA"/>
    <w:rsid w:val="0071619E"/>
    <w:rsid w:val="007176FA"/>
    <w:rsid w:val="00721E9F"/>
    <w:rsid w:val="00724A3B"/>
    <w:rsid w:val="0073244B"/>
    <w:rsid w:val="0073520F"/>
    <w:rsid w:val="00743D3B"/>
    <w:rsid w:val="00751ABC"/>
    <w:rsid w:val="00775AF5"/>
    <w:rsid w:val="00782116"/>
    <w:rsid w:val="007F7882"/>
    <w:rsid w:val="00822B4A"/>
    <w:rsid w:val="00854576"/>
    <w:rsid w:val="008637D4"/>
    <w:rsid w:val="008723C6"/>
    <w:rsid w:val="0088078C"/>
    <w:rsid w:val="008A6720"/>
    <w:rsid w:val="008E234C"/>
    <w:rsid w:val="008E5237"/>
    <w:rsid w:val="008F2715"/>
    <w:rsid w:val="008F3353"/>
    <w:rsid w:val="008F358C"/>
    <w:rsid w:val="00902EBE"/>
    <w:rsid w:val="009227AA"/>
    <w:rsid w:val="0096435E"/>
    <w:rsid w:val="009777AD"/>
    <w:rsid w:val="00987315"/>
    <w:rsid w:val="009A00E3"/>
    <w:rsid w:val="009A2187"/>
    <w:rsid w:val="009B12FD"/>
    <w:rsid w:val="009B361F"/>
    <w:rsid w:val="009D46D6"/>
    <w:rsid w:val="009E1ACB"/>
    <w:rsid w:val="009E2422"/>
    <w:rsid w:val="009E329E"/>
    <w:rsid w:val="00A12306"/>
    <w:rsid w:val="00A124B8"/>
    <w:rsid w:val="00A269FF"/>
    <w:rsid w:val="00A30E15"/>
    <w:rsid w:val="00A40CAD"/>
    <w:rsid w:val="00A4437A"/>
    <w:rsid w:val="00A60032"/>
    <w:rsid w:val="00A617AC"/>
    <w:rsid w:val="00A838C3"/>
    <w:rsid w:val="00A87455"/>
    <w:rsid w:val="00AA3865"/>
    <w:rsid w:val="00AC0C91"/>
    <w:rsid w:val="00AC5629"/>
    <w:rsid w:val="00AD17BF"/>
    <w:rsid w:val="00AE0C8F"/>
    <w:rsid w:val="00AE2888"/>
    <w:rsid w:val="00AF2FE9"/>
    <w:rsid w:val="00B012A6"/>
    <w:rsid w:val="00B3479F"/>
    <w:rsid w:val="00B60935"/>
    <w:rsid w:val="00B82BEA"/>
    <w:rsid w:val="00B94A5B"/>
    <w:rsid w:val="00BC76FD"/>
    <w:rsid w:val="00BF491B"/>
    <w:rsid w:val="00C02A9B"/>
    <w:rsid w:val="00C071C9"/>
    <w:rsid w:val="00C1393F"/>
    <w:rsid w:val="00C159B7"/>
    <w:rsid w:val="00C42C8B"/>
    <w:rsid w:val="00C5636D"/>
    <w:rsid w:val="00C57DBE"/>
    <w:rsid w:val="00C61BD2"/>
    <w:rsid w:val="00C84E78"/>
    <w:rsid w:val="00CA0C23"/>
    <w:rsid w:val="00CA5E77"/>
    <w:rsid w:val="00CB49C8"/>
    <w:rsid w:val="00CD5E6E"/>
    <w:rsid w:val="00D22979"/>
    <w:rsid w:val="00D420B0"/>
    <w:rsid w:val="00D43536"/>
    <w:rsid w:val="00D463BF"/>
    <w:rsid w:val="00D46D75"/>
    <w:rsid w:val="00D60878"/>
    <w:rsid w:val="00DA4A70"/>
    <w:rsid w:val="00DA51DC"/>
    <w:rsid w:val="00DF5E26"/>
    <w:rsid w:val="00E03A2A"/>
    <w:rsid w:val="00E04AD6"/>
    <w:rsid w:val="00E145AF"/>
    <w:rsid w:val="00E2655B"/>
    <w:rsid w:val="00E34E28"/>
    <w:rsid w:val="00E42C5C"/>
    <w:rsid w:val="00E564D1"/>
    <w:rsid w:val="00E579F7"/>
    <w:rsid w:val="00E61976"/>
    <w:rsid w:val="00E63AE4"/>
    <w:rsid w:val="00E82217"/>
    <w:rsid w:val="00E82BF3"/>
    <w:rsid w:val="00E8354E"/>
    <w:rsid w:val="00E93916"/>
    <w:rsid w:val="00EC13D5"/>
    <w:rsid w:val="00EC3B9C"/>
    <w:rsid w:val="00F01A42"/>
    <w:rsid w:val="00F05D1D"/>
    <w:rsid w:val="00F25C12"/>
    <w:rsid w:val="00F27B44"/>
    <w:rsid w:val="00F53F2D"/>
    <w:rsid w:val="00F566CC"/>
    <w:rsid w:val="00FA6DDF"/>
    <w:rsid w:val="00FB01FA"/>
    <w:rsid w:val="00FB3190"/>
    <w:rsid w:val="00FC0170"/>
    <w:rsid w:val="00FD31C3"/>
    <w:rsid w:val="00FF10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3212]"/>
    </o:shapedefaults>
    <o:shapelayout v:ext="edit">
      <o:idmap v:ext="edit" data="1"/>
    </o:shapelayout>
  </w:shapeDefaults>
  <w:decimalSymbol w:val="."/>
  <w:listSeparator w:val=","/>
  <w14:docId w14:val="0651A0EE"/>
  <w15:chartTrackingRefBased/>
  <w15:docId w15:val="{CB3F89B7-F4FE-4BCE-91BE-40727272DC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84D0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84D0C"/>
    <w:rPr>
      <w:sz w:val="20"/>
      <w:szCs w:val="20"/>
    </w:rPr>
  </w:style>
  <w:style w:type="character" w:styleId="FootnoteReference">
    <w:name w:val="footnote reference"/>
    <w:basedOn w:val="DefaultParagraphFont"/>
    <w:uiPriority w:val="99"/>
    <w:semiHidden/>
    <w:unhideWhenUsed/>
    <w:rsid w:val="00684D0C"/>
    <w:rPr>
      <w:vertAlign w:val="superscript"/>
    </w:rPr>
  </w:style>
  <w:style w:type="character" w:styleId="Hyperlink">
    <w:name w:val="Hyperlink"/>
    <w:basedOn w:val="DefaultParagraphFont"/>
    <w:uiPriority w:val="99"/>
    <w:unhideWhenUsed/>
    <w:rsid w:val="00684D0C"/>
    <w:rPr>
      <w:color w:val="0563C1" w:themeColor="hyperlink"/>
      <w:u w:val="single"/>
    </w:rPr>
  </w:style>
  <w:style w:type="character" w:styleId="UnresolvedMention">
    <w:name w:val="Unresolved Mention"/>
    <w:basedOn w:val="DefaultParagraphFont"/>
    <w:uiPriority w:val="99"/>
    <w:semiHidden/>
    <w:unhideWhenUsed/>
    <w:rsid w:val="00684D0C"/>
    <w:rPr>
      <w:color w:val="605E5C"/>
      <w:shd w:val="clear" w:color="auto" w:fill="E1DFDD"/>
    </w:rPr>
  </w:style>
  <w:style w:type="character" w:styleId="FollowedHyperlink">
    <w:name w:val="FollowedHyperlink"/>
    <w:basedOn w:val="DefaultParagraphFont"/>
    <w:uiPriority w:val="99"/>
    <w:semiHidden/>
    <w:unhideWhenUsed/>
    <w:rsid w:val="005C2A55"/>
    <w:rPr>
      <w:color w:val="954F72" w:themeColor="followedHyperlink"/>
      <w:u w:val="single"/>
    </w:rPr>
  </w:style>
  <w:style w:type="character" w:styleId="CommentReference">
    <w:name w:val="annotation reference"/>
    <w:basedOn w:val="DefaultParagraphFont"/>
    <w:uiPriority w:val="99"/>
    <w:semiHidden/>
    <w:unhideWhenUsed/>
    <w:rsid w:val="001B44E1"/>
    <w:rPr>
      <w:sz w:val="16"/>
      <w:szCs w:val="16"/>
    </w:rPr>
  </w:style>
  <w:style w:type="paragraph" w:styleId="CommentText">
    <w:name w:val="annotation text"/>
    <w:basedOn w:val="Normal"/>
    <w:link w:val="CommentTextChar"/>
    <w:uiPriority w:val="99"/>
    <w:unhideWhenUsed/>
    <w:rsid w:val="001B44E1"/>
    <w:pPr>
      <w:spacing w:line="240" w:lineRule="auto"/>
    </w:pPr>
    <w:rPr>
      <w:sz w:val="20"/>
      <w:szCs w:val="20"/>
    </w:rPr>
  </w:style>
  <w:style w:type="character" w:customStyle="1" w:styleId="CommentTextChar">
    <w:name w:val="Comment Text Char"/>
    <w:basedOn w:val="DefaultParagraphFont"/>
    <w:link w:val="CommentText"/>
    <w:uiPriority w:val="99"/>
    <w:rsid w:val="001B44E1"/>
    <w:rPr>
      <w:sz w:val="20"/>
      <w:szCs w:val="20"/>
    </w:rPr>
  </w:style>
  <w:style w:type="paragraph" w:styleId="CommentSubject">
    <w:name w:val="annotation subject"/>
    <w:basedOn w:val="CommentText"/>
    <w:next w:val="CommentText"/>
    <w:link w:val="CommentSubjectChar"/>
    <w:uiPriority w:val="99"/>
    <w:semiHidden/>
    <w:unhideWhenUsed/>
    <w:rsid w:val="001B44E1"/>
    <w:rPr>
      <w:b/>
      <w:bCs/>
    </w:rPr>
  </w:style>
  <w:style w:type="character" w:customStyle="1" w:styleId="CommentSubjectChar">
    <w:name w:val="Comment Subject Char"/>
    <w:basedOn w:val="CommentTextChar"/>
    <w:link w:val="CommentSubject"/>
    <w:uiPriority w:val="99"/>
    <w:semiHidden/>
    <w:rsid w:val="001B44E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science.org/doi/10.1126/sciadv.abd0310"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researchgate.net/publication/312474924_People_in_Transition_Life_in_the_Malaren_Valley_from_an_Osteological_Perspective"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ationalgeographic.com/history/article/viking-warrior-woman-archaeology-spd" TargetMode="External"/><Relationship Id="rId5" Type="http://schemas.openxmlformats.org/officeDocument/2006/relationships/styles" Target="styles.xml"/><Relationship Id="rId15" Type="http://schemas.openxmlformats.org/officeDocument/2006/relationships/hyperlink" Target="https://www.smithsonianmag.com/smart-news/researchers-reaffirm-famed-ancient-viking-warrior-was-biologically-female-180971541/" TargetMode="External"/><Relationship Id="rId10" Type="http://schemas.openxmlformats.org/officeDocument/2006/relationships/hyperlink" Target="https://www.history.com/news/viking-warrior-female-gender-identity"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smithsonianmag.com/smart-news/9000-year-old-big-game-hunter-peru-prompts-questions-about-hunter-gatherer-gender-roles-180976218/"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nationalgeographic.com/history/article/viking-warrior-woman-archaeology-spd" TargetMode="External"/><Relationship Id="rId3" Type="http://schemas.openxmlformats.org/officeDocument/2006/relationships/hyperlink" Target="https://www.history.com/news/viking-warrior-female-gender-identity" TargetMode="External"/><Relationship Id="rId7" Type="http://schemas.openxmlformats.org/officeDocument/2006/relationships/hyperlink" Target="https://www.researchgate.net/publication/312474924_People_in_Transition_Life_in_the_Malaren_Valley_from_an_Osteological_Perspective" TargetMode="External"/><Relationship Id="rId12" Type="http://schemas.openxmlformats.org/officeDocument/2006/relationships/hyperlink" Target="https://www.smithsonianmag.com/smart-news/9000-year-old-big-game-hunter-peru-prompts-questions-about-hunter-gatherer-gender-roles-180976218/" TargetMode="External"/><Relationship Id="rId2" Type="http://schemas.openxmlformats.org/officeDocument/2006/relationships/hyperlink" Target="https://www.smithsonianmag.com/smart-news/researchers-reaffirm-famed-ancient-viking-warrior-was-biologically-female-180971541/" TargetMode="External"/><Relationship Id="rId1" Type="http://schemas.openxmlformats.org/officeDocument/2006/relationships/hyperlink" Target="https://www.smithsonianmag.com/smart-news/researchers-reaffirm-famed-ancient-viking-warrior-was-biologically-female-180971541/" TargetMode="External"/><Relationship Id="rId6" Type="http://schemas.openxmlformats.org/officeDocument/2006/relationships/hyperlink" Target="https://www.researchgate.net/publication/312474924_People_in_Transition_Life_in_the_Malaren_Valley_from_an_Osteological_Perspective" TargetMode="External"/><Relationship Id="rId11" Type="http://schemas.openxmlformats.org/officeDocument/2006/relationships/hyperlink" Target="https://www.smithsonianmag.com/smart-news/9000-year-old-big-game-hunter-peru-prompts-questions-about-hunter-gatherer-gender-roles-180976218/" TargetMode="External"/><Relationship Id="rId5" Type="http://schemas.openxmlformats.org/officeDocument/2006/relationships/hyperlink" Target="https://www.nationalgeographic.com/history/article/viking-warrior-woman-archaeology-spd" TargetMode="External"/><Relationship Id="rId10" Type="http://schemas.openxmlformats.org/officeDocument/2006/relationships/hyperlink" Target="https://www.smithsonianmag.com/smart-news/9000-year-old-big-game-hunter-peru-prompts-questions-about-hunter-gatherer-gender-roles-180976218/" TargetMode="External"/><Relationship Id="rId4" Type="http://schemas.openxmlformats.org/officeDocument/2006/relationships/hyperlink" Target="https://www.smithsonianmag.com/smart-news/researchers-reaffirm-famed-ancient-viking-warrior-was-biologically-female-180971541/" TargetMode="External"/><Relationship Id="rId9" Type="http://schemas.openxmlformats.org/officeDocument/2006/relationships/hyperlink" Target="https://www.science.org/doi/10.1126/sciadv.abd03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2e60ca02ec436069c361b3cbff2416ad">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8ccbeb4abeedf4ce13a6ddeca310df7"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F2C57CB-37F4-42E6-8AA4-398FD67AFC67}">
  <ds:schemaRefs>
    <ds:schemaRef ds:uri="http://schemas.openxmlformats.org/officeDocument/2006/bibliography"/>
  </ds:schemaRefs>
</ds:datastoreItem>
</file>

<file path=customXml/itemProps2.xml><?xml version="1.0" encoding="utf-8"?>
<ds:datastoreItem xmlns:ds="http://schemas.openxmlformats.org/officeDocument/2006/customXml" ds:itemID="{AF801D6A-5F4F-4A40-AE80-84061769AF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D4E3DD7-1655-4BBB-896D-D9068AB2BFC7}">
  <ds:schemaRefs>
    <ds:schemaRef ds:uri="http://schemas.microsoft.com/sharepoint/v3/contenttype/forms"/>
  </ds:schemaRefs>
</ds:datastoreItem>
</file>

<file path=customXml/itemProps4.xml><?xml version="1.0" encoding="utf-8"?>
<ds:datastoreItem xmlns:ds="http://schemas.openxmlformats.org/officeDocument/2006/customXml" ds:itemID="{0DE12E6D-7BC4-40DF-BDFE-A989AFD9954F}">
  <ds:schemaRefs>
    <ds:schemaRef ds:uri="http://www.w3.org/XML/1998/namespace"/>
    <ds:schemaRef ds:uri="http://schemas.microsoft.com/office/2006/metadata/properties"/>
    <ds:schemaRef ds:uri="http://schemas.openxmlformats.org/package/2006/metadata/core-properties"/>
    <ds:schemaRef ds:uri="http://purl.org/dc/dcmitype/"/>
    <ds:schemaRef ds:uri="http://schemas.microsoft.com/office/infopath/2007/PartnerControls"/>
    <ds:schemaRef ds:uri="http://purl.org/dc/terms/"/>
    <ds:schemaRef ds:uri="http://schemas.microsoft.com/office/2006/documentManagement/types"/>
    <ds:schemaRef ds:uri="f54e4810-f1f5-4bce-aa8e-e4722dc561be"/>
    <ds:schemaRef ds:uri="7b23fa32-4003-4364-bee1-595462966394"/>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22025</TotalTime>
  <Pages>5</Pages>
  <Words>1423</Words>
  <Characters>8115</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 Hazel Blackmore</dc:creator>
  <cp:keywords/>
  <dc:description/>
  <cp:lastModifiedBy>M Blackmore (2000676)</cp:lastModifiedBy>
  <cp:revision>176</cp:revision>
  <dcterms:created xsi:type="dcterms:W3CDTF">2022-02-28T16:13:00Z</dcterms:created>
  <dcterms:modified xsi:type="dcterms:W3CDTF">2022-03-21T15:18:00Z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