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387DB" w14:textId="77777777" w:rsidR="00002905" w:rsidRDefault="00002905" w:rsidP="00002905">
      <w:pPr>
        <w:autoSpaceDE w:val="0"/>
        <w:autoSpaceDN w:val="0"/>
        <w:adjustRightInd w:val="0"/>
        <w:spacing w:after="320" w:line="368" w:lineRule="atLeast"/>
        <w:rPr>
          <w:rFonts w:ascii="Arial" w:hAnsi="Arial" w:cs="Arial"/>
          <w:b/>
          <w:bCs/>
          <w:color w:val="000000"/>
          <w:sz w:val="32"/>
          <w:szCs w:val="32"/>
        </w:rPr>
      </w:pPr>
      <w:r>
        <w:rPr>
          <w:rFonts w:ascii="Arial" w:hAnsi="Arial" w:cs="Arial"/>
          <w:b/>
          <w:bCs/>
          <w:color w:val="000000"/>
          <w:sz w:val="32"/>
          <w:szCs w:val="32"/>
        </w:rPr>
        <w:t>A critical evaluation and the identification of next teaching and learning steps focusing on a case study of an individual learner or a group of learners, based on an observed critical incident.</w:t>
      </w:r>
    </w:p>
    <w:p w14:paraId="5EEF8DEF" w14:textId="590B33CE"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Introduction </w:t>
      </w:r>
    </w:p>
    <w:p w14:paraId="2724FE90"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5146B400" w14:textId="08D694A9"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The focus of this essay will be on assessing research and theories that seek to comprehend the holistic development of our young learners, as well as how these correspond to pupil progress. A critical incident will be examined and assessed in terms of its influence on the classroom and what can be done to improve it. The school in question is an 'English-medium mixed 11–18 comprehensive school in Cardiff. There are approximately 1,560 students enrolled, with approximately 290 in the sixth form... Around 16% of students qualify for free school meals, which is lower than the national average of 17.4%. Around 6% of students reside in the 20% of the most impoverished regions in Wales' (Estyn). In order to maintain confidentiality, in adherence with BERA </w:t>
      </w:r>
      <w:r w:rsidR="00D455A7" w:rsidRPr="00DC745F">
        <w:rPr>
          <w:rFonts w:ascii="Arial" w:hAnsi="Arial" w:cs="Arial"/>
          <w:color w:val="000000" w:themeColor="text1"/>
          <w:sz w:val="22"/>
          <w:szCs w:val="22"/>
        </w:rPr>
        <w:t>guidelines (</w:t>
      </w:r>
      <w:r w:rsidRPr="00DC745F">
        <w:rPr>
          <w:rFonts w:ascii="Arial" w:hAnsi="Arial" w:cs="Arial"/>
          <w:color w:val="000000" w:themeColor="text1"/>
          <w:sz w:val="22"/>
          <w:szCs w:val="22"/>
        </w:rPr>
        <w:t xml:space="preserve">BERA, 2019) throughout this essay the school will be refereed too as school A or just the school. </w:t>
      </w:r>
    </w:p>
    <w:p w14:paraId="20744E1A" w14:textId="614F14DF"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The aim of this work will be to explain and analyse the purpose of a critical event, discuss a critical incident observation, and ultimately give research findings into components highlighted in the observation (Tripp, 1993). A developed critical incident analysis is a pedagogical theory whose analytical methodologies enable reflection on teaching conditions, </w:t>
      </w:r>
      <w:r w:rsidR="00D455A7" w:rsidRPr="00DC745F">
        <w:rPr>
          <w:rFonts w:ascii="Arial" w:hAnsi="Arial" w:cs="Arial"/>
          <w:color w:val="000000" w:themeColor="text1"/>
          <w:sz w:val="22"/>
          <w:szCs w:val="22"/>
        </w:rPr>
        <w:t>i.e.,</w:t>
      </w:r>
      <w:r w:rsidRPr="00DC745F">
        <w:rPr>
          <w:rFonts w:ascii="Arial" w:hAnsi="Arial" w:cs="Arial"/>
          <w:color w:val="000000" w:themeColor="text1"/>
          <w:sz w:val="22"/>
          <w:szCs w:val="22"/>
        </w:rPr>
        <w:t xml:space="preserve"> the critical incident. It was developed to assist teachers in the development of their professional judgments and practises (Muhammad, 2016). A critical incident is an unexpected and unanticipated event that occurs in a classroom setting and results in a query or insight into a teaching or learning topic (Joshi, 2018). </w:t>
      </w:r>
    </w:p>
    <w:p w14:paraId="28E4F6B7"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72D997F4"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The role of critical reflection</w:t>
      </w:r>
    </w:p>
    <w:p w14:paraId="20A764C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50D2DB5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The purpose of critical reflection is to recognise, challenge, and evaluate assumptions about our knowledge and beliefs. It should investigate how we interpret an event or a problem, a belief, an emotion, or a behaviour (University of Waterloo, 2019). There are various models of reflective practice, but they all have the same basic premise: the models' major goal is to research learning in order to create useful connections between practise and theory. Each model is designed to help teachers and students achieve the highest possible learning outcomes (Teaching &amp; Learning Team, Cambridge International Education, 2019). Before Gibbs’ adaptations for a better knowledge were published in 1998, Kolb provided us the first concept of the reflective cycle in 1984.</w:t>
      </w:r>
    </w:p>
    <w:p w14:paraId="4436AF9E"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lastRenderedPageBreak/>
        <w:t> </w:t>
      </w:r>
    </w:p>
    <w:p w14:paraId="00FC0DA7" w14:textId="1058E911"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Kolb’s cycle is one of the most well-known reflective practise models. It was created to assist people in learning from their own experiences and to serve as the foundation for a reflective essay structure. Kolb’s stages of reflective practice are as follows; Concrete Experience (Experience something), Reflective Observation (Think about that experience), Abstract Conceptualism (Learn from experience), Active Experimentation (Practice a theory you've learned) (Fallin, 2021). Kolb’s cycle enables practitioners to not just reflect on their current methods of learning and </w:t>
      </w:r>
      <w:r w:rsidR="00D455A7" w:rsidRPr="00DC745F">
        <w:rPr>
          <w:rFonts w:ascii="Arial" w:hAnsi="Arial" w:cs="Arial"/>
          <w:color w:val="000000" w:themeColor="text1"/>
          <w:sz w:val="22"/>
          <w:szCs w:val="22"/>
        </w:rPr>
        <w:t>teaching but</w:t>
      </w:r>
      <w:r w:rsidRPr="00DC745F">
        <w:rPr>
          <w:rFonts w:ascii="Arial" w:hAnsi="Arial" w:cs="Arial"/>
          <w:color w:val="000000" w:themeColor="text1"/>
          <w:sz w:val="22"/>
          <w:szCs w:val="22"/>
        </w:rPr>
        <w:t xml:space="preserve"> implement positive change and progression as they do so. This helps the development of teachers and professionals by encouraging investigation into practice and aiding development by learning from others.</w:t>
      </w:r>
    </w:p>
    <w:p w14:paraId="60A47D8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2171B224" w14:textId="033F9375"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Gibbs’ reflective practise, on the other hand, demands more steps and requires deeper thought in both theory and practise. In comparison to Kolb, Gibbs’ aims to give structure to the learning experience. The cycle is as follows: a description of the experience, feelings about the experience, evaluation of the experience, analysis to understand the situation, conclusion of what you have learned/would have done differently, and finally an action plan for the future (The University of Edinburgh, 2020). This framework sets out a structured formula to allow those practising to develop their understanding </w:t>
      </w:r>
      <w:r w:rsidR="00D455A7" w:rsidRPr="00DC745F">
        <w:rPr>
          <w:rFonts w:ascii="Arial" w:hAnsi="Arial" w:cs="Arial"/>
          <w:color w:val="000000" w:themeColor="text1"/>
          <w:sz w:val="22"/>
          <w:szCs w:val="22"/>
        </w:rPr>
        <w:t>while highlighting</w:t>
      </w:r>
      <w:r w:rsidRPr="00DC745F">
        <w:rPr>
          <w:rFonts w:ascii="Arial" w:hAnsi="Arial" w:cs="Arial"/>
          <w:color w:val="000000" w:themeColor="text1"/>
          <w:sz w:val="22"/>
          <w:szCs w:val="22"/>
        </w:rPr>
        <w:t xml:space="preserve"> key areas for growth. </w:t>
      </w:r>
    </w:p>
    <w:p w14:paraId="21CBD031" w14:textId="2AD4706D"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When considering the critical incident, it's important </w:t>
      </w:r>
      <w:r w:rsidR="00D455A7" w:rsidRPr="00DC745F">
        <w:rPr>
          <w:rFonts w:ascii="Arial" w:hAnsi="Arial" w:cs="Arial"/>
          <w:color w:val="000000" w:themeColor="text1"/>
          <w:sz w:val="22"/>
          <w:szCs w:val="22"/>
        </w:rPr>
        <w:t>to keep</w:t>
      </w:r>
      <w:r w:rsidRPr="00DC745F">
        <w:rPr>
          <w:rFonts w:ascii="Arial" w:hAnsi="Arial" w:cs="Arial"/>
          <w:color w:val="000000" w:themeColor="text1"/>
          <w:sz w:val="22"/>
          <w:szCs w:val="22"/>
        </w:rPr>
        <w:t xml:space="preserve"> in mind the ongoing shift within schools as a result of the Curriculum Reform Wales. The curriculum reform created a pathway for </w:t>
      </w:r>
      <w:r w:rsidR="00D455A7" w:rsidRPr="00DC745F">
        <w:rPr>
          <w:rFonts w:ascii="Arial" w:hAnsi="Arial" w:cs="Arial"/>
          <w:color w:val="000000" w:themeColor="text1"/>
          <w:sz w:val="22"/>
          <w:szCs w:val="22"/>
        </w:rPr>
        <w:t>teacher’s</w:t>
      </w:r>
      <w:r w:rsidRPr="00DC745F">
        <w:rPr>
          <w:rFonts w:ascii="Arial" w:hAnsi="Arial" w:cs="Arial"/>
          <w:color w:val="000000" w:themeColor="text1"/>
          <w:sz w:val="22"/>
          <w:szCs w:val="22"/>
        </w:rPr>
        <w:t xml:space="preserve"> collaborative reflect a lot more than the curriculum allowed for previously. For </w:t>
      </w:r>
      <w:r w:rsidR="00D455A7" w:rsidRPr="00DC745F">
        <w:rPr>
          <w:rFonts w:ascii="Arial" w:hAnsi="Arial" w:cs="Arial"/>
          <w:color w:val="000000" w:themeColor="text1"/>
          <w:sz w:val="22"/>
          <w:szCs w:val="22"/>
        </w:rPr>
        <w:t>example,</w:t>
      </w:r>
      <w:r w:rsidRPr="00DC745F">
        <w:rPr>
          <w:rFonts w:ascii="Arial" w:hAnsi="Arial" w:cs="Arial"/>
          <w:color w:val="000000" w:themeColor="text1"/>
          <w:sz w:val="22"/>
          <w:szCs w:val="22"/>
        </w:rPr>
        <w:t xml:space="preserve"> with the new areas for learning replacing traditional subjects this leaves a wider team open to collaboration of each area, resulting in more opportunity for reflective practice.  Welsh teachers, practitioners, and corporations collaborated to develop a new curriculum. The aim being to enhance the standard of teaching and provide a revitalised framework that focuses on child development inside and outside of the education environment. The new curriculum's goal is to equip young people to achieve greater skill levels and to meet the Welsh government's four new purposes (Wales Education, n.d. 2021). </w:t>
      </w:r>
    </w:p>
    <w:p w14:paraId="22FEBBB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21746C78" w14:textId="4DB56552"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It is also important to consider the professional teaching standards, these are a set of five standards that are there to drive teaching and underpin development of the profession. This encourages the focus of reflective practice due to the importance placed on development. These standards </w:t>
      </w:r>
      <w:r w:rsidR="00D455A7" w:rsidRPr="00DC745F">
        <w:rPr>
          <w:rFonts w:ascii="Arial" w:hAnsi="Arial" w:cs="Arial"/>
          <w:color w:val="000000" w:themeColor="text1"/>
          <w:sz w:val="22"/>
          <w:szCs w:val="22"/>
        </w:rPr>
        <w:t>are</w:t>
      </w:r>
      <w:r w:rsidRPr="00DC745F">
        <w:rPr>
          <w:rFonts w:ascii="Arial" w:hAnsi="Arial" w:cs="Arial"/>
          <w:color w:val="000000" w:themeColor="text1"/>
          <w:sz w:val="22"/>
          <w:szCs w:val="22"/>
        </w:rPr>
        <w:t xml:space="preserve"> Pedagogy, Leadership, Professional Learning, Innovation and Collaboration (Welsh Government, 2019). These standards set the precedent for current and future teachers to provide the highest quality of teaching and learning. </w:t>
      </w:r>
    </w:p>
    <w:p w14:paraId="520E63C9" w14:textId="32B3EFC2"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0D16EB71"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OBSERVATION School &amp; Class context </w:t>
      </w:r>
    </w:p>
    <w:p w14:paraId="4353043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62D5E50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This observation took place in school A. Four different age groups were observed throughout the day ranging from year 7 to year 12. The school has a high standard for behaviour and has introduced many new behaviour management methods this academic year which have proved successful thus far. One of these practices came from the Teach Like A Champion Project, entitled SLANT (sit up, listen, ask and answer questions, nod your head, track the speaker). SLANT is aimed to be used by the teacher to remind the learner of the behaviour they should be executing within the classroom and the expectations they should be meeting (Teach Like A Champion Project, 2019). The school found SLANT to be effective as it was a clear way of expressing expectations across the school. </w:t>
      </w:r>
    </w:p>
    <w:p w14:paraId="42C14EE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0CFE028A" w14:textId="79814A21"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The school’s catchment is mixed including areas in which there is great wealth as well as deprivation. The group in which the critical incident occurred was a year 7 nurture group. The nurture group is a group of low-level ability pupils who need extra help. The classroom had ten </w:t>
      </w:r>
      <w:r w:rsidR="00D455A7" w:rsidRPr="00DC745F">
        <w:rPr>
          <w:rFonts w:ascii="Arial" w:hAnsi="Arial" w:cs="Arial"/>
          <w:color w:val="000000" w:themeColor="text1"/>
          <w:sz w:val="22"/>
          <w:szCs w:val="22"/>
        </w:rPr>
        <w:t>pupils and</w:t>
      </w:r>
      <w:r w:rsidRPr="00DC745F">
        <w:rPr>
          <w:rFonts w:ascii="Arial" w:hAnsi="Arial" w:cs="Arial"/>
          <w:color w:val="000000" w:themeColor="text1"/>
          <w:sz w:val="22"/>
          <w:szCs w:val="22"/>
        </w:rPr>
        <w:t xml:space="preserve"> six staff members, (myself and the class teacher included). A number of the pupils were autistic and had a 1:2 ratio of teaching assistants to pupils. This nurture group had been formed to increase skills in the lower ability learners of year 7 before they could re-join mainstream classes in year 8. The majority of the group was on a reduced timetable, but always attending to what the school deemed as the most necessary skills. </w:t>
      </w:r>
    </w:p>
    <w:p w14:paraId="07B42833"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2576EB9E"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Critical incident linked to Donaldson’s Four Purposes</w:t>
      </w:r>
    </w:p>
    <w:p w14:paraId="5E39E3F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6DEC47B6"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The critical incident was during the main segment of the lesson. The focus of the lesson was on designing a poster for Halloween and developing Microsoft Publisher skills. This linked to the four purposes by contributing to the learner’s skills of being ambitious, capable learners as well as enterprising creative contributors.  </w:t>
      </w:r>
    </w:p>
    <w:p w14:paraId="1C87F30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During the lesson the incident unfolded with two students sitting near the front of the class with a teaching assistant sat between them. The teacher explained that there should be a 1:1 pairing of staff to children, but due to staff shortages the learners were having to adapt by having 1 teacher to 2 children. The need for 1:1 was made almost instantly clear after five minutes of observation. As the teaching assistant would turn to assist the one child, the other would act up and become disruptive. However, if the teaching assistant, then turned to deal with this behaviour, the other child would display similar behaviours, thus rendering the teacher in a compromised situation. </w:t>
      </w:r>
    </w:p>
    <w:p w14:paraId="2683FCC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lastRenderedPageBreak/>
        <w:t xml:space="preserve">The young learners’ behaviours included shouting at the teacher and teaching assistant, talking back when being given instructions and point-blank refusal to do work. The teacher wasn’t able to offer much aid to the teaching assistant as they were otherwise engaged helping the other children in the room with simple tasks such as logging on and opening the program. </w:t>
      </w:r>
    </w:p>
    <w:p w14:paraId="3085744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0ACB7A2E"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The nurture group in question resembles an early idea of what could come from the new curriculum for Wales. With the focus moving away from subject-based learning and drawing more attention to areas of learning. Donaldson argues that we should not be defining learning experiences and instead be planning these learning experiences based of the purpose of what education is. Donaldson (2015) describes influences on our current curriculum being what we believe we should be teaching rather than what is relevant and authentic (Donaldson, 2015). This relates to the nurture group due to the fact each lesson is based on what skill they need to learn to improve their education and give them the best chances moving forward. </w:t>
      </w:r>
    </w:p>
    <w:p w14:paraId="3B1ADFC6"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1077717"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The nature of the reform of the curriculum is for teachers to prepare their own approach to their area of learning, much like the nurture group (Welsh Government, 2017). The main aim of this reform is to ensure all students leave school with principles that have been set out in the four purposes, and that aim for children like the ones in this particular group who are predicted Es &amp; Fs at GCSE but will still have a successful career under Donaldson’s four purposes (Taylor and Power, 2020).</w:t>
      </w:r>
    </w:p>
    <w:p w14:paraId="66705DC2"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7FC9C25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During the initial report made by Donaldson, he recommended that the school curriculum should be developed to support all children and adolescents in developing in relation to specific and agreed-upon purposes. The purposes should be designed in such a way that they can have a direct impact on curriculum, pedagogy, and assessment decisions (Welsh Government, 2017). The focus of the nurture group directly relates to this statement as each of their lessons are designed to support their development. </w:t>
      </w:r>
    </w:p>
    <w:p w14:paraId="7A31DF97"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665BAF72"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LITERATURE REVIEW</w:t>
      </w:r>
    </w:p>
    <w:p w14:paraId="6666918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07EA2EE8" w14:textId="5D91E35B"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This particular critical issue poses multiple questions that have </w:t>
      </w:r>
      <w:r w:rsidR="00D455A7" w:rsidRPr="00DC745F">
        <w:rPr>
          <w:rFonts w:ascii="Arial" w:hAnsi="Arial" w:cs="Arial"/>
          <w:color w:val="000000" w:themeColor="text1"/>
          <w:sz w:val="22"/>
          <w:szCs w:val="22"/>
        </w:rPr>
        <w:t>multi-faceted</w:t>
      </w:r>
      <w:r w:rsidRPr="00DC745F">
        <w:rPr>
          <w:rFonts w:ascii="Arial" w:hAnsi="Arial" w:cs="Arial"/>
          <w:color w:val="000000" w:themeColor="text1"/>
          <w:sz w:val="22"/>
          <w:szCs w:val="22"/>
        </w:rPr>
        <w:t xml:space="preserve"> </w:t>
      </w:r>
      <w:r w:rsidR="00D455A7" w:rsidRPr="00DC745F">
        <w:rPr>
          <w:rFonts w:ascii="Arial" w:hAnsi="Arial" w:cs="Arial"/>
          <w:color w:val="000000" w:themeColor="text1"/>
          <w:sz w:val="22"/>
          <w:szCs w:val="22"/>
        </w:rPr>
        <w:t>solutions;</w:t>
      </w:r>
      <w:r w:rsidRPr="00DC745F">
        <w:rPr>
          <w:rFonts w:ascii="Arial" w:hAnsi="Arial" w:cs="Arial"/>
          <w:color w:val="000000" w:themeColor="text1"/>
          <w:sz w:val="22"/>
          <w:szCs w:val="22"/>
        </w:rPr>
        <w:t xml:space="preserve"> </w:t>
      </w:r>
      <w:r w:rsidR="00D455A7" w:rsidRPr="00DC745F">
        <w:rPr>
          <w:rFonts w:ascii="Arial" w:hAnsi="Arial" w:cs="Arial"/>
          <w:color w:val="000000" w:themeColor="text1"/>
          <w:sz w:val="22"/>
          <w:szCs w:val="22"/>
        </w:rPr>
        <w:t>however,</w:t>
      </w:r>
      <w:r w:rsidRPr="00DC745F">
        <w:rPr>
          <w:rFonts w:ascii="Arial" w:hAnsi="Arial" w:cs="Arial"/>
          <w:color w:val="000000" w:themeColor="text1"/>
          <w:sz w:val="22"/>
          <w:szCs w:val="22"/>
        </w:rPr>
        <w:t xml:space="preserve"> they can be studied to gain a better understanding of the causes and the effects of these behaviours so they can be dealt with accordingly in the future. Classroom management is important in sustaining the highest quality of teaching for all pupils. In scenarios where there are distractions and disruptions within the classroom environment, the </w:t>
      </w:r>
      <w:r w:rsidRPr="00DC745F">
        <w:rPr>
          <w:rFonts w:ascii="Arial" w:hAnsi="Arial" w:cs="Arial"/>
          <w:color w:val="000000" w:themeColor="text1"/>
          <w:sz w:val="22"/>
          <w:szCs w:val="22"/>
        </w:rPr>
        <w:lastRenderedPageBreak/>
        <w:t xml:space="preserve">quality of teaching and learning can dramatically decrease. Recent studies have found that up to 76% of secondary school teachers’ time is engaged with controlling the disruptive behaviour of students (Infantino and Little, 2005; Bru, 2009). Research by Little (2005) found that, “55% of secondary teachers reported that they spend too much time dealing with maintaining order and control in the classroom”. </w:t>
      </w:r>
    </w:p>
    <w:p w14:paraId="3E16309B"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7453783B" w14:textId="139A3522"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Good classroom management is pivotal especially within nurture groups; nurture groups are school-based interventions that offer specialist support for children and young people with social, </w:t>
      </w:r>
      <w:r w:rsidR="00D455A7" w:rsidRPr="00DC745F">
        <w:rPr>
          <w:rFonts w:ascii="Arial" w:hAnsi="Arial" w:cs="Arial"/>
          <w:color w:val="000000" w:themeColor="text1"/>
          <w:sz w:val="22"/>
          <w:szCs w:val="22"/>
        </w:rPr>
        <w:t>emotional,</w:t>
      </w:r>
      <w:r w:rsidRPr="00DC745F">
        <w:rPr>
          <w:rFonts w:ascii="Arial" w:hAnsi="Arial" w:cs="Arial"/>
          <w:color w:val="000000" w:themeColor="text1"/>
          <w:sz w:val="22"/>
          <w:szCs w:val="22"/>
        </w:rPr>
        <w:t xml:space="preserve"> and behavioural difficulties. Practising social inclusion through these classes rather than exclusion has been shown to provide benefits such as lower rates of dropping out and higher attendance. O’Connor and Colwell (2002) conducted a longitudinal study to examine the diagnostic, developmental profiles of children made before, immediately after and two years after attending a nurture group. It was established that emotional and behavioural difficulties of nurture group children were significantly reduced when the children came to leave the nurture group, therefore enabling return to mainstream classrooms (Sanders, 2007). </w:t>
      </w:r>
    </w:p>
    <w:p w14:paraId="41386C0A"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2C95982C"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Some of the discourse revolving around these classes discusses the various characterisations of high need students and how their behaviours define them (Marzano &amp; Marzano, 2003). </w:t>
      </w:r>
    </w:p>
    <w:p w14:paraId="01FB8FFA"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2ACF21F1"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1. Passive students - fear relationships / fear failure </w:t>
      </w:r>
    </w:p>
    <w:p w14:paraId="6755F643"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2. Aggressive students - hostile/oppositional/covert</w:t>
      </w:r>
    </w:p>
    <w:p w14:paraId="67D565C5"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3. Attention - hyperactive/inattentive </w:t>
      </w:r>
    </w:p>
    <w:p w14:paraId="00AE12F5"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4. Perfectionists </w:t>
      </w:r>
    </w:p>
    <w:p w14:paraId="3119F30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5. Socially inept </w:t>
      </w:r>
    </w:p>
    <w:p w14:paraId="4B8E46D0"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(Marzano &amp; Marzano, 2003)</w:t>
      </w:r>
    </w:p>
    <w:p w14:paraId="2C3F8007"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B1F6243" w14:textId="22E2DD76"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This can help inform the best way to teach these students and which setting is going to be best for them to succeed. These nurture groups can often contain multiple pupils who fit into different categories, who all need different or specialised support, the amalgamation of pupils means that in these groups, classroom management is paramount. To be successful, the nurture group needs to be embedded into the fabric of the whole school and valued by parents, </w:t>
      </w:r>
      <w:r w:rsidR="00D455A7" w:rsidRPr="00DC745F">
        <w:rPr>
          <w:rFonts w:ascii="Arial" w:hAnsi="Arial" w:cs="Arial"/>
          <w:color w:val="000000" w:themeColor="text1"/>
          <w:sz w:val="22"/>
          <w:szCs w:val="22"/>
        </w:rPr>
        <w:t>staff,</w:t>
      </w:r>
      <w:r w:rsidRPr="00DC745F">
        <w:rPr>
          <w:rFonts w:ascii="Arial" w:hAnsi="Arial" w:cs="Arial"/>
          <w:color w:val="000000" w:themeColor="text1"/>
          <w:sz w:val="22"/>
          <w:szCs w:val="22"/>
        </w:rPr>
        <w:t xml:space="preserve"> and students alike (Colley, 2009). </w:t>
      </w:r>
    </w:p>
    <w:p w14:paraId="1E097664"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6C0F89D5"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To fully experience the positives of these nurture groups, classroom management must be heavily prioritised so as to not let these students fall behind and make mainstream </w:t>
      </w:r>
      <w:r w:rsidRPr="00DC745F">
        <w:rPr>
          <w:rFonts w:ascii="Arial" w:hAnsi="Arial" w:cs="Arial"/>
          <w:color w:val="000000" w:themeColor="text1"/>
          <w:sz w:val="22"/>
          <w:szCs w:val="22"/>
        </w:rPr>
        <w:lastRenderedPageBreak/>
        <w:t xml:space="preserve">integration more challenging. Furthermore, as examined by Kunter et al. (2007) it was found that pre-structured and well-organised learning environments may support students' interest in the subject taught by fostering the experience of autonomy and competence in class (Kunter, Baumert and Köller, 2007). Overall, this creates an environment in which pupils are more likely to be engaged and motivated to work and thus feeling more included within the wider school community.   </w:t>
      </w:r>
    </w:p>
    <w:p w14:paraId="2B27905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27DA0D7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The other side of classroom management revolves around boundaries, and the teacher’s ability to prevent undesirable behaviours, but in such a way that does not hinder motivation. As Koestner et al. (1984) have shown, setting behavioural limits in a controlling style may decrease children's intrinsic motivation (Koestner et al., 1984). Within the confines of a classroom the teacher must rely on students to regulate their own behaviour autonomously. This is achieved through the way in which the teacher communicates, as informative structured limits will receive positive reactions without the drop in motivation. </w:t>
      </w:r>
    </w:p>
    <w:p w14:paraId="734435B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ACEC937"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These frameworks need supportive teacher control in which the conditions for self-determination are set but in a way in which pupils will respond accordingly. Stage and Quiroz's meta-analysis (1997) shows the importance of there being a balance between teacher actions that provide clear consequences for unacceptable behaviour and teacher actions that recognise and reward acceptable behaviour (Carotenuto, 2011). As investigated by Kunter et al. (2007) they confirmed that self-determination theory can be applied to authentic classroom situations. This supports the evidence that effective classroom management has positive effects on students' achievement (Wang et al., 1993). The literature supports the ideology that good classroom management can have positive effects on pupils learning and motivation.</w:t>
      </w:r>
    </w:p>
    <w:p w14:paraId="0A09FAF5"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3BED306B"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Another key factor to consider is the building of strong relationships between students and teachers. Marzano’s (2003) meta-analysis indicates that on average, teachers who had high- quality relationships with their students had 31 percent fewer discipline problems, rule violations, and related problems over a year's time than did teachers who did not have high-quality relationships with their students (Marzano &amp; Marzano, 2003). The student-teacher relationship can rely on many factors and can have different outcomes dependent on the overlying actions. For example, a lack of teacher competence may indirectly impact a children's classroom adjustment, while a teacher's emotional competence may affect the emotional support they can provide thus teacher–child relationship quality (Brown et al., 2010, Tom, 2012). </w:t>
      </w:r>
    </w:p>
    <w:p w14:paraId="1567412E"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353C400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lastRenderedPageBreak/>
        <w:t xml:space="preserve">This disparity between the student and teacher is what provides space for misbehaviours. During childhood and adolescence, key aspects of development involve, and rely on, positive relationships (Damon, 1983; Hartup, 1982). This relates to self-determination as the building of trust between the teacher and student which allows for greater autonomy for both parties. This connects to the literature that states how motivation is a key by product of autonomy, this is backed up by Deci and Ryan who state that intrinsic motivation will be operative when action is experienced as autonomous (Ryan and Deci, 2020). In a 1995 review article it is also stated by Dickenson (1995) there is substantial evidence from cognitive motivational studies that learning success and enhanced motivation is conditional on learners taking responsibility for their own learning (Dickenson, 1995) </w:t>
      </w:r>
    </w:p>
    <w:p w14:paraId="6372115B"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2A10B9B6" w14:textId="125474C8"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Martin and Dowson support these ideas as they state that in the context of a student’s life, positive emotional attachments to peers, teachers, and parents promote not only healthy social, emotional, and intellectual functioning but also positive feelings of self-worth and self-esteem (Martin and Dowson, 2009). </w:t>
      </w:r>
      <w:r w:rsidR="00D455A7" w:rsidRPr="00DC745F">
        <w:rPr>
          <w:rFonts w:ascii="Arial" w:hAnsi="Arial" w:cs="Arial"/>
          <w:color w:val="000000" w:themeColor="text1"/>
          <w:sz w:val="22"/>
          <w:szCs w:val="22"/>
        </w:rPr>
        <w:t>Relationship’s</w:t>
      </w:r>
      <w:r w:rsidRPr="00DC745F">
        <w:rPr>
          <w:rFonts w:ascii="Arial" w:hAnsi="Arial" w:cs="Arial"/>
          <w:color w:val="000000" w:themeColor="text1"/>
          <w:sz w:val="22"/>
          <w:szCs w:val="22"/>
        </w:rPr>
        <w:t xml:space="preserve"> motivation theory is a good model to apply to teaching, as it highlights the importance of building and maintaining relationships and how they can have strong influences on classroom behaviours and the overall management of the classroom.</w:t>
      </w:r>
    </w:p>
    <w:p w14:paraId="5EB132F0"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4EFC0764"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An important aspect to analyse, due to the nature of the critical incident, is that of the role of the teaching assistant. In and out of the classroom, teaching assistants support educators and aid children with their educational and social development. Teaching assistants are sometimes known as learning support assistants in secondary schools (Unison, 2021) To become a teaching assistant all you need is experience working with children and good references (Prospects, 2018), this could impact the quality of the service being provided. Concerns have been expressed at the ability to manage children with additional learning needs when the teaching assistants themselves have had little to no training (Butt, 2017). Butt (2017) conducted primary research to determine whether teaching assistants should be required to have qualifications prior to entering the profession. All participants in this research agreed this should be the case as they believed that teaching assistants did not possess the knowledge of skills to full support the role. </w:t>
      </w:r>
    </w:p>
    <w:p w14:paraId="35B457E1"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5016E04C" w14:textId="1B2701D8"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Further research shows that there are a variety of educational courses offered to teaching assistants. The Welsh government are striving to provide more education for this profession. The government have set a goal to enable TAs to improve their skills and help them to commit to professional learning by facilitating clearer learning pathways including to achieving the status of </w:t>
      </w:r>
      <w:r w:rsidR="00D455A7" w:rsidRPr="00DC745F">
        <w:rPr>
          <w:rFonts w:ascii="Arial" w:hAnsi="Arial" w:cs="Arial"/>
          <w:color w:val="000000" w:themeColor="text1"/>
          <w:sz w:val="22"/>
          <w:szCs w:val="22"/>
        </w:rPr>
        <w:t>higher-level</w:t>
      </w:r>
      <w:r w:rsidRPr="00DC745F">
        <w:rPr>
          <w:rFonts w:ascii="Arial" w:hAnsi="Arial" w:cs="Arial"/>
          <w:color w:val="000000" w:themeColor="text1"/>
          <w:sz w:val="22"/>
          <w:szCs w:val="22"/>
        </w:rPr>
        <w:t xml:space="preserve"> teaching assistant. (Education Wales, 2013) </w:t>
      </w:r>
    </w:p>
    <w:p w14:paraId="18A79E0D" w14:textId="16C87645"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lastRenderedPageBreak/>
        <w:t xml:space="preserve">REFLECTION / EVALUATION &amp; NEXT STEPS </w:t>
      </w:r>
    </w:p>
    <w:p w14:paraId="08A0A88C"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66EB969" w14:textId="0A947BFD"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Reflecting upon this critical incident and comparing it to the literature provided it is evident that classroom management is a key theme.  The study mentioned earlier by Infanitino and Little (2005) informed us of the disadvantage of having disruptive behaviour in the classroom and how it takes up the majority of the lesson time. On the other </w:t>
      </w:r>
      <w:r w:rsidR="00D455A7" w:rsidRPr="00DC745F">
        <w:rPr>
          <w:rFonts w:ascii="Arial" w:hAnsi="Arial" w:cs="Arial"/>
          <w:color w:val="000000" w:themeColor="text1"/>
          <w:sz w:val="22"/>
          <w:szCs w:val="22"/>
        </w:rPr>
        <w:t>hand,</w:t>
      </w:r>
      <w:r w:rsidRPr="00DC745F">
        <w:rPr>
          <w:rFonts w:ascii="Arial" w:hAnsi="Arial" w:cs="Arial"/>
          <w:color w:val="000000" w:themeColor="text1"/>
          <w:sz w:val="22"/>
          <w:szCs w:val="22"/>
        </w:rPr>
        <w:t xml:space="preserve"> this is then causing disruption to those who need to skills from the nurture group and those who need the extra help. Contradicting this, Sanders (2007) goes onto mention that nurture groups are ideally designed to aid those with behavioural issues and have been proven to show significant changes to behaviour, however this was after two years. The school in question only implements the nurture group in year 7, it may be a suggestion to continue the class into year 8 to achieve improved behaviour.</w:t>
      </w:r>
    </w:p>
    <w:p w14:paraId="30CBAD9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0D029EB" w14:textId="7456C44B" w:rsidR="00002905" w:rsidRPr="00D455A7" w:rsidRDefault="00002905" w:rsidP="00E923C9">
      <w:pPr>
        <w:spacing w:line="360" w:lineRule="auto"/>
        <w:rPr>
          <w:rFonts w:ascii="Arial" w:eastAsia="Times New Roman" w:hAnsi="Arial" w:cs="Arial"/>
          <w:sz w:val="22"/>
          <w:szCs w:val="22"/>
          <w:lang w:eastAsia="en-GB"/>
        </w:rPr>
      </w:pPr>
      <w:r w:rsidRPr="00126701">
        <w:rPr>
          <w:rFonts w:ascii="Arial" w:hAnsi="Arial" w:cs="Arial"/>
          <w:color w:val="000000" w:themeColor="text1"/>
          <w:sz w:val="22"/>
          <w:szCs w:val="22"/>
        </w:rPr>
        <w:t xml:space="preserve">Another angle which could be considered is that of behaviour and classroom management. Marzano &amp; Marzano (2003) told us that they believe teachers should understand a student’s characteristics and needs before letting behaviour define them. The nurture group could be being used as a tool to remove disruptive students </w:t>
      </w:r>
      <w:r w:rsidR="00E923C9" w:rsidRPr="00126701">
        <w:rPr>
          <w:rFonts w:ascii="Arial" w:eastAsia="Times New Roman" w:hAnsi="Arial" w:cs="Arial"/>
          <w:color w:val="000000"/>
          <w:sz w:val="22"/>
          <w:szCs w:val="22"/>
          <w:shd w:val="clear" w:color="auto" w:fill="FFFFFF"/>
          <w:lang w:eastAsia="en-GB"/>
        </w:rPr>
        <w:t>(Grossman, 2004)</w:t>
      </w:r>
      <w:r w:rsidR="00E923C9" w:rsidRPr="00126701">
        <w:rPr>
          <w:rFonts w:ascii="Arial" w:eastAsia="Times New Roman" w:hAnsi="Arial" w:cs="Arial"/>
          <w:sz w:val="22"/>
          <w:szCs w:val="22"/>
          <w:lang w:eastAsia="en-GB"/>
        </w:rPr>
        <w:t xml:space="preserve"> </w:t>
      </w:r>
      <w:r w:rsidRPr="00126701">
        <w:rPr>
          <w:rFonts w:ascii="Arial" w:hAnsi="Arial" w:cs="Arial"/>
          <w:color w:val="000000" w:themeColor="text1"/>
          <w:sz w:val="22"/>
          <w:szCs w:val="22"/>
        </w:rPr>
        <w:t xml:space="preserve">or those who need extra help from </w:t>
      </w:r>
      <w:r w:rsidR="00D455A7" w:rsidRPr="00126701">
        <w:rPr>
          <w:rFonts w:ascii="Arial" w:hAnsi="Arial" w:cs="Arial"/>
          <w:color w:val="000000" w:themeColor="text1"/>
          <w:sz w:val="22"/>
          <w:szCs w:val="22"/>
        </w:rPr>
        <w:t>mainstream</w:t>
      </w:r>
      <w:r w:rsidRPr="00126701">
        <w:rPr>
          <w:rFonts w:ascii="Arial" w:hAnsi="Arial" w:cs="Arial"/>
          <w:color w:val="000000" w:themeColor="text1"/>
          <w:sz w:val="22"/>
          <w:szCs w:val="22"/>
        </w:rPr>
        <w:t xml:space="preserve"> lessons in order to avoid the disturbance to those working at a higher level in the classroom. Marzano &amp; Marzano (2003) believe if we explore the needs of the learner deeper, we may come to understand their behaviour pattern and how we best go forward with educating them in a way that will be successful. Kunter, Baumert and Köller (2007) argue that if the learning environment is well structured and organised then the behaviour in the classroom will reflect this. They agree that the management within the classroom supported by clear objectives, and positive reinforcement is paramount to ensuring these students get the additional education that they should be receiving from this group. </w:t>
      </w:r>
      <w:r w:rsidR="00126701" w:rsidRPr="00126701">
        <w:rPr>
          <w:rFonts w:ascii="Arial" w:eastAsia="Times New Roman" w:hAnsi="Arial" w:cs="Arial"/>
          <w:color w:val="000000"/>
          <w:sz w:val="22"/>
          <w:szCs w:val="22"/>
          <w:shd w:val="clear" w:color="auto" w:fill="FFFFFF"/>
          <w:lang w:eastAsia="en-GB"/>
        </w:rPr>
        <w:t>(Morgan and Ellis, 2011, p.53)</w:t>
      </w:r>
    </w:p>
    <w:p w14:paraId="1CE4D39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196430A" w14:textId="10B4E039"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Colley (2009) discusses how these pupils should be amalgamated back into mainstream classes and argues that the success of the nurture class will show with this merge. The successful amalgamation is down to the classroom management that has been implemented and making sure this aligns with the rest of the school. It would be argued that the nurture group in focus today is kept separate from the majority of the student body, with a reduced timetable and having a separate base they can access at lunch </w:t>
      </w:r>
      <w:r w:rsidR="00D455A7" w:rsidRPr="00DC745F">
        <w:rPr>
          <w:rFonts w:ascii="Arial" w:hAnsi="Arial" w:cs="Arial"/>
          <w:color w:val="000000" w:themeColor="text1"/>
          <w:sz w:val="22"/>
          <w:szCs w:val="22"/>
        </w:rPr>
        <w:t>times. This</w:t>
      </w:r>
      <w:r w:rsidRPr="00DC745F">
        <w:rPr>
          <w:rFonts w:ascii="Arial" w:hAnsi="Arial" w:cs="Arial"/>
          <w:color w:val="000000" w:themeColor="text1"/>
          <w:sz w:val="22"/>
          <w:szCs w:val="22"/>
        </w:rPr>
        <w:t xml:space="preserve"> could hinder their transition back into mainstream.</w:t>
      </w:r>
    </w:p>
    <w:p w14:paraId="4C96A1C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49C97CFA"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Koestner et al (1984) provides the additional point of boundaries and the importance of classroom boundaries to avoid undesirable behaviours without hindering motivation. He </w:t>
      </w:r>
      <w:r w:rsidRPr="00DC745F">
        <w:rPr>
          <w:rFonts w:ascii="Arial" w:hAnsi="Arial" w:cs="Arial"/>
          <w:color w:val="000000" w:themeColor="text1"/>
          <w:sz w:val="22"/>
          <w:szCs w:val="22"/>
        </w:rPr>
        <w:lastRenderedPageBreak/>
        <w:t xml:space="preserve">suggested that teachers should be encouraging pupils to monitor their own behaviour. Unfortunately, this is something that is not happening for the class in question, due to the nature of the class, behaviour structures are much more lenient, often not implementing the school procedure of SLANT (Teach Like A Champion Project, 2019). Koestner’s et al (1984) research offers the solution that the lack of consistency could be the reasoning behind the disruptive behaviour. </w:t>
      </w:r>
    </w:p>
    <w:p w14:paraId="51CC5E4F"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284ACE3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A suggestion for behaviour management was given by Carotenuto (2011), on the importance of teacher actions and being defined on negative punishments and positive rewards. The importance of authenticity was also stressed due to the positive effects on classroom behaviour (Wang et al, 1993). During this nurture class specifically, no consequences were given for the disruption. The class teacher as well as the teaching assistant asked both pupils to mind their behaviour but there was no follow up, only threats of a detention, which were not enforced and thus undermining their own behaviour policies. </w:t>
      </w:r>
    </w:p>
    <w:p w14:paraId="58D62C2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2B68F75D"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The other variable in the incident is the teaching assistant.  It was not their fault that the school was understaffed. This incident may have been handled better had the teaching assistants in the room had training in teaching basics such as behaviour management and classroom management. Pastoral training could be beneficial to connect with the pupils and aid the motivation and trust mentioned by Marzano &amp; Marzano (2003).</w:t>
      </w:r>
    </w:p>
    <w:p w14:paraId="74E675C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48419967" w14:textId="5BB9C923" w:rsidR="00002905"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CONCLUSION </w:t>
      </w:r>
    </w:p>
    <w:p w14:paraId="016633D0" w14:textId="77777777" w:rsidR="00126701" w:rsidRPr="00DC745F" w:rsidRDefault="00126701" w:rsidP="00E923C9">
      <w:pPr>
        <w:autoSpaceDE w:val="0"/>
        <w:autoSpaceDN w:val="0"/>
        <w:adjustRightInd w:val="0"/>
        <w:spacing w:line="360" w:lineRule="auto"/>
        <w:rPr>
          <w:rFonts w:ascii="Arial" w:hAnsi="Arial" w:cs="Arial"/>
          <w:color w:val="000000" w:themeColor="text1"/>
          <w:sz w:val="22"/>
          <w:szCs w:val="22"/>
        </w:rPr>
      </w:pPr>
    </w:p>
    <w:p w14:paraId="17A6E826"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In this section, provide an assessment and summary of the approach you have taken. It is important that you link your approach to the role of the reflective practitioner in Wales and the new Professional Standards for Teaching and Leadership. </w:t>
      </w:r>
    </w:p>
    <w:p w14:paraId="7924CA93"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37C6244" w14:textId="723D6C11"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This research has used the critical incident as an initial point for further research.  The observed critical incident has enabled the researcher to develop a broader understanding of the critical reflection, how it is developed and how it challenges what we think we already know. This research aided the understanding of the different models of reflection the differences between Kolb and Gibbs, clearly showing when would be best to use either one. Further research has given an insight into nurture groups and how they are practised across the country. That research helped gain an insightful understanding of </w:t>
      </w:r>
      <w:r w:rsidR="00D455A7" w:rsidRPr="00DC745F">
        <w:rPr>
          <w:rFonts w:ascii="Arial" w:hAnsi="Arial" w:cs="Arial"/>
          <w:color w:val="000000" w:themeColor="text1"/>
          <w:sz w:val="22"/>
          <w:szCs w:val="22"/>
        </w:rPr>
        <w:t>Donaldson ‘</w:t>
      </w:r>
      <w:r w:rsidRPr="00DC745F">
        <w:rPr>
          <w:rFonts w:ascii="Arial" w:hAnsi="Arial" w:cs="Arial"/>
          <w:color w:val="000000" w:themeColor="text1"/>
          <w:sz w:val="22"/>
          <w:szCs w:val="22"/>
        </w:rPr>
        <w:t xml:space="preserve">s process of creating the new curriculum for Wales and about understanding of the importance authentic learning and the best way to conduct these nurture groups. Research also </w:t>
      </w:r>
      <w:r w:rsidR="00D455A7" w:rsidRPr="00DC745F">
        <w:rPr>
          <w:rFonts w:ascii="Arial" w:hAnsi="Arial" w:cs="Arial"/>
          <w:color w:val="000000" w:themeColor="text1"/>
          <w:sz w:val="22"/>
          <w:szCs w:val="22"/>
        </w:rPr>
        <w:t>delves</w:t>
      </w:r>
      <w:r w:rsidRPr="00DC745F">
        <w:rPr>
          <w:rFonts w:ascii="Arial" w:hAnsi="Arial" w:cs="Arial"/>
          <w:color w:val="000000" w:themeColor="text1"/>
          <w:sz w:val="22"/>
          <w:szCs w:val="22"/>
        </w:rPr>
        <w:t xml:space="preserve"> into classroom management positive relationships and the role of the teaching assistant. A </w:t>
      </w:r>
      <w:r w:rsidRPr="00DC745F">
        <w:rPr>
          <w:rFonts w:ascii="Arial" w:hAnsi="Arial" w:cs="Arial"/>
          <w:color w:val="000000" w:themeColor="text1"/>
          <w:sz w:val="22"/>
          <w:szCs w:val="22"/>
        </w:rPr>
        <w:lastRenderedPageBreak/>
        <w:t xml:space="preserve">deeper understanding has been accomplished into teaching assistances and how we can improve their practice. </w:t>
      </w:r>
    </w:p>
    <w:p w14:paraId="25D27DBB"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72E3D29" w14:textId="7E5AD852"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It is noted that the critical incident can only be regarded as a ‘snapshot’ due to the </w:t>
      </w:r>
      <w:r w:rsidR="00D455A7" w:rsidRPr="00DC745F">
        <w:rPr>
          <w:rFonts w:ascii="Arial" w:hAnsi="Arial" w:cs="Arial"/>
          <w:color w:val="000000" w:themeColor="text1"/>
          <w:sz w:val="22"/>
          <w:szCs w:val="22"/>
        </w:rPr>
        <w:t>brevity</w:t>
      </w:r>
      <w:r w:rsidRPr="00DC745F">
        <w:rPr>
          <w:rFonts w:ascii="Arial" w:hAnsi="Arial" w:cs="Arial"/>
          <w:color w:val="000000" w:themeColor="text1"/>
          <w:sz w:val="22"/>
          <w:szCs w:val="22"/>
        </w:rPr>
        <w:t xml:space="preserve">.  Factors such as other pupils in the classroom and the events leading up to the event </w:t>
      </w:r>
      <w:r w:rsidR="00D455A7" w:rsidRPr="00DC745F">
        <w:rPr>
          <w:rFonts w:ascii="Arial" w:hAnsi="Arial" w:cs="Arial"/>
          <w:color w:val="000000" w:themeColor="text1"/>
          <w:sz w:val="22"/>
          <w:szCs w:val="22"/>
        </w:rPr>
        <w:t>cannot</w:t>
      </w:r>
      <w:r w:rsidRPr="00DC745F">
        <w:rPr>
          <w:rFonts w:ascii="Arial" w:hAnsi="Arial" w:cs="Arial"/>
          <w:color w:val="000000" w:themeColor="text1"/>
          <w:sz w:val="22"/>
          <w:szCs w:val="22"/>
        </w:rPr>
        <w:t xml:space="preserve"> be commented on as a result.  The process has enabled the researcher to reflect on profession practice, reviewing themselves and gain a deeper understanding into how to best do this under the new curriculum for Wales. It also demonstrates that the new teacher is working towards developing professional development and pedagogy of the Professional Standards for </w:t>
      </w:r>
      <w:r w:rsidR="00D455A7">
        <w:rPr>
          <w:rFonts w:ascii="Arial" w:hAnsi="Arial" w:cs="Arial"/>
          <w:color w:val="000000" w:themeColor="text1"/>
          <w:sz w:val="22"/>
          <w:szCs w:val="22"/>
        </w:rPr>
        <w:t>teaching</w:t>
      </w:r>
      <w:r w:rsidRPr="00DC745F">
        <w:rPr>
          <w:rFonts w:ascii="Arial" w:hAnsi="Arial" w:cs="Arial"/>
          <w:color w:val="000000" w:themeColor="text1"/>
          <w:sz w:val="22"/>
          <w:szCs w:val="22"/>
        </w:rPr>
        <w:t xml:space="preserve"> and </w:t>
      </w:r>
      <w:r w:rsidR="00D455A7">
        <w:rPr>
          <w:rFonts w:ascii="Arial" w:hAnsi="Arial" w:cs="Arial"/>
          <w:color w:val="000000" w:themeColor="text1"/>
          <w:sz w:val="22"/>
          <w:szCs w:val="22"/>
        </w:rPr>
        <w:t>learning</w:t>
      </w:r>
      <w:r w:rsidRPr="00DC745F">
        <w:rPr>
          <w:rFonts w:ascii="Arial" w:hAnsi="Arial" w:cs="Arial"/>
          <w:color w:val="000000" w:themeColor="text1"/>
          <w:sz w:val="22"/>
          <w:szCs w:val="22"/>
        </w:rPr>
        <w:t>.</w:t>
      </w:r>
    </w:p>
    <w:p w14:paraId="63ED19A5"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19FDC149"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p>
    <w:p w14:paraId="36ECC80A" w14:textId="77777777"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w:t>
      </w:r>
    </w:p>
    <w:p w14:paraId="34C2FC27" w14:textId="3C01B2BA" w:rsidR="00002905" w:rsidRPr="00DC745F" w:rsidRDefault="00002905" w:rsidP="00E923C9">
      <w:pPr>
        <w:autoSpaceDE w:val="0"/>
        <w:autoSpaceDN w:val="0"/>
        <w:adjustRightInd w:val="0"/>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APPENDICES</w:t>
      </w:r>
      <w:r w:rsidR="00DC745F">
        <w:rPr>
          <w:rFonts w:ascii="Arial" w:hAnsi="Arial" w:cs="Arial"/>
          <w:color w:val="000000" w:themeColor="text1"/>
          <w:sz w:val="22"/>
          <w:szCs w:val="22"/>
        </w:rPr>
        <w:t>:</w:t>
      </w:r>
    </w:p>
    <w:p w14:paraId="5BDAB5DF" w14:textId="5374EC81" w:rsidR="00396432" w:rsidRPr="00DC745F" w:rsidRDefault="00002905"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Include your annotated lesson observation sheets and your four Critical Incident reflection sheets. It is considered good practice to cross-reference so that you refer to your numbered appendices in the body of the assignment.</w:t>
      </w:r>
    </w:p>
    <w:p w14:paraId="47A201C8" w14:textId="2D2B253B" w:rsidR="00336921" w:rsidRPr="00DC745F" w:rsidRDefault="00336921" w:rsidP="00E923C9">
      <w:pPr>
        <w:spacing w:line="360" w:lineRule="auto"/>
        <w:rPr>
          <w:rFonts w:ascii="Arial" w:hAnsi="Arial" w:cs="Arial"/>
          <w:color w:val="000000" w:themeColor="text1"/>
          <w:sz w:val="22"/>
          <w:szCs w:val="22"/>
        </w:rPr>
      </w:pPr>
    </w:p>
    <w:p w14:paraId="6B401E86" w14:textId="33680151"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Lesson observation notes:</w:t>
      </w:r>
    </w:p>
    <w:p w14:paraId="4EED467D" w14:textId="0E7F984D"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Class entered in dribs and drabs, </w:t>
      </w:r>
      <w:r w:rsidR="00D455A7" w:rsidRPr="00DC745F">
        <w:rPr>
          <w:rFonts w:ascii="Arial" w:hAnsi="Arial" w:cs="Arial"/>
          <w:color w:val="000000" w:themeColor="text1"/>
          <w:sz w:val="22"/>
          <w:szCs w:val="22"/>
        </w:rPr>
        <w:t>TAs</w:t>
      </w:r>
      <w:r w:rsidRPr="00DC745F">
        <w:rPr>
          <w:rFonts w:ascii="Arial" w:hAnsi="Arial" w:cs="Arial"/>
          <w:color w:val="000000" w:themeColor="text1"/>
          <w:sz w:val="22"/>
          <w:szCs w:val="22"/>
        </w:rPr>
        <w:t xml:space="preserve"> with them. Only approximately 10 pupils in class. </w:t>
      </w:r>
    </w:p>
    <w:p w14:paraId="7FB5FBAE"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Few TA’s out due to illness but approximately 6 in lesson. </w:t>
      </w:r>
    </w:p>
    <w:p w14:paraId="03852CFD" w14:textId="77777777" w:rsidR="00336921" w:rsidRPr="00DC745F" w:rsidRDefault="00336921" w:rsidP="00E923C9">
      <w:pPr>
        <w:spacing w:line="360" w:lineRule="auto"/>
        <w:rPr>
          <w:rFonts w:ascii="Arial" w:hAnsi="Arial" w:cs="Arial"/>
          <w:color w:val="000000" w:themeColor="text1"/>
          <w:sz w:val="22"/>
          <w:szCs w:val="22"/>
        </w:rPr>
      </w:pPr>
    </w:p>
    <w:p w14:paraId="271B933E"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In first instance majority didn’t know passwords or how to log on, this took a big chuck of the lesson to go around and help each pupil. </w:t>
      </w:r>
    </w:p>
    <w:p w14:paraId="67EC873D" w14:textId="77777777" w:rsidR="00336921" w:rsidRPr="00DC745F" w:rsidRDefault="00336921" w:rsidP="00E923C9">
      <w:pPr>
        <w:spacing w:line="360" w:lineRule="auto"/>
        <w:rPr>
          <w:rFonts w:ascii="Arial" w:hAnsi="Arial" w:cs="Arial"/>
          <w:color w:val="000000" w:themeColor="text1"/>
          <w:sz w:val="22"/>
          <w:szCs w:val="22"/>
        </w:rPr>
      </w:pPr>
    </w:p>
    <w:p w14:paraId="780D2791"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Task was to create a poster on Microsoft Publisher for Halloween. This was explained to the pupils and demonstrated how to do certain skills. </w:t>
      </w:r>
    </w:p>
    <w:p w14:paraId="2BB3E1E9" w14:textId="77777777" w:rsidR="00336921" w:rsidRPr="00DC745F" w:rsidRDefault="00336921" w:rsidP="00E923C9">
      <w:pPr>
        <w:spacing w:line="360" w:lineRule="auto"/>
        <w:rPr>
          <w:rFonts w:ascii="Arial" w:hAnsi="Arial" w:cs="Arial"/>
          <w:color w:val="000000" w:themeColor="text1"/>
          <w:sz w:val="22"/>
          <w:szCs w:val="22"/>
        </w:rPr>
      </w:pPr>
    </w:p>
    <w:p w14:paraId="2EEE616A"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Once they started to work independently this is where things started going wrong.</w:t>
      </w:r>
    </w:p>
    <w:p w14:paraId="0A1BFB13" w14:textId="77777777" w:rsidR="00336921" w:rsidRPr="00DC745F" w:rsidRDefault="00336921" w:rsidP="00E923C9">
      <w:pPr>
        <w:spacing w:line="360" w:lineRule="auto"/>
        <w:rPr>
          <w:rFonts w:ascii="Arial" w:hAnsi="Arial" w:cs="Arial"/>
          <w:color w:val="000000" w:themeColor="text1"/>
          <w:sz w:val="22"/>
          <w:szCs w:val="22"/>
        </w:rPr>
      </w:pPr>
    </w:p>
    <w:p w14:paraId="6E7BBA07"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 xml:space="preserve">Two students with one TA sat between them were causing disruption whenever the TA would work with the other. They would distract others in the class, talk back and shout. </w:t>
      </w:r>
    </w:p>
    <w:p w14:paraId="1B9C8C3E" w14:textId="77777777" w:rsidR="00336921" w:rsidRPr="00DC745F" w:rsidRDefault="00336921" w:rsidP="00E923C9">
      <w:pPr>
        <w:spacing w:line="360" w:lineRule="auto"/>
        <w:rPr>
          <w:rFonts w:ascii="Arial" w:hAnsi="Arial" w:cs="Arial"/>
          <w:color w:val="000000" w:themeColor="text1"/>
          <w:sz w:val="22"/>
          <w:szCs w:val="22"/>
        </w:rPr>
      </w:pPr>
    </w:p>
    <w:p w14:paraId="5FBCD700"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The teacher would attempt to control their behaviour but almost every child in the class had something they needed help with which left the teacher preoccupied as the TA’s did not possess the correct skills for the task.</w:t>
      </w:r>
    </w:p>
    <w:p w14:paraId="6A9108D8" w14:textId="77777777" w:rsidR="00336921" w:rsidRPr="00DC745F" w:rsidRDefault="00336921" w:rsidP="00E923C9">
      <w:pPr>
        <w:spacing w:line="360" w:lineRule="auto"/>
        <w:rPr>
          <w:rFonts w:ascii="Arial" w:hAnsi="Arial" w:cs="Arial"/>
          <w:color w:val="000000" w:themeColor="text1"/>
          <w:sz w:val="22"/>
          <w:szCs w:val="22"/>
        </w:rPr>
      </w:pPr>
    </w:p>
    <w:p w14:paraId="590D2B3F"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lastRenderedPageBreak/>
        <w:t xml:space="preserve">Both pupils were given warnings but not followed through and bad behaviour continued for the rest of the lesson. </w:t>
      </w:r>
    </w:p>
    <w:p w14:paraId="6940F57D" w14:textId="77777777" w:rsidR="00336921" w:rsidRPr="00DC745F" w:rsidRDefault="00336921" w:rsidP="00E923C9">
      <w:pPr>
        <w:spacing w:line="360" w:lineRule="auto"/>
        <w:rPr>
          <w:rFonts w:ascii="Arial" w:hAnsi="Arial" w:cs="Arial"/>
          <w:color w:val="000000" w:themeColor="text1"/>
          <w:sz w:val="22"/>
          <w:szCs w:val="22"/>
        </w:rPr>
      </w:pPr>
    </w:p>
    <w:p w14:paraId="7C16A1EF"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It was explained that the two students were supposed to have 1:1 but due to staff shortages they were working with 1:2</w:t>
      </w:r>
    </w:p>
    <w:p w14:paraId="0B4F52C0" w14:textId="77777777" w:rsidR="00336921" w:rsidRPr="00DC745F" w:rsidRDefault="00336921" w:rsidP="00E923C9">
      <w:pPr>
        <w:spacing w:line="360" w:lineRule="auto"/>
        <w:rPr>
          <w:rFonts w:ascii="Arial" w:hAnsi="Arial" w:cs="Arial"/>
          <w:color w:val="000000" w:themeColor="text1"/>
          <w:sz w:val="22"/>
          <w:szCs w:val="22"/>
        </w:rPr>
      </w:pPr>
    </w:p>
    <w:p w14:paraId="7D264C37" w14:textId="77777777" w:rsidR="00336921" w:rsidRPr="00DC745F" w:rsidRDefault="00336921" w:rsidP="00E923C9">
      <w:pPr>
        <w:spacing w:line="360" w:lineRule="auto"/>
        <w:rPr>
          <w:rFonts w:ascii="Arial" w:hAnsi="Arial" w:cs="Arial"/>
          <w:color w:val="000000" w:themeColor="text1"/>
          <w:sz w:val="22"/>
          <w:szCs w:val="22"/>
        </w:rPr>
      </w:pPr>
      <w:r w:rsidRPr="00DC745F">
        <w:rPr>
          <w:rFonts w:ascii="Arial" w:hAnsi="Arial" w:cs="Arial"/>
          <w:color w:val="000000" w:themeColor="text1"/>
          <w:sz w:val="22"/>
          <w:szCs w:val="22"/>
        </w:rPr>
        <w:t>All pupils were dismissed 10 minuets early.</w:t>
      </w:r>
    </w:p>
    <w:p w14:paraId="38075DDD" w14:textId="31D68207" w:rsidR="00336921" w:rsidRDefault="00336921" w:rsidP="00002905">
      <w:pPr>
        <w:rPr>
          <w:rFonts w:ascii="Arial" w:hAnsi="Arial" w:cs="Arial"/>
          <w:color w:val="000000"/>
          <w:sz w:val="29"/>
          <w:szCs w:val="29"/>
        </w:rPr>
      </w:pPr>
    </w:p>
    <w:p w14:paraId="0D4707E2" w14:textId="79062B8F" w:rsidR="00D455A7" w:rsidRDefault="00D455A7" w:rsidP="00002905">
      <w:pPr>
        <w:rPr>
          <w:rFonts w:ascii="Arial" w:hAnsi="Arial" w:cs="Arial"/>
          <w:color w:val="000000"/>
          <w:sz w:val="29"/>
          <w:szCs w:val="29"/>
        </w:rPr>
      </w:pPr>
    </w:p>
    <w:p w14:paraId="7CC21192" w14:textId="49EA0CD5" w:rsidR="00D455A7" w:rsidRDefault="00D455A7" w:rsidP="00002905">
      <w:pPr>
        <w:rPr>
          <w:rFonts w:ascii="Arial" w:hAnsi="Arial" w:cs="Arial"/>
          <w:color w:val="000000"/>
          <w:sz w:val="22"/>
          <w:szCs w:val="22"/>
        </w:rPr>
      </w:pPr>
      <w:r>
        <w:rPr>
          <w:rFonts w:ascii="Arial" w:hAnsi="Arial" w:cs="Arial"/>
          <w:color w:val="000000"/>
          <w:sz w:val="22"/>
          <w:szCs w:val="22"/>
        </w:rPr>
        <w:t>References:</w:t>
      </w:r>
    </w:p>
    <w:p w14:paraId="32FB24F7" w14:textId="77777777" w:rsidR="00D455A7" w:rsidRPr="00D455A7" w:rsidRDefault="00D455A7" w:rsidP="00002905">
      <w:pPr>
        <w:rPr>
          <w:rFonts w:ascii="Arial" w:hAnsi="Arial" w:cs="Arial"/>
          <w:color w:val="000000"/>
          <w:sz w:val="22"/>
          <w:szCs w:val="22"/>
        </w:rPr>
      </w:pPr>
    </w:p>
    <w:p w14:paraId="1EE76D36" w14:textId="2F5562F8" w:rsidR="00DC745F" w:rsidRDefault="00DC745F" w:rsidP="00002905">
      <w:pPr>
        <w:rPr>
          <w:rFonts w:ascii="Arial" w:hAnsi="Arial" w:cs="Arial"/>
          <w:color w:val="000000"/>
          <w:sz w:val="29"/>
          <w:szCs w:val="29"/>
        </w:rPr>
      </w:pPr>
    </w:p>
    <w:p w14:paraId="588776F3"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Brown, J.L., Jones, S.M., LaRusso, M.D. and Aber, J.L. (2010). Improving classroom quality: Teacher influences and experimental impacts of the 4rs program. </w:t>
      </w:r>
      <w:r w:rsidRPr="00D455A7">
        <w:rPr>
          <w:rFonts w:ascii="Arial" w:hAnsi="Arial" w:cs="Arial"/>
          <w:i/>
          <w:iCs/>
          <w:sz w:val="22"/>
          <w:szCs w:val="22"/>
        </w:rPr>
        <w:t>Journal of Educational Psychology</w:t>
      </w:r>
      <w:r w:rsidRPr="00D455A7">
        <w:rPr>
          <w:rFonts w:ascii="Arial" w:hAnsi="Arial" w:cs="Arial"/>
          <w:sz w:val="22"/>
          <w:szCs w:val="22"/>
        </w:rPr>
        <w:t>, [online] 102(1), pp.153–167. doi:10.1037/a0018160.</w:t>
      </w:r>
    </w:p>
    <w:p w14:paraId="5FEB4016"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Butt, R. (2017). ‘Pulled in off the street’ and available: what qualifications and training do Teacher Assistants really need?. </w:t>
      </w:r>
      <w:r w:rsidRPr="00D455A7">
        <w:rPr>
          <w:rFonts w:ascii="Arial" w:hAnsi="Arial" w:cs="Arial"/>
          <w:i/>
          <w:iCs/>
          <w:sz w:val="22"/>
          <w:szCs w:val="22"/>
        </w:rPr>
        <w:t>International Journal of Inclusive Education</w:t>
      </w:r>
      <w:r w:rsidRPr="00D455A7">
        <w:rPr>
          <w:rFonts w:ascii="Arial" w:hAnsi="Arial" w:cs="Arial"/>
          <w:sz w:val="22"/>
          <w:szCs w:val="22"/>
        </w:rPr>
        <w:t>, 22(3), pp.217–234. doi:10.1080/13603116.2017.1362478.</w:t>
      </w:r>
    </w:p>
    <w:p w14:paraId="5F0676D7"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Cambridge International Education Teaching and Learning Team (2019). </w:t>
      </w:r>
      <w:r w:rsidRPr="00D455A7">
        <w:rPr>
          <w:rFonts w:ascii="Arial" w:hAnsi="Arial" w:cs="Arial"/>
          <w:i/>
          <w:iCs/>
          <w:sz w:val="22"/>
          <w:szCs w:val="22"/>
        </w:rPr>
        <w:t>Getting Started with Reflective Practice</w:t>
      </w:r>
      <w:r w:rsidRPr="00D455A7">
        <w:rPr>
          <w:rFonts w:ascii="Arial" w:hAnsi="Arial" w:cs="Arial"/>
          <w:sz w:val="22"/>
          <w:szCs w:val="22"/>
        </w:rPr>
        <w:t>. [online] Cambridge-community.org.uk. Available at: https://www.cambridge-community.org.uk/professional-development/gswrp/index.html.</w:t>
      </w:r>
    </w:p>
    <w:p w14:paraId="1609F0B2"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Carotenuto, M.R. (2011). </w:t>
      </w:r>
      <w:r w:rsidRPr="00D455A7">
        <w:rPr>
          <w:rFonts w:ascii="Arial" w:hAnsi="Arial" w:cs="Arial"/>
          <w:i/>
          <w:iCs/>
          <w:sz w:val="22"/>
          <w:szCs w:val="22"/>
        </w:rPr>
        <w:t>Pupil misbehaviour and classroom management: the impact of congruence</w:t>
      </w:r>
      <w:r w:rsidRPr="00D455A7">
        <w:rPr>
          <w:rFonts w:ascii="Arial" w:hAnsi="Arial" w:cs="Arial"/>
          <w:sz w:val="22"/>
          <w:szCs w:val="22"/>
        </w:rPr>
        <w:t>.</w:t>
      </w:r>
    </w:p>
    <w:p w14:paraId="1663A74C"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Colley, D. (2009). Nurture groups in secondary schools. </w:t>
      </w:r>
      <w:r w:rsidRPr="00D455A7">
        <w:rPr>
          <w:rFonts w:ascii="Arial" w:hAnsi="Arial" w:cs="Arial"/>
          <w:i/>
          <w:iCs/>
          <w:sz w:val="22"/>
          <w:szCs w:val="22"/>
        </w:rPr>
        <w:t>Emotional and Behavioural Difficulties</w:t>
      </w:r>
      <w:r w:rsidRPr="00D455A7">
        <w:rPr>
          <w:rFonts w:ascii="Arial" w:hAnsi="Arial" w:cs="Arial"/>
          <w:sz w:val="22"/>
          <w:szCs w:val="22"/>
        </w:rPr>
        <w:t>, 14(4), pp.291–300. doi:10.1080/13632750903303120.</w:t>
      </w:r>
    </w:p>
    <w:p w14:paraId="0815BECB"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Dickinson, L. (1995). Autonomy and motivation a literature review. </w:t>
      </w:r>
      <w:r w:rsidRPr="00D455A7">
        <w:rPr>
          <w:rFonts w:ascii="Arial" w:hAnsi="Arial" w:cs="Arial"/>
          <w:i/>
          <w:iCs/>
          <w:sz w:val="22"/>
          <w:szCs w:val="22"/>
        </w:rPr>
        <w:t>System</w:t>
      </w:r>
      <w:r w:rsidRPr="00D455A7">
        <w:rPr>
          <w:rFonts w:ascii="Arial" w:hAnsi="Arial" w:cs="Arial"/>
          <w:sz w:val="22"/>
          <w:szCs w:val="22"/>
        </w:rPr>
        <w:t>, [online] 23(2), pp.165–174. doi:10.1016/0346-251x(95)00005-5.</w:t>
      </w:r>
    </w:p>
    <w:p w14:paraId="45451D5B"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Donaldson, G. (2015). </w:t>
      </w:r>
      <w:r w:rsidRPr="00D455A7">
        <w:rPr>
          <w:rFonts w:ascii="Arial" w:hAnsi="Arial" w:cs="Arial"/>
          <w:i/>
          <w:iCs/>
          <w:sz w:val="22"/>
          <w:szCs w:val="22"/>
        </w:rPr>
        <w:t>Successful Futures Independent Review of Curriculum and Assessment Arrangements in Wales</w:t>
      </w:r>
      <w:r w:rsidRPr="00D455A7">
        <w:rPr>
          <w:rFonts w:ascii="Arial" w:hAnsi="Arial" w:cs="Arial"/>
          <w:sz w:val="22"/>
          <w:szCs w:val="22"/>
        </w:rPr>
        <w:t>. [online] pp.6 &amp; 23. Available at: https://gov.wales/sites/default/files/publications/2018-03/successful-futures.pdf.</w:t>
      </w:r>
    </w:p>
    <w:p w14:paraId="0783FAF6"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Education Wales (n.d.). </w:t>
      </w:r>
      <w:r w:rsidRPr="00D455A7">
        <w:rPr>
          <w:rFonts w:ascii="Arial" w:hAnsi="Arial" w:cs="Arial"/>
          <w:i/>
          <w:iCs/>
          <w:sz w:val="22"/>
          <w:szCs w:val="22"/>
        </w:rPr>
        <w:t>Education is changing</w:t>
      </w:r>
      <w:r w:rsidRPr="00D455A7">
        <w:rPr>
          <w:rFonts w:ascii="Arial" w:hAnsi="Arial" w:cs="Arial"/>
          <w:sz w:val="22"/>
          <w:szCs w:val="22"/>
        </w:rPr>
        <w:t>. [online] GOV.WALES. Available at: https://gov.wales/education-</w:t>
      </w:r>
      <w:r w:rsidRPr="00D455A7">
        <w:rPr>
          <w:rFonts w:ascii="Arial" w:hAnsi="Arial" w:cs="Arial"/>
          <w:sz w:val="22"/>
          <w:szCs w:val="22"/>
        </w:rPr>
        <w:lastRenderedPageBreak/>
        <w:t>changing#:~:text=The%20curriculum%20must%20prepare%20young [Accessed 4 Jun. 2022].</w:t>
      </w:r>
    </w:p>
    <w:p w14:paraId="6D3F6D1B"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Education Wales (2013). </w:t>
      </w:r>
      <w:r w:rsidRPr="00D455A7">
        <w:rPr>
          <w:rFonts w:ascii="Arial" w:hAnsi="Arial" w:cs="Arial"/>
          <w:i/>
          <w:iCs/>
          <w:sz w:val="22"/>
          <w:szCs w:val="22"/>
        </w:rPr>
        <w:t>School support staff - Hwb</w:t>
      </w:r>
      <w:r w:rsidRPr="00D455A7">
        <w:rPr>
          <w:rFonts w:ascii="Arial" w:hAnsi="Arial" w:cs="Arial"/>
          <w:sz w:val="22"/>
          <w:szCs w:val="22"/>
        </w:rPr>
        <w:t>. [online] hwb.gov.wales. Available at: https://hwb.gov.wales/professional-development/school-support-staff#:~:text=The%20Higher%20Level%20Teaching%20Assistant [Accessed 6 Jun. 2022].</w:t>
      </w:r>
    </w:p>
    <w:p w14:paraId="63694B90"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Fallin, L. (2021). </w:t>
      </w:r>
      <w:r w:rsidRPr="00D455A7">
        <w:rPr>
          <w:rFonts w:ascii="Arial" w:hAnsi="Arial" w:cs="Arial"/>
          <w:i/>
          <w:iCs/>
          <w:sz w:val="22"/>
          <w:szCs w:val="22"/>
        </w:rPr>
        <w:t>LibGuides: Reflective writing: Kolb</w:t>
      </w:r>
      <w:r w:rsidRPr="00D455A7">
        <w:rPr>
          <w:rFonts w:ascii="Arial" w:hAnsi="Arial" w:cs="Arial"/>
          <w:sz w:val="22"/>
          <w:szCs w:val="22"/>
        </w:rPr>
        <w:t>. [online] libguides.hull.ac.uk. Available at: https://libguides.hull.ac.uk/reflectivewriting/kolb.</w:t>
      </w:r>
    </w:p>
    <w:p w14:paraId="5984B578"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Gatley, J. (2020). Can the New Welsh Curriculum achieve its purposes? </w:t>
      </w:r>
      <w:r w:rsidRPr="00D455A7">
        <w:rPr>
          <w:rFonts w:ascii="Arial" w:hAnsi="Arial" w:cs="Arial"/>
          <w:i/>
          <w:iCs/>
          <w:sz w:val="22"/>
          <w:szCs w:val="22"/>
        </w:rPr>
        <w:t>The Curriculum Journal</w:t>
      </w:r>
      <w:r w:rsidRPr="00D455A7">
        <w:rPr>
          <w:rFonts w:ascii="Arial" w:hAnsi="Arial" w:cs="Arial"/>
          <w:sz w:val="22"/>
          <w:szCs w:val="22"/>
        </w:rPr>
        <w:t>, 31(2). doi:10.1002/curj.26.</w:t>
      </w:r>
    </w:p>
    <w:p w14:paraId="5332947C" w14:textId="4916FDEE"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Grossman, H. (2004). </w:t>
      </w:r>
      <w:r w:rsidRPr="00D455A7">
        <w:rPr>
          <w:rFonts w:ascii="Arial" w:hAnsi="Arial" w:cs="Arial"/>
          <w:i/>
          <w:iCs/>
          <w:sz w:val="22"/>
          <w:szCs w:val="22"/>
        </w:rPr>
        <w:t xml:space="preserve">Classroom </w:t>
      </w:r>
      <w:r w:rsidRPr="00D455A7">
        <w:rPr>
          <w:rFonts w:ascii="Arial" w:hAnsi="Arial" w:cs="Arial"/>
          <w:i/>
          <w:iCs/>
          <w:sz w:val="22"/>
          <w:szCs w:val="22"/>
        </w:rPr>
        <w:t>behaviour</w:t>
      </w:r>
      <w:r w:rsidRPr="00D455A7">
        <w:rPr>
          <w:rFonts w:ascii="Arial" w:hAnsi="Arial" w:cs="Arial"/>
          <w:i/>
          <w:iCs/>
          <w:sz w:val="22"/>
          <w:szCs w:val="22"/>
        </w:rPr>
        <w:t xml:space="preserve"> management for diverse and inclusive schools</w:t>
      </w:r>
      <w:r w:rsidRPr="00D455A7">
        <w:rPr>
          <w:rFonts w:ascii="Arial" w:hAnsi="Arial" w:cs="Arial"/>
          <w:sz w:val="22"/>
          <w:szCs w:val="22"/>
        </w:rPr>
        <w:t>. Lanham, Md.: Rowman &amp; Littlefield Publishers.</w:t>
      </w:r>
    </w:p>
    <w:p w14:paraId="5677355C"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Hwb (n.d.). </w:t>
      </w:r>
      <w:r w:rsidRPr="00D455A7">
        <w:rPr>
          <w:rFonts w:ascii="Arial" w:hAnsi="Arial" w:cs="Arial"/>
          <w:i/>
          <w:iCs/>
          <w:sz w:val="22"/>
          <w:szCs w:val="22"/>
        </w:rPr>
        <w:t>Professional development - Hwb</w:t>
      </w:r>
      <w:r w:rsidRPr="00D455A7">
        <w:rPr>
          <w:rFonts w:ascii="Arial" w:hAnsi="Arial" w:cs="Arial"/>
          <w:sz w:val="22"/>
          <w:szCs w:val="22"/>
        </w:rPr>
        <w:t>. [online] hwb.gov.wales. Available at: https://hwb.gov.wales/professional-development [Accessed 4 Jun. 2022].</w:t>
      </w:r>
    </w:p>
    <w:p w14:paraId="3646DBDF"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Infantino, J. and Little, E. (2005). Students’ Perceptions of Classroom Behaviour Problems and the Effectiveness of Different Disciplinary Methods. </w:t>
      </w:r>
      <w:r w:rsidRPr="00D455A7">
        <w:rPr>
          <w:rFonts w:ascii="Arial" w:hAnsi="Arial" w:cs="Arial"/>
          <w:i/>
          <w:iCs/>
          <w:sz w:val="22"/>
          <w:szCs w:val="22"/>
        </w:rPr>
        <w:t>Educational Psychology</w:t>
      </w:r>
      <w:r w:rsidRPr="00D455A7">
        <w:rPr>
          <w:rFonts w:ascii="Arial" w:hAnsi="Arial" w:cs="Arial"/>
          <w:sz w:val="22"/>
          <w:szCs w:val="22"/>
        </w:rPr>
        <w:t>, 25(5), pp.491–508. doi:10.1080/01443410500046549.</w:t>
      </w:r>
    </w:p>
    <w:p w14:paraId="576DBE7F"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Joshi, K.R. (2018). Critical Incidents for Teachers’ Professional Development. </w:t>
      </w:r>
      <w:r w:rsidRPr="00D455A7">
        <w:rPr>
          <w:rFonts w:ascii="Arial" w:hAnsi="Arial" w:cs="Arial"/>
          <w:i/>
          <w:iCs/>
          <w:sz w:val="22"/>
          <w:szCs w:val="22"/>
        </w:rPr>
        <w:t>Journal of NELTA Surkhet</w:t>
      </w:r>
      <w:r w:rsidRPr="00D455A7">
        <w:rPr>
          <w:rFonts w:ascii="Arial" w:hAnsi="Arial" w:cs="Arial"/>
          <w:sz w:val="22"/>
          <w:szCs w:val="22"/>
        </w:rPr>
        <w:t>, 5, pp.82–88. doi:10.3126/jns.v5i0.19493.</w:t>
      </w:r>
    </w:p>
    <w:p w14:paraId="2831E8BA" w14:textId="6664E5EB"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Koestner, R., Ryan, R.M., Bernieri, F. and Holt, K. (1984). Setting limits on children’s </w:t>
      </w:r>
      <w:r w:rsidRPr="00D455A7">
        <w:rPr>
          <w:rFonts w:ascii="Arial" w:hAnsi="Arial" w:cs="Arial"/>
          <w:sz w:val="22"/>
          <w:szCs w:val="22"/>
        </w:rPr>
        <w:t>behaviour</w:t>
      </w:r>
      <w:r w:rsidRPr="00D455A7">
        <w:rPr>
          <w:rFonts w:ascii="Arial" w:hAnsi="Arial" w:cs="Arial"/>
          <w:sz w:val="22"/>
          <w:szCs w:val="22"/>
        </w:rPr>
        <w:t xml:space="preserve">: The differential effects of controlling vs. informational styles on intrinsic motivation and creativity. </w:t>
      </w:r>
      <w:r w:rsidRPr="00D455A7">
        <w:rPr>
          <w:rFonts w:ascii="Arial" w:hAnsi="Arial" w:cs="Arial"/>
          <w:i/>
          <w:iCs/>
          <w:sz w:val="22"/>
          <w:szCs w:val="22"/>
        </w:rPr>
        <w:t>Journal of Personality</w:t>
      </w:r>
      <w:r w:rsidRPr="00D455A7">
        <w:rPr>
          <w:rFonts w:ascii="Arial" w:hAnsi="Arial" w:cs="Arial"/>
          <w:sz w:val="22"/>
          <w:szCs w:val="22"/>
        </w:rPr>
        <w:t>, [online] 52(3), pp.233–248. doi:10.1111/j.1467-6494.1984.tb00879.x.</w:t>
      </w:r>
    </w:p>
    <w:p w14:paraId="1DB9F234"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Kunter, M., Baumert, J. and Köller, O. (2007). Effective classroom management and the development of subject-related interest. </w:t>
      </w:r>
      <w:r w:rsidRPr="00D455A7">
        <w:rPr>
          <w:rFonts w:ascii="Arial" w:hAnsi="Arial" w:cs="Arial"/>
          <w:i/>
          <w:iCs/>
          <w:sz w:val="22"/>
          <w:szCs w:val="22"/>
        </w:rPr>
        <w:t>Learning and Instruction</w:t>
      </w:r>
      <w:r w:rsidRPr="00D455A7">
        <w:rPr>
          <w:rFonts w:ascii="Arial" w:hAnsi="Arial" w:cs="Arial"/>
          <w:sz w:val="22"/>
          <w:szCs w:val="22"/>
        </w:rPr>
        <w:t>, [online] 17(5), pp.494–509. doi:10.1016/j.learninstruc.2007.09.002.</w:t>
      </w:r>
    </w:p>
    <w:p w14:paraId="018D6513"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Martin, A.J. and Dowson, M. (2009). Interpersonal Relationships, Motivation, Engagement, and Achievement: Yields for Theory, Current Issues, and Educational Practice. </w:t>
      </w:r>
      <w:r w:rsidRPr="00D455A7">
        <w:rPr>
          <w:rFonts w:ascii="Arial" w:hAnsi="Arial" w:cs="Arial"/>
          <w:i/>
          <w:iCs/>
          <w:sz w:val="22"/>
          <w:szCs w:val="22"/>
        </w:rPr>
        <w:t>Review of Educational Research</w:t>
      </w:r>
      <w:r w:rsidRPr="00D455A7">
        <w:rPr>
          <w:rFonts w:ascii="Arial" w:hAnsi="Arial" w:cs="Arial"/>
          <w:sz w:val="22"/>
          <w:szCs w:val="22"/>
        </w:rPr>
        <w:t>, 79(1), pp.327–365. doi:10.3102/0034654308325583.</w:t>
      </w:r>
    </w:p>
    <w:p w14:paraId="286B3583"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Marzano, R. and Marzano, J. (2003). </w:t>
      </w:r>
      <w:r w:rsidRPr="00D455A7">
        <w:rPr>
          <w:rFonts w:ascii="Arial" w:hAnsi="Arial" w:cs="Arial"/>
          <w:i/>
          <w:iCs/>
          <w:sz w:val="22"/>
          <w:szCs w:val="22"/>
        </w:rPr>
        <w:t>The Key to Classroom Management</w:t>
      </w:r>
      <w:r w:rsidRPr="00D455A7">
        <w:rPr>
          <w:rFonts w:ascii="Arial" w:hAnsi="Arial" w:cs="Arial"/>
          <w:sz w:val="22"/>
          <w:szCs w:val="22"/>
        </w:rPr>
        <w:t>.</w:t>
      </w:r>
    </w:p>
    <w:p w14:paraId="33F0B17E"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lastRenderedPageBreak/>
        <w:t xml:space="preserve">Mohammed, R. (2016). Critical incident analysis: reflections of a teacher educator. </w:t>
      </w:r>
      <w:r w:rsidRPr="00D455A7">
        <w:rPr>
          <w:rFonts w:ascii="Arial" w:hAnsi="Arial" w:cs="Arial"/>
          <w:i/>
          <w:iCs/>
          <w:sz w:val="22"/>
          <w:szCs w:val="22"/>
        </w:rPr>
        <w:t>RESEARCH in TEACHER EDUCATION</w:t>
      </w:r>
      <w:r w:rsidRPr="00D455A7">
        <w:rPr>
          <w:rFonts w:ascii="Arial" w:hAnsi="Arial" w:cs="Arial"/>
          <w:sz w:val="22"/>
          <w:szCs w:val="22"/>
        </w:rPr>
        <w:t>, [online] 6(1), pp.25–29. Available at: https://www.uel.ac.uk/sites/default/files/6794.pdf.</w:t>
      </w:r>
    </w:p>
    <w:p w14:paraId="33D5F804"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Morgan, N.S. and Ellis, G. (2011). </w:t>
      </w:r>
      <w:r w:rsidRPr="00D455A7">
        <w:rPr>
          <w:rFonts w:ascii="Arial" w:hAnsi="Arial" w:cs="Arial"/>
          <w:i/>
          <w:iCs/>
          <w:sz w:val="22"/>
          <w:szCs w:val="22"/>
        </w:rPr>
        <w:t>A kit bag for promoting positive behaviour in the classroom</w:t>
      </w:r>
      <w:r w:rsidRPr="00D455A7">
        <w:rPr>
          <w:rFonts w:ascii="Arial" w:hAnsi="Arial" w:cs="Arial"/>
          <w:sz w:val="22"/>
          <w:szCs w:val="22"/>
        </w:rPr>
        <w:t>. London: Jessica Kingsley, p.53.</w:t>
      </w:r>
    </w:p>
    <w:p w14:paraId="32988D5B"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O’Connor, T. and Colwell, J. (2003). Research Section: The effectiveness and rationale of the ‘nurture group’ approach to helping children with emotional and behavioural difficulties remain within mainstream education. </w:t>
      </w:r>
      <w:r w:rsidRPr="00D455A7">
        <w:rPr>
          <w:rFonts w:ascii="Arial" w:hAnsi="Arial" w:cs="Arial"/>
          <w:i/>
          <w:iCs/>
          <w:sz w:val="22"/>
          <w:szCs w:val="22"/>
        </w:rPr>
        <w:t>British Journal of Special Education</w:t>
      </w:r>
      <w:r w:rsidRPr="00D455A7">
        <w:rPr>
          <w:rFonts w:ascii="Arial" w:hAnsi="Arial" w:cs="Arial"/>
          <w:sz w:val="22"/>
          <w:szCs w:val="22"/>
        </w:rPr>
        <w:t>, 29(2), pp.96–100. doi:10.1111/1467-8527.00247.</w:t>
      </w:r>
    </w:p>
    <w:p w14:paraId="21739A5D"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Prospects (2018). </w:t>
      </w:r>
      <w:r w:rsidRPr="00D455A7">
        <w:rPr>
          <w:rFonts w:ascii="Arial" w:hAnsi="Arial" w:cs="Arial"/>
          <w:i/>
          <w:iCs/>
          <w:sz w:val="22"/>
          <w:szCs w:val="22"/>
        </w:rPr>
        <w:t>How to become a teaching assistant | Prospects.ac.uk</w:t>
      </w:r>
      <w:r w:rsidRPr="00D455A7">
        <w:rPr>
          <w:rFonts w:ascii="Arial" w:hAnsi="Arial" w:cs="Arial"/>
          <w:sz w:val="22"/>
          <w:szCs w:val="22"/>
        </w:rPr>
        <w:t>. [online] Prospects.ac.uk. Available at: https://www.prospects.ac.uk/job-profiles/teaching-assistant.</w:t>
      </w:r>
    </w:p>
    <w:p w14:paraId="6AF5A9C0"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Ryan, R.M. and Deci, E.L. (2020). Intrinsic and extrinsic motivation from a self-determination theory perspective: Definitions, theory, practices, and future directions. </w:t>
      </w:r>
      <w:r w:rsidRPr="00D455A7">
        <w:rPr>
          <w:rFonts w:ascii="Arial" w:hAnsi="Arial" w:cs="Arial"/>
          <w:i/>
          <w:iCs/>
          <w:sz w:val="22"/>
          <w:szCs w:val="22"/>
        </w:rPr>
        <w:t>Contemporary Educational Psychology</w:t>
      </w:r>
      <w:r w:rsidRPr="00D455A7">
        <w:rPr>
          <w:rFonts w:ascii="Arial" w:hAnsi="Arial" w:cs="Arial"/>
          <w:sz w:val="22"/>
          <w:szCs w:val="22"/>
        </w:rPr>
        <w:t>, [online] 61(1). doi:10.1016/j.cedpsych.2020.101860.</w:t>
      </w:r>
    </w:p>
    <w:p w14:paraId="6D7E29A3"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Sanders, T. (2007). Helping Children Thrive at School: The Effectiveness of Nurture Groups. </w:t>
      </w:r>
      <w:r w:rsidRPr="00D455A7">
        <w:rPr>
          <w:rFonts w:ascii="Arial" w:hAnsi="Arial" w:cs="Arial"/>
          <w:i/>
          <w:iCs/>
          <w:sz w:val="22"/>
          <w:szCs w:val="22"/>
        </w:rPr>
        <w:t>Educational Psychology in Practice</w:t>
      </w:r>
      <w:r w:rsidRPr="00D455A7">
        <w:rPr>
          <w:rFonts w:ascii="Arial" w:hAnsi="Arial" w:cs="Arial"/>
          <w:sz w:val="22"/>
          <w:szCs w:val="22"/>
        </w:rPr>
        <w:t>, 23(1), pp.45–61. doi:10.1080/02667360601154600.</w:t>
      </w:r>
    </w:p>
    <w:p w14:paraId="1C10569E" w14:textId="51AB4332"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Stage, S.A. and Quiroz, D.R. (1997). A Meta-Analysis of Interventions to Decrease Disruptive Classroom </w:t>
      </w:r>
      <w:r w:rsidRPr="00D455A7">
        <w:rPr>
          <w:rFonts w:ascii="Arial" w:hAnsi="Arial" w:cs="Arial"/>
          <w:sz w:val="22"/>
          <w:szCs w:val="22"/>
        </w:rPr>
        <w:t>Behaviour</w:t>
      </w:r>
      <w:r w:rsidRPr="00D455A7">
        <w:rPr>
          <w:rFonts w:ascii="Arial" w:hAnsi="Arial" w:cs="Arial"/>
          <w:sz w:val="22"/>
          <w:szCs w:val="22"/>
        </w:rPr>
        <w:t xml:space="preserve"> in Public Education Settings. </w:t>
      </w:r>
      <w:r w:rsidRPr="00D455A7">
        <w:rPr>
          <w:rFonts w:ascii="Arial" w:hAnsi="Arial" w:cs="Arial"/>
          <w:i/>
          <w:iCs/>
          <w:sz w:val="22"/>
          <w:szCs w:val="22"/>
        </w:rPr>
        <w:t>School Psychology Review</w:t>
      </w:r>
      <w:r w:rsidRPr="00D455A7">
        <w:rPr>
          <w:rFonts w:ascii="Arial" w:hAnsi="Arial" w:cs="Arial"/>
          <w:sz w:val="22"/>
          <w:szCs w:val="22"/>
        </w:rPr>
        <w:t>, 26(3), pp.333–368. doi:10.1080/02796015.1997.12085871.</w:t>
      </w:r>
    </w:p>
    <w:p w14:paraId="39D79D60"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Taylor, C. and Power, S. (2020). </w:t>
      </w:r>
      <w:r w:rsidRPr="00D455A7">
        <w:rPr>
          <w:rFonts w:ascii="Arial" w:hAnsi="Arial" w:cs="Arial"/>
          <w:i/>
          <w:iCs/>
          <w:sz w:val="22"/>
          <w:szCs w:val="22"/>
        </w:rPr>
        <w:t>Re-educating the nation? The development of a new curriculum for Wales</w:t>
      </w:r>
      <w:r w:rsidRPr="00D455A7">
        <w:rPr>
          <w:rFonts w:ascii="Arial" w:hAnsi="Arial" w:cs="Arial"/>
          <w:sz w:val="22"/>
          <w:szCs w:val="22"/>
        </w:rPr>
        <w:t>. [online] Online Research @ Cardiff. Available at: https://orca.cardiff.ac.uk/id/eprint/134738/1/Taylor_Re-educating%20the%20nation.pdf.</w:t>
      </w:r>
    </w:p>
    <w:p w14:paraId="1FBD4BA3"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Teach Like A Champion Project (2019). </w:t>
      </w:r>
      <w:r w:rsidRPr="00D455A7">
        <w:rPr>
          <w:rFonts w:ascii="Arial" w:hAnsi="Arial" w:cs="Arial"/>
          <w:i/>
          <w:iCs/>
          <w:sz w:val="22"/>
          <w:szCs w:val="22"/>
        </w:rPr>
        <w:t>SLANT</w:t>
      </w:r>
      <w:r w:rsidRPr="00D455A7">
        <w:rPr>
          <w:rFonts w:ascii="Arial" w:hAnsi="Arial" w:cs="Arial"/>
          <w:sz w:val="22"/>
          <w:szCs w:val="22"/>
        </w:rPr>
        <w:t>. [online] TLAC Project. Available at: http://teachlikeachampionprojectspencer.weebly.com/slant.html.</w:t>
      </w:r>
    </w:p>
    <w:p w14:paraId="3C0B64F0"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The University of Edinburgh (2020). </w:t>
      </w:r>
      <w:r w:rsidRPr="00D455A7">
        <w:rPr>
          <w:rFonts w:ascii="Arial" w:hAnsi="Arial" w:cs="Arial"/>
          <w:i/>
          <w:iCs/>
          <w:sz w:val="22"/>
          <w:szCs w:val="22"/>
        </w:rPr>
        <w:t>Gibbs’ reflective cycle</w:t>
      </w:r>
      <w:r w:rsidRPr="00D455A7">
        <w:rPr>
          <w:rFonts w:ascii="Arial" w:hAnsi="Arial" w:cs="Arial"/>
          <w:sz w:val="22"/>
          <w:szCs w:val="22"/>
        </w:rPr>
        <w:t>. [online] The University of Edinburgh. Available at: https://www.ed.ac.uk/reflection/reflectors-toolkit/reflecting-on-experience/gibbs-reflective-cycle.</w:t>
      </w:r>
    </w:p>
    <w:p w14:paraId="1C2C11EC"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Tsouloupas, C.N., Carson, R.L., Matthews, R., Grawitch, M.J. and Barber, L.K. (2010). Exploring the association between teachers’ perceived student misbehaviour and emotional </w:t>
      </w:r>
      <w:r w:rsidRPr="00D455A7">
        <w:rPr>
          <w:rFonts w:ascii="Arial" w:hAnsi="Arial" w:cs="Arial"/>
          <w:sz w:val="22"/>
          <w:szCs w:val="22"/>
        </w:rPr>
        <w:lastRenderedPageBreak/>
        <w:t xml:space="preserve">exhaustion: the importance of teacher efficacy beliefs and emotion regulation. </w:t>
      </w:r>
      <w:r w:rsidRPr="00D455A7">
        <w:rPr>
          <w:rFonts w:ascii="Arial" w:hAnsi="Arial" w:cs="Arial"/>
          <w:i/>
          <w:iCs/>
          <w:sz w:val="22"/>
          <w:szCs w:val="22"/>
        </w:rPr>
        <w:t>Educational Psychology</w:t>
      </w:r>
      <w:r w:rsidRPr="00D455A7">
        <w:rPr>
          <w:rFonts w:ascii="Arial" w:hAnsi="Arial" w:cs="Arial"/>
          <w:sz w:val="22"/>
          <w:szCs w:val="22"/>
        </w:rPr>
        <w:t>, 30(2), pp.173–189. doi:10.1080/01443410903494460.</w:t>
      </w:r>
    </w:p>
    <w:p w14:paraId="61B85031"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Tucker, S. (2009). Perceptions and reflections on the role of the teaching assistant in the classroom environment. </w:t>
      </w:r>
      <w:r w:rsidRPr="00D455A7">
        <w:rPr>
          <w:rFonts w:ascii="Arial" w:hAnsi="Arial" w:cs="Arial"/>
          <w:i/>
          <w:iCs/>
          <w:sz w:val="22"/>
          <w:szCs w:val="22"/>
        </w:rPr>
        <w:t>Pastoral Care in Education</w:t>
      </w:r>
      <w:r w:rsidRPr="00D455A7">
        <w:rPr>
          <w:rFonts w:ascii="Arial" w:hAnsi="Arial" w:cs="Arial"/>
          <w:sz w:val="22"/>
          <w:szCs w:val="22"/>
        </w:rPr>
        <w:t>, 27(4), pp.291–300. doi:10.1080/02643940903349294.</w:t>
      </w:r>
    </w:p>
    <w:p w14:paraId="76E9503F"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Unison (n.d.). </w:t>
      </w:r>
      <w:r w:rsidRPr="00D455A7">
        <w:rPr>
          <w:rFonts w:ascii="Arial" w:hAnsi="Arial" w:cs="Arial"/>
          <w:i/>
          <w:iCs/>
          <w:sz w:val="22"/>
          <w:szCs w:val="22"/>
        </w:rPr>
        <w:t>The Teaching Assistant</w:t>
      </w:r>
      <w:r w:rsidRPr="00D455A7">
        <w:rPr>
          <w:rFonts w:ascii="Arial" w:hAnsi="Arial" w:cs="Arial"/>
          <w:sz w:val="22"/>
          <w:szCs w:val="22"/>
        </w:rPr>
        <w:t>. [online] www.skillsforschools.org.uk. Available at: http://www.skillsforschools.org.uk/roles-in-schools/teaching-assistant/.</w:t>
      </w:r>
    </w:p>
    <w:p w14:paraId="6FB88907"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University of Waterloo (2019). </w:t>
      </w:r>
      <w:r w:rsidRPr="00D455A7">
        <w:rPr>
          <w:rFonts w:ascii="Arial" w:hAnsi="Arial" w:cs="Arial"/>
          <w:i/>
          <w:iCs/>
          <w:sz w:val="22"/>
          <w:szCs w:val="22"/>
        </w:rPr>
        <w:t>Critical reflection</w:t>
      </w:r>
      <w:r w:rsidRPr="00D455A7">
        <w:rPr>
          <w:rFonts w:ascii="Arial" w:hAnsi="Arial" w:cs="Arial"/>
          <w:sz w:val="22"/>
          <w:szCs w:val="22"/>
        </w:rPr>
        <w:t>. [online] Writing and Communication Centre. Available at: https://uwaterloo.ca/writing-and-communication-centre/critical-reflection#:~:text=A%20Critical%20Reflection%20(also%20called.</w:t>
      </w:r>
    </w:p>
    <w:p w14:paraId="156DD366"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Wang, M.C., Haertel, G.D. and Walberg, H.J. (1993). Toward a Knowledge Base for School Learning. </w:t>
      </w:r>
      <w:r w:rsidRPr="00D455A7">
        <w:rPr>
          <w:rFonts w:ascii="Arial" w:hAnsi="Arial" w:cs="Arial"/>
          <w:i/>
          <w:iCs/>
          <w:sz w:val="22"/>
          <w:szCs w:val="22"/>
        </w:rPr>
        <w:t>Review of Educational Research</w:t>
      </w:r>
      <w:r w:rsidRPr="00D455A7">
        <w:rPr>
          <w:rFonts w:ascii="Arial" w:hAnsi="Arial" w:cs="Arial"/>
          <w:sz w:val="22"/>
          <w:szCs w:val="22"/>
        </w:rPr>
        <w:t>, 63(3), p.249. doi:10.2307/1170546.</w:t>
      </w:r>
    </w:p>
    <w:p w14:paraId="31539B4A" w14:textId="77777777" w:rsidR="00D455A7" w:rsidRPr="00D455A7" w:rsidRDefault="00D455A7" w:rsidP="00D455A7">
      <w:pPr>
        <w:autoSpaceDE w:val="0"/>
        <w:autoSpaceDN w:val="0"/>
        <w:adjustRightInd w:val="0"/>
        <w:spacing w:after="240" w:line="360" w:lineRule="auto"/>
        <w:rPr>
          <w:rFonts w:ascii="Arial" w:hAnsi="Arial" w:cs="Arial"/>
          <w:sz w:val="22"/>
          <w:szCs w:val="22"/>
        </w:rPr>
      </w:pPr>
      <w:r w:rsidRPr="00D455A7">
        <w:rPr>
          <w:rFonts w:ascii="Arial" w:hAnsi="Arial" w:cs="Arial"/>
          <w:sz w:val="22"/>
          <w:szCs w:val="22"/>
        </w:rPr>
        <w:t xml:space="preserve">Welsh Government (2017). </w:t>
      </w:r>
      <w:r w:rsidRPr="00D455A7">
        <w:rPr>
          <w:rFonts w:ascii="Arial" w:hAnsi="Arial" w:cs="Arial"/>
          <w:i/>
          <w:iCs/>
          <w:sz w:val="22"/>
          <w:szCs w:val="22"/>
        </w:rPr>
        <w:t>Education is changing | GOV.WALES</w:t>
      </w:r>
      <w:r w:rsidRPr="00D455A7">
        <w:rPr>
          <w:rFonts w:ascii="Arial" w:hAnsi="Arial" w:cs="Arial"/>
          <w:sz w:val="22"/>
          <w:szCs w:val="22"/>
        </w:rPr>
        <w:t>. [online] GOV.WALES. Available at: https://gov.wales/education-changing.</w:t>
      </w:r>
    </w:p>
    <w:p w14:paraId="79C2A054" w14:textId="6F79384D" w:rsidR="00DC745F" w:rsidRPr="00D455A7" w:rsidRDefault="00D455A7" w:rsidP="00D455A7">
      <w:pPr>
        <w:spacing w:line="360" w:lineRule="auto"/>
        <w:rPr>
          <w:rFonts w:ascii="Arial" w:hAnsi="Arial" w:cs="Arial"/>
          <w:color w:val="000000"/>
          <w:sz w:val="22"/>
          <w:szCs w:val="22"/>
        </w:rPr>
      </w:pPr>
      <w:r w:rsidRPr="00D455A7">
        <w:rPr>
          <w:rFonts w:ascii="Arial" w:hAnsi="Arial" w:cs="Arial"/>
          <w:sz w:val="22"/>
          <w:szCs w:val="22"/>
        </w:rPr>
        <w:t xml:space="preserve">Welsh Government (2019). </w:t>
      </w:r>
      <w:r w:rsidRPr="00D455A7">
        <w:rPr>
          <w:rFonts w:ascii="Arial" w:hAnsi="Arial" w:cs="Arial"/>
          <w:i/>
          <w:iCs/>
          <w:sz w:val="22"/>
          <w:szCs w:val="22"/>
        </w:rPr>
        <w:t>Professional Standards for Teaching and Leadership</w:t>
      </w:r>
      <w:r w:rsidRPr="00D455A7">
        <w:rPr>
          <w:rFonts w:ascii="Arial" w:hAnsi="Arial" w:cs="Arial"/>
          <w:sz w:val="22"/>
          <w:szCs w:val="22"/>
        </w:rPr>
        <w:t>. [online] Available at: https://hwb.gov.wales/api/storage/19bc948b-8a3f-41e0-944a-7bf2cadf7d18/professional-standards-for-teaching-and-leadership-interactive-pdf-for-pc.pdf.</w:t>
      </w:r>
    </w:p>
    <w:sectPr w:rsidR="00DC745F" w:rsidRPr="00D45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905"/>
    <w:rsid w:val="00002905"/>
    <w:rsid w:val="00126701"/>
    <w:rsid w:val="00240FDA"/>
    <w:rsid w:val="002D41F1"/>
    <w:rsid w:val="00336921"/>
    <w:rsid w:val="00396432"/>
    <w:rsid w:val="006E75B9"/>
    <w:rsid w:val="006F0996"/>
    <w:rsid w:val="00CC7E33"/>
    <w:rsid w:val="00D455A7"/>
    <w:rsid w:val="00DC745F"/>
    <w:rsid w:val="00E92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5FD98"/>
  <w15:chartTrackingRefBased/>
  <w15:docId w15:val="{3375F612-56DC-174A-ABEB-7ED2122C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32361">
      <w:bodyDiv w:val="1"/>
      <w:marLeft w:val="0"/>
      <w:marRight w:val="0"/>
      <w:marTop w:val="0"/>
      <w:marBottom w:val="0"/>
      <w:divBdr>
        <w:top w:val="none" w:sz="0" w:space="0" w:color="auto"/>
        <w:left w:val="none" w:sz="0" w:space="0" w:color="auto"/>
        <w:bottom w:val="none" w:sz="0" w:space="0" w:color="auto"/>
        <w:right w:val="none" w:sz="0" w:space="0" w:color="auto"/>
      </w:divBdr>
    </w:div>
    <w:div w:id="117541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84C93-CBA3-E14B-BD2A-ADCCC2DEE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4958</Words>
  <Characters>28261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Williams (2103511)</dc:creator>
  <cp:keywords/>
  <dc:description/>
  <cp:lastModifiedBy>Maisie Williams (2103511)</cp:lastModifiedBy>
  <cp:revision>2</cp:revision>
  <dcterms:created xsi:type="dcterms:W3CDTF">2022-06-07T14:10:00Z</dcterms:created>
  <dcterms:modified xsi:type="dcterms:W3CDTF">2022-06-07T14:10:00Z</dcterms:modified>
</cp:coreProperties>
</file>