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41EA34" wp14:paraId="56EDE0BD" wp14:textId="36D5E001">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UNDERSTANDING TYPE 2 DIABETES MELLITUS: AN EVIDENCE-BASED EVALUATION OF GLUCOSE HOMEOSTASIS, CELLULAR METABOLISM, BLOOD GLUCOSE MONITORING AND LIFESTYLE MANAGEMENT STRATEGIES</w:t>
      </w:r>
    </w:p>
    <w:p xmlns:wp14="http://schemas.microsoft.com/office/word/2010/wordml" w:rsidP="1641EA34" wp14:paraId="295215CC" wp14:textId="22F4B3A9">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1641EA34" w:rsidR="071B813A">
        <w:rPr>
          <w:rFonts w:ascii="Arial" w:hAnsi="Arial" w:eastAsia="Arial" w:cs="Arial"/>
          <w:b w:val="1"/>
          <w:bCs w:val="1"/>
          <w:i w:val="0"/>
          <w:iCs w:val="0"/>
          <w:caps w:val="0"/>
          <w:smallCaps w:val="0"/>
          <w:noProof w:val="0"/>
          <w:color w:val="000000" w:themeColor="text1" w:themeTint="FF" w:themeShade="FF"/>
          <w:sz w:val="22"/>
          <w:szCs w:val="22"/>
          <w:lang w:val="en-GB"/>
        </w:rPr>
        <w:t xml:space="preserve"> Salma Sultan</w:t>
      </w:r>
    </w:p>
    <w:p xmlns:wp14="http://schemas.microsoft.com/office/word/2010/wordml" w:rsidP="1641EA34" wp14:paraId="21B4FCED" wp14:textId="0AF58D93">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STUDENT NUMBER:</w:t>
      </w:r>
      <w:r w:rsidRPr="1641EA34" w:rsidR="66DAFEF1">
        <w:rPr>
          <w:rFonts w:ascii="Arial" w:hAnsi="Arial" w:eastAsia="Arial" w:cs="Arial"/>
          <w:b w:val="1"/>
          <w:bCs w:val="1"/>
          <w:i w:val="0"/>
          <w:iCs w:val="0"/>
          <w:caps w:val="0"/>
          <w:smallCaps w:val="0"/>
          <w:noProof w:val="0"/>
          <w:color w:val="000000" w:themeColor="text1" w:themeTint="FF" w:themeShade="FF"/>
          <w:sz w:val="22"/>
          <w:szCs w:val="22"/>
          <w:lang w:val="en-GB"/>
        </w:rPr>
        <w:t xml:space="preserve"> 2431994</w:t>
      </w:r>
    </w:p>
    <w:p xmlns:wp14="http://schemas.microsoft.com/office/word/2010/wordml" w:rsidP="1641EA34" wp14:paraId="129CC602" wp14:textId="30316F15">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MODULE TITLE: INTRODUCTION TO PHYSIOLOGY</w:t>
      </w:r>
    </w:p>
    <w:p xmlns:wp14="http://schemas.microsoft.com/office/word/2010/wordml" w:rsidP="1641EA34" wp14:paraId="6CDE5BD6" wp14:textId="6DE8F91C">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MODULE CODE: BMHP5023</w:t>
      </w:r>
    </w:p>
    <w:p xmlns:wp14="http://schemas.microsoft.com/office/word/2010/wordml" w:rsidP="1641EA34" wp14:paraId="729E0E6D" wp14:textId="0F7577E0">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ASSIGNMENT TITLE: CASE STUDY REPORT – TYPE 2 DIABETES</w:t>
      </w:r>
    </w:p>
    <w:p xmlns:wp14="http://schemas.microsoft.com/office/word/2010/wordml" w:rsidP="1641EA34" wp14:paraId="425CC0AA" wp14:textId="28E58B1D">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COMPONENT 1: CASE STUDY REPORT</w:t>
      </w:r>
    </w:p>
    <w:p xmlns:wp14="http://schemas.microsoft.com/office/word/2010/wordml" w:rsidP="1641EA34" wp14:paraId="66F3AC6C" wp14:textId="68815249">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1268EAE7">
        <w:rPr>
          <w:rFonts w:ascii="Arial" w:hAnsi="Arial" w:eastAsia="Arial" w:cs="Arial"/>
          <w:b w:val="1"/>
          <w:bCs w:val="1"/>
          <w:i w:val="0"/>
          <w:iCs w:val="0"/>
          <w:caps w:val="0"/>
          <w:smallCaps w:val="0"/>
          <w:noProof w:val="0"/>
          <w:color w:val="000000" w:themeColor="text1" w:themeTint="FF" w:themeShade="FF"/>
          <w:sz w:val="22"/>
          <w:szCs w:val="22"/>
          <w:lang w:val="en-GB"/>
        </w:rPr>
        <w:t>SUBMISSION DEADLINE:</w:t>
      </w:r>
      <w:r w:rsidRPr="1641EA34" w:rsidR="220BBFE6">
        <w:rPr>
          <w:rFonts w:ascii="Arial" w:hAnsi="Arial" w:eastAsia="Arial" w:cs="Arial"/>
          <w:b w:val="1"/>
          <w:bCs w:val="1"/>
          <w:i w:val="0"/>
          <w:iCs w:val="0"/>
          <w:caps w:val="0"/>
          <w:smallCaps w:val="0"/>
          <w:noProof w:val="0"/>
          <w:color w:val="000000" w:themeColor="text1" w:themeTint="FF" w:themeShade="FF"/>
          <w:sz w:val="22"/>
          <w:szCs w:val="22"/>
          <w:lang w:val="en-GB"/>
        </w:rPr>
        <w:t xml:space="preserve"> 28</w:t>
      </w:r>
      <w:r w:rsidRPr="1641EA34" w:rsidR="220BBFE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641EA34" w:rsidR="220BBFE6">
        <w:rPr>
          <w:rFonts w:ascii="Arial" w:hAnsi="Arial" w:eastAsia="Arial" w:cs="Arial"/>
          <w:b w:val="1"/>
          <w:bCs w:val="1"/>
          <w:i w:val="0"/>
          <w:iCs w:val="0"/>
          <w:caps w:val="0"/>
          <w:smallCaps w:val="0"/>
          <w:noProof w:val="0"/>
          <w:color w:val="000000" w:themeColor="text1" w:themeTint="FF" w:themeShade="FF"/>
          <w:sz w:val="22"/>
          <w:szCs w:val="22"/>
          <w:lang w:val="en-GB"/>
        </w:rPr>
        <w:t xml:space="preserve"> June 2026</w:t>
      </w:r>
    </w:p>
    <w:p xmlns:wp14="http://schemas.microsoft.com/office/word/2010/wordml" w:rsidP="1641EA34" wp14:paraId="3C2142B3" wp14:textId="1A5515CA">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20BBFE6">
        <w:rPr>
          <w:rFonts w:ascii="Arial" w:hAnsi="Arial" w:eastAsia="Arial" w:cs="Arial"/>
          <w:b w:val="1"/>
          <w:bCs w:val="1"/>
          <w:i w:val="0"/>
          <w:iCs w:val="0"/>
          <w:caps w:val="0"/>
          <w:smallCaps w:val="0"/>
          <w:noProof w:val="0"/>
          <w:color w:val="000000" w:themeColor="text1" w:themeTint="FF" w:themeShade="FF"/>
          <w:sz w:val="22"/>
          <w:szCs w:val="22"/>
          <w:lang w:val="en-GB"/>
        </w:rPr>
        <w:t>LECTURER: Robert Nartow</w:t>
      </w:r>
      <w:r w:rsidRPr="1641EA34" w:rsidR="6C123D44">
        <w:rPr>
          <w:rFonts w:ascii="Arial" w:hAnsi="Arial" w:eastAsia="Arial" w:cs="Arial"/>
          <w:b w:val="1"/>
          <w:bCs w:val="1"/>
          <w:i w:val="0"/>
          <w:iCs w:val="0"/>
          <w:caps w:val="0"/>
          <w:smallCaps w:val="0"/>
          <w:noProof w:val="0"/>
          <w:color w:val="000000" w:themeColor="text1" w:themeTint="FF" w:themeShade="FF"/>
          <w:sz w:val="22"/>
          <w:szCs w:val="22"/>
          <w:lang w:val="en-GB"/>
        </w:rPr>
        <w:t>ski</w:t>
      </w:r>
    </w:p>
    <w:p xmlns:wp14="http://schemas.microsoft.com/office/word/2010/wordml" w:rsidP="1641EA34" wp14:paraId="63386338" wp14:textId="401D8A83">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p14:paraId="6F908CC7" wp14:textId="69528962">
      <w:r>
        <w:br w:type="page"/>
      </w:r>
    </w:p>
    <w:p xmlns:wp14="http://schemas.microsoft.com/office/word/2010/wordml" w:rsidP="1641EA34" wp14:paraId="29D32201" wp14:textId="25BE040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7D70FCAA">
        <w:rPr>
          <w:rFonts w:ascii="Arial" w:hAnsi="Arial" w:eastAsia="Arial" w:cs="Arial"/>
          <w:b w:val="1"/>
          <w:bCs w:val="1"/>
          <w:i w:val="0"/>
          <w:iCs w:val="0"/>
          <w:caps w:val="0"/>
          <w:smallCaps w:val="0"/>
          <w:noProof w:val="0"/>
          <w:color w:val="000000" w:themeColor="text1" w:themeTint="FF" w:themeShade="FF"/>
          <w:sz w:val="22"/>
          <w:szCs w:val="22"/>
          <w:lang w:val="en-GB"/>
        </w:rPr>
        <w:t xml:space="preserve">Table of Contents </w:t>
      </w:r>
    </w:p>
    <w:p xmlns:wp14="http://schemas.microsoft.com/office/word/2010/wordml" w:rsidP="1641EA34" wp14:paraId="71FBA510" wp14:textId="585ABE9B">
      <w:pPr>
        <w:pStyle w:val="Normal"/>
        <w:rPr>
          <w:rFonts w:ascii="Arial" w:hAnsi="Arial" w:eastAsia="Arial" w:cs="Arial"/>
          <w:noProof w:val="0"/>
          <w:sz w:val="22"/>
          <w:szCs w:val="22"/>
          <w:lang w:val="en-GB"/>
        </w:rPr>
      </w:pP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Introduction .............................................................................................................................3 Section 1: How Blood Sugar Levels Are Maintained ..............................................................3 1.1 The Role of the Pancreas, Insulin and Glucagon .............................................................3 1.2 Insulin Resistance and the Development of Type 2 Diabetes........................................</w:t>
      </w:r>
      <w:r w:rsidRPr="1641EA34" w:rsidR="786A5B38">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4 Section 2: Oxygen, Glucose and Energy Production Through Cell Metabolism ...............</w:t>
      </w:r>
      <w:r w:rsidRPr="1641EA34" w:rsidR="4A7AE906">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4 Section 3: Blood Sugar Recording and Monitoring..................................</w:t>
      </w:r>
      <w:r w:rsidRPr="1641EA34" w:rsidR="2E87DA56">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0F1CD0D4">
        <w:rPr>
          <w:rFonts w:ascii="Arial" w:hAnsi="Arial" w:eastAsia="Arial" w:cs="Arial"/>
          <w:b w:val="0"/>
          <w:bCs w:val="0"/>
          <w:i w:val="0"/>
          <w:iCs w:val="0"/>
          <w:caps w:val="0"/>
          <w:smallCaps w:val="0"/>
          <w:noProof w:val="0"/>
          <w:color w:val="000000" w:themeColor="text1" w:themeTint="FF" w:themeShade="FF"/>
          <w:sz w:val="22"/>
          <w:szCs w:val="22"/>
          <w:lang w:val="en-GB"/>
        </w:rPr>
        <w:t>4</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 xml:space="preserve"> Section 4: Evidence-based Lifestyle Recommendations ..................................................</w:t>
      </w:r>
      <w:r w:rsidRPr="1641EA34" w:rsidR="3623BEBC">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.....5 4.1 Diet and Nutrition ........................................</w:t>
      </w:r>
      <w:r w:rsidRPr="1641EA34" w:rsidR="1F45A0DC">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.....................................................................5 4.2 Physical Activity ............................................................</w:t>
      </w:r>
      <w:r w:rsidRPr="1641EA34" w:rsidR="1AC6432C">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3176881C">
        <w:rPr>
          <w:rFonts w:ascii="Arial" w:hAnsi="Arial" w:eastAsia="Arial" w:cs="Arial"/>
          <w:b w:val="0"/>
          <w:bCs w:val="0"/>
          <w:i w:val="0"/>
          <w:iCs w:val="0"/>
          <w:caps w:val="0"/>
          <w:smallCaps w:val="0"/>
          <w:noProof w:val="0"/>
          <w:color w:val="000000" w:themeColor="text1" w:themeTint="FF" w:themeShade="FF"/>
          <w:sz w:val="22"/>
          <w:szCs w:val="22"/>
          <w:lang w:val="en-GB"/>
        </w:rPr>
        <w:t>5</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 xml:space="preserve"> 4.3 Smoking Cessation .................................................................................</w:t>
      </w:r>
      <w:r w:rsidRPr="1641EA34" w:rsidR="553E3649">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499F98B8">
        <w:rPr>
          <w:rFonts w:ascii="Arial" w:hAnsi="Arial" w:eastAsia="Arial" w:cs="Arial"/>
          <w:b w:val="0"/>
          <w:bCs w:val="0"/>
          <w:i w:val="0"/>
          <w:iCs w:val="0"/>
          <w:caps w:val="0"/>
          <w:smallCaps w:val="0"/>
          <w:noProof w:val="0"/>
          <w:color w:val="000000" w:themeColor="text1" w:themeTint="FF" w:themeShade="FF"/>
          <w:sz w:val="22"/>
          <w:szCs w:val="22"/>
          <w:lang w:val="en-GB"/>
        </w:rPr>
        <w:t>5</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 xml:space="preserve"> 4.4 Weight Management .......................................................................................................</w:t>
      </w:r>
      <w:r w:rsidRPr="1641EA34" w:rsidR="19CFC3F0">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.6 5.0 Conclusion .....................................</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5AD36F80">
        <w:rPr>
          <w:rFonts w:ascii="Arial" w:hAnsi="Arial" w:eastAsia="Arial" w:cs="Arial"/>
          <w:b w:val="0"/>
          <w:bCs w:val="0"/>
          <w:i w:val="0"/>
          <w:iCs w:val="0"/>
          <w:caps w:val="0"/>
          <w:smallCaps w:val="0"/>
          <w:noProof w:val="0"/>
          <w:color w:val="000000" w:themeColor="text1" w:themeTint="FF" w:themeShade="FF"/>
          <w:sz w:val="22"/>
          <w:szCs w:val="22"/>
          <w:lang w:val="en-GB"/>
        </w:rPr>
        <w:t>6</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 xml:space="preserve"> Reference List ....................................</w:t>
      </w:r>
      <w:r w:rsidRPr="1641EA34" w:rsidR="08FDD3F4">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7D70FCAA">
        <w:rPr>
          <w:rFonts w:ascii="Arial" w:hAnsi="Arial" w:eastAsia="Arial" w:cs="Arial"/>
          <w:b w:val="0"/>
          <w:bCs w:val="0"/>
          <w:i w:val="0"/>
          <w:iCs w:val="0"/>
          <w:caps w:val="0"/>
          <w:smallCaps w:val="0"/>
          <w:noProof w:val="0"/>
          <w:color w:val="000000" w:themeColor="text1" w:themeTint="FF" w:themeShade="FF"/>
          <w:sz w:val="22"/>
          <w:szCs w:val="22"/>
          <w:lang w:val="en-GB"/>
        </w:rPr>
        <w:t>....................................................................................</w:t>
      </w:r>
      <w:r w:rsidRPr="1641EA34" w:rsidR="5C70F5E1">
        <w:rPr>
          <w:rFonts w:ascii="Arial" w:hAnsi="Arial" w:eastAsia="Arial" w:cs="Arial"/>
          <w:b w:val="0"/>
          <w:bCs w:val="0"/>
          <w:i w:val="0"/>
          <w:iCs w:val="0"/>
          <w:caps w:val="0"/>
          <w:smallCaps w:val="0"/>
          <w:noProof w:val="0"/>
          <w:color w:val="000000" w:themeColor="text1" w:themeTint="FF" w:themeShade="FF"/>
          <w:sz w:val="22"/>
          <w:szCs w:val="22"/>
          <w:lang w:val="en-GB"/>
        </w:rPr>
        <w:t>7</w:t>
      </w:r>
    </w:p>
    <w:p xmlns:wp14="http://schemas.microsoft.com/office/word/2010/wordml" wp14:paraId="0465A79B" wp14:textId="3194F6EF">
      <w:r>
        <w:br w:type="page"/>
      </w:r>
    </w:p>
    <w:p xmlns:wp14="http://schemas.microsoft.com/office/word/2010/wordml" w:rsidP="1641EA34" wp14:paraId="3BAD301D" wp14:textId="0D7E3D40">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Introduction</w:t>
      </w:r>
    </w:p>
    <w:p xmlns:wp14="http://schemas.microsoft.com/office/word/2010/wordml" w:rsidP="1641EA34" wp14:paraId="3C088C2A" wp14:textId="043005AA">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Diabetes mellitus is a long-term metabolic condition defined by a marked increase in blood glucose (hyperglycaemia) due to the failure of insulin production, insulin utilisation or a combination of both (American Diabetes Association, 2022). Type 2 Diabetes (T2D) makes up 90-95% of all cases of diabetes worldwide, and is a significant public health concern (World Health Organisation, 2023). T2D is different from Type 1 diabetes, which is caused by autoimmune attack on the pancreatic beta cells, and is a chronic disease that develops gradually, as a result of a mix of genetic factors and factors associated with the lifestyle that can be modified (Kharroubi and Darwish, 2015). Obesity, physical inactivity, a poor diet with too many refined carbohydrates, advancing age, family history and a history of gestational diabetes are risk factors for preeclampsia (NICE, 2022). Ethnicity is also important – South Asian, African and Caribbean people are at greater risk at lower BMI levels (Diabetes UK, 2023). Smoking raises the risk of T2D by about 30-40% more than non-smokers (Willi et al., 2007), and psychosocial factors like chronic stress and depression have also been found to play a role in the development of T2D due to their effects on cortisol regulation and inflammatory pathways (Mezuk et al., 2008).</w:t>
      </w:r>
    </w:p>
    <w:p xmlns:wp14="http://schemas.microsoft.com/office/word/2010/wordml" w:rsidP="1641EA34" wp14:paraId="6C88869E" wp14:textId="7FF1D737">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This report is intended to assist patients with Type 2 diabetes to gain an understanding of their condition as a practice nurse in the local GP surgery. It discusses blood sugar control, cellular metabolism, significance of blood glucose monitoring, and evidence-based life-style suggestions to aid self-management.</w:t>
      </w:r>
    </w:p>
    <w:p xmlns:wp14="http://schemas.microsoft.com/office/word/2010/wordml" w:rsidP="1641EA34" wp14:paraId="32FE6D17" wp14:textId="6C3B79C7">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Section 1: How Blood Sugar Levels Are Maintained</w:t>
      </w:r>
    </w:p>
    <w:p xmlns:wp14="http://schemas.microsoft.com/office/word/2010/wordml" w:rsidP="1641EA34" wp14:paraId="79DF4ADE" wp14:textId="34D0D6FC">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1.1 The Role of the Pancreas, Insulin and Glucagon</w:t>
      </w:r>
    </w:p>
    <w:p xmlns:wp14="http://schemas.microsoft.com/office/word/2010/wordml" w:rsidP="1641EA34" wp14:paraId="07C6DFDD" wp14:textId="27A4C48B">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The human body maintains a narrow range of blood glucose levels within the physiological limits of around 3.9-7.8mmol/L by means of a tightly regulated negative feedback system of hormones produced by the pancreas (Tortora and Derrickson, 2017). The endocrine role of the pancreas is performed by groups of cells called the islets of Langerhans, which include beta (β) cells that synthesise insulin, and alpha (α) cells that produce glucagon, two antagonistic hormones involved in glucose regulation.</w:t>
      </w:r>
    </w:p>
    <w:p xmlns:wp14="http://schemas.microsoft.com/office/word/2010/wordml" w:rsidP="1641EA34" wp14:paraId="3D3A86FE" wp14:textId="70B84F5F">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After a meal, blood glucose increases and the beta cells sense the increase and secrete insulin into the blood. When insulin attaches to the receptors of the target cells (especially muscle, fat, or liver cells), it instructs them to absorb glucose from the blood. Insulin causes the transport of glucose transporter proteins (GLUT4) to the surface membrane of muscle and fat cells, thereby helping glucose to enter the cell (Wilcox, 2005). Insulin stimulates the process in the liver called glycogenesis, in which glucose is stored as glycogen, which helps to bring down blood glucose levels.</w:t>
      </w:r>
    </w:p>
    <w:p xmlns:wp14="http://schemas.microsoft.com/office/word/2010/wordml" w:rsidP="1641EA34" wp14:paraId="1F618EC4" wp14:textId="1400C0F8">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Blood glucose, however, drops between meals and during fasting, causing the release of glucagon from the alpha cells. Glucagon regulates the liver cells to break down existing glycogen into glucose (glycogenolysis) and to create new glucose from other non-carbohydrate substrates (gluconeogenesis) in order to bring the blood glucose level back into normal range (Sherwood, 2016). The reciprocal effect of insulin and glucagon creates a delicate feedback loop to help stabilise glucose levels during the day.</w:t>
      </w:r>
    </w:p>
    <w:p xmlns:wp14="http://schemas.microsoft.com/office/word/2010/wordml" w:rsidP="1641EA34" wp14:paraId="5CF2E890" wp14:textId="181C901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41EA34" wp14:paraId="401F66BD" wp14:textId="5BC68140">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1.2 Insulin Resistance and the Development of Type 2 Diabetes</w:t>
      </w:r>
    </w:p>
    <w:p xmlns:wp14="http://schemas.microsoft.com/office/word/2010/wordml" w:rsidP="1641EA34" wp14:paraId="34EAAAB5" wp14:textId="752BD874">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In type 2 diabetes, the cells ultimately become resistant to insulin, so that a bigger amount of insulin is needed to get the same effect. This insulin resistance is mainly related to the accumulation of excess visceral fat, which results in the production of pro-inflammatory cytokines that disrupt insulin signalling pathways such as tumour necrosis factor-alpha (TNF-α) and interleukin-6 (IL-6) (Kharroubi and Darwish, 2015). In the beginning, beta cells increase insulin production to meet the demand, but as time passes they become exhausted, and their insulin-producing ability diminishes. This leads to chronic hyperglycaemia — a hallmark of T2D — that over time wreaks havoc on blood vessels, nerves and organs, all over the body.</w:t>
      </w:r>
    </w:p>
    <w:p xmlns:wp14="http://schemas.microsoft.com/office/word/2010/wordml" w:rsidP="1641EA34" wp14:paraId="68FAB8D9" wp14:textId="5F42F3D7">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Section 2: Oxygen, Glucose and Energy Production Through Cell Metabolism</w:t>
      </w:r>
    </w:p>
    <w:p xmlns:wp14="http://schemas.microsoft.com/office/word/2010/wordml" w:rsidP="1641EA34" wp14:paraId="6B3F5E34" wp14:textId="044F26E8">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ATP (adenosine triphosphate) is the energy which is essential to many functions in every cell, such as muscle contraction, nerve transmission, and protein synthesis. Cellular respiration is the process by which cells use glucose as their main fuel in three stages (Marieb and Hoehn, 2019). In the cytoplasm, the first step is anaerobic glycolysis, which turns one glucose molecule into two molecules of pyruvate, while producing two ATP molecules. Second, under aerobic conditions, pyruvate will pass across into the mitochondrion, be converted into acetyl-CoA, and enter the Krebs cycle (citric acid cycle) to produce electron carriers. Third, the inner mitochondrial membrane has an electron transport chain (ETC) which utilises oxygen as the final electron acceptor, producing some 30-32 ATP molecules per molecule of glucose (carbon dioxide and water being by-products) (Sherwood, 2016; Tortora and Derrickson, 2017). An overall reaction is:</w:t>
      </w:r>
    </w:p>
    <w:p xmlns:wp14="http://schemas.microsoft.com/office/word/2010/wordml" w:rsidP="1641EA34" wp14:paraId="73E57FB3" wp14:textId="42FF9D39">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Glucose (C₆H₁₂O₆) + Oxygen (6O₂) → Carbon Dioxide (6CO₂) + Water (6H₂O) + Energy (ATP)</w:t>
      </w:r>
    </w:p>
    <w:p xmlns:wp14="http://schemas.microsoft.com/office/word/2010/wordml" w:rsidP="1641EA34" wp14:paraId="56FDEA83" wp14:textId="69D49E9B">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In Type 2 diabetes, even though blood glucose levels are elevated, the cells are not able to absorb glucose; thus, cells can be starved of their main fuel. This results in an alternative route of energy production, such as fatty acid oxidation (lipolysis). Fatty acid oxidation will provide energy for the short term but over time, toxic metabolic intermediates are produced, and long-term complications result that include cardiovascular disease, diabetic ketoacidosis, and the like, in severe cases (Marieb and Hoehn, 2019).</w:t>
      </w:r>
    </w:p>
    <w:p xmlns:wp14="http://schemas.microsoft.com/office/word/2010/wordml" w:rsidP="1641EA34" wp14:paraId="5B5ADA33" wp14:textId="67B39605">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Section 3: Blood Sugar Recording and Monitoring.</w:t>
      </w:r>
    </w:p>
    <w:p xmlns:wp14="http://schemas.microsoft.com/office/word/2010/wordml" w:rsidP="1641EA34" wp14:paraId="11409E06" wp14:textId="1D8DAAE7">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Self-monitoring of blood glucose is a key component of the management of Type 2 diabetes. Self-monitoring (SMBG) allows patients to track the impact of food, activity, medicine, stress, illness and blood glucose response to take action and make clinical decisions (NICE, 2022).</w:t>
      </w:r>
    </w:p>
    <w:p xmlns:wp14="http://schemas.microsoft.com/office/word/2010/wordml" w:rsidP="1641EA34" wp14:paraId="78DCDDBA" wp14:textId="33330419">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Patients draw a blood sample from the fingers and use a glucometer to measure the blood glucose. Monitoring may be more or less frequent depending on the management approach, but those taking insulin should be monitored more frequently. For patients taking medication, the NICE (2022) guidelines suggest a target fasting glucose level of 4–7 mmol/L and a post-meal target glucose level of &lt; 8.5 mmol/L.</w:t>
      </w:r>
    </w:p>
    <w:p xmlns:wp14="http://schemas.microsoft.com/office/word/2010/wordml" w:rsidP="1641EA34" wp14:paraId="386E1344" wp14:textId="0A963A0D">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In the clinical setting, glycated haemoglobin (HbA1c) levels are used to measure average blood sugar over the last 2-3 months. The HbA1c test gives an average of the blood glucose levels during the 2–3 month lifetime of blood cells, and is a good indicator of glycaemic control in the medium term (Diabetes UK, 2023). An HbA1c greater than or equal to 48 mmol/mol (6.5%) is indicative of a diagnosis of diabetes, and a target in most patients is less than 53 mmol/mol (7.0%) (NICE, 2022). Monitoring HbA1c levels over time helps the patient and health care provider assess if the diabetes treatment plan is working and modify it as needed promptly.</w:t>
      </w:r>
    </w:p>
    <w:p xmlns:wp14="http://schemas.microsoft.com/office/word/2010/wordml" w:rsidP="1641EA34" wp14:paraId="4D098F4E" wp14:textId="4D7C5506">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new technology</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of continuous glucose monitoring (CGM) is a major improvement in blood glucose monitoring. CGM devices are worn as a small sensor attached to the skin that allows the user to see interstitial glucose levels more often throughout the day and night, providing valuable information that might not be seen with testing just a few times a day with a finger-prick blood glucose test (American Diabetes Association, 2022). Having the opportunity to access longitudinal glucose data allows patients to take control of their health, and leads to better clinical dialogues, better patient self-</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and a lower risk of long-term complications</w:t>
      </w:r>
      <w:r w:rsidRPr="1641EA34" w:rsidR="0995A10B">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641EA34" wp14:paraId="78431CF1" wp14:textId="70938779">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Section 4: Evidence-based Lifestyle Recommendations</w:t>
      </w:r>
    </w:p>
    <w:p xmlns:wp14="http://schemas.microsoft.com/office/word/2010/wordml" w:rsidP="1641EA34" wp14:paraId="19E6DE82" wp14:textId="4C6B4428">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4.1 Diet and Nutrition</w:t>
      </w:r>
    </w:p>
    <w:p xmlns:wp14="http://schemas.microsoft.com/office/word/2010/wordml" w:rsidP="1641EA34" wp14:paraId="6349F5BA" wp14:textId="3400463A">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most important weapons in the fight against Type 2 diabetes, and in some people can even help the condition go into remission, is dietary modification. This diet decreases the amount of rapidly absorbed substrate and hence the glucose spike following meals. The Diabetes Prevention Program (DPP) trial showed intensive lifestyle intervention, which included dietary changes, to lower the risk of T2D by 58% in people at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high risk</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disease (Knowler et al., 2002). Systematic reviews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indicate</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that diets low in carbohydrates or Mediterranean diets can lead to better HbA1c, fasting glucose and lipid profiles (Khazrai et al., 2014). Foods rich in fibre, like legumes, oats and vegetables, slow down the rate at which the</w:t>
      </w:r>
      <w:r w:rsidRPr="1641EA34" w:rsidR="685F65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stomach empties and glucose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is</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absorbed into the blood, which helps to </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 xml:space="preserve"> stable blood glucose levels (NHS, 2023).</w:t>
      </w:r>
    </w:p>
    <w:p xmlns:wp14="http://schemas.microsoft.com/office/word/2010/wordml" w:rsidP="1641EA34" wp14:paraId="780C14A3" wp14:textId="73978150">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4.2 Physical Activity</w:t>
      </w:r>
    </w:p>
    <w:p xmlns:wp14="http://schemas.microsoft.com/office/word/2010/wordml" w:rsidP="1641EA34" wp14:paraId="07938864" wp14:textId="37FADCF4">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Exercise therapy has a double effect in the management of Type 2 diabetes because during muscle contraction it stimulates glucose uptake independently of insulin (exercise-induced GLUT4 translocation) and increases insulin sensitivity in skeletal muscle (Colberg et al., 2016). Interventions have been demonstrated to enhance glycaemic control, for both aerobic exercise (e.g., brisk walking, cycling, swimming) and resistance training. Meta-analysis by Umpierre et al. (2011) have shown that the HbA1c decreased by 0.67% on average, in people with Type 2 diabetes who participated in structured interventions involving both aerobic and resistance exercise. In terms of muscle strengthening exercise, NICE (2022) suggests a minimum of 2 days per week of muscle strengthening exercise, plus moderate intensity aerobic exercise of ≥ 150 minutes per week. Walking has an impact even after meals, and this can be significant if only done for short periods.</w:t>
      </w:r>
    </w:p>
    <w:p xmlns:wp14="http://schemas.microsoft.com/office/word/2010/wordml" w:rsidP="1641EA34" wp14:paraId="7FEC849E" wp14:textId="41C6FEFF">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4.3 Smoking Cessation</w:t>
      </w:r>
    </w:p>
    <w:p xmlns:wp14="http://schemas.microsoft.com/office/word/2010/wordml" w:rsidP="1641EA34" wp14:paraId="2B00CADF" wp14:textId="2D2C45DC">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Smoking has a marked impact on the glycaemic control of people with Type 2 diabetes. Tobacco smoke contains other chemicals besides nicotine which may cause insulin resistance (Willi et al., 2007), raise cortisol levels, and contribute to fat accumulation around the belly which are harmful to the management of blood glucose. Diabetics who smoke are also at much higher risk of the development of microvascular (diabetic nephropathy and diabetic retinopathy) and macrovascular (cardiovascular disease) complications. NICE (2021) advise that support for giving up smoking using nicotine replacement therapy (NRT), varenicline and behavioural counselling should be offered routinely as part of diabetes care since quitting smoking reduces HbA1c and cardiovascular risk in a matter of months.</w:t>
      </w:r>
    </w:p>
    <w:p xmlns:wp14="http://schemas.microsoft.com/office/word/2010/wordml" w:rsidP="1641EA34" wp14:paraId="23394019" wp14:textId="6F442D2B">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4.4 Weight Management</w:t>
      </w:r>
    </w:p>
    <w:p xmlns:wp14="http://schemas.microsoft.com/office/word/2010/wordml" w:rsidP="1641EA34" wp14:paraId="3A64E474" wp14:textId="5BF8E081">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The most important modifiable risk factor for Type 2 diabetes and the associated complications is excess body weight, particularly fat distribution in the mid-body. The pro-inflammatory cytokines secreted from adipose tissue affect insulin receptor signalling leading to peripheral insulin resistance (Kharroubi and Darwish, 2015). The modest amount of weight loss of just 5-10% of total body weight can lead to profound improvements in insulin sensitivity, fasting blood glucose, and HbA1c (Knowler et al., 2002). The DiRECT trial showed that 46% of individuals lost enough weight (15 kg or more) over a structured low-calorie dietary programme for the remission of Type 2 diabetes at one year (Lean et al., 2018). Making referrals to structured weight management programmes, and discussing pharmacological management (GLP-1 receptor agonists, if appropriate) is an important component of holistic nursing care.</w:t>
      </w:r>
    </w:p>
    <w:p xmlns:wp14="http://schemas.microsoft.com/office/word/2010/wordml" w:rsidP="1641EA34" wp14:paraId="7A048ABA" wp14:textId="1C8D6B99">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2F0393A4">
        <w:rPr>
          <w:rFonts w:ascii="Arial" w:hAnsi="Arial" w:eastAsia="Arial" w:cs="Arial"/>
          <w:b w:val="1"/>
          <w:bCs w:val="1"/>
          <w:i w:val="0"/>
          <w:iCs w:val="0"/>
          <w:caps w:val="0"/>
          <w:smallCaps w:val="0"/>
          <w:noProof w:val="0"/>
          <w:color w:val="000000" w:themeColor="text1" w:themeTint="FF" w:themeShade="FF"/>
          <w:sz w:val="22"/>
          <w:szCs w:val="22"/>
          <w:lang w:val="en-GB"/>
        </w:rPr>
        <w:t>5.0 Conclusion</w:t>
      </w:r>
    </w:p>
    <w:p xmlns:wp14="http://schemas.microsoft.com/office/word/2010/wordml" w:rsidP="1641EA34" wp14:paraId="4F90A031" wp14:textId="0AA1EB5B">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Type 2 diabetes is a complex, but largely preventable and manageable illness which is related to genetic susceptibility and lifestyle factors that can be altered. This report has shown that blood glucose is controlled by a hormonal mechanism of insulin and glucagon secreted by the pancreatic islets of Langerhans and that the production of cellular energy requires the efficient uptake and aerobic oxidation of glucose through glycolysis, the Krebs cycle and the electron transport chain. Failure of this regulation results in hyperglycaemia (high blood sugar) which has significant consequences for several organ systems. The early detection of disease by the use of SMBG and HbA1c testing is necessary to support the individual's self-management plan, and there is strong supporting evidence that lifestyle changes – diet, physical activity, smoking cessation and weight management – can significantly improve glycaemic control and in some patients result in remission.</w:t>
      </w:r>
    </w:p>
    <w:p xmlns:wp14="http://schemas.microsoft.com/office/word/2010/wordml" w:rsidP="1641EA34" wp14:paraId="55F816CA" wp14:textId="41841BC9">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2F0393A4">
        <w:rPr>
          <w:rFonts w:ascii="Arial" w:hAnsi="Arial" w:eastAsia="Arial" w:cs="Arial"/>
          <w:b w:val="0"/>
          <w:bCs w:val="0"/>
          <w:i w:val="0"/>
          <w:iCs w:val="0"/>
          <w:caps w:val="0"/>
          <w:smallCaps w:val="0"/>
          <w:noProof w:val="0"/>
          <w:color w:val="000000" w:themeColor="text1" w:themeTint="FF" w:themeShade="FF"/>
          <w:sz w:val="22"/>
          <w:szCs w:val="22"/>
          <w:lang w:val="en-GB"/>
        </w:rPr>
        <w:t>The health practitioner, especially practice nurses, is central in the process of communicating complex physiological concepts to accessible patient education messages, and helping individuals to develop healthier behaviours. Patients are translated into actively engaged partners in their care, and nurses can play a key role in helping to turn this around by educating patients and providing them with practical tools to help them manage their diabetes in the best interest of their health and well-being.</w:t>
      </w:r>
    </w:p>
    <w:p xmlns:wp14="http://schemas.microsoft.com/office/word/2010/wordml" w:rsidP="1641EA34" wp14:paraId="7B427220" wp14:textId="394F076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p14:paraId="5EEC5EA2" wp14:textId="44EE8E1D">
      <w:r>
        <w:br w:type="page"/>
      </w:r>
    </w:p>
    <w:p xmlns:wp14="http://schemas.microsoft.com/office/word/2010/wordml" w:rsidP="1641EA34" wp14:paraId="60D14436" wp14:textId="27624485">
      <w:pPr>
        <w:rPr>
          <w:rFonts w:ascii="Arial" w:hAnsi="Arial" w:eastAsia="Arial" w:cs="Arial"/>
          <w:b w:val="1"/>
          <w:bCs w:val="1"/>
          <w:i w:val="0"/>
          <w:iCs w:val="0"/>
          <w:caps w:val="0"/>
          <w:smallCaps w:val="0"/>
          <w:noProof w:val="0"/>
          <w:color w:val="000000" w:themeColor="text1" w:themeTint="FF" w:themeShade="FF"/>
          <w:sz w:val="22"/>
          <w:szCs w:val="22"/>
          <w:lang w:val="en-GB"/>
        </w:rPr>
      </w:pPr>
      <w:r w:rsidRPr="1641EA34" w:rsidR="39C124B9">
        <w:rPr>
          <w:rFonts w:ascii="Arial" w:hAnsi="Arial" w:eastAsia="Arial" w:cs="Arial"/>
          <w:b w:val="1"/>
          <w:bCs w:val="1"/>
          <w:i w:val="0"/>
          <w:iCs w:val="0"/>
          <w:caps w:val="0"/>
          <w:smallCaps w:val="0"/>
          <w:noProof w:val="0"/>
          <w:color w:val="000000" w:themeColor="text1" w:themeTint="FF" w:themeShade="FF"/>
          <w:sz w:val="22"/>
          <w:szCs w:val="22"/>
          <w:lang w:val="en-GB"/>
        </w:rPr>
        <w:t>Reference List</w:t>
      </w:r>
    </w:p>
    <w:p xmlns:wp14="http://schemas.microsoft.com/office/word/2010/wordml" w:rsidP="1641EA34" wp14:paraId="739C45D3" wp14:textId="59588D36">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American Diabetes Association (2022) Standards of Medical Care in Diabetes – 2022. Diabetes Care, 45(Supplement 1), pp. S1–S264. </w:t>
      </w:r>
      <w:hyperlink r:id="R5a3beed41ec243c7">
        <w:r w:rsidRPr="1641EA34" w:rsidR="39C124B9">
          <w:rPr>
            <w:rStyle w:val="Hyperlink"/>
            <w:rFonts w:ascii="Arial" w:hAnsi="Arial" w:eastAsia="Arial" w:cs="Arial"/>
            <w:b w:val="0"/>
            <w:bCs w:val="0"/>
            <w:i w:val="0"/>
            <w:iCs w:val="0"/>
            <w:caps w:val="0"/>
            <w:smallCaps w:val="0"/>
            <w:noProof w:val="0"/>
            <w:sz w:val="22"/>
            <w:szCs w:val="22"/>
            <w:lang w:val="en-GB"/>
          </w:rPr>
          <w:t>https://doi.org/10.2337/dc22-Sint</w:t>
        </w:r>
      </w:hyperlink>
    </w:p>
    <w:p xmlns:wp14="http://schemas.microsoft.com/office/word/2010/wordml" w:rsidP="1641EA34" wp14:paraId="261F77E8" wp14:textId="0C3445DF">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Colberg, S.R., Sigal, R.J., Yardley, J.E., Riddell, M.C., Dunstan, D.W., Dempsey, P.C., Horton, E.S., Castorino, K. and Tate, D.F. (2016) Physical Activity/Exercise and Diabetes: A Position Statement of the American Diabetes Association. Diabetes Care, 39(11), pp. 2065–2079. </w:t>
      </w:r>
      <w:hyperlink r:id="R85b090d419df463c">
        <w:r w:rsidRPr="1641EA34" w:rsidR="39C124B9">
          <w:rPr>
            <w:rStyle w:val="Hyperlink"/>
            <w:rFonts w:ascii="Arial" w:hAnsi="Arial" w:eastAsia="Arial" w:cs="Arial"/>
            <w:b w:val="0"/>
            <w:bCs w:val="0"/>
            <w:i w:val="0"/>
            <w:iCs w:val="0"/>
            <w:caps w:val="0"/>
            <w:smallCaps w:val="0"/>
            <w:noProof w:val="0"/>
            <w:sz w:val="22"/>
            <w:szCs w:val="22"/>
            <w:lang w:val="en-GB"/>
          </w:rPr>
          <w:t>https://doi.org/10.2337/dc16-1728</w:t>
        </w:r>
      </w:hyperlink>
    </w:p>
    <w:p xmlns:wp14="http://schemas.microsoft.com/office/word/2010/wordml" w:rsidP="1641EA34" wp14:paraId="68822765" wp14:textId="5D4E18CD">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Diabetes UK (2023) How many people in the UK have diabetes? </w:t>
      </w:r>
      <w:hyperlink r:id="Rac839207dd894b96">
        <w:r w:rsidRPr="1641EA34" w:rsidR="39C124B9">
          <w:rPr>
            <w:rStyle w:val="Hyperlink"/>
            <w:rFonts w:ascii="Arial" w:hAnsi="Arial" w:eastAsia="Arial" w:cs="Arial"/>
            <w:b w:val="0"/>
            <w:bCs w:val="0"/>
            <w:i w:val="0"/>
            <w:iCs w:val="0"/>
            <w:caps w:val="0"/>
            <w:smallCaps w:val="0"/>
            <w:noProof w:val="0"/>
            <w:sz w:val="22"/>
            <w:szCs w:val="22"/>
            <w:lang w:val="en-GB"/>
          </w:rPr>
          <w:t>https://www.diabetes.org.uk/about-us/about-the-charity/our-strategy/statistics</w:t>
        </w:r>
      </w:hyperlink>
    </w:p>
    <w:p xmlns:wp14="http://schemas.microsoft.com/office/word/2010/wordml" w:rsidP="1641EA34" wp14:paraId="5FE1D67E" wp14:textId="2EBCD64D">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Kharroubi, A.T. and Darwish, H.M. (2015) Diabetes mellitus: The epidemic of the century. World Journal of Diabetes, 6(6), pp. 850–867. </w:t>
      </w:r>
      <w:hyperlink r:id="R551951c685294182">
        <w:r w:rsidRPr="1641EA34" w:rsidR="39C124B9">
          <w:rPr>
            <w:rStyle w:val="Hyperlink"/>
            <w:rFonts w:ascii="Arial" w:hAnsi="Arial" w:eastAsia="Arial" w:cs="Arial"/>
            <w:b w:val="0"/>
            <w:bCs w:val="0"/>
            <w:i w:val="0"/>
            <w:iCs w:val="0"/>
            <w:caps w:val="0"/>
            <w:smallCaps w:val="0"/>
            <w:noProof w:val="0"/>
            <w:sz w:val="22"/>
            <w:szCs w:val="22"/>
            <w:lang w:val="en-GB"/>
          </w:rPr>
          <w:t>https://doi.org/10.4239/wjd.v6.i6.850</w:t>
        </w:r>
      </w:hyperlink>
    </w:p>
    <w:p xmlns:wp14="http://schemas.microsoft.com/office/word/2010/wordml" w:rsidP="1641EA34" wp14:paraId="261D23C1" wp14:textId="270FE85F">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Khazrai, Y.M., Defeudis, G. and Pozzilli, P. (2014) Effect of diet on type 2 diabetes mellitus: A review. Diabetes/Metabolism Research and Reviews, 30(Supplement 1), pp. 24–33. </w:t>
      </w:r>
      <w:hyperlink r:id="R6668ed4722ad4e45">
        <w:r w:rsidRPr="1641EA34" w:rsidR="39C124B9">
          <w:rPr>
            <w:rStyle w:val="Hyperlink"/>
            <w:rFonts w:ascii="Arial" w:hAnsi="Arial" w:eastAsia="Arial" w:cs="Arial"/>
            <w:b w:val="0"/>
            <w:bCs w:val="0"/>
            <w:i w:val="0"/>
            <w:iCs w:val="0"/>
            <w:caps w:val="0"/>
            <w:smallCaps w:val="0"/>
            <w:noProof w:val="0"/>
            <w:sz w:val="22"/>
            <w:szCs w:val="22"/>
            <w:lang w:val="en-GB"/>
          </w:rPr>
          <w:t>https://doi.org/10.1002/dmrr.2515</w:t>
        </w:r>
      </w:hyperlink>
    </w:p>
    <w:p xmlns:wp14="http://schemas.microsoft.com/office/word/2010/wordml" w:rsidP="1641EA34" wp14:paraId="28F1B10C" wp14:textId="2B48DD18">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Knowler, W.C., Barrett-Connor, E., Fowler, S.E., Hamman, R.F., Lachin, J.M., Walker, E.A. and Nathan, D.M. (2002) Reduction in the incidence of type 2 diabetes with lifestyle intervention or metformin. New England Journal of Medicine, 346(6), pp. 393–403. </w:t>
      </w:r>
      <w:hyperlink r:id="R76d2a83f2a4a4277">
        <w:r w:rsidRPr="1641EA34" w:rsidR="39C124B9">
          <w:rPr>
            <w:rStyle w:val="Hyperlink"/>
            <w:rFonts w:ascii="Arial" w:hAnsi="Arial" w:eastAsia="Arial" w:cs="Arial"/>
            <w:b w:val="0"/>
            <w:bCs w:val="0"/>
            <w:i w:val="0"/>
            <w:iCs w:val="0"/>
            <w:caps w:val="0"/>
            <w:smallCaps w:val="0"/>
            <w:noProof w:val="0"/>
            <w:sz w:val="22"/>
            <w:szCs w:val="22"/>
            <w:lang w:val="en-GB"/>
          </w:rPr>
          <w:t>https://doi.org/10.1056/NEJMoa012512</w:t>
        </w:r>
      </w:hyperlink>
    </w:p>
    <w:p xmlns:wp14="http://schemas.microsoft.com/office/word/2010/wordml" w:rsidP="1641EA34" wp14:paraId="10973F2E" wp14:textId="047FB56B">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Lean, M.E.J., Leslie, W.S., Barnes, A.C., Brosnahan, N., Thom, G., McCombie, L., Peters, C., Zhyzhneuskaya, S., Al-Mrabeh, A., Hollingsworth, K.G. and Rodrigues, A.M. (2018) Primary care-led weight management for remission of type 2 diabetes (DiRECT): An open-label, cluster-randomised trial. The Lancet, 391(10120), pp. 541–551. </w:t>
      </w:r>
      <w:hyperlink r:id="R3abebebf0c704a81">
        <w:r w:rsidRPr="1641EA34" w:rsidR="39C124B9">
          <w:rPr>
            <w:rStyle w:val="Hyperlink"/>
            <w:rFonts w:ascii="Arial" w:hAnsi="Arial" w:eastAsia="Arial" w:cs="Arial"/>
            <w:b w:val="0"/>
            <w:bCs w:val="0"/>
            <w:i w:val="0"/>
            <w:iCs w:val="0"/>
            <w:caps w:val="0"/>
            <w:smallCaps w:val="0"/>
            <w:noProof w:val="0"/>
            <w:sz w:val="22"/>
            <w:szCs w:val="22"/>
            <w:lang w:val="en-GB"/>
          </w:rPr>
          <w:t>https://doi.org/10.1016/S0140-6736(17)33102-1</w:t>
        </w:r>
      </w:hyperlink>
    </w:p>
    <w:p xmlns:wp14="http://schemas.microsoft.com/office/word/2010/wordml" w:rsidP="1641EA34" wp14:paraId="0141829D" wp14:textId="65BDB54B">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Marieb, E.N. and Hoehn, K. (2019) Human Anatomy and Physiology. 11th edn. Pearson: New York. </w:t>
      </w:r>
      <w:hyperlink r:id="R69eef606654041c2">
        <w:r w:rsidRPr="1641EA34" w:rsidR="39C124B9">
          <w:rPr>
            <w:rStyle w:val="Hyperlink"/>
            <w:rFonts w:ascii="Arial" w:hAnsi="Arial" w:eastAsia="Arial" w:cs="Arial"/>
            <w:b w:val="0"/>
            <w:bCs w:val="0"/>
            <w:i w:val="0"/>
            <w:iCs w:val="0"/>
            <w:caps w:val="0"/>
            <w:smallCaps w:val="0"/>
            <w:noProof w:val="0"/>
            <w:sz w:val="22"/>
            <w:szCs w:val="22"/>
            <w:lang w:val="en-GB"/>
          </w:rPr>
          <w:t>https://www.pearson.com/en-us/subject-catalog/p/human-anatomy--physiology/P200000006852</w:t>
        </w:r>
      </w:hyperlink>
    </w:p>
    <w:p xmlns:wp14="http://schemas.microsoft.com/office/word/2010/wordml" w:rsidP="1641EA34" wp14:paraId="506AD9E3" wp14:textId="609C6A54">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Mezuk, B., Eaton, W.W., Albrecht, S. and Golden, S.H. (2008) Depression and type 2 diabetes over the lifespan: A meta-analysis. Diabetes Care, 31(12), pp. 2383–2390. </w:t>
      </w:r>
      <w:hyperlink r:id="R9f4f688304b64306">
        <w:r w:rsidRPr="1641EA34" w:rsidR="39C124B9">
          <w:rPr>
            <w:rStyle w:val="Hyperlink"/>
            <w:rFonts w:ascii="Arial" w:hAnsi="Arial" w:eastAsia="Arial" w:cs="Arial"/>
            <w:b w:val="0"/>
            <w:bCs w:val="0"/>
            <w:i w:val="0"/>
            <w:iCs w:val="0"/>
            <w:caps w:val="0"/>
            <w:smallCaps w:val="0"/>
            <w:noProof w:val="0"/>
            <w:sz w:val="22"/>
            <w:szCs w:val="22"/>
            <w:lang w:val="en-GB"/>
          </w:rPr>
          <w:t>https://doi.org/10.2337/dc08-0985</w:t>
        </w:r>
      </w:hyperlink>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 NHS (2023) Type 2 diabetes. </w:t>
      </w:r>
      <w:hyperlink r:id="R0b13bedafbc34e73">
        <w:r w:rsidRPr="1641EA34" w:rsidR="39C124B9">
          <w:rPr>
            <w:rStyle w:val="Hyperlink"/>
            <w:rFonts w:ascii="Arial" w:hAnsi="Arial" w:eastAsia="Arial" w:cs="Arial"/>
            <w:b w:val="0"/>
            <w:bCs w:val="0"/>
            <w:i w:val="0"/>
            <w:iCs w:val="0"/>
            <w:caps w:val="0"/>
            <w:smallCaps w:val="0"/>
            <w:noProof w:val="0"/>
            <w:sz w:val="22"/>
            <w:szCs w:val="22"/>
            <w:lang w:val="en-GB"/>
          </w:rPr>
          <w:t>https://www.nhs.uk/conditions/type-2-diabetes</w:t>
        </w:r>
      </w:hyperlink>
    </w:p>
    <w:p xmlns:wp14="http://schemas.microsoft.com/office/word/2010/wordml" w:rsidP="1641EA34" wp14:paraId="70FAAEC3" wp14:textId="31BBF7A8">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NICE (2021) Tobacco: Preventing uptake, promoting quitting and treating dependence. NICE guideline [NG209]. National Institute for Health and Care Excellence: London. : </w:t>
      </w:r>
      <w:hyperlink r:id="R9636f4ef88e84b0d">
        <w:r w:rsidRPr="1641EA34" w:rsidR="39C124B9">
          <w:rPr>
            <w:rStyle w:val="Hyperlink"/>
            <w:rFonts w:ascii="Arial" w:hAnsi="Arial" w:eastAsia="Arial" w:cs="Arial"/>
            <w:b w:val="0"/>
            <w:bCs w:val="0"/>
            <w:i w:val="0"/>
            <w:iCs w:val="0"/>
            <w:caps w:val="0"/>
            <w:smallCaps w:val="0"/>
            <w:noProof w:val="0"/>
            <w:sz w:val="22"/>
            <w:szCs w:val="22"/>
            <w:lang w:val="en-GB"/>
          </w:rPr>
          <w:t>https://www.nice.org.uk/guidance/ng209</w:t>
        </w:r>
      </w:hyperlink>
    </w:p>
    <w:p xmlns:wp14="http://schemas.microsoft.com/office/word/2010/wordml" w:rsidP="1641EA34" wp14:paraId="24AE9488" wp14:textId="3BA06739">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NICE (2022) Type 2 diabetes in adults: Management. NICE guideline [NG28]. National Institute for Health and Care Excellence: London. </w:t>
      </w:r>
      <w:hyperlink r:id="Rbc62708ecabb41cb">
        <w:r w:rsidRPr="1641EA34" w:rsidR="39C124B9">
          <w:rPr>
            <w:rStyle w:val="Hyperlink"/>
            <w:rFonts w:ascii="Arial" w:hAnsi="Arial" w:eastAsia="Arial" w:cs="Arial"/>
            <w:b w:val="0"/>
            <w:bCs w:val="0"/>
            <w:i w:val="0"/>
            <w:iCs w:val="0"/>
            <w:caps w:val="0"/>
            <w:smallCaps w:val="0"/>
            <w:noProof w:val="0"/>
            <w:sz w:val="22"/>
            <w:szCs w:val="22"/>
            <w:lang w:val="en-GB"/>
          </w:rPr>
          <w:t>https://www.nice.org.uk/guidance/ng28</w:t>
        </w:r>
      </w:hyperlink>
    </w:p>
    <w:p xmlns:wp14="http://schemas.microsoft.com/office/word/2010/wordml" w:rsidP="1641EA34" wp14:paraId="23F91E2B" wp14:textId="662FF45B">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Sherwood, L. (2016) Human Physiology: From Cells to Systems. 9th edn. Cengage Learning: Boston. </w:t>
      </w:r>
      <w:hyperlink r:id="R6c3b6db33c064965">
        <w:r w:rsidRPr="1641EA34" w:rsidR="39C124B9">
          <w:rPr>
            <w:rStyle w:val="Hyperlink"/>
            <w:rFonts w:ascii="Arial" w:hAnsi="Arial" w:eastAsia="Arial" w:cs="Arial"/>
            <w:b w:val="0"/>
            <w:bCs w:val="0"/>
            <w:i w:val="0"/>
            <w:iCs w:val="0"/>
            <w:caps w:val="0"/>
            <w:smallCaps w:val="0"/>
            <w:noProof w:val="0"/>
            <w:sz w:val="22"/>
            <w:szCs w:val="22"/>
            <w:lang w:val="en-GB"/>
          </w:rPr>
          <w:t>https://www.cengage.com/c/human-physiology-from-cells-to-systems-9e-sherwood</w:t>
        </w:r>
      </w:hyperlink>
    </w:p>
    <w:p xmlns:wp14="http://schemas.microsoft.com/office/word/2010/wordml" w:rsidP="1641EA34" wp14:paraId="6B165E80" wp14:textId="26CEE22C">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Tortora, G.J. and Derrickson, B. (2017) Principles of Anatomy and Physiology. 15th edn. Wiley: New York. </w:t>
      </w:r>
      <w:hyperlink r:id="R1ef612cc65f7415f">
        <w:r w:rsidRPr="1641EA34" w:rsidR="39C124B9">
          <w:rPr>
            <w:rStyle w:val="Hyperlink"/>
            <w:rFonts w:ascii="Arial" w:hAnsi="Arial" w:eastAsia="Arial" w:cs="Arial"/>
            <w:b w:val="0"/>
            <w:bCs w:val="0"/>
            <w:i w:val="0"/>
            <w:iCs w:val="0"/>
            <w:caps w:val="0"/>
            <w:smallCaps w:val="0"/>
            <w:noProof w:val="0"/>
            <w:sz w:val="22"/>
            <w:szCs w:val="22"/>
            <w:lang w:val="en-GB"/>
          </w:rPr>
          <w:t>https://www.wiley.com/en-us/Principles+of+Anatomy+and+Physiology%2C+15th+Edition-p-9781119320357</w:t>
        </w:r>
      </w:hyperlink>
    </w:p>
    <w:p xmlns:wp14="http://schemas.microsoft.com/office/word/2010/wordml" w:rsidP="1641EA34" wp14:paraId="7C1DF992" wp14:textId="06FE7A54">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Umpierre, D., Ribeiro, P.A.B., Kramer, C.K., Leitão, C.B., Zucatti, A.T.N., Azevedo, M.J., Gross, J.L., Ribeiro, J.P. e Schaan, B.D. (2011) Physical activity advice only or structured exercise training and association with HbA1c levels in type 2 diabetes. JAMA, 305(17), pp. 1790–1799. </w:t>
      </w:r>
      <w:hyperlink r:id="R7dc6b19d560b4ad5">
        <w:r w:rsidRPr="1641EA34" w:rsidR="39C124B9">
          <w:rPr>
            <w:rStyle w:val="Hyperlink"/>
            <w:rFonts w:ascii="Arial" w:hAnsi="Arial" w:eastAsia="Arial" w:cs="Arial"/>
            <w:b w:val="0"/>
            <w:bCs w:val="0"/>
            <w:i w:val="0"/>
            <w:iCs w:val="0"/>
            <w:caps w:val="0"/>
            <w:smallCaps w:val="0"/>
            <w:noProof w:val="0"/>
            <w:sz w:val="22"/>
            <w:szCs w:val="22"/>
            <w:lang w:val="en-GB"/>
          </w:rPr>
          <w:t>https://doi.org/10.1001/jama.2011.576</w:t>
        </w:r>
      </w:hyperlink>
    </w:p>
    <w:p xmlns:wp14="http://schemas.microsoft.com/office/word/2010/wordml" w:rsidP="1641EA34" wp14:paraId="57287BD0" wp14:textId="1A2332B7">
      <w:pPr>
        <w:rPr>
          <w:rFonts w:ascii="Arial" w:hAnsi="Arial" w:eastAsia="Arial" w:cs="Arial"/>
          <w:sz w:val="22"/>
          <w:szCs w:val="22"/>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Wilcox, G. (2005) Insulin and insulin resistance. Clinical Biochemist Reviews, 26(2), pp. 19–39. </w:t>
      </w:r>
      <w:hyperlink r:id="R896a51cd259e43a1">
        <w:r w:rsidRPr="1641EA34" w:rsidR="39C124B9">
          <w:rPr>
            <w:rStyle w:val="Hyperlink"/>
            <w:rFonts w:ascii="Arial" w:hAnsi="Arial" w:eastAsia="Arial" w:cs="Arial"/>
            <w:b w:val="0"/>
            <w:bCs w:val="0"/>
            <w:i w:val="0"/>
            <w:iCs w:val="0"/>
            <w:caps w:val="0"/>
            <w:smallCaps w:val="0"/>
            <w:noProof w:val="0"/>
            <w:sz w:val="22"/>
            <w:szCs w:val="22"/>
            <w:lang w:val="en-GB"/>
          </w:rPr>
          <w:t>https://pmc.ncbi.nlm.nih.gov/articles/PMC1204764/</w:t>
        </w:r>
      </w:hyperlink>
    </w:p>
    <w:p xmlns:wp14="http://schemas.microsoft.com/office/word/2010/wordml" w:rsidP="1641EA34" wp14:paraId="73F60A37" wp14:textId="60373A54">
      <w:pPr>
        <w:rPr>
          <w:rFonts w:ascii="Arial" w:hAnsi="Arial" w:eastAsia="Arial" w:cs="Arial"/>
          <w:b w:val="0"/>
          <w:bCs w:val="0"/>
          <w:i w:val="0"/>
          <w:iCs w:val="0"/>
          <w:caps w:val="0"/>
          <w:smallCaps w:val="0"/>
          <w:noProof w:val="0"/>
          <w:color w:val="000000" w:themeColor="text1" w:themeTint="FF" w:themeShade="FF"/>
          <w:sz w:val="22"/>
          <w:szCs w:val="22"/>
          <w:lang w:val="en-GB"/>
        </w:rPr>
      </w:pPr>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Willi, C., Bodenmann, P., Ghali, W.A., Faris, P.D. and Cornuz, J. (2007) Active smoking and the risk of type 2 diabetes: A systematic review and meta-analysis. JAMA, 298(22), pp. 2654–2664. </w:t>
      </w:r>
      <w:hyperlink r:id="R40e78337cbd14fdb">
        <w:r w:rsidRPr="1641EA34" w:rsidR="39C124B9">
          <w:rPr>
            <w:rStyle w:val="Hyperlink"/>
            <w:rFonts w:ascii="Arial" w:hAnsi="Arial" w:eastAsia="Arial" w:cs="Arial"/>
            <w:b w:val="0"/>
            <w:bCs w:val="0"/>
            <w:i w:val="0"/>
            <w:iCs w:val="0"/>
            <w:caps w:val="0"/>
            <w:smallCaps w:val="0"/>
            <w:noProof w:val="0"/>
            <w:sz w:val="22"/>
            <w:szCs w:val="22"/>
            <w:lang w:val="en-GB"/>
          </w:rPr>
          <w:t>https://doi.org/10.1001/jama.298.22.2654</w:t>
        </w:r>
      </w:hyperlink>
      <w:r w:rsidRPr="1641EA34" w:rsidR="39C124B9">
        <w:rPr>
          <w:rFonts w:ascii="Arial" w:hAnsi="Arial" w:eastAsia="Arial" w:cs="Arial"/>
          <w:b w:val="0"/>
          <w:bCs w:val="0"/>
          <w:i w:val="0"/>
          <w:iCs w:val="0"/>
          <w:caps w:val="0"/>
          <w:smallCaps w:val="0"/>
          <w:noProof w:val="0"/>
          <w:color w:val="000000" w:themeColor="text1" w:themeTint="FF" w:themeShade="FF"/>
          <w:sz w:val="22"/>
          <w:szCs w:val="22"/>
          <w:lang w:val="en-GB"/>
        </w:rPr>
        <w:t xml:space="preserve"> World Health Organisation (2023) Diabetes.https://www.who.int/news-room/fact-sheets/detail/diabetes</w:t>
      </w:r>
    </w:p>
    <w:p xmlns:wp14="http://schemas.microsoft.com/office/word/2010/wordml" w:rsidP="1641EA34" wp14:paraId="1DE42D2C" wp14:textId="15BAD67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1641EA34" wp14:paraId="13D908BD" wp14:textId="372E16B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B3C412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34F40"/>
    <w:rsid w:val="01E236CA"/>
    <w:rsid w:val="03344631"/>
    <w:rsid w:val="06219F59"/>
    <w:rsid w:val="071B813A"/>
    <w:rsid w:val="08FDD3F4"/>
    <w:rsid w:val="0995A10B"/>
    <w:rsid w:val="0E9CBC67"/>
    <w:rsid w:val="0F1CD0D4"/>
    <w:rsid w:val="1268EAE7"/>
    <w:rsid w:val="13388785"/>
    <w:rsid w:val="1641EA34"/>
    <w:rsid w:val="19CFC3F0"/>
    <w:rsid w:val="1AC6432C"/>
    <w:rsid w:val="1D4B9670"/>
    <w:rsid w:val="1F45A0DC"/>
    <w:rsid w:val="214BB99A"/>
    <w:rsid w:val="220BBFE6"/>
    <w:rsid w:val="2394309F"/>
    <w:rsid w:val="28434F40"/>
    <w:rsid w:val="291B55C6"/>
    <w:rsid w:val="2E87DA56"/>
    <w:rsid w:val="2F0393A4"/>
    <w:rsid w:val="3176881C"/>
    <w:rsid w:val="3289C0C1"/>
    <w:rsid w:val="352F8A93"/>
    <w:rsid w:val="3623BEBC"/>
    <w:rsid w:val="39C124B9"/>
    <w:rsid w:val="3C3B5AEE"/>
    <w:rsid w:val="3CA5E7A9"/>
    <w:rsid w:val="499F98B8"/>
    <w:rsid w:val="4A2A62FF"/>
    <w:rsid w:val="4A7AE906"/>
    <w:rsid w:val="51E00EEE"/>
    <w:rsid w:val="553E3649"/>
    <w:rsid w:val="5991320E"/>
    <w:rsid w:val="5AD36F80"/>
    <w:rsid w:val="5C70F5E1"/>
    <w:rsid w:val="5DB21812"/>
    <w:rsid w:val="612CF032"/>
    <w:rsid w:val="66DAFEF1"/>
    <w:rsid w:val="685F6513"/>
    <w:rsid w:val="6C123D44"/>
    <w:rsid w:val="75633338"/>
    <w:rsid w:val="786A5B38"/>
    <w:rsid w:val="7CD081B6"/>
    <w:rsid w:val="7D70F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5389B"/>
  <w15:chartTrackingRefBased/>
  <w15:docId w15:val="{599D5B3E-3BEE-4F5D-9155-9B690B7E2E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41EA3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2337/dc22-Sint" TargetMode="External" Id="R5a3beed41ec243c7" /><Relationship Type="http://schemas.openxmlformats.org/officeDocument/2006/relationships/hyperlink" Target="https://doi.org/10.2337/dc16-1728" TargetMode="External" Id="R85b090d419df463c" /><Relationship Type="http://schemas.openxmlformats.org/officeDocument/2006/relationships/hyperlink" Target="https://www.diabetes.org.uk/about-us/about-the-charity/our-strategy/statistics" TargetMode="External" Id="Rac839207dd894b96" /><Relationship Type="http://schemas.openxmlformats.org/officeDocument/2006/relationships/hyperlink" Target="https://doi.org/10.4239/wjd.v6.i6.850" TargetMode="External" Id="R551951c685294182" /><Relationship Type="http://schemas.openxmlformats.org/officeDocument/2006/relationships/hyperlink" Target="https://doi.org/10.1002/dmrr.2515" TargetMode="External" Id="R6668ed4722ad4e45" /><Relationship Type="http://schemas.openxmlformats.org/officeDocument/2006/relationships/hyperlink" Target="https://doi.org/10.1056/NEJMoa012512" TargetMode="External" Id="R76d2a83f2a4a4277" /><Relationship Type="http://schemas.openxmlformats.org/officeDocument/2006/relationships/hyperlink" Target="https://doi.org/10.1016/S0140-6736(17)33102-1" TargetMode="External" Id="R3abebebf0c704a81" /><Relationship Type="http://schemas.openxmlformats.org/officeDocument/2006/relationships/hyperlink" Target="https://www.pearson.com/en-us/subject-catalog/p/human-anatomy--physiology/P200000006852" TargetMode="External" Id="R69eef606654041c2" /><Relationship Type="http://schemas.openxmlformats.org/officeDocument/2006/relationships/hyperlink" Target="https://doi.org/10.2337/dc08-0985" TargetMode="External" Id="R9f4f688304b64306" /><Relationship Type="http://schemas.openxmlformats.org/officeDocument/2006/relationships/hyperlink" Target="https://www.nhs.uk/conditions/type-2-diabetes" TargetMode="External" Id="R0b13bedafbc34e73" /><Relationship Type="http://schemas.openxmlformats.org/officeDocument/2006/relationships/hyperlink" Target="https://www.nice.org.uk/guidance/ng209" TargetMode="External" Id="R9636f4ef88e84b0d" /><Relationship Type="http://schemas.openxmlformats.org/officeDocument/2006/relationships/hyperlink" Target="https://www.nice.org.uk/guidance/ng28" TargetMode="External" Id="Rbc62708ecabb41cb" /><Relationship Type="http://schemas.openxmlformats.org/officeDocument/2006/relationships/hyperlink" Target="https://www.cengage.com/c/human-physiology-from-cells-to-systems-9e-sherwood" TargetMode="External" Id="R6c3b6db33c064965" /><Relationship Type="http://schemas.openxmlformats.org/officeDocument/2006/relationships/hyperlink" Target="https://www.wiley.com/en-us/Principles+of+Anatomy+and+Physiology%2C+15th+Edition-p-9781119320357" TargetMode="External" Id="R1ef612cc65f7415f" /><Relationship Type="http://schemas.openxmlformats.org/officeDocument/2006/relationships/hyperlink" Target="https://doi.org/10.1001/jama.2011.576" TargetMode="External" Id="R7dc6b19d560b4ad5" /><Relationship Type="http://schemas.openxmlformats.org/officeDocument/2006/relationships/hyperlink" Target="https://pmc.ncbi.nlm.nih.gov/articles/PMC1204764/" TargetMode="External" Id="R896a51cd259e43a1" /><Relationship Type="http://schemas.openxmlformats.org/officeDocument/2006/relationships/hyperlink" Target="https://doi.org/10.1001/jama.298.22.2654" TargetMode="External" Id="R40e78337cbd14f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 Sultan (2431994)</dc:creator>
  <keywords/>
  <dc:description/>
  <lastModifiedBy>Salma Sultan (2431994)</lastModifiedBy>
  <revision>2</revision>
  <dcterms:created xsi:type="dcterms:W3CDTF">2026-06-19T15:20:44.1546426Z</dcterms:created>
  <dcterms:modified xsi:type="dcterms:W3CDTF">2026-06-19T15:41:01.3210454Z</dcterms:modified>
</coreProperties>
</file>