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CB700B" w:rsidRDefault="00CB700B" w:rsidP="00CB700B">
      <w:pPr>
        <w:jc w:val="center"/>
      </w:pPr>
      <w:r>
        <w:rPr>
          <w:noProof/>
          <w:lang w:eastAsia="en-GB"/>
        </w:rPr>
        <w:drawing>
          <wp:inline distT="0" distB="0" distL="0" distR="0" wp14:anchorId="407CF8CB" wp14:editId="156147DC">
            <wp:extent cx="2309495" cy="10763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opy-of-UWTSD.jpg"/>
                    <pic:cNvPicPr/>
                  </pic:nvPicPr>
                  <pic:blipFill rotWithShape="1">
                    <a:blip r:embed="rId4" cstate="print">
                      <a:extLst>
                        <a:ext uri="{28A0092B-C50C-407E-A947-70E740481C1C}">
                          <a14:useLocalDpi xmlns:a14="http://schemas.microsoft.com/office/drawing/2010/main" val="0"/>
                        </a:ext>
                      </a:extLst>
                    </a:blip>
                    <a:srcRect t="22750" b="26250"/>
                    <a:stretch/>
                  </pic:blipFill>
                  <pic:spPr bwMode="auto">
                    <a:xfrm>
                      <a:off x="0" y="0"/>
                      <a:ext cx="2361557" cy="1100588"/>
                    </a:xfrm>
                    <a:prstGeom prst="rect">
                      <a:avLst/>
                    </a:prstGeom>
                    <a:ln>
                      <a:noFill/>
                    </a:ln>
                    <a:extLst>
                      <a:ext uri="{53640926-AAD7-44D8-BBD7-CCE9431645EC}">
                        <a14:shadowObscured xmlns:a14="http://schemas.microsoft.com/office/drawing/2010/main"/>
                      </a:ext>
                    </a:extLst>
                  </pic:spPr>
                </pic:pic>
              </a:graphicData>
            </a:graphic>
          </wp:inline>
        </w:drawing>
      </w:r>
    </w:p>
    <w:p w:rsidR="00CB700B" w:rsidRDefault="00CB700B" w:rsidP="00CB700B">
      <w:pPr>
        <w:pStyle w:val="Title"/>
        <w:rPr>
          <w:sz w:val="40"/>
          <w:szCs w:val="40"/>
        </w:rPr>
      </w:pPr>
    </w:p>
    <w:p w:rsidR="00CB700B" w:rsidRDefault="00CB700B" w:rsidP="00CB700B">
      <w:pPr>
        <w:pStyle w:val="Title"/>
        <w:rPr>
          <w:sz w:val="40"/>
          <w:szCs w:val="40"/>
        </w:rPr>
      </w:pPr>
    </w:p>
    <w:p w:rsidR="00CB700B" w:rsidRDefault="00CB700B" w:rsidP="00CB700B">
      <w:pPr>
        <w:pStyle w:val="Title"/>
        <w:rPr>
          <w:sz w:val="40"/>
          <w:szCs w:val="40"/>
        </w:rPr>
      </w:pPr>
      <w:r w:rsidRPr="00F85A8F">
        <w:rPr>
          <w:sz w:val="40"/>
          <w:szCs w:val="40"/>
        </w:rPr>
        <w:t>Assignment Title: Craig Poole - Hotel Manager</w:t>
      </w:r>
    </w:p>
    <w:p w:rsidR="00CB700B" w:rsidRDefault="00CB700B" w:rsidP="00CB700B">
      <w:pPr>
        <w:rPr>
          <w:b/>
          <w:sz w:val="32"/>
          <w:szCs w:val="32"/>
        </w:rPr>
      </w:pPr>
    </w:p>
    <w:p w:rsidR="00CB700B" w:rsidRPr="00F85A8F" w:rsidRDefault="00CB700B" w:rsidP="00CB700B">
      <w:pPr>
        <w:jc w:val="center"/>
        <w:rPr>
          <w:b/>
          <w:sz w:val="32"/>
          <w:szCs w:val="32"/>
        </w:rPr>
      </w:pPr>
      <w:r w:rsidRPr="00F85A8F">
        <w:rPr>
          <w:b/>
          <w:sz w:val="32"/>
          <w:szCs w:val="32"/>
        </w:rPr>
        <w:t>Module Title: Management &amp; Organisational Behaviour</w:t>
      </w:r>
    </w:p>
    <w:p w:rsidR="00CB700B" w:rsidRPr="00F85A8F" w:rsidRDefault="00CB700B" w:rsidP="00CB700B">
      <w:pPr>
        <w:jc w:val="center"/>
        <w:rPr>
          <w:b/>
        </w:rPr>
      </w:pPr>
      <w:r w:rsidRPr="00F85A8F">
        <w:rPr>
          <w:b/>
          <w:sz w:val="32"/>
          <w:szCs w:val="32"/>
        </w:rPr>
        <w:t>Module Code: BMIH5004</w:t>
      </w:r>
    </w:p>
    <w:p w:rsidR="00CB700B" w:rsidRPr="00F85A8F" w:rsidRDefault="00CB700B" w:rsidP="00CB700B">
      <w:pPr>
        <w:jc w:val="center"/>
        <w:rPr>
          <w:b/>
          <w:sz w:val="32"/>
          <w:szCs w:val="32"/>
        </w:rPr>
      </w:pPr>
      <w:r w:rsidRPr="00F85A8F">
        <w:rPr>
          <w:b/>
          <w:sz w:val="32"/>
          <w:szCs w:val="32"/>
        </w:rPr>
        <w:t xml:space="preserve">Student Name: </w:t>
      </w:r>
      <w:r w:rsidRPr="00F85A8F">
        <w:rPr>
          <w:b/>
          <w:sz w:val="32"/>
          <w:szCs w:val="32"/>
          <w:shd w:val="clear" w:color="auto" w:fill="FFFFFF"/>
        </w:rPr>
        <w:t>Khaled Chowdhury</w:t>
      </w:r>
    </w:p>
    <w:p w:rsidR="00CB700B" w:rsidRPr="00F85A8F" w:rsidRDefault="00CB700B" w:rsidP="00CB700B">
      <w:pPr>
        <w:jc w:val="center"/>
        <w:rPr>
          <w:b/>
          <w:sz w:val="32"/>
          <w:szCs w:val="32"/>
        </w:rPr>
      </w:pPr>
      <w:r w:rsidRPr="00F85A8F">
        <w:rPr>
          <w:b/>
          <w:sz w:val="32"/>
          <w:szCs w:val="32"/>
        </w:rPr>
        <w:t>Student ID:</w:t>
      </w:r>
      <w:r>
        <w:rPr>
          <w:b/>
          <w:sz w:val="32"/>
          <w:szCs w:val="32"/>
        </w:rPr>
        <w:t>2112453</w:t>
      </w:r>
    </w:p>
    <w:p w:rsidR="00CB700B" w:rsidRPr="00F85A8F" w:rsidRDefault="00CB700B" w:rsidP="00CB700B">
      <w:pPr>
        <w:jc w:val="center"/>
        <w:rPr>
          <w:b/>
          <w:sz w:val="32"/>
          <w:szCs w:val="32"/>
        </w:rPr>
      </w:pPr>
      <w:r w:rsidRPr="00F85A8F">
        <w:rPr>
          <w:b/>
          <w:sz w:val="32"/>
          <w:szCs w:val="32"/>
        </w:rPr>
        <w:t>Lecturer Name: Robyn Griffiths and Julia Ault</w:t>
      </w:r>
    </w:p>
    <w:p w:rsidR="00CB700B" w:rsidRDefault="00CB700B" w:rsidP="00CB700B"/>
    <w:p w:rsidR="00CB700B" w:rsidRDefault="00CB700B" w:rsidP="00CB700B">
      <w:r>
        <w:br w:type="page"/>
      </w:r>
    </w:p>
    <w:p w:rsidR="00CB700B" w:rsidRPr="009F67A2" w:rsidRDefault="00CB700B" w:rsidP="00CB700B">
      <w:pPr>
        <w:rPr>
          <w:sz w:val="36"/>
          <w:szCs w:val="36"/>
        </w:rPr>
      </w:pPr>
      <w:r w:rsidRPr="009F67A2">
        <w:rPr>
          <w:sz w:val="36"/>
          <w:szCs w:val="36"/>
        </w:rPr>
        <w:lastRenderedPageBreak/>
        <w:t>Introduction:</w:t>
      </w:r>
    </w:p>
    <w:p w:rsidR="00CB700B" w:rsidRDefault="00CB700B" w:rsidP="00CB700B">
      <w:r>
        <w:t xml:space="preserve">Craig Poole is a professional in the hospitality industry. He is the General Manager of the Doubletree by Hilton in Reading, Pennsylvania </w:t>
      </w:r>
      <w:r w:rsidRPr="00311B95">
        <w:t>(Staff, 2023)</w:t>
      </w:r>
      <w:r>
        <w:t>. To provide an objective analysis of Poole's preferred management approach, this article makes use of the Blake and Mouton Managerial Grid as well as Adair's Model of Action Centred Leadership (ACL). These frameworks shed light on Poole's management approach as well as the efficacy of his leadership. These discoveries will be examined in terms of their applicability using sources that can be trusted. The purpose of this investigation is to shed light on Poole's management style as well as its consequences on the operations of the hotel and the performance of its workforce.</w:t>
      </w:r>
    </w:p>
    <w:p w:rsidR="00CB700B" w:rsidRDefault="00CB700B" w:rsidP="00CB700B">
      <w:pPr>
        <w:pStyle w:val="Heading2"/>
      </w:pPr>
    </w:p>
    <w:p w:rsidR="00CB700B" w:rsidRDefault="00CB700B" w:rsidP="00CB700B">
      <w:pPr>
        <w:pStyle w:val="Heading2"/>
      </w:pPr>
      <w:r>
        <w:t xml:space="preserve">Blake and Mouton Managerial Grid </w:t>
      </w:r>
    </w:p>
    <w:p w:rsidR="00CB700B" w:rsidRDefault="00CB700B" w:rsidP="00CB700B">
      <w:r w:rsidRPr="00073B7A">
        <w:t>The 2019 Hilton Legacy Award for Top Performance of a Concentrated Portfolio Hotel was presented to Craig Poole, CEO of Hilton, who also won the Light and Warmth Award, the Hilton Connie Award a record three times, and was named General Manager of the Year by the American Hotel and Lodging Association</w:t>
      </w:r>
      <w:r>
        <w:t xml:space="preserve"> (HospitalityMD, 2023)</w:t>
      </w:r>
      <w:r w:rsidRPr="00073B7A">
        <w:t>.</w:t>
      </w:r>
      <w:r>
        <w:t xml:space="preserve"> </w:t>
      </w:r>
      <w:r w:rsidRPr="00073B7A">
        <w:t>Take care in all aspects. Perform the task to such a high standard that people will want to come back and bring their friends to observe how well you do it. Keynote speaker at events that raise money for a cause or groups that discuss broken communities, second chances for the disadvantaged, poor, and forgotten, and establishing communi</w:t>
      </w:r>
      <w:r>
        <w:t xml:space="preserve">ty via collaborative efforts </w:t>
      </w:r>
      <w:r w:rsidRPr="00311B95">
        <w:t>(Milne, 2021)</w:t>
      </w:r>
      <w:r>
        <w:t xml:space="preserve">. </w:t>
      </w:r>
      <w:r w:rsidRPr="00073B7A">
        <w:t>Turnaround, community involvement, tourist enjoyment and loyalty, and a revenue-driven approach are some of our special</w:t>
      </w:r>
      <w:r>
        <w:t>i</w:t>
      </w:r>
      <w:r w:rsidRPr="00073B7A">
        <w:t>ties.</w:t>
      </w:r>
    </w:p>
    <w:p w:rsidR="00CB700B" w:rsidRDefault="00CB700B" w:rsidP="00CB700B">
      <w:r>
        <w:t xml:space="preserve">The Blake and Mouton Managerial Grid, which categorises leadership styles according to concern for people and production, can be used to analyse Craig Poole's management style. This grid defines leadership styles according to how much care is taken for the production of anything </w:t>
      </w:r>
      <w:r w:rsidRPr="00A34139">
        <w:t>(Armstrong, 2012)</w:t>
      </w:r>
      <w:r>
        <w:t>. This grid classifies several leadership styles according to their concern for both output and people. There are five distinct styles of leadership, as defined by the classification system developed by Blake and Mouton (1964). These types are as follows: poor, country club, authority compliance, team, and middle-of-the-road.</w:t>
      </w:r>
    </w:p>
    <w:p w:rsidR="00CB700B" w:rsidRDefault="00CB700B" w:rsidP="00CB700B">
      <w:r>
        <w:t xml:space="preserve">It is likely that Poole, in his job as General Manager, is responsible for the staff in addition to the output. The owners of hotels are faced with the challenging issue of juggling the requirements of their customers with those of their establishment </w:t>
      </w:r>
      <w:r w:rsidRPr="00A34139">
        <w:t>(Rollinson, 2008)</w:t>
      </w:r>
      <w:r>
        <w:t>. Poole has the intention of following the lead that the team management provides based on the data that are now available. According to Blake and Mouton (1964), this method of management emphasizes both people and productivity, which, in turn, encourages collaborative efforts, open lines of communication, and a constructive atmosphere in the workplace.</w:t>
      </w:r>
    </w:p>
    <w:p w:rsidR="00CB700B" w:rsidRDefault="00CB700B" w:rsidP="00CB700B">
      <w:r>
        <w:t xml:space="preserve">Numerous magazines and websites have complimented Craig Poole for the hands-on mentality and leadership characteristics that he possesses. In addition, he has received numerous awards. Both his regular engagement with the staff and his encouragement of open communication contributes to the group's success in achieving the goals they have set for themselves as a unit </w:t>
      </w:r>
      <w:r w:rsidRPr="00A34139">
        <w:t>(Arnold, 2005)</w:t>
      </w:r>
      <w:r>
        <w:t>. Because Poole is concerned about both the prosperity of the company and the well-being of its workers, he places a higher priority on leadership that is collaborative rather than management that is individual. This leads to a more pleasant atmosphere at work, which in turn increases the pleasure of both the employees and the guests, as well as the overall experiences of both groups.</w:t>
      </w:r>
    </w:p>
    <w:p w:rsidR="00CB700B" w:rsidRDefault="00CB700B" w:rsidP="00CB700B">
      <w:r>
        <w:lastRenderedPageBreak/>
        <w:t xml:space="preserve">It is necessary to take into mind the deficiencies that are present in the Blake and Mouton Managerial Grid. The numerous facets of leadership are oversimplified due to the way the notion is presented </w:t>
      </w:r>
      <w:r w:rsidRPr="00311B95">
        <w:t>(Todăriţă, 2021)</w:t>
      </w:r>
      <w:r>
        <w:t>. The process of exercising leadership is difficult and is based on a wide variety of elements. The grid also does not take into account the adaptability of different leadership styles. Even though it needs to be evaluated with caution because of the limitations of the model, the grid is capable of providing a general impression of Poole's writing style.</w:t>
      </w:r>
    </w:p>
    <w:p w:rsidR="00CB700B" w:rsidRDefault="00CB700B" w:rsidP="00CB700B">
      <w:r>
        <w:t xml:space="preserve">With the assistance of McGregor's X and Y Theory, which analyses and contrasts the motivation and conduct of employees, one can have a better understanding of the management style utilised by Poole </w:t>
      </w:r>
      <w:r w:rsidRPr="00A34139">
        <w:t>(Robbins, Judge and Vohra, 2008)</w:t>
      </w:r>
      <w:r>
        <w:t>. This theory discusses not only the Theory X managerial approach but also the Theory Y managerial approach as well. Theory X says that workers are unmotivated and require tight supervision, whereas Theory Y asserts that workers are self-motivated and able to function independently (McGregor, 1960). Theory X asserts that workers are lazy and require careful monitoring.</w:t>
      </w:r>
    </w:p>
    <w:p w:rsidR="00CB700B" w:rsidRDefault="00CB700B" w:rsidP="00CB700B">
      <w:r>
        <w:t xml:space="preserve">The perspective used by Poole as well as his methods are in line with Theory Y. This strategy grants employees more autonomy, promotes employee engagement, and has faith in the employees' potential to accomplish their goals </w:t>
      </w:r>
      <w:r w:rsidRPr="00A34139">
        <w:t>(Bloisi, Cook and Hunsaker, 2007)</w:t>
      </w:r>
      <w:r>
        <w:t>. The fact that Poole manages his staff using a hands-on approach and places a heavy focus on teamwork is evidence that he trusts and motivates the people who work for him. Theory Y, which encourages open communication, collaborative work, and personal development, is the philosophy that Poole subscribes to. This setting motivates hard labour and a sense of ownership over the product of that labour.</w:t>
      </w:r>
    </w:p>
    <w:p w:rsidR="00CB700B" w:rsidRDefault="00CB700B" w:rsidP="00CB700B">
      <w:r>
        <w:t xml:space="preserve">The reports and sources that may be found online lend credence to Poole's beliefs, which are more aligned with Theory Y. He recognises the staff's potential to make a positive contribution to the overall performance of the hotel and treats them as vital assets in the operation of the business </w:t>
      </w:r>
      <w:r w:rsidRPr="00A34139">
        <w:t>(Mullins and Dossor, 2013)</w:t>
      </w:r>
      <w:r>
        <w:t>. Poole is dedicated to assisting its staff members in realising their full potential by cultivating a constructive culture at the workplace and offering opportunities for professional advancement. This approach fosters a sense of independence and personal motivation, which ultimately results in more job satisfaction as well as improved performance.</w:t>
      </w:r>
    </w:p>
    <w:p w:rsidR="00CB700B" w:rsidRDefault="00CB700B" w:rsidP="00CB700B">
      <w:r>
        <w:t xml:space="preserve">McGregor's X and Y Theory provides some insight into Poole's management approach; nonetheless, this theory is not without its flaws and restrictions. There is a possibility that two opposing hypotheses cannot adequately describe employee behaviour and motivation in the workplace </w:t>
      </w:r>
      <w:r w:rsidRPr="00A34139">
        <w:t>(Boddy, 2014)</w:t>
      </w:r>
      <w:r>
        <w:t>. The organisational structure in which people function affects their motivations and behaviour, as do their circumstances, their traits, and the attributes of the company. Therefore, even though Theory Y helps describe Poole's method, it needs to be explored in conjunction with a large number of other aspects, and it should be comprehended with caution.</w:t>
      </w:r>
    </w:p>
    <w:p w:rsidR="00CB700B" w:rsidRDefault="00CB700B" w:rsidP="00CB700B">
      <w:r>
        <w:t xml:space="preserve">Both the Blake and Mouton Managerial Grid and McGregor's X and Y Theory can be utilised to conduct an assessment of the management approach utilised by Craig Poole. The Managerial Grid style of team management that Poole uses places a heavy emphasis on healthy working conditions and collaborative efforts </w:t>
      </w:r>
      <w:r w:rsidRPr="00A34139">
        <w:t>(Mullins, 2016)</w:t>
      </w:r>
      <w:r>
        <w:t>. This is a reflection of Poole's concentration on both people and output, which is why he chooses this approach. McGregor's Theory Y is evidence that Poole has faith in his workers and that he is making an attempt to provide them with a greater degree of autonomy and involve them in decision-making. However, even though they help elucidate Poole's managerial style, these notions suffer from some shortcomings. To formulate a complete assessment, it is necessary to investigate the scenario from a variety of various angles.</w:t>
      </w:r>
    </w:p>
    <w:p w:rsidR="00CB700B" w:rsidRDefault="00CB700B" w:rsidP="00CB700B">
      <w:pPr>
        <w:pStyle w:val="Heading2"/>
      </w:pPr>
      <w:r>
        <w:lastRenderedPageBreak/>
        <w:t>Adair’s model of Action Centred Leadership (ACL)</w:t>
      </w:r>
    </w:p>
    <w:p w:rsidR="00CB700B" w:rsidRDefault="00CB700B" w:rsidP="00CB700B">
      <w:r>
        <w:t xml:space="preserve">Adair's Model of Action-Centred Leadership (ACL), which focuses on maintaining tasks at the individual, group, and organisational levels, is used to evaluate the effectiveness of managers. According to this theory (Adair, 1973), for leaders to attain optimal performance and continue to preserve the cohesiveness of their teams, they need to find a balance between the functions that they are responsible for </w:t>
      </w:r>
      <w:r w:rsidRPr="00A34139">
        <w:t>(Buchanan and Andrzej Huczynski, 2007)</w:t>
      </w:r>
      <w:r>
        <w:t>.</w:t>
      </w:r>
    </w:p>
    <w:p w:rsidR="00CB700B" w:rsidRDefault="00CB700B" w:rsidP="00CB700B">
      <w:r>
        <w:t xml:space="preserve">The task-oriented management technique is the one that is utilised by Craig Poole. Keeping up with one's obligations requires one to first establish goals, then arrange those goals in order of importance, and finally complete those obligations </w:t>
      </w:r>
      <w:r w:rsidRPr="00311B95">
        <w:t>(Vincent, 2021)</w:t>
      </w:r>
      <w:r>
        <w:t>. The hotel is under Poole's management, and he is responsible for setting performance goals and ensuring that everyday operations run well. His priorities of efficiency and productivity are the driving force behind his hands-on approach and meticulous attention to detail. Poole can achieve this by first defining clear standards, and then by providing the required tools to achieve those requirements.</w:t>
      </w:r>
    </w:p>
    <w:p w:rsidR="00CB700B" w:rsidRDefault="00CB700B" w:rsidP="00CB700B">
      <w:r>
        <w:t xml:space="preserve">Fostering teamwork, finding solutions to problems, and cultivating connections are all examples of tasks that fall under the category of "the art of group maintenance," which is another area in which Craig Poole excels. The ability of Poole to excite employees and motivate them to cooperate has been praised in numerous reports and on numerous internet sites </w:t>
      </w:r>
      <w:r w:rsidRPr="00A34139">
        <w:t>(Mullins, 2020)</w:t>
      </w:r>
      <w:r>
        <w:t>. Open communication, ongoing professional development, and acknowledgement of individual accomplishments are all things that he actively promotes and supports. Poole contributes to the development of an inspiring atmosphere on the job by emphasizing the dynamics of groups and the coherence of teams in the workplace.</w:t>
      </w:r>
    </w:p>
    <w:p w:rsidR="00CB700B" w:rsidRDefault="00CB700B" w:rsidP="00CB700B">
      <w:r>
        <w:t xml:space="preserve">When it comes to the members of the team's maintenance, as well as their particular concerns and interests, Poole places a great focus on both aspects. He gets to know the employees well enough to understand their capabilities, weaknesses, and long-term goals </w:t>
      </w:r>
      <w:r w:rsidRPr="00311B95">
        <w:t>(Ellis, 2021)</w:t>
      </w:r>
      <w:r>
        <w:t>. Poole encourages personal development and autonomy in several different ways, including serving as a mentor and coach and providing a variety of opportunities for progress. The customised approach that Poole takes is beneficial to both the morale and loyalty of his personnel because it displays that he cares about each member of the team.</w:t>
      </w:r>
    </w:p>
    <w:p w:rsidR="00CB700B" w:rsidRDefault="00CB700B" w:rsidP="00CB700B">
      <w:r>
        <w:t xml:space="preserve">Adair's ACL has been criticised for being too broad of a framework in terms of the understanding it provides regarding the effectiveness of leadership. The method likely disregards how the environment around you and other elements play a role in effective leadership </w:t>
      </w:r>
      <w:r w:rsidRPr="00A34139">
        <w:t>(Mullins, 2020)</w:t>
      </w:r>
      <w:r>
        <w:t>. In addition, the concept assumes that leaders are capable of successfully juggling all three responsibilities at the same time, which is not always the case. On the other side, Adair's ACL provides insight into Craig Poole's leadership style and reveals that he can successfully manage hotel projects, groups, and individuals.</w:t>
      </w:r>
    </w:p>
    <w:p w:rsidR="00CB700B" w:rsidRDefault="00CB700B" w:rsidP="00CB700B">
      <w:r>
        <w:t xml:space="preserve">With the assistance of Mary Key Ash's Golden Rule Management, one can assess the management strategy that has been implemented by Craig Poole </w:t>
      </w:r>
      <w:r w:rsidRPr="00311B95">
        <w:t>(Njuaboh, 2023)</w:t>
      </w:r>
      <w:r>
        <w:t>. The management philosophy known as the "Golden Rule" places a strong focus on treating workers with justice, respect, and empathy. It would appear that Poole is running his club according to the principles that are outlined in the Golden Rule Management concept.</w:t>
      </w:r>
    </w:p>
    <w:p w:rsidR="00CB700B" w:rsidRDefault="00CB700B" w:rsidP="00CB700B">
      <w:r>
        <w:t xml:space="preserve">Both the hands-on approach that Poole takes and the relationship that is built up between members of the team are routinely noted and praised. Poole can demonstrate that it genuinely cares for the joy and health of its employees by sustaining an active engagement with the people who work for the company </w:t>
      </w:r>
      <w:r w:rsidRPr="00A34139">
        <w:t>(Huczynski and Buchanan, 2013)</w:t>
      </w:r>
      <w:r>
        <w:t xml:space="preserve">. Employees have a greater sense of being respected </w:t>
      </w:r>
      <w:r>
        <w:lastRenderedPageBreak/>
        <w:t>and heard when there is open contact with management and they receive feedback. Poole demonstrates his commitment to the professional and personal development of his staff by recognising the unique contributions made by each employee and by giving opportunities for career advancement.</w:t>
      </w:r>
    </w:p>
    <w:p w:rsidR="00CB700B" w:rsidRDefault="00CB700B" w:rsidP="00CB700B">
      <w:r>
        <w:t xml:space="preserve">Poole's Golden Rule The administration places a significant emphasis on being kind, polite, and compassionate towards their employees. Poole's employees are inspired to show devotion, commitment, and exceptional performance as a result of the company's practice of treating individuals with respect and fairness </w:t>
      </w:r>
      <w:r w:rsidRPr="00311B95">
        <w:t>(Anwar et al., 2020)</w:t>
      </w:r>
      <w:r>
        <w:t>. The culture of the company, the norms of the field, and the specifics of each individual's situation all play a role in determining whether or not the Golden Rule Management strategy will be successful. Poole's approach to management, which he refers to as the "Golden Rule Management" method, is highly successful; nonetheless, it is essential to take into account the dynamics of his business.</w:t>
      </w:r>
    </w:p>
    <w:p w:rsidR="00CB700B" w:rsidRDefault="00CB700B" w:rsidP="00CB700B">
      <w:r>
        <w:t xml:space="preserve">Craig Poole's management style, which is based on Adair's Model of Action-Centred Leadership, focuses an emphasis on maintaining tasks at the individual, group, and organisational levels </w:t>
      </w:r>
      <w:r w:rsidRPr="00311B95">
        <w:t>(Miao et al., 2019)</w:t>
      </w:r>
      <w:r>
        <w:t xml:space="preserve">. Productivity at hotels is increased when duties related to maintenance are finished. It's a testament to Poole's ability to manage the dynamics of the group that he places such a strong focus on things like group effort, open communication, and individual recognition. His focus on the development of staff members as individuals is evidenced by the mentoring, advising, and overall growth he facilitates for them. Poole is noted for its kind, fair, and courteous treatment of its personnel, which is following Mary Key Ash's notion of Golden Rule Management </w:t>
      </w:r>
      <w:r w:rsidRPr="00311B95">
        <w:t>(Milne, 2021)</w:t>
      </w:r>
      <w:r>
        <w:t>. These frameworks are beneficial in that they provide light on Poole's management style; however, they are not without their limitations and need to be evaluated within the right context.</w:t>
      </w:r>
    </w:p>
    <w:p w:rsidR="00CB700B" w:rsidRDefault="00CB700B" w:rsidP="00CB700B">
      <w:pPr>
        <w:pStyle w:val="Heading1"/>
      </w:pPr>
      <w:r>
        <w:t xml:space="preserve">Conclusion </w:t>
      </w:r>
    </w:p>
    <w:p w:rsidR="00CB700B" w:rsidRDefault="00CB700B" w:rsidP="00CB700B">
      <w:r>
        <w:t>C</w:t>
      </w:r>
      <w:r w:rsidRPr="00073B7A">
        <w:t>raig Poole employs the team management style outlined in the Blake and Mouton Managerial Grid as well as the action-centred leadership model proposed by Adair. Collaboration, open lines of communication, and an upbeat environment at work are all highly valued by him. Poole strikes a balance between the upkeep of tasks, groups, and individuals to accomplish goals, foster teamwork, and satisfy requirements. The managerial style taken by Poole cannot be adequately captured by these frameworks. His approach improves both the morale of workers and their output.</w:t>
      </w:r>
    </w:p>
    <w:p w:rsidR="00CB700B" w:rsidRDefault="00CB700B" w:rsidP="00CB700B"/>
    <w:p w:rsidR="00CB700B" w:rsidRDefault="00CB700B" w:rsidP="00CB700B"/>
    <w:p w:rsidR="00CB700B" w:rsidRDefault="00CB700B" w:rsidP="00CB700B"/>
    <w:p w:rsidR="00CB700B" w:rsidRDefault="00CB700B" w:rsidP="00CB700B"/>
    <w:p w:rsidR="00CB700B" w:rsidRDefault="00CB700B" w:rsidP="00CB700B"/>
    <w:p w:rsidR="00CB700B" w:rsidRDefault="00CB700B" w:rsidP="00CB700B"/>
    <w:p w:rsidR="00CB700B" w:rsidRDefault="00CB700B" w:rsidP="00CB700B"/>
    <w:p w:rsidR="00CB700B" w:rsidRDefault="00CB700B" w:rsidP="00CB700B"/>
    <w:p w:rsidR="00CB700B" w:rsidRDefault="00CB700B" w:rsidP="00CB700B"/>
    <w:p w:rsidR="00CB700B" w:rsidRDefault="00CB700B" w:rsidP="00CB700B"/>
    <w:p w:rsidR="00CB700B" w:rsidRDefault="00CB700B" w:rsidP="00CB700B"/>
    <w:p w:rsidR="00CB700B" w:rsidRDefault="00CB700B" w:rsidP="00CB700B"/>
    <w:p w:rsidR="00CB700B" w:rsidRDefault="00CB700B" w:rsidP="00CB700B"/>
    <w:p w:rsidR="00CB700B" w:rsidRDefault="00CB700B" w:rsidP="00CB700B"/>
    <w:p w:rsidR="00CB700B" w:rsidRDefault="00CB700B" w:rsidP="00CB700B"/>
    <w:p w:rsidR="00CB700B" w:rsidRDefault="00CB700B" w:rsidP="00CB700B"/>
    <w:p w:rsidR="00CB700B" w:rsidRDefault="00CB700B" w:rsidP="00CB700B"/>
    <w:p w:rsidR="00CB700B" w:rsidRDefault="00CB700B" w:rsidP="00CB700B"/>
    <w:p w:rsidR="00CB700B" w:rsidRDefault="00CB700B" w:rsidP="00CB700B">
      <w:pPr>
        <w:pStyle w:val="Heading1"/>
      </w:pPr>
      <w:r>
        <w:t>References</w:t>
      </w:r>
    </w:p>
    <w:p w:rsidR="00CB700B" w:rsidRPr="00311B95" w:rsidRDefault="00CB700B" w:rsidP="00CB700B">
      <w:pPr>
        <w:spacing w:after="240"/>
        <w:rPr>
          <w:rFonts w:eastAsia="Times New Roman" w:cs="Times New Roman"/>
          <w:szCs w:val="24"/>
          <w:lang w:eastAsia="en-GB"/>
        </w:rPr>
      </w:pPr>
      <w:r w:rsidRPr="00311B95">
        <w:rPr>
          <w:rFonts w:eastAsia="Times New Roman" w:cs="Times New Roman"/>
          <w:szCs w:val="24"/>
          <w:lang w:eastAsia="en-GB"/>
        </w:rPr>
        <w:t xml:space="preserve">Anwar, N., Nik Mahmood, N.H., Yusliza, M.Y., Ramayah, T., Noor Faezah, J. and Khalid, W. (2020). Green Human Resource Management for organisational citizenship behaviour towards the environment and environmental performance on a university campus. </w:t>
      </w:r>
      <w:r w:rsidRPr="00311B95">
        <w:rPr>
          <w:rFonts w:eastAsia="Times New Roman" w:cs="Times New Roman"/>
          <w:i/>
          <w:iCs/>
          <w:szCs w:val="24"/>
          <w:lang w:eastAsia="en-GB"/>
        </w:rPr>
        <w:t>Journal of Cleaner Production</w:t>
      </w:r>
      <w:r w:rsidRPr="00311B95">
        <w:rPr>
          <w:rFonts w:eastAsia="Times New Roman" w:cs="Times New Roman"/>
          <w:szCs w:val="24"/>
          <w:lang w:eastAsia="en-GB"/>
        </w:rPr>
        <w:t xml:space="preserve">, 256, p.120401. </w:t>
      </w:r>
      <w:proofErr w:type="gramStart"/>
      <w:r w:rsidRPr="00311B95">
        <w:rPr>
          <w:rFonts w:eastAsia="Times New Roman" w:cs="Times New Roman"/>
          <w:szCs w:val="24"/>
          <w:lang w:eastAsia="en-GB"/>
        </w:rPr>
        <w:t>doi:https://doi.org/10.1016/j.jclepro.2020.120401</w:t>
      </w:r>
      <w:proofErr w:type="gramEnd"/>
      <w:r w:rsidRPr="00311B95">
        <w:rPr>
          <w:rFonts w:eastAsia="Times New Roman" w:cs="Times New Roman"/>
          <w:szCs w:val="24"/>
          <w:lang w:eastAsia="en-GB"/>
        </w:rPr>
        <w:t>.</w:t>
      </w:r>
    </w:p>
    <w:p w:rsidR="00CB700B" w:rsidRDefault="00CB700B" w:rsidP="00CB700B">
      <w:pPr>
        <w:pStyle w:val="NormalWeb"/>
        <w:spacing w:before="0" w:beforeAutospacing="0" w:after="240" w:afterAutospacing="0" w:line="360" w:lineRule="auto"/>
        <w:jc w:val="both"/>
      </w:pPr>
      <w:r>
        <w:t xml:space="preserve">Armstrong, M. (2012). </w:t>
      </w:r>
      <w:r>
        <w:rPr>
          <w:i/>
          <w:iCs/>
        </w:rPr>
        <w:t xml:space="preserve">Armstrong’s handbook of management and leadership for </w:t>
      </w:r>
      <w:proofErr w:type="gramStart"/>
      <w:r>
        <w:rPr>
          <w:i/>
          <w:iCs/>
        </w:rPr>
        <w:t>HR :</w:t>
      </w:r>
      <w:proofErr w:type="gramEnd"/>
      <w:r>
        <w:rPr>
          <w:i/>
          <w:iCs/>
        </w:rPr>
        <w:t xml:space="preserve"> developing effective people skills for better leadership and management</w:t>
      </w:r>
      <w:r>
        <w:t>. 3rd ed. London: Kogan Page.</w:t>
      </w:r>
    </w:p>
    <w:p w:rsidR="00CB700B" w:rsidRDefault="00CB700B" w:rsidP="00CB700B">
      <w:pPr>
        <w:pStyle w:val="NormalWeb"/>
        <w:spacing w:before="0" w:beforeAutospacing="0" w:after="240" w:afterAutospacing="0" w:line="360" w:lineRule="auto"/>
        <w:jc w:val="both"/>
      </w:pPr>
      <w:r>
        <w:t xml:space="preserve">Arnold, J. (2005). </w:t>
      </w:r>
      <w:r>
        <w:rPr>
          <w:i/>
          <w:iCs/>
        </w:rPr>
        <w:t xml:space="preserve">Work </w:t>
      </w:r>
      <w:proofErr w:type="gramStart"/>
      <w:r>
        <w:rPr>
          <w:i/>
          <w:iCs/>
        </w:rPr>
        <w:t>psychology :</w:t>
      </w:r>
      <w:proofErr w:type="gramEnd"/>
      <w:r>
        <w:rPr>
          <w:i/>
          <w:iCs/>
        </w:rPr>
        <w:t xml:space="preserve"> understanding human behaviour in the workplace</w:t>
      </w:r>
      <w:r>
        <w:t>. 4th ed. Harlow, United Kingdom: Pearson.</w:t>
      </w:r>
    </w:p>
    <w:p w:rsidR="00CB700B" w:rsidRDefault="00CB700B" w:rsidP="00CB700B">
      <w:pPr>
        <w:pStyle w:val="NormalWeb"/>
        <w:spacing w:before="0" w:beforeAutospacing="0" w:after="240" w:afterAutospacing="0" w:line="360" w:lineRule="auto"/>
        <w:jc w:val="both"/>
      </w:pPr>
      <w:r>
        <w:t xml:space="preserve">Bloisi, W., Cook, C. and Hunsaker, P.L. (2007). </w:t>
      </w:r>
      <w:r>
        <w:rPr>
          <w:i/>
          <w:iCs/>
        </w:rPr>
        <w:t xml:space="preserve">Management and organisational </w:t>
      </w:r>
      <w:proofErr w:type="gramStart"/>
      <w:r>
        <w:rPr>
          <w:i/>
          <w:iCs/>
        </w:rPr>
        <w:t>behaviour :</w:t>
      </w:r>
      <w:proofErr w:type="gramEnd"/>
      <w:r>
        <w:rPr>
          <w:i/>
          <w:iCs/>
        </w:rPr>
        <w:t xml:space="preserve"> second edition</w:t>
      </w:r>
      <w:r>
        <w:t>. 2nd ed. New York: Mcgraw-Hill, Cop.</w:t>
      </w:r>
    </w:p>
    <w:p w:rsidR="00CB700B" w:rsidRDefault="00CB700B" w:rsidP="00CB700B">
      <w:pPr>
        <w:pStyle w:val="NormalWeb"/>
        <w:spacing w:before="0" w:beforeAutospacing="0" w:after="240" w:afterAutospacing="0" w:line="360" w:lineRule="auto"/>
        <w:jc w:val="both"/>
      </w:pPr>
      <w:r>
        <w:t xml:space="preserve">Boddy, D. (2014). </w:t>
      </w:r>
      <w:r>
        <w:rPr>
          <w:i/>
          <w:iCs/>
        </w:rPr>
        <w:t>Management</w:t>
      </w:r>
      <w:r>
        <w:t>. 6th ed. Harlow: Pearson.</w:t>
      </w:r>
    </w:p>
    <w:p w:rsidR="00CB700B" w:rsidRDefault="00CB700B" w:rsidP="00CB700B">
      <w:pPr>
        <w:pStyle w:val="NormalWeb"/>
        <w:spacing w:before="0" w:beforeAutospacing="0" w:after="240" w:afterAutospacing="0" w:line="360" w:lineRule="auto"/>
        <w:jc w:val="both"/>
      </w:pPr>
      <w:r>
        <w:t xml:space="preserve">Buchanan, D.A. and Andrzej Huczynski (2007). </w:t>
      </w:r>
      <w:r>
        <w:rPr>
          <w:i/>
          <w:iCs/>
        </w:rPr>
        <w:t xml:space="preserve">Organizational </w:t>
      </w:r>
      <w:proofErr w:type="gramStart"/>
      <w:r>
        <w:rPr>
          <w:i/>
          <w:iCs/>
        </w:rPr>
        <w:t>behaviour :</w:t>
      </w:r>
      <w:proofErr w:type="gramEnd"/>
      <w:r>
        <w:rPr>
          <w:i/>
          <w:iCs/>
        </w:rPr>
        <w:t xml:space="preserve"> an introductory text</w:t>
      </w:r>
      <w:r>
        <w:t>. 6th ed. Harlow, England: Pearson Education.</w:t>
      </w:r>
    </w:p>
    <w:p w:rsidR="00CB700B" w:rsidRPr="00311B95" w:rsidRDefault="00CB700B" w:rsidP="00CB700B">
      <w:pPr>
        <w:spacing w:after="240"/>
        <w:rPr>
          <w:rFonts w:eastAsia="Times New Roman" w:cs="Times New Roman"/>
          <w:szCs w:val="24"/>
          <w:lang w:eastAsia="en-GB"/>
        </w:rPr>
      </w:pPr>
      <w:r w:rsidRPr="00311B95">
        <w:rPr>
          <w:rFonts w:eastAsia="Times New Roman" w:cs="Times New Roman"/>
          <w:szCs w:val="24"/>
          <w:lang w:eastAsia="en-GB"/>
        </w:rPr>
        <w:t xml:space="preserve">Ellis, P. (2021). Leadership approaches for modern nursing practice. </w:t>
      </w:r>
      <w:r w:rsidRPr="00311B95">
        <w:rPr>
          <w:rFonts w:eastAsia="Times New Roman" w:cs="Times New Roman"/>
          <w:i/>
          <w:iCs/>
          <w:szCs w:val="24"/>
          <w:lang w:eastAsia="en-GB"/>
        </w:rPr>
        <w:t>British Journal of Cardiac Nursing</w:t>
      </w:r>
      <w:r w:rsidRPr="00311B95">
        <w:rPr>
          <w:rFonts w:eastAsia="Times New Roman" w:cs="Times New Roman"/>
          <w:szCs w:val="24"/>
          <w:lang w:eastAsia="en-GB"/>
        </w:rPr>
        <w:t xml:space="preserve">, 16(2), pp.1–5. </w:t>
      </w:r>
      <w:proofErr w:type="gramStart"/>
      <w:r w:rsidRPr="00311B95">
        <w:rPr>
          <w:rFonts w:eastAsia="Times New Roman" w:cs="Times New Roman"/>
          <w:szCs w:val="24"/>
          <w:lang w:eastAsia="en-GB"/>
        </w:rPr>
        <w:t>doi:https://doi.org/10.12968/bjca.2020.0091</w:t>
      </w:r>
      <w:proofErr w:type="gramEnd"/>
      <w:r w:rsidRPr="00311B95">
        <w:rPr>
          <w:rFonts w:eastAsia="Times New Roman" w:cs="Times New Roman"/>
          <w:szCs w:val="24"/>
          <w:lang w:eastAsia="en-GB"/>
        </w:rPr>
        <w:t>.</w:t>
      </w:r>
    </w:p>
    <w:p w:rsidR="00CB700B" w:rsidRDefault="00CB700B" w:rsidP="00CB700B">
      <w:pPr>
        <w:pStyle w:val="NormalWeb"/>
        <w:spacing w:before="0" w:beforeAutospacing="0" w:after="240" w:afterAutospacing="0" w:line="360" w:lineRule="auto"/>
        <w:jc w:val="both"/>
      </w:pPr>
      <w:r>
        <w:t xml:space="preserve">HospitalityMD (2023). </w:t>
      </w:r>
      <w:r>
        <w:rPr>
          <w:i/>
          <w:iCs/>
        </w:rPr>
        <w:t>Follow Me and I Will Be Behind You FULL DOCUMENTARY</w:t>
      </w:r>
      <w:r>
        <w:t>. [online] www.youtube.com. Available at: https://www.youtube.com/watch?v=Lrh5QIW67Mk [Accessed 23 May 2023].</w:t>
      </w:r>
    </w:p>
    <w:p w:rsidR="00CB700B" w:rsidRDefault="00CB700B" w:rsidP="00CB700B">
      <w:pPr>
        <w:pStyle w:val="NormalWeb"/>
        <w:spacing w:before="0" w:beforeAutospacing="0" w:after="240" w:afterAutospacing="0" w:line="360" w:lineRule="auto"/>
        <w:jc w:val="both"/>
      </w:pPr>
      <w:r>
        <w:lastRenderedPageBreak/>
        <w:t xml:space="preserve">Huczynski, A. and Buchanan, D.A. (2013). </w:t>
      </w:r>
      <w:r>
        <w:rPr>
          <w:i/>
          <w:iCs/>
        </w:rPr>
        <w:t xml:space="preserve">Organizational </w:t>
      </w:r>
      <w:proofErr w:type="gramStart"/>
      <w:r>
        <w:rPr>
          <w:i/>
          <w:iCs/>
        </w:rPr>
        <w:t>behaviour :</w:t>
      </w:r>
      <w:proofErr w:type="gramEnd"/>
      <w:r>
        <w:rPr>
          <w:i/>
          <w:iCs/>
        </w:rPr>
        <w:t xml:space="preserve"> an introductory text</w:t>
      </w:r>
      <w:r>
        <w:t>. 8th ed. Harlow: Financial Times Prentice Hall.</w:t>
      </w:r>
    </w:p>
    <w:p w:rsidR="00CB700B" w:rsidRPr="00311B95" w:rsidRDefault="00CB700B" w:rsidP="00CB700B">
      <w:pPr>
        <w:spacing w:after="240"/>
        <w:rPr>
          <w:rFonts w:eastAsia="Times New Roman" w:cs="Times New Roman"/>
          <w:szCs w:val="24"/>
          <w:lang w:eastAsia="en-GB"/>
        </w:rPr>
      </w:pPr>
      <w:r w:rsidRPr="00311B95">
        <w:rPr>
          <w:rFonts w:eastAsia="Times New Roman" w:cs="Times New Roman"/>
          <w:szCs w:val="24"/>
          <w:lang w:eastAsia="en-GB"/>
        </w:rPr>
        <w:t xml:space="preserve">Miao, Q., Eva, N., Newman, A., Nielsen, I. and Herbert, K. (2019). Ethical Leadership and Unethical Pro‐Organisational Behaviour: The Mediating Mechanism of Reflective Moral Attentiveness. </w:t>
      </w:r>
      <w:r w:rsidRPr="00311B95">
        <w:rPr>
          <w:rFonts w:eastAsia="Times New Roman" w:cs="Times New Roman"/>
          <w:i/>
          <w:iCs/>
          <w:szCs w:val="24"/>
          <w:lang w:eastAsia="en-GB"/>
        </w:rPr>
        <w:t>Applied Psychology</w:t>
      </w:r>
      <w:r w:rsidRPr="00311B95">
        <w:rPr>
          <w:rFonts w:eastAsia="Times New Roman" w:cs="Times New Roman"/>
          <w:szCs w:val="24"/>
          <w:lang w:eastAsia="en-GB"/>
        </w:rPr>
        <w:t xml:space="preserve">, 69(3). </w:t>
      </w:r>
      <w:proofErr w:type="gramStart"/>
      <w:r w:rsidRPr="00311B95">
        <w:rPr>
          <w:rFonts w:eastAsia="Times New Roman" w:cs="Times New Roman"/>
          <w:szCs w:val="24"/>
          <w:lang w:eastAsia="en-GB"/>
        </w:rPr>
        <w:t>doi:https://doi.org/10.1111/apps.12210</w:t>
      </w:r>
      <w:proofErr w:type="gramEnd"/>
      <w:r w:rsidRPr="00311B95">
        <w:rPr>
          <w:rFonts w:eastAsia="Times New Roman" w:cs="Times New Roman"/>
          <w:szCs w:val="24"/>
          <w:lang w:eastAsia="en-GB"/>
        </w:rPr>
        <w:t>.</w:t>
      </w:r>
    </w:p>
    <w:p w:rsidR="00CB700B" w:rsidRPr="00311B95" w:rsidRDefault="00CB700B" w:rsidP="00CB700B">
      <w:pPr>
        <w:spacing w:after="240"/>
        <w:rPr>
          <w:rFonts w:eastAsia="Times New Roman" w:cs="Times New Roman"/>
          <w:szCs w:val="24"/>
          <w:lang w:eastAsia="en-GB"/>
        </w:rPr>
      </w:pPr>
      <w:r w:rsidRPr="00311B95">
        <w:rPr>
          <w:rFonts w:eastAsia="Times New Roman" w:cs="Times New Roman"/>
          <w:szCs w:val="24"/>
          <w:lang w:eastAsia="en-GB"/>
        </w:rPr>
        <w:t xml:space="preserve">Milne, A.G. (2021). </w:t>
      </w:r>
      <w:r w:rsidRPr="00311B95">
        <w:rPr>
          <w:rFonts w:eastAsia="Times New Roman" w:cs="Times New Roman"/>
          <w:i/>
          <w:iCs/>
          <w:szCs w:val="24"/>
          <w:lang w:eastAsia="en-GB"/>
        </w:rPr>
        <w:t>Craig Poole, GM of the Year, shares a case study of Hospitality Leadership, Culture, and Profit.</w:t>
      </w:r>
      <w:r w:rsidRPr="00311B95">
        <w:rPr>
          <w:rFonts w:eastAsia="Times New Roman" w:cs="Times New Roman"/>
          <w:szCs w:val="24"/>
          <w:lang w:eastAsia="en-GB"/>
        </w:rPr>
        <w:t xml:space="preserve"> [online] Adelegutman.com. Available at: https://www.adelegutman.com/post/craig-poole-hotel-leadership-culture.</w:t>
      </w:r>
    </w:p>
    <w:p w:rsidR="00CB700B" w:rsidRDefault="00CB700B" w:rsidP="00CB700B">
      <w:pPr>
        <w:pStyle w:val="NormalWeb"/>
        <w:spacing w:before="0" w:beforeAutospacing="0" w:after="240" w:afterAutospacing="0" w:line="360" w:lineRule="auto"/>
        <w:jc w:val="both"/>
      </w:pPr>
      <w:r>
        <w:t xml:space="preserve">Mullins, L.J. (2016). </w:t>
      </w:r>
      <w:r>
        <w:rPr>
          <w:i/>
          <w:iCs/>
        </w:rPr>
        <w:t>Management &amp; Organisational Behaviour</w:t>
      </w:r>
      <w:r>
        <w:t>. 11th ed. Harlow: Pearson.</w:t>
      </w:r>
    </w:p>
    <w:p w:rsidR="00CB700B" w:rsidRDefault="00CB700B" w:rsidP="00CB700B">
      <w:pPr>
        <w:pStyle w:val="NormalWeb"/>
        <w:spacing w:before="0" w:beforeAutospacing="0" w:after="240" w:afterAutospacing="0" w:line="360" w:lineRule="auto"/>
        <w:jc w:val="both"/>
      </w:pPr>
      <w:r>
        <w:t xml:space="preserve">Mullins, L.J. (2020). </w:t>
      </w:r>
      <w:r>
        <w:rPr>
          <w:i/>
          <w:iCs/>
        </w:rPr>
        <w:t>Organisational Behaviour in the Workplace</w:t>
      </w:r>
      <w:r>
        <w:t>. 12th ed. Harlow: Pearson.</w:t>
      </w:r>
    </w:p>
    <w:p w:rsidR="00CB700B" w:rsidRDefault="00CB700B" w:rsidP="00CB700B">
      <w:pPr>
        <w:pStyle w:val="NormalWeb"/>
        <w:spacing w:before="0" w:beforeAutospacing="0" w:after="240" w:afterAutospacing="0" w:line="360" w:lineRule="auto"/>
        <w:jc w:val="both"/>
      </w:pPr>
      <w:r>
        <w:t xml:space="preserve">Mullins, L.J. and Dossor, P. (2013). </w:t>
      </w:r>
      <w:r>
        <w:rPr>
          <w:i/>
          <w:iCs/>
        </w:rPr>
        <w:t>Hospitality management and organisational behaviour.</w:t>
      </w:r>
      <w:r>
        <w:t xml:space="preserve"> 5th ed. Harlow: Pearson.</w:t>
      </w:r>
    </w:p>
    <w:p w:rsidR="00CB700B" w:rsidRPr="00311B95" w:rsidRDefault="00CB700B" w:rsidP="00CB700B">
      <w:pPr>
        <w:spacing w:after="240"/>
        <w:rPr>
          <w:rFonts w:eastAsia="Times New Roman" w:cs="Times New Roman"/>
          <w:szCs w:val="24"/>
          <w:lang w:eastAsia="en-GB"/>
        </w:rPr>
      </w:pPr>
      <w:r w:rsidRPr="00311B95">
        <w:rPr>
          <w:rFonts w:eastAsia="Times New Roman" w:cs="Times New Roman"/>
          <w:szCs w:val="24"/>
          <w:lang w:eastAsia="en-GB"/>
        </w:rPr>
        <w:t xml:space="preserve">Njuaboh, N.B. (2023). </w:t>
      </w:r>
      <w:r w:rsidRPr="00311B95">
        <w:rPr>
          <w:rFonts w:eastAsia="Times New Roman" w:cs="Times New Roman"/>
          <w:i/>
          <w:iCs/>
          <w:szCs w:val="24"/>
          <w:lang w:eastAsia="en-GB"/>
        </w:rPr>
        <w:t xml:space="preserve">An assessment of the role of organisational culture on </w:t>
      </w:r>
      <w:proofErr w:type="gramStart"/>
      <w:r w:rsidRPr="00311B95">
        <w:rPr>
          <w:rFonts w:eastAsia="Times New Roman" w:cs="Times New Roman"/>
          <w:i/>
          <w:iCs/>
          <w:szCs w:val="24"/>
          <w:lang w:eastAsia="en-GB"/>
        </w:rPr>
        <w:t>leadership :</w:t>
      </w:r>
      <w:proofErr w:type="gramEnd"/>
      <w:r w:rsidRPr="00311B95">
        <w:rPr>
          <w:rFonts w:eastAsia="Times New Roman" w:cs="Times New Roman"/>
          <w:i/>
          <w:iCs/>
          <w:szCs w:val="24"/>
          <w:lang w:eastAsia="en-GB"/>
        </w:rPr>
        <w:t xml:space="preserve"> Study of the Mobile Telephone Network (Mtn)-Cameroon</w:t>
      </w:r>
      <w:r w:rsidRPr="00311B95">
        <w:rPr>
          <w:rFonts w:eastAsia="Times New Roman" w:cs="Times New Roman"/>
          <w:szCs w:val="24"/>
          <w:lang w:eastAsia="en-GB"/>
        </w:rPr>
        <w:t xml:space="preserve">. [online] www.theseus.fi. Available at: https://www.theseus.fi/handle/10024/790392 </w:t>
      </w:r>
      <w:r>
        <w:rPr>
          <w:rFonts w:eastAsia="Times New Roman" w:cs="Times New Roman"/>
          <w:szCs w:val="24"/>
          <w:lang w:eastAsia="en-GB"/>
        </w:rPr>
        <w:t>[Accessed 23 May 2023]</w:t>
      </w:r>
      <w:r w:rsidRPr="00311B95">
        <w:rPr>
          <w:rFonts w:eastAsia="Times New Roman" w:cs="Times New Roman"/>
          <w:szCs w:val="24"/>
          <w:lang w:eastAsia="en-GB"/>
        </w:rPr>
        <w:t>.</w:t>
      </w:r>
    </w:p>
    <w:p w:rsidR="00CB700B" w:rsidRDefault="00CB700B" w:rsidP="00CB700B">
      <w:pPr>
        <w:pStyle w:val="NormalWeb"/>
        <w:spacing w:before="0" w:beforeAutospacing="0" w:after="240" w:afterAutospacing="0" w:line="360" w:lineRule="auto"/>
        <w:jc w:val="both"/>
      </w:pPr>
      <w:r>
        <w:t xml:space="preserve">Robbins, S.P., Judge, T. and Vohra, N. (2008). </w:t>
      </w:r>
      <w:r>
        <w:rPr>
          <w:i/>
          <w:iCs/>
        </w:rPr>
        <w:t>Organizational Behavior</w:t>
      </w:r>
      <w:r>
        <w:t>. 5th ed. pearson.</w:t>
      </w:r>
    </w:p>
    <w:p w:rsidR="00CB700B" w:rsidRDefault="00CB700B" w:rsidP="00CB700B">
      <w:pPr>
        <w:pStyle w:val="NormalWeb"/>
        <w:spacing w:before="0" w:beforeAutospacing="0" w:after="240" w:afterAutospacing="0" w:line="360" w:lineRule="auto"/>
        <w:jc w:val="both"/>
      </w:pPr>
      <w:r>
        <w:t xml:space="preserve">Rollinson, D. (2008). </w:t>
      </w:r>
      <w:r>
        <w:rPr>
          <w:i/>
          <w:iCs/>
        </w:rPr>
        <w:t xml:space="preserve">Organisational behaviour and </w:t>
      </w:r>
      <w:proofErr w:type="gramStart"/>
      <w:r>
        <w:rPr>
          <w:i/>
          <w:iCs/>
        </w:rPr>
        <w:t>analysis :</w:t>
      </w:r>
      <w:proofErr w:type="gramEnd"/>
      <w:r>
        <w:rPr>
          <w:i/>
          <w:iCs/>
        </w:rPr>
        <w:t xml:space="preserve"> and integrated approach</w:t>
      </w:r>
      <w:r>
        <w:t>. 4th ed. México: Pearson Educación.</w:t>
      </w:r>
    </w:p>
    <w:p w:rsidR="00CB700B" w:rsidRPr="00311B95" w:rsidRDefault="00CB700B" w:rsidP="00CB700B">
      <w:pPr>
        <w:spacing w:after="240"/>
        <w:rPr>
          <w:rFonts w:eastAsia="Times New Roman" w:cs="Times New Roman"/>
          <w:szCs w:val="24"/>
          <w:lang w:eastAsia="en-GB"/>
        </w:rPr>
      </w:pPr>
      <w:r w:rsidRPr="00311B95">
        <w:rPr>
          <w:rFonts w:eastAsia="Times New Roman" w:cs="Times New Roman"/>
          <w:szCs w:val="24"/>
          <w:lang w:eastAsia="en-GB"/>
        </w:rPr>
        <w:t xml:space="preserve">Staff, L.V.B. (2023). </w:t>
      </w:r>
      <w:r w:rsidRPr="00311B95">
        <w:rPr>
          <w:rFonts w:eastAsia="Times New Roman" w:cs="Times New Roman"/>
          <w:i/>
          <w:iCs/>
          <w:szCs w:val="24"/>
          <w:lang w:eastAsia="en-GB"/>
        </w:rPr>
        <w:t>Craig Poole</w:t>
      </w:r>
      <w:r w:rsidRPr="00311B95">
        <w:rPr>
          <w:rFonts w:eastAsia="Times New Roman" w:cs="Times New Roman"/>
          <w:szCs w:val="24"/>
          <w:lang w:eastAsia="en-GB"/>
        </w:rPr>
        <w:t xml:space="preserve">. [online] LVB. Available at: https://lvb.com/craig-poole-3/ </w:t>
      </w:r>
      <w:r>
        <w:rPr>
          <w:rFonts w:eastAsia="Times New Roman" w:cs="Times New Roman"/>
          <w:szCs w:val="24"/>
          <w:lang w:eastAsia="en-GB"/>
        </w:rPr>
        <w:t>[Accessed 23 May 2023]</w:t>
      </w:r>
      <w:r w:rsidRPr="00311B95">
        <w:rPr>
          <w:rFonts w:eastAsia="Times New Roman" w:cs="Times New Roman"/>
          <w:szCs w:val="24"/>
          <w:lang w:eastAsia="en-GB"/>
        </w:rPr>
        <w:t>.</w:t>
      </w:r>
    </w:p>
    <w:p w:rsidR="00CB700B" w:rsidRPr="00311B95" w:rsidRDefault="00CB700B" w:rsidP="00CB700B">
      <w:pPr>
        <w:spacing w:after="240"/>
        <w:rPr>
          <w:rFonts w:eastAsia="Times New Roman" w:cs="Times New Roman"/>
          <w:szCs w:val="24"/>
          <w:lang w:eastAsia="en-GB"/>
        </w:rPr>
      </w:pPr>
      <w:r w:rsidRPr="00311B95">
        <w:rPr>
          <w:rFonts w:eastAsia="Times New Roman" w:cs="Times New Roman"/>
          <w:szCs w:val="24"/>
          <w:lang w:eastAsia="en-GB"/>
        </w:rPr>
        <w:t xml:space="preserve">Todăriţă, E.-T. (2021). Leadership Style Determination according to Robert Blake and Jane Mouton’s Managerial Grid. </w:t>
      </w:r>
      <w:r w:rsidRPr="00311B95">
        <w:rPr>
          <w:rFonts w:eastAsia="Times New Roman" w:cs="Times New Roman"/>
          <w:i/>
          <w:iCs/>
          <w:szCs w:val="24"/>
          <w:lang w:eastAsia="en-GB"/>
        </w:rPr>
        <w:t>International conference KNOWLEDGE-BASED ORGANIZATION</w:t>
      </w:r>
      <w:r w:rsidRPr="00311B95">
        <w:rPr>
          <w:rFonts w:eastAsia="Times New Roman" w:cs="Times New Roman"/>
          <w:szCs w:val="24"/>
          <w:lang w:eastAsia="en-GB"/>
        </w:rPr>
        <w:t xml:space="preserve">, 27(1), pp.241–246. </w:t>
      </w:r>
      <w:proofErr w:type="gramStart"/>
      <w:r w:rsidRPr="00311B95">
        <w:rPr>
          <w:rFonts w:eastAsia="Times New Roman" w:cs="Times New Roman"/>
          <w:szCs w:val="24"/>
          <w:lang w:eastAsia="en-GB"/>
        </w:rPr>
        <w:t>doi:https://doi.org/10.2478/kbo-2021-0037</w:t>
      </w:r>
      <w:proofErr w:type="gramEnd"/>
      <w:r w:rsidRPr="00311B95">
        <w:rPr>
          <w:rFonts w:eastAsia="Times New Roman" w:cs="Times New Roman"/>
          <w:szCs w:val="24"/>
          <w:lang w:eastAsia="en-GB"/>
        </w:rPr>
        <w:t>.</w:t>
      </w:r>
    </w:p>
    <w:p w:rsidR="00CB700B" w:rsidRPr="00311B95" w:rsidRDefault="00CB700B" w:rsidP="00CB700B">
      <w:pPr>
        <w:spacing w:after="240"/>
        <w:rPr>
          <w:rFonts w:eastAsia="Times New Roman" w:cs="Times New Roman"/>
          <w:szCs w:val="24"/>
          <w:lang w:eastAsia="en-GB"/>
        </w:rPr>
      </w:pPr>
      <w:r w:rsidRPr="00311B95">
        <w:rPr>
          <w:rFonts w:eastAsia="Times New Roman" w:cs="Times New Roman"/>
          <w:szCs w:val="24"/>
          <w:lang w:eastAsia="en-GB"/>
        </w:rPr>
        <w:t xml:space="preserve">Vincent, D. (2021). </w:t>
      </w:r>
      <w:r w:rsidRPr="00311B95">
        <w:rPr>
          <w:rFonts w:eastAsia="Times New Roman" w:cs="Times New Roman"/>
          <w:i/>
          <w:iCs/>
          <w:szCs w:val="24"/>
          <w:lang w:eastAsia="en-GB"/>
        </w:rPr>
        <w:t xml:space="preserve">Hero to </w:t>
      </w:r>
      <w:proofErr w:type="gramStart"/>
      <w:r w:rsidRPr="00311B95">
        <w:rPr>
          <w:rFonts w:eastAsia="Times New Roman" w:cs="Times New Roman"/>
          <w:i/>
          <w:iCs/>
          <w:szCs w:val="24"/>
          <w:lang w:eastAsia="en-GB"/>
        </w:rPr>
        <w:t>zero :</w:t>
      </w:r>
      <w:proofErr w:type="gramEnd"/>
      <w:r w:rsidRPr="00311B95">
        <w:rPr>
          <w:rFonts w:eastAsia="Times New Roman" w:cs="Times New Roman"/>
          <w:i/>
          <w:iCs/>
          <w:szCs w:val="24"/>
          <w:lang w:eastAsia="en-GB"/>
        </w:rPr>
        <w:t xml:space="preserve"> an evaluation of the leadership of General Sir Alan Cunningham during his African Campaigns of 1941</w:t>
      </w:r>
      <w:r w:rsidRPr="00311B95">
        <w:rPr>
          <w:rFonts w:eastAsia="Times New Roman" w:cs="Times New Roman"/>
          <w:szCs w:val="24"/>
          <w:lang w:eastAsia="en-GB"/>
        </w:rPr>
        <w:t xml:space="preserve">. [online] ethos.bl.uk. Available at: https://ethos.bl.uk/OrderDetails.do?uin=uk.bl.ethos.839033 </w:t>
      </w:r>
      <w:r>
        <w:rPr>
          <w:rFonts w:eastAsia="Times New Roman" w:cs="Times New Roman"/>
          <w:szCs w:val="24"/>
          <w:lang w:eastAsia="en-GB"/>
        </w:rPr>
        <w:t>[Accessed 23 May 2023]</w:t>
      </w:r>
      <w:r w:rsidRPr="00311B95">
        <w:rPr>
          <w:rFonts w:eastAsia="Times New Roman" w:cs="Times New Roman"/>
          <w:szCs w:val="24"/>
          <w:lang w:eastAsia="en-GB"/>
        </w:rPr>
        <w:t>.</w:t>
      </w:r>
    </w:p>
    <w:p w:rsidR="00CB700B" w:rsidRDefault="00CB700B" w:rsidP="00CB700B">
      <w:pPr>
        <w:pStyle w:val="NormalWeb"/>
        <w:spacing w:before="0" w:beforeAutospacing="0" w:after="240" w:afterAutospacing="0" w:line="360" w:lineRule="auto"/>
      </w:pPr>
    </w:p>
    <w:p w:rsidR="00CB700B" w:rsidRPr="00073B7A" w:rsidRDefault="00CB700B" w:rsidP="00CB700B"/>
    <w:p w:rsidR="00CB700B" w:rsidRDefault="00CB700B" w:rsidP="00CB700B"/>
    <w:p w:rsidR="00CB700B" w:rsidRDefault="00CB700B" w:rsidP="00CB700B"/>
    <w:p w:rsidR="00CB700B" w:rsidRPr="00073B7A" w:rsidRDefault="00CB700B" w:rsidP="00CB700B">
      <w:r>
        <w:t xml:space="preserve">  </w:t>
      </w:r>
    </w:p>
    <w:p w:rsidR="00CB700B" w:rsidRPr="00753552" w:rsidRDefault="00CB700B">
      <w:pPr>
        <w:rPr>
          <w:lang w:val="en-US"/>
        </w:rPr>
      </w:pPr>
    </w:p>
    <w:sectPr w:rsidR="00CB700B" w:rsidRPr="0075355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3552"/>
    <w:rsid w:val="00753552"/>
    <w:rsid w:val="00B51817"/>
    <w:rsid w:val="00BD35E4"/>
    <w:rsid w:val="00CB700B"/>
    <w:rsid w:val="00FF01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501B72"/>
  <w15:chartTrackingRefBased/>
  <w15:docId w15:val="{5BE2F574-1612-4C24-8945-BC954AF058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B700B"/>
    <w:pPr>
      <w:keepNext/>
      <w:keepLines/>
      <w:spacing w:before="240" w:after="0" w:line="360" w:lineRule="auto"/>
      <w:jc w:val="both"/>
      <w:outlineLvl w:val="0"/>
    </w:pPr>
    <w:rPr>
      <w:rFonts w:ascii="Times New Roman" w:eastAsiaTheme="majorEastAsia" w:hAnsi="Times New Roman" w:cstheme="majorBidi"/>
      <w:b/>
      <w:kern w:val="0"/>
      <w:sz w:val="32"/>
      <w:szCs w:val="32"/>
      <w14:ligatures w14:val="none"/>
    </w:rPr>
  </w:style>
  <w:style w:type="paragraph" w:styleId="Heading2">
    <w:name w:val="heading 2"/>
    <w:basedOn w:val="Normal"/>
    <w:next w:val="Normal"/>
    <w:link w:val="Heading2Char"/>
    <w:uiPriority w:val="9"/>
    <w:unhideWhenUsed/>
    <w:qFormat/>
    <w:rsid w:val="00CB700B"/>
    <w:pPr>
      <w:keepNext/>
      <w:keepLines/>
      <w:spacing w:before="40" w:after="0" w:line="360" w:lineRule="auto"/>
      <w:jc w:val="both"/>
      <w:outlineLvl w:val="1"/>
    </w:pPr>
    <w:rPr>
      <w:rFonts w:ascii="Times New Roman" w:eastAsiaTheme="majorEastAsia" w:hAnsi="Times New Roman" w:cstheme="majorBidi"/>
      <w:b/>
      <w:kern w:val="0"/>
      <w:sz w:val="28"/>
      <w:szCs w:val="26"/>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700B"/>
    <w:rPr>
      <w:rFonts w:ascii="Times New Roman" w:eastAsiaTheme="majorEastAsia" w:hAnsi="Times New Roman" w:cstheme="majorBidi"/>
      <w:b/>
      <w:kern w:val="0"/>
      <w:sz w:val="32"/>
      <w:szCs w:val="32"/>
      <w14:ligatures w14:val="none"/>
    </w:rPr>
  </w:style>
  <w:style w:type="character" w:customStyle="1" w:styleId="Heading2Char">
    <w:name w:val="Heading 2 Char"/>
    <w:basedOn w:val="DefaultParagraphFont"/>
    <w:link w:val="Heading2"/>
    <w:uiPriority w:val="9"/>
    <w:rsid w:val="00CB700B"/>
    <w:rPr>
      <w:rFonts w:ascii="Times New Roman" w:eastAsiaTheme="majorEastAsia" w:hAnsi="Times New Roman" w:cstheme="majorBidi"/>
      <w:b/>
      <w:kern w:val="0"/>
      <w:sz w:val="28"/>
      <w:szCs w:val="26"/>
      <w14:ligatures w14:val="none"/>
    </w:rPr>
  </w:style>
  <w:style w:type="paragraph" w:styleId="Title">
    <w:name w:val="Title"/>
    <w:basedOn w:val="Normal"/>
    <w:next w:val="Normal"/>
    <w:link w:val="TitleChar"/>
    <w:uiPriority w:val="10"/>
    <w:qFormat/>
    <w:rsid w:val="00CB700B"/>
    <w:pPr>
      <w:spacing w:after="0" w:line="360" w:lineRule="auto"/>
      <w:contextualSpacing/>
      <w:jc w:val="center"/>
    </w:pPr>
    <w:rPr>
      <w:rFonts w:ascii="Times New Roman" w:eastAsiaTheme="majorEastAsia" w:hAnsi="Times New Roman" w:cstheme="majorBidi"/>
      <w:b/>
      <w:spacing w:val="-10"/>
      <w:kern w:val="28"/>
      <w:sz w:val="48"/>
      <w:szCs w:val="56"/>
      <w14:ligatures w14:val="none"/>
    </w:rPr>
  </w:style>
  <w:style w:type="character" w:customStyle="1" w:styleId="TitleChar">
    <w:name w:val="Title Char"/>
    <w:basedOn w:val="DefaultParagraphFont"/>
    <w:link w:val="Title"/>
    <w:uiPriority w:val="10"/>
    <w:rsid w:val="00CB700B"/>
    <w:rPr>
      <w:rFonts w:ascii="Times New Roman" w:eastAsiaTheme="majorEastAsia" w:hAnsi="Times New Roman" w:cstheme="majorBidi"/>
      <w:b/>
      <w:spacing w:val="-10"/>
      <w:kern w:val="28"/>
      <w:sz w:val="48"/>
      <w:szCs w:val="56"/>
      <w14:ligatures w14:val="none"/>
    </w:rPr>
  </w:style>
  <w:style w:type="paragraph" w:styleId="NormalWeb">
    <w:name w:val="Normal (Web)"/>
    <w:basedOn w:val="Normal"/>
    <w:uiPriority w:val="99"/>
    <w:semiHidden/>
    <w:unhideWhenUsed/>
    <w:rsid w:val="00CB700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8</Pages>
  <Words>2637</Words>
  <Characters>15036</Characters>
  <Application>Microsoft Office Word</Application>
  <DocSecurity>0</DocSecurity>
  <Lines>125</Lines>
  <Paragraphs>35</Paragraphs>
  <ScaleCrop>false</ScaleCrop>
  <Company/>
  <LinksUpToDate>false</LinksUpToDate>
  <CharactersWithSpaces>17638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Khaled Bin Shams Chowdhury (2112453)</dc:creator>
  <cp:keywords/>
  <dc:description/>
  <cp:lastModifiedBy>Khaled Bin Shams Chowdhury (2112453)</cp:lastModifiedBy>
  <cp:revision>6</cp:revision>
  <dcterms:created xsi:type="dcterms:W3CDTF">2023-05-18T14:47:00Z</dcterms:created>
  <dcterms:modified xsi:type="dcterms:W3CDTF">2023-05-26T14:36:00Z</dcterms:modified>
</cp:coreProperties>
</file>