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0BEE" w:rsidRPr="004F7EE9" w:rsidRDefault="00A70BEE" w:rsidP="00A70BEE">
      <w:pPr>
        <w:jc w:val="center"/>
        <w:rPr>
          <w:b/>
          <w:sz w:val="36"/>
          <w:szCs w:val="36"/>
        </w:rPr>
      </w:pPr>
      <w:r w:rsidRPr="004F7EE9">
        <w:rPr>
          <w:b/>
          <w:sz w:val="36"/>
          <w:szCs w:val="36"/>
        </w:rPr>
        <w:t>University of Wales – Trinity Saint David</w:t>
      </w:r>
    </w:p>
    <w:p w:rsidR="00A70BEE" w:rsidRPr="004F7EE9" w:rsidRDefault="00A70BEE" w:rsidP="00A70BEE">
      <w:pPr>
        <w:jc w:val="center"/>
        <w:rPr>
          <w:b/>
          <w:sz w:val="36"/>
          <w:szCs w:val="36"/>
        </w:rPr>
      </w:pPr>
      <w:r w:rsidRPr="004F7EE9">
        <w:rPr>
          <w:b/>
          <w:sz w:val="36"/>
          <w:szCs w:val="36"/>
        </w:rPr>
        <w:t>London Campus</w:t>
      </w:r>
    </w:p>
    <w:p w:rsidR="00A70BEE" w:rsidRPr="00880586" w:rsidRDefault="00A70BEE" w:rsidP="00A70BEE">
      <w:pPr>
        <w:jc w:val="center"/>
        <w:rPr>
          <w:b/>
          <w:sz w:val="24"/>
          <w:szCs w:val="24"/>
        </w:rPr>
      </w:pPr>
    </w:p>
    <w:p w:rsidR="00A70BEE" w:rsidRPr="00880586" w:rsidRDefault="00A70BEE" w:rsidP="00A70BEE">
      <w:pPr>
        <w:jc w:val="center"/>
        <w:rPr>
          <w:b/>
          <w:sz w:val="24"/>
          <w:szCs w:val="24"/>
        </w:rPr>
      </w:pPr>
    </w:p>
    <w:p w:rsidR="00A70BEE" w:rsidRPr="00880586" w:rsidRDefault="00A70BEE" w:rsidP="00A70BEE">
      <w:pPr>
        <w:jc w:val="center"/>
        <w:rPr>
          <w:b/>
          <w:sz w:val="24"/>
          <w:szCs w:val="24"/>
        </w:rPr>
      </w:pPr>
    </w:p>
    <w:p w:rsidR="00A70BEE" w:rsidRDefault="00A70BEE" w:rsidP="00A70BEE">
      <w:pPr>
        <w:jc w:val="center"/>
        <w:rPr>
          <w:rFonts w:ascii="Algerian" w:hAnsi="Algerian"/>
          <w:b/>
          <w:sz w:val="48"/>
          <w:szCs w:val="48"/>
        </w:rPr>
      </w:pPr>
    </w:p>
    <w:p w:rsidR="00A70BEE" w:rsidRDefault="00A70BEE" w:rsidP="00A70BEE">
      <w:pPr>
        <w:jc w:val="center"/>
        <w:rPr>
          <w:rFonts w:ascii="Algerian" w:hAnsi="Algerian"/>
          <w:b/>
          <w:sz w:val="48"/>
          <w:szCs w:val="48"/>
        </w:rPr>
      </w:pPr>
      <w:r>
        <w:rPr>
          <w:rFonts w:ascii="Algerian" w:hAnsi="Algerian"/>
          <w:b/>
          <w:sz w:val="48"/>
          <w:szCs w:val="48"/>
        </w:rPr>
        <w:t>COMMUNITY ENGAGEMENT</w:t>
      </w:r>
    </w:p>
    <w:p w:rsidR="00A70BEE" w:rsidRDefault="00A70BEE" w:rsidP="00A70BEE">
      <w:pPr>
        <w:jc w:val="center"/>
        <w:rPr>
          <w:rFonts w:ascii="Calibri" w:hAnsi="Calibri" w:cs="Calibri"/>
          <w:b/>
          <w:sz w:val="28"/>
          <w:szCs w:val="28"/>
        </w:rPr>
      </w:pPr>
      <w:r>
        <w:rPr>
          <w:rFonts w:ascii="Calibri" w:hAnsi="Calibri" w:cs="Calibri"/>
          <w:b/>
          <w:sz w:val="28"/>
          <w:szCs w:val="28"/>
        </w:rPr>
        <w:t>PART B</w:t>
      </w:r>
    </w:p>
    <w:p w:rsidR="00A70BEE" w:rsidRDefault="00A70BEE" w:rsidP="00A70BEE">
      <w:pPr>
        <w:jc w:val="center"/>
        <w:rPr>
          <w:rFonts w:ascii="Calibri" w:hAnsi="Calibri" w:cs="Calibri"/>
          <w:b/>
          <w:sz w:val="28"/>
          <w:szCs w:val="28"/>
        </w:rPr>
      </w:pPr>
      <w:r>
        <w:rPr>
          <w:rFonts w:ascii="Calibri" w:hAnsi="Calibri" w:cs="Calibri"/>
          <w:b/>
          <w:sz w:val="28"/>
          <w:szCs w:val="28"/>
        </w:rPr>
        <w:t>2021</w:t>
      </w:r>
    </w:p>
    <w:p w:rsidR="00A70BEE" w:rsidRPr="00F739D0" w:rsidRDefault="00A70BEE" w:rsidP="00A70BEE">
      <w:pPr>
        <w:jc w:val="center"/>
        <w:rPr>
          <w:rFonts w:ascii="Castellar" w:hAnsi="Castellar" w:cs="Calibri"/>
          <w:b/>
          <w:sz w:val="28"/>
          <w:szCs w:val="28"/>
        </w:rPr>
      </w:pPr>
      <w:r w:rsidRPr="00F739D0">
        <w:rPr>
          <w:rFonts w:ascii="Castellar" w:hAnsi="Castellar" w:cs="Calibri"/>
          <w:b/>
          <w:sz w:val="28"/>
          <w:szCs w:val="28"/>
        </w:rPr>
        <w:t>TRANSPORT FOR LONDON (</w:t>
      </w:r>
      <w:r>
        <w:rPr>
          <w:rFonts w:ascii="Castellar" w:hAnsi="Castellar" w:cs="Calibri"/>
          <w:b/>
          <w:sz w:val="28"/>
          <w:szCs w:val="28"/>
        </w:rPr>
        <w:t>TfL</w:t>
      </w:r>
      <w:r w:rsidRPr="00F739D0">
        <w:rPr>
          <w:rFonts w:ascii="Castellar" w:hAnsi="Castellar" w:cs="Calibri"/>
          <w:b/>
          <w:sz w:val="28"/>
          <w:szCs w:val="28"/>
        </w:rPr>
        <w:t>)</w:t>
      </w:r>
    </w:p>
    <w:p w:rsidR="00A70BEE" w:rsidRPr="00894F7A" w:rsidRDefault="00A70BEE" w:rsidP="00A70BEE">
      <w:pPr>
        <w:jc w:val="center"/>
        <w:rPr>
          <w:rFonts w:ascii="Viner Hand ITC" w:hAnsi="Viner Hand ITC"/>
          <w:b/>
        </w:rPr>
      </w:pPr>
      <w:r>
        <w:rPr>
          <w:rFonts w:ascii="Bernard MT Condensed" w:hAnsi="Bernard MT Condensed"/>
          <w:sz w:val="32"/>
          <w:szCs w:val="32"/>
        </w:rPr>
        <w:t>Reflective Report</w:t>
      </w:r>
    </w:p>
    <w:p w:rsidR="00A70BEE" w:rsidRDefault="00A70BEE" w:rsidP="00A70BEE">
      <w:pPr>
        <w:rPr>
          <w:b/>
        </w:rPr>
      </w:pPr>
    </w:p>
    <w:p w:rsidR="00A70BEE" w:rsidRDefault="00A70BEE" w:rsidP="00A70BEE">
      <w:pPr>
        <w:rPr>
          <w:b/>
        </w:rPr>
      </w:pPr>
    </w:p>
    <w:p w:rsidR="00A70BEE" w:rsidRPr="004F7EE9" w:rsidRDefault="00A70BEE" w:rsidP="00A70BEE">
      <w:pPr>
        <w:rPr>
          <w:b/>
          <w:sz w:val="28"/>
          <w:szCs w:val="28"/>
        </w:rPr>
      </w:pPr>
      <w:r w:rsidRPr="004F7EE9">
        <w:rPr>
          <w:sz w:val="28"/>
          <w:szCs w:val="28"/>
        </w:rPr>
        <w:t>Student name:</w:t>
      </w:r>
      <w:r w:rsidRPr="004F7EE9">
        <w:rPr>
          <w:b/>
          <w:sz w:val="28"/>
          <w:szCs w:val="28"/>
        </w:rPr>
        <w:t xml:space="preserve"> Cristian Stoica                                  </w:t>
      </w:r>
    </w:p>
    <w:p w:rsidR="00A70BEE" w:rsidRPr="004F7EE9" w:rsidRDefault="00A70BEE" w:rsidP="00A70BEE">
      <w:pPr>
        <w:rPr>
          <w:b/>
          <w:sz w:val="28"/>
          <w:szCs w:val="28"/>
        </w:rPr>
      </w:pPr>
      <w:r w:rsidRPr="004F7EE9">
        <w:rPr>
          <w:sz w:val="28"/>
          <w:szCs w:val="28"/>
        </w:rPr>
        <w:t>Student ID:</w:t>
      </w:r>
      <w:r w:rsidRPr="004F7EE9">
        <w:rPr>
          <w:b/>
          <w:sz w:val="28"/>
          <w:szCs w:val="28"/>
        </w:rPr>
        <w:t xml:space="preserve"> 1921732</w:t>
      </w:r>
    </w:p>
    <w:p w:rsidR="00A70BEE" w:rsidRPr="004F7EE9" w:rsidRDefault="00A70BEE" w:rsidP="00A70BEE">
      <w:pPr>
        <w:rPr>
          <w:sz w:val="28"/>
          <w:szCs w:val="28"/>
        </w:rPr>
      </w:pPr>
      <w:r w:rsidRPr="004F7EE9">
        <w:rPr>
          <w:b/>
          <w:sz w:val="28"/>
          <w:szCs w:val="28"/>
        </w:rPr>
        <w:t xml:space="preserve">                                                                                                 </w:t>
      </w:r>
      <w:r w:rsidRPr="004F7EE9">
        <w:rPr>
          <w:sz w:val="28"/>
          <w:szCs w:val="28"/>
        </w:rPr>
        <w:t>Module name:</w:t>
      </w:r>
    </w:p>
    <w:p w:rsidR="00A70BEE" w:rsidRPr="004F7EE9" w:rsidRDefault="00A70BEE" w:rsidP="00A70BEE">
      <w:pPr>
        <w:rPr>
          <w:b/>
          <w:sz w:val="28"/>
          <w:szCs w:val="28"/>
        </w:rPr>
      </w:pPr>
      <w:r w:rsidRPr="004F7EE9">
        <w:rPr>
          <w:b/>
          <w:sz w:val="28"/>
          <w:szCs w:val="28"/>
        </w:rPr>
        <w:t xml:space="preserve">                                                               </w:t>
      </w:r>
      <w:r>
        <w:rPr>
          <w:b/>
          <w:sz w:val="28"/>
          <w:szCs w:val="28"/>
        </w:rPr>
        <w:t xml:space="preserve"> </w:t>
      </w:r>
      <w:r w:rsidRPr="004F7EE9">
        <w:rPr>
          <w:b/>
          <w:sz w:val="28"/>
          <w:szCs w:val="28"/>
        </w:rPr>
        <w:t xml:space="preserve">            </w:t>
      </w:r>
      <w:r>
        <w:rPr>
          <w:b/>
          <w:sz w:val="28"/>
          <w:szCs w:val="28"/>
        </w:rPr>
        <w:t xml:space="preserve">         </w:t>
      </w:r>
      <w:r w:rsidRPr="004F7EE9">
        <w:rPr>
          <w:b/>
          <w:sz w:val="28"/>
          <w:szCs w:val="28"/>
        </w:rPr>
        <w:t xml:space="preserve"> </w:t>
      </w:r>
      <w:r>
        <w:rPr>
          <w:b/>
          <w:sz w:val="28"/>
          <w:szCs w:val="28"/>
        </w:rPr>
        <w:t xml:space="preserve">  Community Engagement</w:t>
      </w:r>
    </w:p>
    <w:p w:rsidR="00A70BEE" w:rsidRPr="004F7EE9" w:rsidRDefault="00A70BEE" w:rsidP="00A70BEE">
      <w:pPr>
        <w:rPr>
          <w:b/>
          <w:sz w:val="28"/>
          <w:szCs w:val="28"/>
        </w:rPr>
      </w:pPr>
      <w:r w:rsidRPr="004F7EE9">
        <w:rPr>
          <w:b/>
          <w:sz w:val="28"/>
          <w:szCs w:val="28"/>
        </w:rPr>
        <w:t xml:space="preserve">                                                                                            </w:t>
      </w:r>
      <w:r w:rsidRPr="004F7EE9">
        <w:rPr>
          <w:sz w:val="28"/>
          <w:szCs w:val="28"/>
        </w:rPr>
        <w:t>Module ID:</w:t>
      </w:r>
      <w:r w:rsidRPr="004F7EE9">
        <w:rPr>
          <w:b/>
          <w:sz w:val="28"/>
          <w:szCs w:val="28"/>
        </w:rPr>
        <w:t xml:space="preserve"> LCB</w:t>
      </w:r>
      <w:r>
        <w:rPr>
          <w:b/>
          <w:sz w:val="28"/>
          <w:szCs w:val="28"/>
        </w:rPr>
        <w:t>B</w:t>
      </w:r>
      <w:r w:rsidRPr="004F7EE9">
        <w:rPr>
          <w:b/>
          <w:sz w:val="28"/>
          <w:szCs w:val="28"/>
        </w:rPr>
        <w:t>4</w:t>
      </w:r>
      <w:r>
        <w:rPr>
          <w:b/>
          <w:sz w:val="28"/>
          <w:szCs w:val="28"/>
        </w:rPr>
        <w:t>002</w:t>
      </w:r>
    </w:p>
    <w:p w:rsidR="00A70BEE" w:rsidRDefault="00A70BEE" w:rsidP="00A70BEE">
      <w:pPr>
        <w:rPr>
          <w:b/>
        </w:rPr>
      </w:pPr>
    </w:p>
    <w:p w:rsidR="00A70BEE" w:rsidRDefault="00A70BEE" w:rsidP="00A70BEE">
      <w:pPr>
        <w:jc w:val="center"/>
        <w:rPr>
          <w:sz w:val="32"/>
          <w:szCs w:val="32"/>
        </w:rPr>
      </w:pPr>
    </w:p>
    <w:p w:rsidR="00A70BEE" w:rsidRDefault="00A70BEE" w:rsidP="00A70BEE">
      <w:pPr>
        <w:jc w:val="center"/>
        <w:rPr>
          <w:sz w:val="32"/>
          <w:szCs w:val="32"/>
        </w:rPr>
      </w:pPr>
    </w:p>
    <w:p w:rsidR="00A70BEE" w:rsidRDefault="00A70BEE" w:rsidP="00A70BEE">
      <w:pPr>
        <w:jc w:val="center"/>
        <w:rPr>
          <w:sz w:val="32"/>
          <w:szCs w:val="32"/>
        </w:rPr>
      </w:pPr>
    </w:p>
    <w:p w:rsidR="00A70BEE" w:rsidRDefault="00A70BEE" w:rsidP="00A70BEE">
      <w:pPr>
        <w:jc w:val="center"/>
        <w:rPr>
          <w:b/>
          <w:sz w:val="28"/>
          <w:szCs w:val="28"/>
        </w:rPr>
      </w:pPr>
      <w:r w:rsidRPr="00123111">
        <w:rPr>
          <w:sz w:val="28"/>
          <w:szCs w:val="28"/>
        </w:rPr>
        <w:t>Lecturer name:</w:t>
      </w:r>
      <w:r w:rsidRPr="00123111">
        <w:rPr>
          <w:b/>
          <w:sz w:val="28"/>
          <w:szCs w:val="28"/>
        </w:rPr>
        <w:t xml:space="preserve"> </w:t>
      </w:r>
    </w:p>
    <w:p w:rsidR="00A70BEE" w:rsidRDefault="00A70BEE" w:rsidP="00A70BEE">
      <w:pPr>
        <w:jc w:val="center"/>
        <w:rPr>
          <w:b/>
          <w:sz w:val="32"/>
          <w:szCs w:val="32"/>
        </w:rPr>
      </w:pPr>
      <w:r w:rsidRPr="008F2DE8">
        <w:rPr>
          <w:b/>
          <w:sz w:val="32"/>
          <w:szCs w:val="32"/>
        </w:rPr>
        <w:t xml:space="preserve">Dr </w:t>
      </w:r>
      <w:r>
        <w:rPr>
          <w:b/>
          <w:sz w:val="32"/>
          <w:szCs w:val="32"/>
        </w:rPr>
        <w:t>RULA ALOUSI</w:t>
      </w:r>
    </w:p>
    <w:p w:rsidR="00466D29" w:rsidRDefault="00466D29" w:rsidP="00A70BEE">
      <w:pPr>
        <w:jc w:val="center"/>
        <w:rPr>
          <w:b/>
          <w:sz w:val="32"/>
          <w:szCs w:val="32"/>
        </w:rPr>
      </w:pPr>
    </w:p>
    <w:p w:rsidR="00A70BEE" w:rsidRDefault="00466D29" w:rsidP="00466D29">
      <w:pPr>
        <w:jc w:val="center"/>
        <w:rPr>
          <w:b/>
          <w:i/>
          <w:sz w:val="28"/>
          <w:szCs w:val="28"/>
        </w:rPr>
      </w:pPr>
      <w:r>
        <w:rPr>
          <w:b/>
          <w:i/>
          <w:sz w:val="28"/>
          <w:szCs w:val="28"/>
        </w:rPr>
        <w:lastRenderedPageBreak/>
        <w:t>Table of content</w:t>
      </w:r>
    </w:p>
    <w:p w:rsidR="00466D29" w:rsidRDefault="00466D29" w:rsidP="00466D29">
      <w:pPr>
        <w:jc w:val="both"/>
      </w:pPr>
    </w:p>
    <w:p w:rsidR="00466D29" w:rsidRDefault="00466D29" w:rsidP="00466D29">
      <w:pPr>
        <w:jc w:val="both"/>
      </w:pPr>
      <w:r>
        <w:t>Introduction</w:t>
      </w:r>
      <w:r w:rsidR="00E041B3">
        <w:t>……………………………………………………………………………………………………………………………………… 3</w:t>
      </w:r>
    </w:p>
    <w:p w:rsidR="00E041B3" w:rsidRDefault="00E041B3" w:rsidP="00466D29">
      <w:pPr>
        <w:jc w:val="both"/>
      </w:pPr>
      <w:r>
        <w:t>Reflecting on personal experience to the social project……………………………………………………………………. 3</w:t>
      </w:r>
    </w:p>
    <w:p w:rsidR="00E041B3" w:rsidRDefault="00E041B3" w:rsidP="00466D29">
      <w:pPr>
        <w:jc w:val="both"/>
      </w:pPr>
      <w:r>
        <w:t>Conclusion……………………………………………………………………………………………………………………………………</w:t>
      </w:r>
      <w:proofErr w:type="gramStart"/>
      <w:r>
        <w:t>…..</w:t>
      </w:r>
      <w:proofErr w:type="gramEnd"/>
      <w:r w:rsidR="000350F5">
        <w:t xml:space="preserve"> </w:t>
      </w:r>
      <w:r>
        <w:t xml:space="preserve"> </w:t>
      </w:r>
      <w:r w:rsidR="000350F5">
        <w:t>8</w:t>
      </w:r>
    </w:p>
    <w:p w:rsidR="00E041B3" w:rsidRDefault="00E041B3" w:rsidP="00466D29">
      <w:pPr>
        <w:jc w:val="both"/>
      </w:pPr>
      <w:r>
        <w:t>References……………………………………………………………………………………………………………………………………</w:t>
      </w:r>
      <w:proofErr w:type="gramStart"/>
      <w:r>
        <w:t>…</w:t>
      </w:r>
      <w:r w:rsidR="000350F5">
        <w:t>.</w:t>
      </w:r>
      <w:r>
        <w:t>.</w:t>
      </w:r>
      <w:proofErr w:type="gramEnd"/>
      <w:r>
        <w:t xml:space="preserve"> </w:t>
      </w:r>
      <w:r w:rsidR="000350F5">
        <w:t>9</w:t>
      </w: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pPr>
    </w:p>
    <w:p w:rsidR="00E041B3" w:rsidRDefault="00E041B3" w:rsidP="00466D29">
      <w:pPr>
        <w:jc w:val="both"/>
        <w:rPr>
          <w:b/>
          <w:i/>
          <w:sz w:val="28"/>
          <w:szCs w:val="28"/>
        </w:rPr>
      </w:pPr>
      <w:r>
        <w:rPr>
          <w:b/>
          <w:i/>
          <w:sz w:val="28"/>
          <w:szCs w:val="28"/>
        </w:rPr>
        <w:lastRenderedPageBreak/>
        <w:t>Introduction</w:t>
      </w:r>
    </w:p>
    <w:p w:rsidR="00E041B3" w:rsidRDefault="00E041B3" w:rsidP="00466D29">
      <w:pPr>
        <w:jc w:val="both"/>
      </w:pPr>
    </w:p>
    <w:p w:rsidR="00E041B3" w:rsidRDefault="00E041B3" w:rsidP="00466D29">
      <w:pPr>
        <w:jc w:val="both"/>
      </w:pPr>
      <w:r>
        <w:t>Community engagement creates a strong community network among the community members that integrates different background people. I have noticed that community engagement develops social harmony by creating more effective solutions to community engagement issues. The reflective report concentrates</w:t>
      </w:r>
      <w:r w:rsidR="008828D7">
        <w:t xml:space="preserve"> on the best community engagement practice of Transport for London (TfL). The personal development critiques are discussed to remove the issues of lack of community engagement. I have seen that interpersonal skills are important for TfL to deploy community interaction. The reflective report focuses on how TfL can increase employability. I have found that some different models and theories can describe the preferences of community engagement. Kolb’s reflective learning cycle will be discussed in this reflective report as this reflective cycle involves the abstract concepts for applying it in the range of situations.</w:t>
      </w:r>
    </w:p>
    <w:p w:rsidR="008828D7" w:rsidRDefault="008828D7" w:rsidP="00466D29">
      <w:pPr>
        <w:jc w:val="both"/>
      </w:pPr>
    </w:p>
    <w:p w:rsidR="008828D7" w:rsidRDefault="008828D7" w:rsidP="00466D29">
      <w:pPr>
        <w:jc w:val="both"/>
        <w:rPr>
          <w:b/>
          <w:i/>
          <w:sz w:val="28"/>
          <w:szCs w:val="28"/>
        </w:rPr>
      </w:pPr>
      <w:r>
        <w:rPr>
          <w:b/>
          <w:i/>
          <w:sz w:val="28"/>
          <w:szCs w:val="28"/>
        </w:rPr>
        <w:t>Reflecting on personal experience to the social project</w:t>
      </w:r>
    </w:p>
    <w:p w:rsidR="008828D7" w:rsidRDefault="008828D7" w:rsidP="00466D29">
      <w:pPr>
        <w:jc w:val="both"/>
        <w:rPr>
          <w:b/>
        </w:rPr>
      </w:pPr>
    </w:p>
    <w:p w:rsidR="008828D7" w:rsidRDefault="008828D7" w:rsidP="008828D7">
      <w:pPr>
        <w:pStyle w:val="ListParagraph"/>
        <w:numPr>
          <w:ilvl w:val="0"/>
          <w:numId w:val="1"/>
        </w:numPr>
        <w:jc w:val="both"/>
        <w:rPr>
          <w:b/>
        </w:rPr>
      </w:pPr>
      <w:r>
        <w:rPr>
          <w:b/>
        </w:rPr>
        <w:t>Reflect on the best community engagement practices</w:t>
      </w:r>
    </w:p>
    <w:p w:rsidR="008828D7" w:rsidRDefault="00C2782E" w:rsidP="008828D7">
      <w:pPr>
        <w:jc w:val="both"/>
      </w:pPr>
      <w:r>
        <w:t xml:space="preserve">The best </w:t>
      </w:r>
      <w:r w:rsidR="008D1B0D">
        <w:t xml:space="preserve">community engagement practice of TfL is social media tool management that helps TfL to maximise community engagement. I have seen that social media tools develop the stakeholder’s relationship </w:t>
      </w:r>
      <w:r w:rsidR="00041434">
        <w:t xml:space="preserve">with TfL </w:t>
      </w:r>
      <w:r w:rsidR="001C5CD9">
        <w:t>during pandemics.</w:t>
      </w:r>
    </w:p>
    <w:p w:rsidR="001C5CD9" w:rsidRDefault="001C5CD9" w:rsidP="001C5CD9">
      <w:pPr>
        <w:pStyle w:val="ListParagraph"/>
        <w:numPr>
          <w:ilvl w:val="0"/>
          <w:numId w:val="2"/>
        </w:numPr>
        <w:jc w:val="both"/>
      </w:pPr>
      <w:r>
        <w:rPr>
          <w:b/>
        </w:rPr>
        <w:t>Social media</w:t>
      </w:r>
      <w:r>
        <w:t>. Community engagement develops skills and knowledge of the employees and improves their strength to deal with socio-cultural issues. I have observed that social media develops community engagement by developing internal communication and recognising employee’s retention activities (Hanna and Adams, 2019).</w:t>
      </w:r>
    </w:p>
    <w:p w:rsidR="001C5CD9" w:rsidRDefault="001C5CD9" w:rsidP="001C5CD9">
      <w:pPr>
        <w:pStyle w:val="ListParagraph"/>
        <w:jc w:val="both"/>
      </w:pPr>
      <w:r w:rsidRPr="001C5CD9">
        <w:t>The community helps TfL to identify the core community members who are actively engaged through social media to cope up with the pandemics.</w:t>
      </w:r>
    </w:p>
    <w:p w:rsidR="001C5CD9" w:rsidRPr="001407C2" w:rsidRDefault="001C5CD9" w:rsidP="001C5CD9">
      <w:pPr>
        <w:pStyle w:val="ListParagraph"/>
        <w:jc w:val="both"/>
      </w:pPr>
      <w:r>
        <w:t xml:space="preserve">TfL can prioritise the associated issues with the community to document the consequences of the issues and can implement planning and strategies to develop the progress of the stakeholders (Cohen </w:t>
      </w:r>
      <w:r>
        <w:rPr>
          <w:i/>
        </w:rPr>
        <w:t>et al.</w:t>
      </w:r>
      <w:r w:rsidR="001407C2">
        <w:t>, 2018).</w:t>
      </w:r>
    </w:p>
    <w:p w:rsidR="001C5CD9" w:rsidRDefault="001C5CD9" w:rsidP="001C5CD9">
      <w:pPr>
        <w:pStyle w:val="ListParagraph"/>
        <w:numPr>
          <w:ilvl w:val="0"/>
          <w:numId w:val="2"/>
        </w:numPr>
        <w:jc w:val="both"/>
      </w:pPr>
      <w:r>
        <w:rPr>
          <w:b/>
        </w:rPr>
        <w:t>Stakeholder’s relation</w:t>
      </w:r>
      <w:r>
        <w:t>.</w:t>
      </w:r>
      <w:r w:rsidR="001407C2">
        <w:t xml:space="preserve"> The stakeholder’s relationship is demonstrated by TfL by keeping high level of motivation of agents and carriers and imposing the workplace safety regulations for holding an excellent working context and that implement an authentic relationship with the stakeholders (Cohen </w:t>
      </w:r>
      <w:r w:rsidR="001407C2">
        <w:rPr>
          <w:i/>
        </w:rPr>
        <w:t>et al.</w:t>
      </w:r>
      <w:r w:rsidR="001407C2">
        <w:t>, 2018).</w:t>
      </w:r>
    </w:p>
    <w:p w:rsidR="001407C2" w:rsidRDefault="001407C2" w:rsidP="001407C2">
      <w:pPr>
        <w:pStyle w:val="ListParagraph"/>
        <w:jc w:val="both"/>
      </w:pPr>
      <w:r w:rsidRPr="001407C2">
        <w:t>From my point of view</w:t>
      </w:r>
      <w:r>
        <w:t>, the government’s attachment is necessary for TfL as the government can provide working flexibility that uplifts the performance level of the community.</w:t>
      </w:r>
    </w:p>
    <w:p w:rsidR="001407C2" w:rsidRDefault="001407C2" w:rsidP="001407C2">
      <w:pPr>
        <w:pStyle w:val="ListParagraph"/>
        <w:jc w:val="both"/>
      </w:pPr>
      <w:r>
        <w:t>The consumer stakeholder relationship strengthens the bonding of TfL with the core consumers and business values of TfL are enhanced by the continuous engagement of the employees (May and Ross, 2018).</w:t>
      </w:r>
    </w:p>
    <w:p w:rsidR="001407C2" w:rsidRDefault="001407C2" w:rsidP="001407C2">
      <w:pPr>
        <w:pStyle w:val="ListParagraph"/>
        <w:jc w:val="both"/>
      </w:pPr>
      <w:r>
        <w:t xml:space="preserve">I have seen that TfL can support the community by deploying Facebook live </w:t>
      </w:r>
      <w:r w:rsidR="008E27CF">
        <w:t>and that is by far the easiest way to attract a huge audience. I have seen also that video conferencing and YouTube live streaming increases the engagement level of the community. Instagram reels help TfL to create short videos with creative skills aligned on community announcement and guidelines for developing community engagement.</w:t>
      </w:r>
    </w:p>
    <w:p w:rsidR="008E27CF" w:rsidRDefault="008E27CF" w:rsidP="001407C2">
      <w:pPr>
        <w:pStyle w:val="ListParagraph"/>
        <w:jc w:val="both"/>
      </w:pPr>
      <w:r>
        <w:lastRenderedPageBreak/>
        <w:t>Nevertheless, TfL can tweet their content on Twitter where the important publications and news can be deployed with proper hashtags. The hashtag can help TfL to directly enter the webpage or website of the company. The highest stakeholder engagement necessary to develop the best practice of community engagement.</w:t>
      </w:r>
    </w:p>
    <w:p w:rsidR="008E27CF" w:rsidRDefault="008E27CF" w:rsidP="008E27CF">
      <w:pPr>
        <w:pStyle w:val="ListParagraph"/>
        <w:numPr>
          <w:ilvl w:val="0"/>
          <w:numId w:val="2"/>
        </w:numPr>
        <w:jc w:val="both"/>
      </w:pPr>
      <w:r>
        <w:rPr>
          <w:b/>
        </w:rPr>
        <w:t>TfL evolution</w:t>
      </w:r>
      <w:r>
        <w:t>. I have seen that TfL is devoted to high-quality community engagement throughout forwarded development sites. Each scheme of community engagement of TfL reflects the latest information provided that includes contact details and websites of the collaborative team (Cowell and Devine-Wright, 2018).</w:t>
      </w:r>
    </w:p>
    <w:p w:rsidR="008E27CF" w:rsidRDefault="008E27CF" w:rsidP="008E27CF">
      <w:pPr>
        <w:pStyle w:val="ListParagraph"/>
        <w:jc w:val="both"/>
      </w:pPr>
      <w:r>
        <w:t>I have analysed that the evolution of TfL is demonstrated based on their network development in London</w:t>
      </w:r>
      <w:r w:rsidR="0015314F">
        <w:t>. Wood Lane Arches were developed by TfL by supporting the revival of the White City areas. Public access arches support this revival of the White City area by establishing direct roads between Westfield London and White City (Cowell and Devine-Wright, 2018).</w:t>
      </w:r>
    </w:p>
    <w:p w:rsidR="0015314F" w:rsidRDefault="0015314F" w:rsidP="008E27CF">
      <w:pPr>
        <w:pStyle w:val="ListParagraph"/>
        <w:jc w:val="both"/>
      </w:pPr>
      <w:r>
        <w:t>I have observed the open data project of TfL based on API that provides real-time information on bus arrival schedule.</w:t>
      </w:r>
    </w:p>
    <w:p w:rsidR="0015314F" w:rsidRDefault="0015314F" w:rsidP="008E27CF">
      <w:pPr>
        <w:pStyle w:val="ListParagraph"/>
        <w:jc w:val="both"/>
      </w:pPr>
      <w:r>
        <w:t>The Blackhorse Road project of TfL is renovating the car parking facilities into 350 homes. The site deploys within the Waltham Forest and GLA Housing Zone. The air quality project indicates that more than half of the emissions in London come from road transport which leads to many premature deaths every year (Heath-Kelly, 2017).</w:t>
      </w:r>
    </w:p>
    <w:p w:rsidR="0015314F" w:rsidRDefault="0015314F" w:rsidP="0015314F">
      <w:pPr>
        <w:pStyle w:val="ListParagraph"/>
        <w:numPr>
          <w:ilvl w:val="0"/>
          <w:numId w:val="2"/>
        </w:numPr>
        <w:jc w:val="both"/>
      </w:pPr>
      <w:r>
        <w:rPr>
          <w:b/>
        </w:rPr>
        <w:t>Forward-thinking approach</w:t>
      </w:r>
      <w:r>
        <w:t>. I found that</w:t>
      </w:r>
      <w:r w:rsidR="00EC2A01">
        <w:t xml:space="preserve"> organisation is taking various steps for implementing and increasing their community engagement programs. As a part of this organisation, I can say that participation in social media is very effective for implementing community engagement programs. Expect that the training and development programs for the employees who are from various cultural backgrounds are also helping them to create effective</w:t>
      </w:r>
      <w:r w:rsidR="00FA55DF">
        <w:t xml:space="preserve"> community engagement programs (Heath-Kelly, 2017).</w:t>
      </w:r>
    </w:p>
    <w:p w:rsidR="00FA55DF" w:rsidRDefault="00FA55DF" w:rsidP="00FA55DF">
      <w:pPr>
        <w:pStyle w:val="ListParagraph"/>
        <w:jc w:val="both"/>
      </w:pPr>
      <w:r w:rsidRPr="004908AD">
        <w:t>Expect this they required to apply the forward</w:t>
      </w:r>
      <w:r w:rsidRPr="00FA55DF">
        <w:t>-</w:t>
      </w:r>
      <w:r>
        <w:t xml:space="preserve">looking approach for making their employees efficient to develop their community engagement program. I think that TfL can use the </w:t>
      </w:r>
      <w:r w:rsidR="004908AD">
        <w:t>e</w:t>
      </w:r>
      <w:r>
        <w:t xml:space="preserve">cological theory of Kelly </w:t>
      </w:r>
      <w:r w:rsidR="004908AD">
        <w:t>for implementing their forward-looking approach and by which they can make proper community engagement.</w:t>
      </w:r>
    </w:p>
    <w:p w:rsidR="004908AD" w:rsidRDefault="004908AD" w:rsidP="00FA55DF">
      <w:pPr>
        <w:pStyle w:val="ListParagraph"/>
        <w:jc w:val="both"/>
      </w:pPr>
      <w:r>
        <w:t>TfL needs to understand the possible upcoming changing situation by using this theory and approach. Then they are required to share their knowledge and share creative ideas for adapting to new situation (</w:t>
      </w:r>
      <w:proofErr w:type="spellStart"/>
      <w:r>
        <w:t>Cotrill</w:t>
      </w:r>
      <w:proofErr w:type="spellEnd"/>
      <w:r>
        <w:t xml:space="preserve"> </w:t>
      </w:r>
      <w:r>
        <w:rPr>
          <w:i/>
        </w:rPr>
        <w:t>et al</w:t>
      </w:r>
      <w:r>
        <w:t>., 2017).</w:t>
      </w:r>
    </w:p>
    <w:p w:rsidR="004908AD" w:rsidRDefault="004908AD" w:rsidP="00FA55DF">
      <w:pPr>
        <w:pStyle w:val="ListParagraph"/>
        <w:jc w:val="both"/>
      </w:pPr>
      <w:r>
        <w:t xml:space="preserve">I think it increases their community engagement and they are required to take next step for developing and using their effective resources </w:t>
      </w:r>
      <w:r w:rsidR="0089634D">
        <w:t>to maintain that community engagement. After adapting to this new situation by their innovative thoughts they can increase their community engagement (</w:t>
      </w:r>
      <w:proofErr w:type="spellStart"/>
      <w:r w:rsidR="0089634D">
        <w:t>Caparros</w:t>
      </w:r>
      <w:proofErr w:type="spellEnd"/>
      <w:r w:rsidR="0089634D">
        <w:t xml:space="preserve">-Midwood </w:t>
      </w:r>
      <w:r w:rsidR="0089634D">
        <w:rPr>
          <w:i/>
        </w:rPr>
        <w:t>et al</w:t>
      </w:r>
      <w:r w:rsidR="0089634D">
        <w:t>., 2019).</w:t>
      </w:r>
    </w:p>
    <w:p w:rsidR="0089634D" w:rsidRDefault="0089634D" w:rsidP="00FA55DF">
      <w:pPr>
        <w:pStyle w:val="ListParagraph"/>
        <w:jc w:val="both"/>
      </w:pPr>
      <w:r>
        <w:t>A forward-looking approach is a positive approach that can help TfL for their multicultural workplace. The employees of a multicultural workplace have a chase to share their innovative thoughts which can help the organisation to face the pandemic situation (</w:t>
      </w:r>
      <w:proofErr w:type="spellStart"/>
      <w:r>
        <w:t>Caparros</w:t>
      </w:r>
      <w:proofErr w:type="spellEnd"/>
      <w:r>
        <w:t xml:space="preserve">-Midwood </w:t>
      </w:r>
      <w:r>
        <w:rPr>
          <w:i/>
        </w:rPr>
        <w:t>et al</w:t>
      </w:r>
      <w:r>
        <w:t>., 2019).</w:t>
      </w:r>
    </w:p>
    <w:p w:rsidR="0089634D" w:rsidRDefault="0089634D" w:rsidP="00FA55DF">
      <w:pPr>
        <w:pStyle w:val="ListParagraph"/>
        <w:jc w:val="both"/>
      </w:pPr>
      <w:r>
        <w:t>It also helps to use their experiences and increase their experiences by adopting new situations and sustaining their community engagement by their creative thoughts and broader thinking.</w:t>
      </w:r>
    </w:p>
    <w:p w:rsidR="0089634D" w:rsidRDefault="0089634D" w:rsidP="0089634D">
      <w:pPr>
        <w:jc w:val="both"/>
      </w:pPr>
    </w:p>
    <w:p w:rsidR="00F91016" w:rsidRDefault="00F91016" w:rsidP="0089634D">
      <w:pPr>
        <w:jc w:val="both"/>
        <w:rPr>
          <w:b/>
          <w:i/>
          <w:sz w:val="28"/>
          <w:szCs w:val="28"/>
        </w:rPr>
      </w:pPr>
    </w:p>
    <w:p w:rsidR="00F91016" w:rsidRDefault="00F91016" w:rsidP="0089634D">
      <w:pPr>
        <w:jc w:val="both"/>
        <w:rPr>
          <w:b/>
          <w:i/>
          <w:sz w:val="28"/>
          <w:szCs w:val="28"/>
        </w:rPr>
      </w:pPr>
    </w:p>
    <w:p w:rsidR="0089634D" w:rsidRPr="00663424" w:rsidRDefault="0089634D" w:rsidP="00663424">
      <w:pPr>
        <w:pStyle w:val="ListParagraph"/>
        <w:numPr>
          <w:ilvl w:val="0"/>
          <w:numId w:val="1"/>
        </w:numPr>
        <w:jc w:val="both"/>
        <w:rPr>
          <w:b/>
        </w:rPr>
      </w:pPr>
      <w:r w:rsidRPr="00663424">
        <w:rPr>
          <w:b/>
        </w:rPr>
        <w:lastRenderedPageBreak/>
        <w:t>Reflective learning cycle</w:t>
      </w:r>
    </w:p>
    <w:p w:rsidR="00F91016" w:rsidRDefault="0089634D" w:rsidP="0089634D">
      <w:pPr>
        <w:jc w:val="both"/>
      </w:pPr>
      <w:r>
        <w:t>Kolb’s reflective cycle focuses on the significance of the reflection components that help TfL to deal with the arrived issues. TfL can</w:t>
      </w:r>
      <w:r w:rsidR="00F91016">
        <w:t xml:space="preserve"> </w:t>
      </w:r>
      <w:r>
        <w:t>evaluate</w:t>
      </w:r>
      <w:r w:rsidR="00F91016">
        <w:t xml:space="preserve"> and recognise their experiences for addressing the issues associated with community engagement (</w:t>
      </w:r>
      <w:proofErr w:type="spellStart"/>
      <w:r w:rsidR="00F91016">
        <w:t>Cotrill</w:t>
      </w:r>
      <w:proofErr w:type="spellEnd"/>
      <w:r w:rsidR="00F91016">
        <w:t xml:space="preserve"> </w:t>
      </w:r>
      <w:r w:rsidR="00F91016">
        <w:rPr>
          <w:i/>
        </w:rPr>
        <w:t>et al</w:t>
      </w:r>
      <w:r w:rsidR="00F91016">
        <w:t>., 2017).</w:t>
      </w:r>
    </w:p>
    <w:p w:rsidR="00F70501" w:rsidRDefault="00F91016" w:rsidP="0089634D">
      <w:pPr>
        <w:jc w:val="both"/>
      </w:pPr>
      <w:r>
        <w:t>From my point of view, the community participants can analyse their previous ideas and experiences to cope up with the situation</w:t>
      </w:r>
      <w:r w:rsidR="00F70501">
        <w:t>. Each stage of Kolb’s cycle is associated with different learning styles and it blends different cultural aspects to uplift the communication scale. I have learned that TfL can broadcast their attained knowledge to social media for developing an attachment to the community. Kolb’s learning cycle has four stages that synthesises behaviour learning and goal-directed aspects that help TfL to invite value processes (Wallace, 2019).</w:t>
      </w:r>
    </w:p>
    <w:p w:rsidR="00F70501" w:rsidRDefault="00F70501" w:rsidP="0089634D">
      <w:pPr>
        <w:jc w:val="both"/>
      </w:pPr>
      <w:r>
        <w:rPr>
          <w:b/>
        </w:rPr>
        <w:t>Stage 1: Concrete experience</w:t>
      </w:r>
      <w:r>
        <w:t>. I have learned that concrete experience helps TfL to gather experience of community engagement context that helps them to reinterpret the existing experience. It helps TfL to align proper strategies to analyse the issues faced by the community members due to the lack of community engagement (Wallace, 2019).</w:t>
      </w:r>
    </w:p>
    <w:p w:rsidR="0089634D" w:rsidRDefault="00F70501" w:rsidP="0089634D">
      <w:pPr>
        <w:jc w:val="both"/>
      </w:pPr>
      <w:r>
        <w:rPr>
          <w:b/>
        </w:rPr>
        <w:t>Stage 2: Reflective observation</w:t>
      </w:r>
      <w:r>
        <w:t>. The reflective observation helps TfL to evaluate the experience and to identify the inconsistencies between understanding and experience (Simplypsychology.org, 2021).</w:t>
      </w:r>
      <w:r w:rsidR="00F91016">
        <w:t xml:space="preserve"> </w:t>
      </w:r>
      <w:r w:rsidR="00CA4EF0">
        <w:t>I have seen that TfL can realise the importance of social media tools for developing community attachment by evaluating the previous experiences.</w:t>
      </w:r>
    </w:p>
    <w:p w:rsidR="00CA4EF0" w:rsidRDefault="00CA4EF0" w:rsidP="0089634D">
      <w:pPr>
        <w:jc w:val="both"/>
      </w:pPr>
      <w:r>
        <w:rPr>
          <w:b/>
        </w:rPr>
        <w:t>Stage 3: Abstract conceptualisation</w:t>
      </w:r>
      <w:r>
        <w:t xml:space="preserve">. The abstract conceptualisation demonstrates new ideas for TfL to maximise community engagement during the pandemics and </w:t>
      </w:r>
      <w:r w:rsidR="00852F86">
        <w:t>develops the social media implementation (Simplypsychology.org, 2021).</w:t>
      </w:r>
    </w:p>
    <w:p w:rsidR="00852F86" w:rsidRDefault="00852F86" w:rsidP="0089634D">
      <w:pPr>
        <w:jc w:val="both"/>
      </w:pPr>
      <w:r>
        <w:t>I have learned that abstract conceptualisation can replace the existing abstract concepts that are not effective by the innovative community engagement context for TfL.</w:t>
      </w:r>
    </w:p>
    <w:p w:rsidR="00852F86" w:rsidRDefault="00852F86" w:rsidP="0089634D">
      <w:pPr>
        <w:jc w:val="both"/>
      </w:pPr>
      <w:r>
        <w:rPr>
          <w:b/>
        </w:rPr>
        <w:t>Stage 4: Active experimentation</w:t>
      </w:r>
      <w:r>
        <w:t>. TfL applies the idea to identify socio-cultural issues, decision-making issues and attitude issues (Tfl.gov.uk, 2021).</w:t>
      </w:r>
    </w:p>
    <w:p w:rsidR="00852F86" w:rsidRDefault="00852F86" w:rsidP="0089634D">
      <w:pPr>
        <w:jc w:val="both"/>
      </w:pPr>
      <w:r>
        <w:t xml:space="preserve">In my opinion, the consequences of the issues are examined and apply </w:t>
      </w:r>
      <w:r w:rsidR="00663424">
        <w:t>the idea based on experience to resolve the issues and maximise community engagement.</w:t>
      </w:r>
    </w:p>
    <w:p w:rsidR="00663424" w:rsidRDefault="00663424" w:rsidP="00663424">
      <w:pPr>
        <w:jc w:val="center"/>
      </w:pPr>
      <w:r>
        <w:rPr>
          <w:noProof/>
        </w:rPr>
        <w:drawing>
          <wp:inline distT="0" distB="0" distL="0" distR="0" wp14:anchorId="067CB53C" wp14:editId="794172DE">
            <wp:extent cx="4017010" cy="2362200"/>
            <wp:effectExtent l="0" t="0" r="254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r:embed="rId7"/>
                    <a:stretch>
                      <a:fillRect/>
                    </a:stretch>
                  </pic:blipFill>
                  <pic:spPr>
                    <a:xfrm>
                      <a:off x="0" y="0"/>
                      <a:ext cx="4017010" cy="2362200"/>
                    </a:xfrm>
                    <a:prstGeom prst="rect">
                      <a:avLst/>
                    </a:prstGeom>
                  </pic:spPr>
                </pic:pic>
              </a:graphicData>
            </a:graphic>
          </wp:inline>
        </w:drawing>
      </w:r>
    </w:p>
    <w:p w:rsidR="00663424" w:rsidRPr="00663424" w:rsidRDefault="00663424" w:rsidP="00663424">
      <w:pPr>
        <w:jc w:val="center"/>
        <w:rPr>
          <w:b/>
        </w:rPr>
      </w:pPr>
      <w:r w:rsidRPr="00663424">
        <w:rPr>
          <w:b/>
        </w:rPr>
        <w:t>Kolb’s learning cycle (Simplypsychology.org, 2021)</w:t>
      </w:r>
    </w:p>
    <w:p w:rsidR="00663424" w:rsidRPr="00852F86" w:rsidRDefault="00663424" w:rsidP="0089634D">
      <w:pPr>
        <w:jc w:val="both"/>
      </w:pPr>
    </w:p>
    <w:p w:rsidR="0089634D" w:rsidRPr="00693589" w:rsidRDefault="00693589" w:rsidP="00693589">
      <w:pPr>
        <w:pStyle w:val="ListParagraph"/>
        <w:numPr>
          <w:ilvl w:val="0"/>
          <w:numId w:val="1"/>
        </w:numPr>
        <w:jc w:val="both"/>
        <w:rPr>
          <w:b/>
        </w:rPr>
      </w:pPr>
      <w:r w:rsidRPr="00693589">
        <w:rPr>
          <w:b/>
        </w:rPr>
        <w:lastRenderedPageBreak/>
        <w:t>Self-critic in personal development</w:t>
      </w:r>
    </w:p>
    <w:p w:rsidR="00693589" w:rsidRDefault="00693589" w:rsidP="00693589">
      <w:pPr>
        <w:jc w:val="both"/>
      </w:pPr>
      <w:r>
        <w:t>TfL faced different issues due to the lack of community engagement and the personal development points out of the required skills and knowledge to resolve the issues (TfL.gov.uk, 2021).</w:t>
      </w:r>
    </w:p>
    <w:p w:rsidR="00693589" w:rsidRDefault="00693589" w:rsidP="00693589">
      <w:pPr>
        <w:jc w:val="both"/>
      </w:pPr>
      <w:r>
        <w:t>Kolb’s learning cycles describes the issues faced by TfL and aligns proper solutions to mitigate the issues, which are given below:</w:t>
      </w:r>
    </w:p>
    <w:p w:rsidR="00693589" w:rsidRDefault="008B38D5" w:rsidP="00693589">
      <w:pPr>
        <w:pStyle w:val="ListParagraph"/>
        <w:numPr>
          <w:ilvl w:val="0"/>
          <w:numId w:val="2"/>
        </w:numPr>
        <w:jc w:val="both"/>
      </w:pPr>
      <w:r>
        <w:rPr>
          <w:b/>
        </w:rPr>
        <w:t>Communication skills</w:t>
      </w:r>
      <w:r>
        <w:t>. I have found that communication skills are important to allow TfL to realise information more accurately. Communication skills develop community engagement by eradicating misinterpretation and misunderstanding. Communication skills negotiate decision-making issues and socio-cultural issues (Redditchbc.gov.uk, 2021).</w:t>
      </w:r>
    </w:p>
    <w:p w:rsidR="008B38D5" w:rsidRDefault="008B38D5" w:rsidP="00693589">
      <w:pPr>
        <w:pStyle w:val="ListParagraph"/>
        <w:numPr>
          <w:ilvl w:val="0"/>
          <w:numId w:val="2"/>
        </w:numPr>
        <w:jc w:val="both"/>
      </w:pPr>
      <w:r>
        <w:rPr>
          <w:b/>
        </w:rPr>
        <w:t>Interpersonal skills</w:t>
      </w:r>
      <w:r>
        <w:t>. Kolb’s cycle describes that interpersonal</w:t>
      </w:r>
      <w:r w:rsidR="00DC2BC9">
        <w:t xml:space="preserve"> skills help TfL to develop its community working experience. Interpersonal skills are important to create significant personal relationship in the workplace (Redditchbc.gov.uk, 2021).</w:t>
      </w:r>
    </w:p>
    <w:p w:rsidR="00DC2BC9" w:rsidRDefault="00DC2BC9" w:rsidP="00DC2BC9">
      <w:pPr>
        <w:pStyle w:val="ListParagraph"/>
        <w:jc w:val="both"/>
      </w:pPr>
      <w:r w:rsidRPr="00DC2BC9">
        <w:t xml:space="preserve">I have learned that people with </w:t>
      </w:r>
      <w:r>
        <w:t>excellent interpersonal skills can constitute healthy relationship to eradicate attitude issues and socio-cultural issues.</w:t>
      </w:r>
    </w:p>
    <w:p w:rsidR="00DC2BC9" w:rsidRDefault="00DC2BC9" w:rsidP="00DC2BC9">
      <w:pPr>
        <w:pStyle w:val="ListParagraph"/>
        <w:numPr>
          <w:ilvl w:val="0"/>
          <w:numId w:val="2"/>
        </w:numPr>
        <w:jc w:val="both"/>
      </w:pPr>
      <w:r>
        <w:rPr>
          <w:b/>
        </w:rPr>
        <w:t>Creative skills</w:t>
      </w:r>
      <w:r>
        <w:t>. The creative skills help TfL to address the problem from fresh</w:t>
      </w:r>
      <w:r w:rsidR="001E6AA2">
        <w:t xml:space="preserve"> perspectives and minds. I have learned that unique solutions can be deployed by developing new ideas, devising innovative solutions to attach community and increasing community efficiency. Creative skills can resolve attitude issues, decision-making issues and socio-cultural issues (Teo and </w:t>
      </w:r>
      <w:proofErr w:type="spellStart"/>
      <w:r w:rsidR="001E6AA2">
        <w:t>Loosemore</w:t>
      </w:r>
      <w:proofErr w:type="spellEnd"/>
      <w:r w:rsidR="001E6AA2">
        <w:t>, 2017).</w:t>
      </w:r>
    </w:p>
    <w:p w:rsidR="001E6AA2" w:rsidRDefault="001E6AA2" w:rsidP="00DC2BC9">
      <w:pPr>
        <w:pStyle w:val="ListParagraph"/>
        <w:numPr>
          <w:ilvl w:val="0"/>
          <w:numId w:val="2"/>
        </w:numPr>
        <w:jc w:val="both"/>
      </w:pPr>
      <w:r>
        <w:rPr>
          <w:b/>
        </w:rPr>
        <w:t>Professional skills</w:t>
      </w:r>
      <w:r>
        <w:t xml:space="preserve">. The professional skills are necessary for TfL to implement an excellent community relationship. I have learned that professional skills help to attach the employees and develop </w:t>
      </w:r>
      <w:r w:rsidR="00A67FFA">
        <w:t>their</w:t>
      </w:r>
      <w:r>
        <w:t xml:space="preserve"> ability to deal with socio-cultural skills. The critical problem-solving aspects help TfL to develop their quality of decision-making attributes and point out the negative attitude</w:t>
      </w:r>
      <w:r w:rsidR="00A67FFA">
        <w:t xml:space="preserve"> (Teo and </w:t>
      </w:r>
      <w:proofErr w:type="spellStart"/>
      <w:r w:rsidR="00A67FFA">
        <w:t>Loosemore</w:t>
      </w:r>
      <w:proofErr w:type="spellEnd"/>
      <w:r w:rsidR="00A67FFA">
        <w:t>, 2017).</w:t>
      </w:r>
    </w:p>
    <w:p w:rsidR="00A67FFA" w:rsidRDefault="00A67FFA" w:rsidP="00A67FFA">
      <w:pPr>
        <w:pStyle w:val="ListParagraph"/>
        <w:jc w:val="both"/>
        <w:rPr>
          <w:b/>
        </w:rPr>
      </w:pPr>
    </w:p>
    <w:p w:rsidR="00A67FFA" w:rsidRDefault="00A67FFA" w:rsidP="00A67FFA">
      <w:pPr>
        <w:pStyle w:val="ListParagraph"/>
        <w:numPr>
          <w:ilvl w:val="0"/>
          <w:numId w:val="1"/>
        </w:numPr>
        <w:jc w:val="both"/>
        <w:rPr>
          <w:b/>
        </w:rPr>
      </w:pPr>
      <w:r>
        <w:rPr>
          <w:b/>
        </w:rPr>
        <w:t>Reflect on different ways of adaption to increasing employability</w:t>
      </w:r>
    </w:p>
    <w:p w:rsidR="00A67FFA" w:rsidRDefault="00A67FFA" w:rsidP="00A67FFA">
      <w:pPr>
        <w:jc w:val="both"/>
      </w:pPr>
      <w:r>
        <w:t>TfL needs to concentrate on the development of employability that signifies the skillsets for successfully maintaining the community engagement context (Extra.shu.ac.uk, 2021).</w:t>
      </w:r>
    </w:p>
    <w:p w:rsidR="00A67FFA" w:rsidRDefault="00A67FFA" w:rsidP="00A67FFA">
      <w:pPr>
        <w:jc w:val="both"/>
      </w:pPr>
      <w:r>
        <w:t>The employability supports the collaboration of an effective performance index to develop community engagement. From my point of view, social media assessment skill is important that helps TfL to develop community engagement during the pandemics. TfL needs to conduct</w:t>
      </w:r>
      <w:r w:rsidR="00001773">
        <w:t xml:space="preserve"> </w:t>
      </w:r>
      <w:r w:rsidR="00350ABE">
        <w:t xml:space="preserve">training sessions for the employees to develop their social media assessment </w:t>
      </w:r>
      <w:r w:rsidR="00001773">
        <w:t>skills (Extra.shu.ac.uk, 2021).</w:t>
      </w:r>
    </w:p>
    <w:p w:rsidR="00001773" w:rsidRDefault="00001773" w:rsidP="00A67FFA">
      <w:pPr>
        <w:jc w:val="both"/>
      </w:pPr>
      <w:r>
        <w:t>I have seen that these skills develop the employment context and help TfL to deeply analyse the root problems. TfL needs to diversify the business ideas rather than fixing them in a single platform (Groun</w:t>
      </w:r>
      <w:r w:rsidR="007C5207">
        <w:t>d</w:t>
      </w:r>
      <w:r>
        <w:t xml:space="preserve">work.org.uk, 2021). </w:t>
      </w:r>
    </w:p>
    <w:p w:rsidR="00001773" w:rsidRDefault="00001773" w:rsidP="00A67FFA">
      <w:pPr>
        <w:jc w:val="both"/>
      </w:pPr>
      <w:r>
        <w:t>I have learned that communication skills can be implemented through social media assessment skills and that social media refers to the diverse platform that can help TfL to expand the channel to conduct online meetings and video conferences with the community members.</w:t>
      </w:r>
    </w:p>
    <w:p w:rsidR="00001773" w:rsidRDefault="00001773" w:rsidP="00A67FFA">
      <w:pPr>
        <w:jc w:val="both"/>
      </w:pPr>
      <w:r>
        <w:t>Additionally, interpersonal skills need to be applied effectively to TfL in order to develop community engagement including encouraging the employees to express their opinions (Groundwork.org.uk, 2021).</w:t>
      </w:r>
    </w:p>
    <w:p w:rsidR="00001773" w:rsidRDefault="00001773" w:rsidP="00A67FFA">
      <w:pPr>
        <w:jc w:val="both"/>
      </w:pPr>
      <w:r>
        <w:t xml:space="preserve">I have seen that the ability to instruct and positive reinforcement helps TfL to implement interpersonal skills. Continuous eye contact and positive body language are the prime attribute to invite </w:t>
      </w:r>
      <w:r>
        <w:lastRenderedPageBreak/>
        <w:t xml:space="preserve">interpersonal skills. I have learned that the market assessment skill is important for concentrating on the external factors </w:t>
      </w:r>
      <w:r w:rsidR="004D001A">
        <w:t>that affect the relationship between TfL and its network partners. I have seen that political stability is necessary with a lower tax rate to sustain the relationship between TfL and its network partners.</w:t>
      </w:r>
    </w:p>
    <w:p w:rsidR="004D001A" w:rsidRDefault="004D001A" w:rsidP="00A67FFA">
      <w:pPr>
        <w:jc w:val="both"/>
      </w:pPr>
      <w:r>
        <w:t>Economic stability and proper technology alignment are necessary to validate the signed contract between TfL and its network partners (Redditchbc.gov.uk, 2021).</w:t>
      </w:r>
    </w:p>
    <w:p w:rsidR="004D001A" w:rsidRDefault="004D001A" w:rsidP="00A67FFA">
      <w:pPr>
        <w:jc w:val="both"/>
      </w:pPr>
      <w:r>
        <w:t>TfL needs to educate the employees to increase their ability so that they can cope up with the marketing needs for strengthening the relationship with the network partners (TfL.gov.uk, 2021).</w:t>
      </w: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pPr>
    </w:p>
    <w:p w:rsidR="004D001A" w:rsidRDefault="004D001A" w:rsidP="00A67FFA">
      <w:pPr>
        <w:jc w:val="both"/>
        <w:rPr>
          <w:b/>
          <w:i/>
          <w:sz w:val="28"/>
          <w:szCs w:val="28"/>
        </w:rPr>
      </w:pPr>
      <w:r>
        <w:rPr>
          <w:b/>
          <w:i/>
          <w:sz w:val="28"/>
          <w:szCs w:val="28"/>
        </w:rPr>
        <w:lastRenderedPageBreak/>
        <w:t>Conclusion</w:t>
      </w:r>
    </w:p>
    <w:p w:rsidR="004D001A" w:rsidRDefault="004D001A" w:rsidP="00A67FFA">
      <w:pPr>
        <w:jc w:val="both"/>
      </w:pPr>
      <w:r>
        <w:t xml:space="preserve"> </w:t>
      </w:r>
    </w:p>
    <w:p w:rsidR="004D001A" w:rsidRDefault="004D001A" w:rsidP="00A67FFA">
      <w:pPr>
        <w:jc w:val="both"/>
      </w:pPr>
      <w:r>
        <w:t>After the entire analysis of the reflective report, it is configured that community engagement improves the knowledge and skills of the community members that increases the chances to demonstrate proper solutions. I have seen that Kolb’s reflection learning cycle allows TfL to process the happened events during the experience. I have learned that the issues associated with the lack of community engagement can be resolved by justifying the personal skills to deal with the issues. I have learned that the stakeholder’s relationship helps TfL to analyse the raised issues.</w:t>
      </w:r>
    </w:p>
    <w:p w:rsidR="004D001A" w:rsidRDefault="004D001A" w:rsidP="00A67FFA">
      <w:pPr>
        <w:jc w:val="both"/>
      </w:pPr>
      <w:r>
        <w:t>The report concentrates on a</w:t>
      </w:r>
      <w:r w:rsidR="000350F5">
        <w:t xml:space="preserve"> community engagement model, Kelly’s Ecological theory and Kolb’s reflection learning cycle to explain the community bonding development.</w:t>
      </w: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pPr>
    </w:p>
    <w:p w:rsidR="000350F5" w:rsidRDefault="000350F5" w:rsidP="00A67FFA">
      <w:pPr>
        <w:jc w:val="both"/>
        <w:rPr>
          <w:b/>
          <w:i/>
          <w:sz w:val="28"/>
          <w:szCs w:val="28"/>
        </w:rPr>
      </w:pPr>
    </w:p>
    <w:p w:rsidR="000350F5" w:rsidRDefault="000350F5" w:rsidP="00A67FFA">
      <w:pPr>
        <w:jc w:val="both"/>
        <w:rPr>
          <w:b/>
          <w:i/>
          <w:sz w:val="28"/>
          <w:szCs w:val="28"/>
        </w:rPr>
      </w:pPr>
      <w:r>
        <w:rPr>
          <w:b/>
          <w:i/>
          <w:sz w:val="28"/>
          <w:szCs w:val="28"/>
        </w:rPr>
        <w:lastRenderedPageBreak/>
        <w:t>References</w:t>
      </w:r>
    </w:p>
    <w:p w:rsidR="000350F5" w:rsidRDefault="004D7810" w:rsidP="00A67FFA">
      <w:pPr>
        <w:jc w:val="both"/>
      </w:pPr>
      <w:proofErr w:type="spellStart"/>
      <w:r w:rsidRPr="00D96E02">
        <w:rPr>
          <w:b/>
        </w:rPr>
        <w:t>Caparros</w:t>
      </w:r>
      <w:proofErr w:type="spellEnd"/>
      <w:r w:rsidRPr="00D96E02">
        <w:rPr>
          <w:b/>
        </w:rPr>
        <w:t>-Midwood D., Dawson R. and Barr S., 2019</w:t>
      </w:r>
      <w:r>
        <w:t xml:space="preserve">. Low carbon, low risk, low density: Resolving choices about sustainable development in cities. </w:t>
      </w:r>
      <w:r w:rsidRPr="00D96E02">
        <w:rPr>
          <w:i/>
        </w:rPr>
        <w:t>Cities</w:t>
      </w:r>
      <w:r>
        <w:t>, 89, pp.252-267.</w:t>
      </w:r>
    </w:p>
    <w:p w:rsidR="004D7810" w:rsidRDefault="00E65004" w:rsidP="00A67FFA">
      <w:pPr>
        <w:jc w:val="both"/>
      </w:pPr>
      <w:r w:rsidRPr="00714AC4">
        <w:rPr>
          <w:b/>
        </w:rPr>
        <w:t xml:space="preserve">Cohen T., </w:t>
      </w:r>
      <w:proofErr w:type="spellStart"/>
      <w:r w:rsidRPr="00714AC4">
        <w:rPr>
          <w:b/>
        </w:rPr>
        <w:t>Stilgoe</w:t>
      </w:r>
      <w:proofErr w:type="spellEnd"/>
      <w:r w:rsidRPr="00714AC4">
        <w:rPr>
          <w:b/>
        </w:rPr>
        <w:t xml:space="preserve"> J. and </w:t>
      </w:r>
      <w:proofErr w:type="spellStart"/>
      <w:r w:rsidRPr="00714AC4">
        <w:rPr>
          <w:b/>
        </w:rPr>
        <w:t>Cavoli</w:t>
      </w:r>
      <w:proofErr w:type="spellEnd"/>
      <w:r w:rsidRPr="00714AC4">
        <w:rPr>
          <w:b/>
        </w:rPr>
        <w:t xml:space="preserve"> C., 2018</w:t>
      </w:r>
      <w:r>
        <w:t xml:space="preserve">. Reframing the governance of automotive automation: insights from UK stakeholder workshops. </w:t>
      </w:r>
      <w:r>
        <w:rPr>
          <w:i/>
        </w:rPr>
        <w:t>Journal of Responsible Innovation</w:t>
      </w:r>
      <w:r>
        <w:t>. 5(3), pp.257-279.</w:t>
      </w:r>
    </w:p>
    <w:p w:rsidR="00E65004" w:rsidRDefault="00E65004" w:rsidP="00A67FFA">
      <w:pPr>
        <w:jc w:val="both"/>
      </w:pPr>
      <w:proofErr w:type="spellStart"/>
      <w:r w:rsidRPr="00D96E02">
        <w:rPr>
          <w:b/>
        </w:rPr>
        <w:t>Cottrill</w:t>
      </w:r>
      <w:proofErr w:type="spellEnd"/>
      <w:r w:rsidRPr="00D96E02">
        <w:rPr>
          <w:b/>
        </w:rPr>
        <w:t xml:space="preserve"> C., Gault P., Yeboah G., Nelson J.D., </w:t>
      </w:r>
      <w:proofErr w:type="spellStart"/>
      <w:r w:rsidRPr="00D96E02">
        <w:rPr>
          <w:b/>
        </w:rPr>
        <w:t>Anable</w:t>
      </w:r>
      <w:proofErr w:type="spellEnd"/>
      <w:r w:rsidRPr="00D96E02">
        <w:rPr>
          <w:b/>
        </w:rPr>
        <w:t xml:space="preserve"> J. and Budd T., 2017</w:t>
      </w:r>
      <w:r>
        <w:t xml:space="preserve">. Tweeting Transit: An examination of social media strategies for transport information management during a large event. </w:t>
      </w:r>
      <w:r w:rsidRPr="00D96E02">
        <w:rPr>
          <w:i/>
        </w:rPr>
        <w:t>Transportation Research Part C: Emerging Technologies</w:t>
      </w:r>
      <w:r>
        <w:t>, 77, pp.421-432.</w:t>
      </w:r>
    </w:p>
    <w:p w:rsidR="00E65004" w:rsidRDefault="00E65004" w:rsidP="00A67FFA">
      <w:pPr>
        <w:jc w:val="both"/>
      </w:pPr>
      <w:r w:rsidRPr="00D96E02">
        <w:rPr>
          <w:b/>
        </w:rPr>
        <w:t>Cowell R. and Devine-Wright P., 2018</w:t>
      </w:r>
      <w:r>
        <w:t>. A ‘delivery-democracy dilemma’? Mapping and explaining policy change for public engagement with energy infrastructure</w:t>
      </w:r>
      <w:r w:rsidRPr="00D96E02">
        <w:rPr>
          <w:i/>
        </w:rPr>
        <w:t>. Journal of environmental policy &amp; planning</w:t>
      </w:r>
      <w:r>
        <w:t>, 20(4), pp.499-517.</w:t>
      </w:r>
    </w:p>
    <w:p w:rsidR="00E65004" w:rsidRDefault="00E65004" w:rsidP="00A67FFA">
      <w:pPr>
        <w:jc w:val="both"/>
      </w:pPr>
      <w:r w:rsidRPr="00D96E02">
        <w:rPr>
          <w:b/>
        </w:rPr>
        <w:t>Extra.shu.ac.uk, 2021</w:t>
      </w:r>
      <w:r>
        <w:t xml:space="preserve">. Community engagement. Available at: </w:t>
      </w:r>
      <w:hyperlink r:id="rId8" w:history="1">
        <w:r w:rsidRPr="00983958">
          <w:rPr>
            <w:rStyle w:val="Hyperlink"/>
          </w:rPr>
          <w:t>https://extra.shu.ac.uk/ndc/downloads/general/community_engagement_NDC_programme.pdf</w:t>
        </w:r>
      </w:hyperlink>
    </w:p>
    <w:p w:rsidR="00E65004" w:rsidRDefault="00E65004" w:rsidP="00A67FFA">
      <w:pPr>
        <w:jc w:val="both"/>
      </w:pPr>
      <w:r>
        <w:t>[Accessed on 19</w:t>
      </w:r>
      <w:r w:rsidRPr="00E65004">
        <w:rPr>
          <w:vertAlign w:val="superscript"/>
        </w:rPr>
        <w:t>th</w:t>
      </w:r>
      <w:r>
        <w:t xml:space="preserve"> April, 2021].</w:t>
      </w:r>
    </w:p>
    <w:p w:rsidR="00E65004" w:rsidRDefault="00E65004" w:rsidP="00A67FFA">
      <w:pPr>
        <w:jc w:val="both"/>
      </w:pPr>
      <w:r w:rsidRPr="00D96E02">
        <w:rPr>
          <w:b/>
        </w:rPr>
        <w:t>Groundwork.org.uk, 2021</w:t>
      </w:r>
      <w:r>
        <w:t>. Community engagement and capacity building. Available at:</w:t>
      </w:r>
    </w:p>
    <w:p w:rsidR="00E65004" w:rsidRDefault="00FE7802" w:rsidP="00A67FFA">
      <w:pPr>
        <w:jc w:val="both"/>
      </w:pPr>
      <w:hyperlink r:id="rId9" w:history="1">
        <w:r w:rsidRPr="00983958">
          <w:rPr>
            <w:rStyle w:val="Hyperlink"/>
          </w:rPr>
          <w:t>https://www.groundwork.ork.uk/services/community-engagement-and-capacity-building/</w:t>
        </w:r>
      </w:hyperlink>
      <w:r>
        <w:t xml:space="preserve">. </w:t>
      </w:r>
    </w:p>
    <w:p w:rsidR="00FE7802" w:rsidRDefault="00FE7802" w:rsidP="00A67FFA">
      <w:pPr>
        <w:jc w:val="both"/>
      </w:pPr>
      <w:r>
        <w:t>[Accessed on 19</w:t>
      </w:r>
      <w:r w:rsidRPr="00FE7802">
        <w:rPr>
          <w:vertAlign w:val="superscript"/>
        </w:rPr>
        <w:t>th</w:t>
      </w:r>
      <w:r>
        <w:t xml:space="preserve"> April, 2021].</w:t>
      </w:r>
    </w:p>
    <w:p w:rsidR="00FE7802" w:rsidRDefault="00FE7802" w:rsidP="00FE7802">
      <w:pPr>
        <w:jc w:val="both"/>
      </w:pPr>
      <w:r w:rsidRPr="00714AC4">
        <w:rPr>
          <w:b/>
        </w:rPr>
        <w:t>Hanna P. and Adams M., 2019</w:t>
      </w:r>
      <w:r>
        <w:t xml:space="preserve">. Positive self-representations, sustainability and socially organised denial in UK tourists: discursive barriers to a sustainable transport future. </w:t>
      </w:r>
      <w:r>
        <w:rPr>
          <w:i/>
        </w:rPr>
        <w:t>Journal of Sustainable Tourism</w:t>
      </w:r>
      <w:r>
        <w:t>. 27(2), pp.189-206.</w:t>
      </w:r>
    </w:p>
    <w:p w:rsidR="00FE7802" w:rsidRDefault="00FE7802" w:rsidP="00A67FFA">
      <w:pPr>
        <w:jc w:val="both"/>
      </w:pPr>
      <w:r w:rsidRPr="00D96E02">
        <w:rPr>
          <w:b/>
        </w:rPr>
        <w:t>Heath-Kelly C., 2017</w:t>
      </w:r>
      <w:r>
        <w:t xml:space="preserve">. The geography of pre-criminal space: Epidemiological imaginations of radicalisation risk in the UK Prevent Strategy, 2007-2017. </w:t>
      </w:r>
      <w:r w:rsidRPr="00D96E02">
        <w:rPr>
          <w:i/>
        </w:rPr>
        <w:t>Critical studies on terrorism</w:t>
      </w:r>
      <w:r>
        <w:t>, 10(2), pp.297-319.</w:t>
      </w:r>
    </w:p>
    <w:p w:rsidR="00FE7802" w:rsidRDefault="00FE7802" w:rsidP="00A67FFA">
      <w:pPr>
        <w:jc w:val="both"/>
      </w:pPr>
      <w:r w:rsidRPr="00D96E02">
        <w:rPr>
          <w:b/>
        </w:rPr>
        <w:t>May A. and Ross T., 2018</w:t>
      </w:r>
      <w:r>
        <w:t xml:space="preserve">. The design of civic technology: factors that influence public participation and impact. </w:t>
      </w:r>
      <w:r w:rsidRPr="00D96E02">
        <w:rPr>
          <w:i/>
        </w:rPr>
        <w:t>Ergonomics</w:t>
      </w:r>
      <w:r>
        <w:t>, 61(2), pp.214-225.</w:t>
      </w:r>
    </w:p>
    <w:p w:rsidR="00FE7802" w:rsidRDefault="00FE7802" w:rsidP="00A67FFA">
      <w:pPr>
        <w:jc w:val="both"/>
      </w:pPr>
      <w:r w:rsidRPr="00D96E02">
        <w:rPr>
          <w:b/>
        </w:rPr>
        <w:t>Redditchbc.gov.uk, 2021</w:t>
      </w:r>
      <w:r>
        <w:t>. Community engagement strategy. Available at:</w:t>
      </w:r>
    </w:p>
    <w:p w:rsidR="00FE7802" w:rsidRDefault="00FE7802" w:rsidP="00A67FFA">
      <w:pPr>
        <w:jc w:val="both"/>
      </w:pPr>
      <w:hyperlink r:id="rId10" w:history="1">
        <w:r w:rsidRPr="00983958">
          <w:rPr>
            <w:rStyle w:val="Hyperlink"/>
          </w:rPr>
          <w:t>https://redditchbc.gov.uk/council/policy-and-strategy/engagement-and-equalities/community-engagement-strategy.aspx</w:t>
        </w:r>
      </w:hyperlink>
      <w:r>
        <w:t>. [Accessed on 19</w:t>
      </w:r>
      <w:r w:rsidRPr="00FE7802">
        <w:rPr>
          <w:vertAlign w:val="superscript"/>
        </w:rPr>
        <w:t>th</w:t>
      </w:r>
      <w:r>
        <w:t xml:space="preserve"> April, 2021].</w:t>
      </w:r>
    </w:p>
    <w:p w:rsidR="00FE7802" w:rsidRDefault="00FE7802" w:rsidP="00A67FFA">
      <w:pPr>
        <w:jc w:val="both"/>
      </w:pPr>
      <w:r w:rsidRPr="00D96E02">
        <w:rPr>
          <w:b/>
        </w:rPr>
        <w:t>Simplypsychology.org, 2021</w:t>
      </w:r>
      <w:r>
        <w:t>. Kolb’s learning cycle. Available at:</w:t>
      </w:r>
    </w:p>
    <w:p w:rsidR="00FE7802" w:rsidRDefault="00FE7802" w:rsidP="00A67FFA">
      <w:pPr>
        <w:jc w:val="both"/>
      </w:pPr>
      <w:hyperlink r:id="rId11" w:history="1">
        <w:r w:rsidRPr="00983958">
          <w:rPr>
            <w:rStyle w:val="Hyperlink"/>
          </w:rPr>
          <w:t>https://www.simplypsychology.org/learning_styles</w:t>
        </w:r>
      </w:hyperlink>
      <w:r>
        <w:t>. [Accessed on 19</w:t>
      </w:r>
      <w:r w:rsidRPr="00FE7802">
        <w:rPr>
          <w:vertAlign w:val="superscript"/>
        </w:rPr>
        <w:t>th</w:t>
      </w:r>
      <w:r>
        <w:t xml:space="preserve"> April 2021].</w:t>
      </w:r>
    </w:p>
    <w:p w:rsidR="00FE7802" w:rsidRDefault="00FE7802" w:rsidP="00A67FFA">
      <w:pPr>
        <w:jc w:val="both"/>
      </w:pPr>
      <w:r w:rsidRPr="00D96E02">
        <w:rPr>
          <w:b/>
        </w:rPr>
        <w:t xml:space="preserve">Teo M.M. and </w:t>
      </w:r>
      <w:proofErr w:type="spellStart"/>
      <w:r w:rsidRPr="00D96E02">
        <w:rPr>
          <w:b/>
        </w:rPr>
        <w:t>Loosemore</w:t>
      </w:r>
      <w:proofErr w:type="spellEnd"/>
      <w:r w:rsidRPr="00D96E02">
        <w:rPr>
          <w:b/>
        </w:rPr>
        <w:t xml:space="preserve"> M., 2017</w:t>
      </w:r>
      <w:r>
        <w:t>. Understanding community protest from a project management per</w:t>
      </w:r>
      <w:r w:rsidR="009834FA">
        <w:t>s</w:t>
      </w:r>
      <w:bookmarkStart w:id="0" w:name="_GoBack"/>
      <w:bookmarkEnd w:id="0"/>
      <w:r>
        <w:t xml:space="preserve">pective: A relationship-based approach. </w:t>
      </w:r>
      <w:r w:rsidRPr="00D96E02">
        <w:rPr>
          <w:i/>
        </w:rPr>
        <w:t>International journal of project management</w:t>
      </w:r>
      <w:r>
        <w:t>, 35(8</w:t>
      </w:r>
      <w:r w:rsidR="00D96E02">
        <w:t>), pp.1444-1458.</w:t>
      </w:r>
    </w:p>
    <w:p w:rsidR="00D96E02" w:rsidRPr="002664F5" w:rsidRDefault="00D96E02" w:rsidP="00D96E02">
      <w:pPr>
        <w:jc w:val="both"/>
      </w:pPr>
      <w:r>
        <w:rPr>
          <w:b/>
        </w:rPr>
        <w:t>TfL.gov.uk, 2021</w:t>
      </w:r>
      <w:r>
        <w:t xml:space="preserve">. </w:t>
      </w:r>
      <w:r>
        <w:rPr>
          <w:i/>
        </w:rPr>
        <w:t>Transport for London</w:t>
      </w:r>
      <w:r>
        <w:t xml:space="preserve">. Available at: </w:t>
      </w:r>
      <w:hyperlink r:id="rId12" w:history="1">
        <w:r w:rsidRPr="00A82574">
          <w:rPr>
            <w:rStyle w:val="Hyperlink"/>
          </w:rPr>
          <w:t>https://tfl.gov.uk</w:t>
        </w:r>
      </w:hyperlink>
      <w:r>
        <w:t xml:space="preserve"> [Accessed 19</w:t>
      </w:r>
      <w:r w:rsidRPr="002664F5">
        <w:rPr>
          <w:vertAlign w:val="superscript"/>
        </w:rPr>
        <w:t>th</w:t>
      </w:r>
      <w:r>
        <w:t xml:space="preserve"> April, 2021].</w:t>
      </w:r>
    </w:p>
    <w:p w:rsidR="00693589" w:rsidRPr="0089634D" w:rsidRDefault="00D96E02" w:rsidP="00693589">
      <w:pPr>
        <w:jc w:val="both"/>
      </w:pPr>
      <w:r w:rsidRPr="00D96E02">
        <w:rPr>
          <w:b/>
        </w:rPr>
        <w:t>Wallace D., 2019</w:t>
      </w:r>
      <w:r>
        <w:t xml:space="preserve">. Parts of the Whole: Theories of pedagogy and Kolb’s learning cycle. </w:t>
      </w:r>
      <w:r w:rsidRPr="00D96E02">
        <w:rPr>
          <w:i/>
        </w:rPr>
        <w:t>Numeracy: Advancing Education in Quantitative Literacy</w:t>
      </w:r>
      <w:r>
        <w:t>, 12(1).</w:t>
      </w:r>
    </w:p>
    <w:sectPr w:rsidR="00693589" w:rsidRPr="0089634D" w:rsidSect="00A70BEE">
      <w:footerReference w:type="default" r:id="rId13"/>
      <w:pgSz w:w="11906" w:h="16838" w:code="9"/>
      <w:pgMar w:top="1440" w:right="1440" w:bottom="1440" w:left="1440"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59A" w:rsidRDefault="008E759A" w:rsidP="00A70BEE">
      <w:pPr>
        <w:spacing w:after="0" w:line="240" w:lineRule="auto"/>
      </w:pPr>
      <w:r>
        <w:separator/>
      </w:r>
    </w:p>
  </w:endnote>
  <w:endnote w:type="continuationSeparator" w:id="0">
    <w:p w:rsidR="008E759A" w:rsidRDefault="008E759A" w:rsidP="00A70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4368161"/>
      <w:docPartObj>
        <w:docPartGallery w:val="Page Numbers (Bottom of Page)"/>
        <w:docPartUnique/>
      </w:docPartObj>
    </w:sdtPr>
    <w:sdtEndPr>
      <w:rPr>
        <w:noProof/>
      </w:rPr>
    </w:sdtEndPr>
    <w:sdtContent>
      <w:p w:rsidR="00A70BEE" w:rsidRDefault="00A70B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70BEE" w:rsidRDefault="00A70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59A" w:rsidRDefault="008E759A" w:rsidP="00A70BEE">
      <w:pPr>
        <w:spacing w:after="0" w:line="240" w:lineRule="auto"/>
      </w:pPr>
      <w:r>
        <w:separator/>
      </w:r>
    </w:p>
  </w:footnote>
  <w:footnote w:type="continuationSeparator" w:id="0">
    <w:p w:rsidR="008E759A" w:rsidRDefault="008E759A" w:rsidP="00A70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94400"/>
    <w:multiLevelType w:val="hybridMultilevel"/>
    <w:tmpl w:val="78B4F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63A43"/>
    <w:multiLevelType w:val="hybridMultilevel"/>
    <w:tmpl w:val="FE28D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B71367"/>
    <w:multiLevelType w:val="hybridMultilevel"/>
    <w:tmpl w:val="0A747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EE"/>
    <w:rsid w:val="00001773"/>
    <w:rsid w:val="000350F5"/>
    <w:rsid w:val="00041434"/>
    <w:rsid w:val="001407C2"/>
    <w:rsid w:val="0015314F"/>
    <w:rsid w:val="001C5CD9"/>
    <w:rsid w:val="001E6AA2"/>
    <w:rsid w:val="00350ABE"/>
    <w:rsid w:val="00422C53"/>
    <w:rsid w:val="00466D29"/>
    <w:rsid w:val="004908AD"/>
    <w:rsid w:val="004D001A"/>
    <w:rsid w:val="004D7810"/>
    <w:rsid w:val="00663424"/>
    <w:rsid w:val="00693589"/>
    <w:rsid w:val="007C5207"/>
    <w:rsid w:val="00841083"/>
    <w:rsid w:val="00852F86"/>
    <w:rsid w:val="008828D7"/>
    <w:rsid w:val="0089634D"/>
    <w:rsid w:val="008B38D5"/>
    <w:rsid w:val="008D1B0D"/>
    <w:rsid w:val="008E27CF"/>
    <w:rsid w:val="008E759A"/>
    <w:rsid w:val="009834FA"/>
    <w:rsid w:val="00A67FFA"/>
    <w:rsid w:val="00A70BEE"/>
    <w:rsid w:val="00C2782E"/>
    <w:rsid w:val="00CA4EF0"/>
    <w:rsid w:val="00D96E02"/>
    <w:rsid w:val="00DC2BC9"/>
    <w:rsid w:val="00E041B3"/>
    <w:rsid w:val="00E65004"/>
    <w:rsid w:val="00EC2A01"/>
    <w:rsid w:val="00F70501"/>
    <w:rsid w:val="00F91016"/>
    <w:rsid w:val="00FA55DF"/>
    <w:rsid w:val="00FE7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4622D"/>
  <w15:chartTrackingRefBased/>
  <w15:docId w15:val="{E89CB27D-502C-460D-9F07-22440079E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0B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BEE"/>
  </w:style>
  <w:style w:type="paragraph" w:styleId="Footer">
    <w:name w:val="footer"/>
    <w:basedOn w:val="Normal"/>
    <w:link w:val="FooterChar"/>
    <w:uiPriority w:val="99"/>
    <w:unhideWhenUsed/>
    <w:rsid w:val="00A70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BEE"/>
  </w:style>
  <w:style w:type="paragraph" w:styleId="ListParagraph">
    <w:name w:val="List Paragraph"/>
    <w:basedOn w:val="Normal"/>
    <w:uiPriority w:val="34"/>
    <w:qFormat/>
    <w:rsid w:val="008828D7"/>
    <w:pPr>
      <w:ind w:left="720"/>
      <w:contextualSpacing/>
    </w:pPr>
  </w:style>
  <w:style w:type="character" w:styleId="Hyperlink">
    <w:name w:val="Hyperlink"/>
    <w:basedOn w:val="DefaultParagraphFont"/>
    <w:uiPriority w:val="99"/>
    <w:unhideWhenUsed/>
    <w:rsid w:val="00E65004"/>
    <w:rPr>
      <w:color w:val="0563C1" w:themeColor="hyperlink"/>
      <w:u w:val="single"/>
    </w:rPr>
  </w:style>
  <w:style w:type="character" w:styleId="UnresolvedMention">
    <w:name w:val="Unresolved Mention"/>
    <w:basedOn w:val="DefaultParagraphFont"/>
    <w:uiPriority w:val="99"/>
    <w:semiHidden/>
    <w:unhideWhenUsed/>
    <w:rsid w:val="00E650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tra.shu.ac.uk/ndc/downloads/general/community_engagement_NDC_programme.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fl.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learning_styl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edditchbc.gov.uk/council/policy-and-strategy/engagement-and-equalities/community-engagement-strategy.aspx" TargetMode="External"/><Relationship Id="rId4" Type="http://schemas.openxmlformats.org/officeDocument/2006/relationships/webSettings" Target="webSettings.xml"/><Relationship Id="rId9" Type="http://schemas.openxmlformats.org/officeDocument/2006/relationships/hyperlink" Target="https://www.groundwork.ork.uk/services/community-engagement-and-capacity-build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9</Pages>
  <Words>2607</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Stoica (1921732)</dc:creator>
  <cp:keywords/>
  <dc:description/>
  <cp:lastModifiedBy>Cristian Stoica (1921732)</cp:lastModifiedBy>
  <cp:revision>9</cp:revision>
  <dcterms:created xsi:type="dcterms:W3CDTF">2021-05-05T10:35:00Z</dcterms:created>
  <dcterms:modified xsi:type="dcterms:W3CDTF">2021-05-07T12:11:00Z</dcterms:modified>
</cp:coreProperties>
</file>