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B9602D" w14:textId="6528D9C9" w:rsidR="00DA1AF7" w:rsidRDefault="00E60E2A">
      <w:pPr>
        <w:spacing w:line="360" w:lineRule="auto"/>
        <w:ind w:right="-702"/>
        <w:jc w:val="center"/>
      </w:pPr>
      <w:r>
        <w:rPr>
          <w:b/>
          <w:bCs/>
          <w:noProof/>
          <w:color w:val="000000" w:themeColor="text1"/>
          <w:sz w:val="32"/>
          <w:szCs w:val="32"/>
        </w:rPr>
        <w:drawing>
          <wp:anchor distT="0" distB="0" distL="114300" distR="114300" simplePos="0" relativeHeight="251659264" behindDoc="0" locked="0" layoutInCell="1" allowOverlap="1" wp14:anchorId="3966D9C9" wp14:editId="6B37D31A">
            <wp:simplePos x="0" y="0"/>
            <wp:positionH relativeFrom="margin">
              <wp:align>center</wp:align>
            </wp:positionH>
            <wp:positionV relativeFrom="margin">
              <wp:posOffset>-118745</wp:posOffset>
            </wp:positionV>
            <wp:extent cx="4457700" cy="1266825"/>
            <wp:effectExtent l="0" t="0" r="0" b="9525"/>
            <wp:wrapSquare wrapText="bothSides"/>
            <wp:docPr id="21391309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105377" name="Picture 1561105377"/>
                    <pic:cNvPicPr/>
                  </pic:nvPicPr>
                  <pic:blipFill>
                    <a:blip r:embed="rId8">
                      <a:extLst>
                        <a:ext uri="{28A0092B-C50C-407E-A947-70E740481C1C}">
                          <a14:useLocalDpi xmlns:a14="http://schemas.microsoft.com/office/drawing/2010/main" val="0"/>
                        </a:ext>
                      </a:extLst>
                    </a:blip>
                    <a:stretch>
                      <a:fillRect/>
                    </a:stretch>
                  </pic:blipFill>
                  <pic:spPr>
                    <a:xfrm>
                      <a:off x="0" y="0"/>
                      <a:ext cx="4457700" cy="1266825"/>
                    </a:xfrm>
                    <a:prstGeom prst="rect">
                      <a:avLst/>
                    </a:prstGeom>
                  </pic:spPr>
                </pic:pic>
              </a:graphicData>
            </a:graphic>
          </wp:anchor>
        </w:drawing>
      </w:r>
    </w:p>
    <w:p w14:paraId="55B9602E" w14:textId="77777777" w:rsidR="00DA1AF7" w:rsidRDefault="00DA1AF7">
      <w:pPr>
        <w:spacing w:line="360" w:lineRule="auto"/>
        <w:jc w:val="center"/>
      </w:pPr>
    </w:p>
    <w:p w14:paraId="55B9602F" w14:textId="77777777" w:rsidR="00DA1AF7" w:rsidRDefault="00DA1AF7">
      <w:pPr>
        <w:spacing w:line="360" w:lineRule="auto"/>
        <w:jc w:val="center"/>
      </w:pPr>
    </w:p>
    <w:p w14:paraId="55B96030" w14:textId="18C553B4" w:rsidR="00DA1AF7" w:rsidRDefault="00DA1AF7">
      <w:pPr>
        <w:spacing w:after="160" w:line="278" w:lineRule="auto"/>
        <w:ind w:left="502" w:hanging="360"/>
        <w:jc w:val="center"/>
        <w:rPr>
          <w:color w:val="1F2328"/>
          <w:sz w:val="46"/>
          <w:szCs w:val="46"/>
        </w:rPr>
      </w:pPr>
      <w:bookmarkStart w:id="0" w:name="z5fmyk4nypw5" w:colFirst="0" w:colLast="0"/>
      <w:bookmarkEnd w:id="0"/>
    </w:p>
    <w:p w14:paraId="3050F0A8" w14:textId="77777777" w:rsidR="000D6466" w:rsidRDefault="000D6466">
      <w:pPr>
        <w:pStyle w:val="Heading1"/>
        <w:spacing w:before="480" w:after="120" w:line="278" w:lineRule="auto"/>
        <w:ind w:left="502" w:hanging="360"/>
        <w:jc w:val="center"/>
        <w:rPr>
          <w:rFonts w:ascii="Times New Roman" w:eastAsia="Times New Roman" w:hAnsi="Times New Roman" w:cs="Times New Roman"/>
          <w:b/>
          <w:bCs/>
          <w:color w:val="1F2328"/>
          <w:sz w:val="46"/>
          <w:szCs w:val="46"/>
        </w:rPr>
      </w:pPr>
      <w:bookmarkStart w:id="1" w:name="_vlgu2k9atny7" w:colFirst="0" w:colLast="0"/>
      <w:bookmarkEnd w:id="1"/>
    </w:p>
    <w:p w14:paraId="55B96031" w14:textId="1C3BA62F" w:rsidR="00DA1AF7" w:rsidRDefault="00684366">
      <w:pPr>
        <w:pStyle w:val="Heading1"/>
        <w:spacing w:before="480" w:after="120" w:line="278" w:lineRule="auto"/>
        <w:ind w:left="502" w:hanging="360"/>
        <w:jc w:val="center"/>
        <w:rPr>
          <w:rFonts w:ascii="Times New Roman" w:eastAsia="Times New Roman" w:hAnsi="Times New Roman" w:cs="Times New Roman"/>
          <w:b/>
          <w:bCs/>
          <w:color w:val="1F2328"/>
          <w:sz w:val="46"/>
          <w:szCs w:val="46"/>
        </w:rPr>
      </w:pPr>
      <w:r>
        <w:rPr>
          <w:rFonts w:ascii="Times New Roman" w:eastAsia="Times New Roman" w:hAnsi="Times New Roman" w:cs="Times New Roman"/>
          <w:b/>
          <w:bCs/>
          <w:color w:val="1F2328"/>
          <w:sz w:val="46"/>
          <w:szCs w:val="46"/>
        </w:rPr>
        <w:t>Master</w:t>
      </w:r>
      <w:r w:rsidR="000D6466">
        <w:rPr>
          <w:rFonts w:ascii="Times New Roman" w:eastAsia="Times New Roman" w:hAnsi="Times New Roman" w:cs="Times New Roman"/>
          <w:b/>
          <w:bCs/>
          <w:color w:val="1F2328"/>
          <w:sz w:val="46"/>
          <w:szCs w:val="46"/>
        </w:rPr>
        <w:t>’s</w:t>
      </w:r>
      <w:r>
        <w:rPr>
          <w:rFonts w:ascii="Times New Roman" w:eastAsia="Times New Roman" w:hAnsi="Times New Roman" w:cs="Times New Roman"/>
          <w:b/>
          <w:bCs/>
          <w:color w:val="1F2328"/>
          <w:sz w:val="46"/>
          <w:szCs w:val="46"/>
        </w:rPr>
        <w:t xml:space="preserve"> Project</w:t>
      </w:r>
    </w:p>
    <w:p w14:paraId="59A7094B" w14:textId="77777777" w:rsidR="000D6466" w:rsidRDefault="000D6466" w:rsidP="000D6466"/>
    <w:p w14:paraId="772FF9AE" w14:textId="77777777" w:rsidR="000D6466" w:rsidRDefault="000D6466" w:rsidP="000D6466"/>
    <w:p w14:paraId="0C695335" w14:textId="77777777" w:rsidR="000D6466" w:rsidRDefault="000D6466" w:rsidP="000D6466"/>
    <w:p w14:paraId="1BD2A582" w14:textId="77777777" w:rsidR="000D6466" w:rsidRDefault="000D6466">
      <w:bookmarkStart w:id="2" w:name="_f0zf5plg1n1v" w:colFirst="0" w:colLast="0"/>
      <w:bookmarkEnd w:id="2"/>
    </w:p>
    <w:p w14:paraId="5DE51F24" w14:textId="77777777" w:rsidR="00F31FCB" w:rsidRDefault="00684366">
      <w:pPr>
        <w:rPr>
          <w:sz w:val="36"/>
          <w:szCs w:val="36"/>
        </w:rPr>
      </w:pPr>
      <w:r w:rsidRPr="000D6466">
        <w:rPr>
          <w:b/>
          <w:bCs/>
          <w:sz w:val="36"/>
          <w:szCs w:val="36"/>
        </w:rPr>
        <w:t xml:space="preserve">Programme Name: </w:t>
      </w:r>
      <w:r w:rsidRPr="000D6466">
        <w:rPr>
          <w:sz w:val="36"/>
          <w:szCs w:val="36"/>
        </w:rPr>
        <w:t>MSc Cybersecurity &amp; Digital Forensics</w:t>
      </w:r>
    </w:p>
    <w:p w14:paraId="0EC99A01" w14:textId="77777777" w:rsidR="00F31FCB" w:rsidRDefault="00684366">
      <w:pPr>
        <w:rPr>
          <w:sz w:val="36"/>
          <w:szCs w:val="36"/>
        </w:rPr>
      </w:pPr>
      <w:r w:rsidRPr="000D6466">
        <w:rPr>
          <w:sz w:val="36"/>
          <w:szCs w:val="36"/>
        </w:rPr>
        <w:br/>
      </w:r>
      <w:r w:rsidRPr="000D6466">
        <w:rPr>
          <w:b/>
          <w:bCs/>
          <w:sz w:val="36"/>
          <w:szCs w:val="36"/>
        </w:rPr>
        <w:t xml:space="preserve">Module </w:t>
      </w:r>
      <w:proofErr w:type="gramStart"/>
      <w:r w:rsidRPr="000D6466">
        <w:rPr>
          <w:b/>
          <w:bCs/>
          <w:sz w:val="36"/>
          <w:szCs w:val="36"/>
        </w:rPr>
        <w:t>Name :</w:t>
      </w:r>
      <w:proofErr w:type="gramEnd"/>
      <w:r w:rsidRPr="000D6466">
        <w:rPr>
          <w:b/>
          <w:bCs/>
          <w:sz w:val="36"/>
          <w:szCs w:val="36"/>
        </w:rPr>
        <w:t xml:space="preserve"> </w:t>
      </w:r>
      <w:r w:rsidR="00660B14" w:rsidRPr="000D6466">
        <w:rPr>
          <w:sz w:val="36"/>
          <w:szCs w:val="36"/>
        </w:rPr>
        <w:t>Master’s Project</w:t>
      </w:r>
    </w:p>
    <w:p w14:paraId="320691E3" w14:textId="77777777" w:rsidR="00F31FCB" w:rsidRDefault="00684366">
      <w:pPr>
        <w:rPr>
          <w:color w:val="000000" w:themeColor="text1"/>
          <w:sz w:val="36"/>
          <w:szCs w:val="36"/>
        </w:rPr>
      </w:pPr>
      <w:r w:rsidRPr="000D6466">
        <w:rPr>
          <w:sz w:val="36"/>
          <w:szCs w:val="36"/>
        </w:rPr>
        <w:br/>
      </w:r>
      <w:r w:rsidRPr="000D6466">
        <w:rPr>
          <w:b/>
          <w:bCs/>
          <w:sz w:val="36"/>
          <w:szCs w:val="36"/>
        </w:rPr>
        <w:t>Module code:</w:t>
      </w:r>
      <w:r w:rsidR="00E60E2A" w:rsidRPr="000D6466">
        <w:rPr>
          <w:b/>
          <w:bCs/>
          <w:sz w:val="36"/>
          <w:szCs w:val="36"/>
        </w:rPr>
        <w:t xml:space="preserve"> </w:t>
      </w:r>
      <w:r w:rsidR="00660B14" w:rsidRPr="000D6466">
        <w:rPr>
          <w:color w:val="000000" w:themeColor="text1"/>
          <w:sz w:val="36"/>
          <w:szCs w:val="36"/>
        </w:rPr>
        <w:t>ACFA7003</w:t>
      </w:r>
    </w:p>
    <w:p w14:paraId="3F22A2B0" w14:textId="77777777" w:rsidR="00F31FCB" w:rsidRDefault="00684366">
      <w:pPr>
        <w:rPr>
          <w:sz w:val="36"/>
          <w:szCs w:val="36"/>
        </w:rPr>
      </w:pPr>
      <w:r w:rsidRPr="000D6466">
        <w:rPr>
          <w:sz w:val="36"/>
          <w:szCs w:val="36"/>
        </w:rPr>
        <w:br/>
      </w:r>
      <w:r w:rsidRPr="000D6466">
        <w:rPr>
          <w:b/>
          <w:bCs/>
          <w:sz w:val="36"/>
          <w:szCs w:val="36"/>
        </w:rPr>
        <w:t>Lecturer:</w:t>
      </w:r>
      <w:r w:rsidR="00FD751F" w:rsidRPr="000D6466">
        <w:rPr>
          <w:b/>
          <w:bCs/>
          <w:sz w:val="36"/>
          <w:szCs w:val="36"/>
        </w:rPr>
        <w:t xml:space="preserve"> </w:t>
      </w:r>
      <w:r w:rsidR="001D3E2F" w:rsidRPr="000D6466">
        <w:rPr>
          <w:sz w:val="36"/>
          <w:szCs w:val="36"/>
        </w:rPr>
        <w:t>Dr.</w:t>
      </w:r>
      <w:r w:rsidR="00BB32E5" w:rsidRPr="000D6466">
        <w:rPr>
          <w:sz w:val="36"/>
          <w:szCs w:val="36"/>
        </w:rPr>
        <w:t xml:space="preserve"> Fahad Ahmed</w:t>
      </w:r>
    </w:p>
    <w:p w14:paraId="4EE1D17D" w14:textId="77777777" w:rsidR="00F31FCB" w:rsidRDefault="00684366">
      <w:pPr>
        <w:rPr>
          <w:sz w:val="36"/>
          <w:szCs w:val="36"/>
        </w:rPr>
      </w:pPr>
      <w:r w:rsidRPr="000D6466">
        <w:rPr>
          <w:b/>
          <w:bCs/>
          <w:sz w:val="36"/>
          <w:szCs w:val="36"/>
        </w:rPr>
        <w:br/>
        <w:t xml:space="preserve">Student Name: </w:t>
      </w:r>
      <w:r w:rsidRPr="000D6466">
        <w:rPr>
          <w:sz w:val="36"/>
          <w:szCs w:val="36"/>
        </w:rPr>
        <w:t xml:space="preserve">Ishika </w:t>
      </w:r>
      <w:proofErr w:type="spellStart"/>
      <w:r w:rsidRPr="000D6466">
        <w:rPr>
          <w:sz w:val="36"/>
          <w:szCs w:val="36"/>
        </w:rPr>
        <w:t>Pravinbhai</w:t>
      </w:r>
      <w:proofErr w:type="spellEnd"/>
      <w:r w:rsidRPr="000D6466">
        <w:rPr>
          <w:sz w:val="36"/>
          <w:szCs w:val="36"/>
        </w:rPr>
        <w:t xml:space="preserve"> Shiyani</w:t>
      </w:r>
    </w:p>
    <w:p w14:paraId="55B96037" w14:textId="2EC8228A" w:rsidR="00DA1AF7" w:rsidRDefault="00684366">
      <w:pPr>
        <w:rPr>
          <w:color w:val="0F0F0F"/>
          <w:sz w:val="36"/>
          <w:szCs w:val="36"/>
        </w:rPr>
      </w:pPr>
      <w:r w:rsidRPr="000D6466">
        <w:rPr>
          <w:b/>
          <w:bCs/>
          <w:sz w:val="36"/>
          <w:szCs w:val="36"/>
        </w:rPr>
        <w:br/>
        <w:t xml:space="preserve">Student ID:  </w:t>
      </w:r>
      <w:r w:rsidRPr="000D6466">
        <w:rPr>
          <w:color w:val="0F0F0F"/>
          <w:sz w:val="36"/>
          <w:szCs w:val="36"/>
          <w:highlight w:val="white"/>
        </w:rPr>
        <w:t>2434330</w:t>
      </w:r>
    </w:p>
    <w:p w14:paraId="3A47CE6F" w14:textId="77777777" w:rsidR="00F31FCB" w:rsidRPr="000D6466" w:rsidRDefault="00F31FCB">
      <w:pPr>
        <w:rPr>
          <w:sz w:val="36"/>
          <w:szCs w:val="36"/>
        </w:rPr>
      </w:pPr>
    </w:p>
    <w:p w14:paraId="55B96038" w14:textId="56AC667F" w:rsidR="00DA1AF7" w:rsidRPr="000D6466" w:rsidRDefault="00684366">
      <w:pPr>
        <w:rPr>
          <w:b/>
          <w:bCs/>
          <w:sz w:val="36"/>
          <w:szCs w:val="36"/>
        </w:rPr>
      </w:pPr>
      <w:r w:rsidRPr="000D6466">
        <w:rPr>
          <w:b/>
          <w:bCs/>
          <w:color w:val="0F0F0F"/>
          <w:sz w:val="36"/>
          <w:szCs w:val="36"/>
          <w:highlight w:val="white"/>
        </w:rPr>
        <w:t xml:space="preserve">Topic: </w:t>
      </w:r>
      <w:r w:rsidRPr="000D6466">
        <w:rPr>
          <w:color w:val="0F0F0F"/>
          <w:sz w:val="36"/>
          <w:szCs w:val="36"/>
        </w:rPr>
        <w:t>A</w:t>
      </w:r>
      <w:r w:rsidR="000D6466" w:rsidRPr="000D6466">
        <w:rPr>
          <w:color w:val="0F0F0F"/>
          <w:sz w:val="36"/>
          <w:szCs w:val="36"/>
        </w:rPr>
        <w:t>pex</w:t>
      </w:r>
      <w:r w:rsidRPr="000D6466">
        <w:rPr>
          <w:color w:val="0F0F0F"/>
          <w:sz w:val="36"/>
          <w:szCs w:val="36"/>
        </w:rPr>
        <w:t xml:space="preserve">: </w:t>
      </w:r>
      <w:r w:rsidR="000D6466" w:rsidRPr="000D6466">
        <w:rPr>
          <w:sz w:val="36"/>
          <w:szCs w:val="36"/>
        </w:rPr>
        <w:t xml:space="preserve">Autonomous Privilege Escalation </w:t>
      </w:r>
      <w:proofErr w:type="spellStart"/>
      <w:r w:rsidR="000D6466" w:rsidRPr="000D6466">
        <w:rPr>
          <w:sz w:val="36"/>
          <w:szCs w:val="36"/>
        </w:rPr>
        <w:t>eXecutor</w:t>
      </w:r>
      <w:proofErr w:type="spellEnd"/>
    </w:p>
    <w:p w14:paraId="55B96039" w14:textId="77777777" w:rsidR="00DA1AF7" w:rsidRDefault="00DA1AF7">
      <w:pPr>
        <w:spacing w:before="120" w:line="360" w:lineRule="auto"/>
        <w:jc w:val="center"/>
      </w:pPr>
    </w:p>
    <w:p w14:paraId="55B9603A" w14:textId="77777777" w:rsidR="00DA1AF7" w:rsidRDefault="00684366">
      <w:pPr>
        <w:pageBreakBefore/>
        <w:spacing w:after="300" w:line="360" w:lineRule="auto"/>
        <w:jc w:val="center"/>
        <w:rPr>
          <w:b/>
          <w:bCs/>
          <w:sz w:val="32"/>
          <w:szCs w:val="32"/>
        </w:rPr>
      </w:pPr>
      <w:r>
        <w:rPr>
          <w:b/>
          <w:bCs/>
          <w:sz w:val="32"/>
          <w:szCs w:val="32"/>
        </w:rPr>
        <w:lastRenderedPageBreak/>
        <w:t>ABSTRACT</w:t>
      </w:r>
    </w:p>
    <w:p w14:paraId="55B9603B" w14:textId="77777777" w:rsidR="00DA1AF7" w:rsidRDefault="00684366">
      <w:pPr>
        <w:spacing w:after="200" w:line="360" w:lineRule="auto"/>
        <w:jc w:val="both"/>
      </w:pPr>
      <w:r>
        <w:t xml:space="preserve">Linux privilege-escalation assessment relies on well-known enumeration checks, but turning many findings into a sound next step still depends on tester experience. This project introduces APEX (Autonomous Privilege Escalation </w:t>
      </w:r>
      <w:proofErr w:type="spellStart"/>
      <w:r>
        <w:t>eXecutor</w:t>
      </w:r>
      <w:proofErr w:type="spellEnd"/>
      <w:r>
        <w:t>), which treats escalation as a structured pipeline, evidence collection, prerequisite analysis, weighted prioritisation, controlled execution and verification, rather than a script that prints enumeration output for a human to interpret. It is implemented twice, a Python command-line tool for the attacking host and a dependency-free Bash bundle for the target, around one rule set. The decision engine scores candidates on prerequisite completeness, evidence confidence, expected reliability, dependen</w:t>
      </w:r>
      <w:r>
        <w:t xml:space="preserve">cy count and operational risk, and only well-supported candidates reach controlled execution and independent verification. A case study against an authorised lab target ran the full pipeline end-to-end, distinguishing failed automated attempts from a subsequent, independently verified escalation via a credential-exposure and </w:t>
      </w:r>
      <w:proofErr w:type="spellStart"/>
      <w:r>
        <w:t>sudo</w:t>
      </w:r>
      <w:proofErr w:type="spellEnd"/>
      <w:r>
        <w:t>/</w:t>
      </w:r>
      <w:proofErr w:type="spellStart"/>
      <w:r>
        <w:t>GTFOBins</w:t>
      </w:r>
      <w:proofErr w:type="spellEnd"/>
      <w:r>
        <w:t xml:space="preserve"> chain across two accounts. A systematic multi-scenario evaluation of generalisability and comparative performance was not feasible in the timeline and is the immediate fut</w:t>
      </w:r>
      <w:r>
        <w:t>ure work, with rule-base extension and learning-based ranking.</w:t>
      </w:r>
    </w:p>
    <w:p w14:paraId="55B9603C" w14:textId="77777777" w:rsidR="00DA1AF7" w:rsidRDefault="00684366">
      <w:pPr>
        <w:pageBreakBefore/>
        <w:spacing w:after="300" w:line="360" w:lineRule="auto"/>
        <w:jc w:val="center"/>
        <w:rPr>
          <w:b/>
          <w:bCs/>
          <w:sz w:val="32"/>
          <w:szCs w:val="32"/>
        </w:rPr>
      </w:pPr>
      <w:r>
        <w:rPr>
          <w:b/>
          <w:bCs/>
          <w:sz w:val="32"/>
          <w:szCs w:val="32"/>
        </w:rPr>
        <w:lastRenderedPageBreak/>
        <w:t>ACKNOWLEDGEMENT</w:t>
      </w:r>
    </w:p>
    <w:p w14:paraId="55B9603D" w14:textId="74072773" w:rsidR="00DA1AF7" w:rsidRDefault="00684366">
      <w:pPr>
        <w:spacing w:after="200" w:line="360" w:lineRule="auto"/>
        <w:jc w:val="both"/>
      </w:pPr>
      <w:r>
        <w:t xml:space="preserve">I thank my project supervisor, </w:t>
      </w:r>
      <w:r w:rsidR="00F31FCB">
        <w:t xml:space="preserve">Dr. </w:t>
      </w:r>
      <w:r>
        <w:t>Fahad Ahmed, for his direction, input and assistance throughout this project. I also thank the faculty and staff at the University of Wales Trinity Saint David for the resources and environment that made this work possible, and my family and friends for their patience and encouragement.</w:t>
      </w:r>
    </w:p>
    <w:p w14:paraId="55B9603E" w14:textId="77777777" w:rsidR="00DA1AF7" w:rsidRDefault="00684366">
      <w:pPr>
        <w:pageBreakBefore/>
        <w:spacing w:after="300" w:line="360" w:lineRule="auto"/>
        <w:jc w:val="center"/>
        <w:rPr>
          <w:b/>
          <w:bCs/>
          <w:sz w:val="32"/>
          <w:szCs w:val="32"/>
        </w:rPr>
      </w:pPr>
      <w:r>
        <w:rPr>
          <w:b/>
          <w:bCs/>
          <w:sz w:val="32"/>
          <w:szCs w:val="32"/>
        </w:rPr>
        <w:lastRenderedPageBreak/>
        <w:t>Table of Contents</w:t>
      </w:r>
    </w:p>
    <w:sdt>
      <w:sdtPr>
        <w:id w:val="-138575703"/>
        <w:docPartObj>
          <w:docPartGallery w:val="Table of Contents"/>
          <w:docPartUnique/>
        </w:docPartObj>
      </w:sdtPr>
      <w:sdtEndPr/>
      <w:sdtContent>
        <w:p w14:paraId="55B9603F" w14:textId="77777777" w:rsidR="00DA1AF7" w:rsidRDefault="00684366">
          <w:pPr>
            <w:widowControl w:val="0"/>
            <w:tabs>
              <w:tab w:val="right" w:pos="12000"/>
            </w:tabs>
            <w:spacing w:before="60"/>
            <w:rPr>
              <w:b/>
              <w:bCs/>
              <w:color w:val="000000"/>
              <w:sz w:val="22"/>
              <w:szCs w:val="22"/>
            </w:rPr>
          </w:pPr>
          <w:r>
            <w:fldChar w:fldCharType="begin"/>
          </w:r>
          <w:r>
            <w:instrText xml:space="preserve"> TOC \h \u \z \t "Heading 1,1,Heading 2,2,"</w:instrText>
          </w:r>
          <w:r>
            <w:fldChar w:fldCharType="separate"/>
          </w:r>
          <w:r>
            <w:rPr>
              <w:b/>
              <w:bCs/>
              <w:color w:val="000000"/>
              <w:sz w:val="22"/>
              <w:szCs w:val="22"/>
            </w:rPr>
            <w:t>CHAPTER 1: INTRODUCTION</w:t>
          </w:r>
          <w:r>
            <w:rPr>
              <w:b/>
              <w:bCs/>
              <w:color w:val="000000"/>
              <w:sz w:val="22"/>
              <w:szCs w:val="22"/>
            </w:rPr>
            <w:tab/>
            <w:t>8</w:t>
          </w:r>
        </w:p>
        <w:p w14:paraId="55B96040" w14:textId="77777777" w:rsidR="00DA1AF7" w:rsidRDefault="00684366">
          <w:pPr>
            <w:widowControl w:val="0"/>
            <w:tabs>
              <w:tab w:val="right" w:pos="12000"/>
            </w:tabs>
            <w:spacing w:before="60"/>
            <w:ind w:left="360"/>
            <w:rPr>
              <w:color w:val="000000"/>
              <w:sz w:val="22"/>
              <w:szCs w:val="22"/>
            </w:rPr>
          </w:pPr>
          <w:r>
            <w:rPr>
              <w:color w:val="000000"/>
              <w:sz w:val="22"/>
              <w:szCs w:val="22"/>
            </w:rPr>
            <w:t>1.1 Problem Statement</w:t>
          </w:r>
          <w:r>
            <w:rPr>
              <w:color w:val="000000"/>
              <w:sz w:val="22"/>
              <w:szCs w:val="22"/>
            </w:rPr>
            <w:tab/>
            <w:t>8</w:t>
          </w:r>
        </w:p>
        <w:p w14:paraId="55B96041" w14:textId="77777777" w:rsidR="00DA1AF7" w:rsidRDefault="00684366">
          <w:pPr>
            <w:widowControl w:val="0"/>
            <w:tabs>
              <w:tab w:val="right" w:pos="12000"/>
            </w:tabs>
            <w:spacing w:before="60"/>
            <w:ind w:left="360"/>
            <w:rPr>
              <w:color w:val="000000"/>
              <w:sz w:val="22"/>
              <w:szCs w:val="22"/>
            </w:rPr>
          </w:pPr>
          <w:r>
            <w:rPr>
              <w:color w:val="000000"/>
              <w:sz w:val="22"/>
              <w:szCs w:val="22"/>
            </w:rPr>
            <w:t>1.2 Research Gap</w:t>
          </w:r>
          <w:r>
            <w:rPr>
              <w:color w:val="000000"/>
              <w:sz w:val="22"/>
              <w:szCs w:val="22"/>
            </w:rPr>
            <w:tab/>
            <w:t>9</w:t>
          </w:r>
        </w:p>
        <w:p w14:paraId="55B96042" w14:textId="77777777" w:rsidR="00DA1AF7" w:rsidRDefault="00684366">
          <w:pPr>
            <w:widowControl w:val="0"/>
            <w:tabs>
              <w:tab w:val="right" w:pos="12000"/>
            </w:tabs>
            <w:spacing w:before="60"/>
            <w:ind w:left="360"/>
            <w:rPr>
              <w:color w:val="000000"/>
              <w:sz w:val="22"/>
              <w:szCs w:val="22"/>
            </w:rPr>
          </w:pPr>
          <w:r>
            <w:rPr>
              <w:color w:val="000000"/>
              <w:sz w:val="22"/>
              <w:szCs w:val="22"/>
            </w:rPr>
            <w:t>1.3 Research Questions</w:t>
          </w:r>
          <w:r>
            <w:rPr>
              <w:color w:val="000000"/>
              <w:sz w:val="22"/>
              <w:szCs w:val="22"/>
            </w:rPr>
            <w:tab/>
            <w:t>10</w:t>
          </w:r>
        </w:p>
        <w:p w14:paraId="55B96043" w14:textId="77777777" w:rsidR="00DA1AF7" w:rsidRDefault="00684366">
          <w:pPr>
            <w:widowControl w:val="0"/>
            <w:tabs>
              <w:tab w:val="right" w:pos="12000"/>
            </w:tabs>
            <w:spacing w:before="60"/>
            <w:ind w:left="360"/>
            <w:rPr>
              <w:color w:val="000000"/>
              <w:sz w:val="22"/>
              <w:szCs w:val="22"/>
            </w:rPr>
          </w:pPr>
          <w:r>
            <w:rPr>
              <w:color w:val="000000"/>
              <w:sz w:val="22"/>
              <w:szCs w:val="22"/>
            </w:rPr>
            <w:t>1.4 Aims and Objectives</w:t>
          </w:r>
          <w:r>
            <w:rPr>
              <w:color w:val="000000"/>
              <w:sz w:val="22"/>
              <w:szCs w:val="22"/>
            </w:rPr>
            <w:tab/>
            <w:t>10</w:t>
          </w:r>
        </w:p>
        <w:p w14:paraId="55B96044" w14:textId="77777777" w:rsidR="00DA1AF7" w:rsidRDefault="00684366">
          <w:pPr>
            <w:widowControl w:val="0"/>
            <w:tabs>
              <w:tab w:val="right" w:pos="12000"/>
            </w:tabs>
            <w:spacing w:before="60"/>
            <w:ind w:left="360"/>
            <w:rPr>
              <w:color w:val="000000"/>
              <w:sz w:val="22"/>
              <w:szCs w:val="22"/>
            </w:rPr>
          </w:pPr>
          <w:r>
            <w:rPr>
              <w:color w:val="000000"/>
              <w:sz w:val="22"/>
              <w:szCs w:val="22"/>
            </w:rPr>
            <w:t>1.5 Scope and Limitations</w:t>
          </w:r>
          <w:r>
            <w:rPr>
              <w:color w:val="000000"/>
              <w:sz w:val="22"/>
              <w:szCs w:val="22"/>
            </w:rPr>
            <w:tab/>
            <w:t>11</w:t>
          </w:r>
        </w:p>
        <w:p w14:paraId="55B96045" w14:textId="77777777" w:rsidR="00DA1AF7" w:rsidRDefault="00684366">
          <w:pPr>
            <w:widowControl w:val="0"/>
            <w:tabs>
              <w:tab w:val="right" w:pos="12000"/>
            </w:tabs>
            <w:spacing w:before="60"/>
            <w:ind w:left="360"/>
            <w:rPr>
              <w:color w:val="000000"/>
              <w:sz w:val="22"/>
              <w:szCs w:val="22"/>
            </w:rPr>
          </w:pPr>
          <w:r>
            <w:rPr>
              <w:color w:val="000000"/>
              <w:sz w:val="22"/>
              <w:szCs w:val="22"/>
            </w:rPr>
            <w:t>1.6 Structure of the Report</w:t>
          </w:r>
          <w:r>
            <w:rPr>
              <w:color w:val="000000"/>
              <w:sz w:val="22"/>
              <w:szCs w:val="22"/>
            </w:rPr>
            <w:tab/>
            <w:t>11</w:t>
          </w:r>
        </w:p>
        <w:p w14:paraId="55B96046" w14:textId="77777777" w:rsidR="00DA1AF7" w:rsidRDefault="00684366">
          <w:pPr>
            <w:widowControl w:val="0"/>
            <w:tabs>
              <w:tab w:val="right" w:pos="12000"/>
            </w:tabs>
            <w:spacing w:before="60"/>
            <w:rPr>
              <w:b/>
              <w:bCs/>
              <w:color w:val="000000"/>
              <w:sz w:val="22"/>
              <w:szCs w:val="22"/>
            </w:rPr>
          </w:pPr>
          <w:r>
            <w:rPr>
              <w:b/>
              <w:bCs/>
              <w:color w:val="000000"/>
              <w:sz w:val="22"/>
              <w:szCs w:val="22"/>
            </w:rPr>
            <w:t>CHAPTER 2: LITERATURE REVIEW</w:t>
          </w:r>
          <w:r>
            <w:rPr>
              <w:b/>
              <w:bCs/>
              <w:color w:val="000000"/>
              <w:sz w:val="22"/>
              <w:szCs w:val="22"/>
            </w:rPr>
            <w:tab/>
            <w:t>13</w:t>
          </w:r>
        </w:p>
        <w:p w14:paraId="55B96047" w14:textId="77777777" w:rsidR="00DA1AF7" w:rsidRDefault="00684366">
          <w:pPr>
            <w:widowControl w:val="0"/>
            <w:tabs>
              <w:tab w:val="right" w:pos="12000"/>
            </w:tabs>
            <w:spacing w:before="60"/>
            <w:ind w:left="360"/>
            <w:rPr>
              <w:color w:val="000000"/>
              <w:sz w:val="22"/>
              <w:szCs w:val="22"/>
            </w:rPr>
          </w:pPr>
          <w:r>
            <w:rPr>
              <w:color w:val="000000"/>
              <w:sz w:val="22"/>
              <w:szCs w:val="22"/>
            </w:rPr>
            <w:t>2.1 Linux Privilege Escalation and Enumeration</w:t>
          </w:r>
          <w:r>
            <w:rPr>
              <w:color w:val="000000"/>
              <w:sz w:val="22"/>
              <w:szCs w:val="22"/>
            </w:rPr>
            <w:tab/>
            <w:t>13</w:t>
          </w:r>
        </w:p>
        <w:p w14:paraId="55B96048" w14:textId="77777777" w:rsidR="00DA1AF7" w:rsidRDefault="00684366">
          <w:pPr>
            <w:widowControl w:val="0"/>
            <w:tabs>
              <w:tab w:val="right" w:pos="12000"/>
            </w:tabs>
            <w:spacing w:before="60"/>
            <w:ind w:left="360"/>
            <w:rPr>
              <w:color w:val="000000"/>
              <w:sz w:val="22"/>
              <w:szCs w:val="22"/>
            </w:rPr>
          </w:pPr>
          <w:r>
            <w:rPr>
              <w:color w:val="000000"/>
              <w:sz w:val="22"/>
              <w:szCs w:val="22"/>
            </w:rPr>
            <w:t>2.2 Vulnerability Assessment and Security Testing Frameworks</w:t>
          </w:r>
          <w:r>
            <w:rPr>
              <w:color w:val="000000"/>
              <w:sz w:val="22"/>
              <w:szCs w:val="22"/>
            </w:rPr>
            <w:tab/>
            <w:t>14</w:t>
          </w:r>
        </w:p>
        <w:p w14:paraId="55B96049" w14:textId="77777777" w:rsidR="00DA1AF7" w:rsidRDefault="00684366">
          <w:pPr>
            <w:widowControl w:val="0"/>
            <w:tabs>
              <w:tab w:val="right" w:pos="12000"/>
            </w:tabs>
            <w:spacing w:before="60"/>
            <w:ind w:left="360"/>
            <w:rPr>
              <w:color w:val="000000"/>
              <w:sz w:val="22"/>
              <w:szCs w:val="22"/>
            </w:rPr>
          </w:pPr>
          <w:r>
            <w:rPr>
              <w:color w:val="000000"/>
              <w:sz w:val="22"/>
              <w:szCs w:val="22"/>
            </w:rPr>
            <w:t>2.3 Automated and Autonomous Security Testing</w:t>
          </w:r>
          <w:r>
            <w:rPr>
              <w:color w:val="000000"/>
              <w:sz w:val="22"/>
              <w:szCs w:val="22"/>
            </w:rPr>
            <w:tab/>
            <w:t>15</w:t>
          </w:r>
        </w:p>
        <w:p w14:paraId="55B9604A" w14:textId="77777777" w:rsidR="00DA1AF7" w:rsidRDefault="00684366">
          <w:pPr>
            <w:widowControl w:val="0"/>
            <w:tabs>
              <w:tab w:val="right" w:pos="12000"/>
            </w:tabs>
            <w:spacing w:before="60"/>
            <w:ind w:left="360"/>
            <w:rPr>
              <w:color w:val="000000"/>
              <w:sz w:val="22"/>
              <w:szCs w:val="22"/>
            </w:rPr>
          </w:pPr>
          <w:r>
            <w:rPr>
              <w:color w:val="000000"/>
              <w:sz w:val="22"/>
              <w:szCs w:val="22"/>
            </w:rPr>
            <w:t>2.4 Decision-Making, Prioritisation and Verification</w:t>
          </w:r>
          <w:r>
            <w:rPr>
              <w:color w:val="000000"/>
              <w:sz w:val="22"/>
              <w:szCs w:val="22"/>
            </w:rPr>
            <w:tab/>
            <w:t>17</w:t>
          </w:r>
        </w:p>
        <w:p w14:paraId="55B9604B" w14:textId="77777777" w:rsidR="00DA1AF7" w:rsidRDefault="00684366">
          <w:pPr>
            <w:widowControl w:val="0"/>
            <w:tabs>
              <w:tab w:val="right" w:pos="12000"/>
            </w:tabs>
            <w:spacing w:before="60"/>
            <w:ind w:left="360"/>
            <w:rPr>
              <w:color w:val="000000"/>
              <w:sz w:val="22"/>
              <w:szCs w:val="22"/>
            </w:rPr>
          </w:pPr>
          <w:r>
            <w:rPr>
              <w:color w:val="000000"/>
              <w:sz w:val="22"/>
              <w:szCs w:val="22"/>
            </w:rPr>
            <w:t>2.5 Reporting and Reproducibility</w:t>
          </w:r>
          <w:r>
            <w:rPr>
              <w:color w:val="000000"/>
              <w:sz w:val="22"/>
              <w:szCs w:val="22"/>
            </w:rPr>
            <w:tab/>
            <w:t>18</w:t>
          </w:r>
        </w:p>
        <w:p w14:paraId="55B9604C" w14:textId="77777777" w:rsidR="00DA1AF7" w:rsidRDefault="00684366">
          <w:pPr>
            <w:widowControl w:val="0"/>
            <w:tabs>
              <w:tab w:val="right" w:pos="12000"/>
            </w:tabs>
            <w:spacing w:before="60"/>
            <w:ind w:left="360"/>
            <w:rPr>
              <w:color w:val="000000"/>
              <w:sz w:val="22"/>
              <w:szCs w:val="22"/>
            </w:rPr>
          </w:pPr>
          <w:r>
            <w:rPr>
              <w:color w:val="000000"/>
              <w:sz w:val="22"/>
              <w:szCs w:val="22"/>
            </w:rPr>
            <w:t>2.6 Literature Review Summary</w:t>
          </w:r>
          <w:r>
            <w:rPr>
              <w:color w:val="000000"/>
              <w:sz w:val="22"/>
              <w:szCs w:val="22"/>
            </w:rPr>
            <w:tab/>
            <w:t>19</w:t>
          </w:r>
        </w:p>
        <w:p w14:paraId="55B9604D" w14:textId="77777777" w:rsidR="00DA1AF7" w:rsidRDefault="00684366">
          <w:pPr>
            <w:widowControl w:val="0"/>
            <w:tabs>
              <w:tab w:val="right" w:pos="12000"/>
            </w:tabs>
            <w:spacing w:before="60"/>
            <w:ind w:left="360"/>
            <w:rPr>
              <w:color w:val="000000"/>
              <w:sz w:val="22"/>
              <w:szCs w:val="22"/>
            </w:rPr>
          </w:pPr>
          <w:r>
            <w:rPr>
              <w:color w:val="000000"/>
              <w:sz w:val="22"/>
              <w:szCs w:val="22"/>
            </w:rPr>
            <w:t>2.7 Summary of the Gap</w:t>
          </w:r>
          <w:r>
            <w:rPr>
              <w:color w:val="000000"/>
              <w:sz w:val="22"/>
              <w:szCs w:val="22"/>
            </w:rPr>
            <w:tab/>
            <w:t>19</w:t>
          </w:r>
        </w:p>
        <w:p w14:paraId="55B9604E" w14:textId="77777777" w:rsidR="00DA1AF7" w:rsidRDefault="00684366">
          <w:pPr>
            <w:widowControl w:val="0"/>
            <w:tabs>
              <w:tab w:val="right" w:pos="12000"/>
            </w:tabs>
            <w:spacing w:before="60"/>
            <w:ind w:left="360"/>
            <w:rPr>
              <w:color w:val="000000"/>
              <w:sz w:val="22"/>
              <w:szCs w:val="22"/>
            </w:rPr>
          </w:pPr>
          <w:r>
            <w:rPr>
              <w:color w:val="000000"/>
              <w:sz w:val="22"/>
              <w:szCs w:val="22"/>
            </w:rPr>
            <w:t>2.8 Ethical and Legal Considerations in Automated Exploitation</w:t>
          </w:r>
          <w:r>
            <w:rPr>
              <w:color w:val="000000"/>
              <w:sz w:val="22"/>
              <w:szCs w:val="22"/>
            </w:rPr>
            <w:tab/>
            <w:t>20</w:t>
          </w:r>
        </w:p>
        <w:p w14:paraId="55B9604F" w14:textId="77777777" w:rsidR="00DA1AF7" w:rsidRDefault="00684366">
          <w:pPr>
            <w:widowControl w:val="0"/>
            <w:tabs>
              <w:tab w:val="right" w:pos="12000"/>
            </w:tabs>
            <w:spacing w:before="60"/>
            <w:rPr>
              <w:b/>
              <w:bCs/>
              <w:color w:val="000000"/>
              <w:sz w:val="22"/>
              <w:szCs w:val="22"/>
            </w:rPr>
          </w:pPr>
          <w:r>
            <w:rPr>
              <w:b/>
              <w:bCs/>
              <w:color w:val="000000"/>
              <w:sz w:val="22"/>
              <w:szCs w:val="22"/>
            </w:rPr>
            <w:t>CHAPTER 3: METHODOLOGY</w:t>
          </w:r>
          <w:r>
            <w:rPr>
              <w:b/>
              <w:bCs/>
              <w:color w:val="000000"/>
              <w:sz w:val="22"/>
              <w:szCs w:val="22"/>
            </w:rPr>
            <w:tab/>
            <w:t>22</w:t>
          </w:r>
        </w:p>
        <w:p w14:paraId="55B96050" w14:textId="77777777" w:rsidR="00DA1AF7" w:rsidRDefault="00684366">
          <w:pPr>
            <w:widowControl w:val="0"/>
            <w:tabs>
              <w:tab w:val="right" w:pos="12000"/>
            </w:tabs>
            <w:spacing w:before="60"/>
            <w:ind w:left="360"/>
            <w:rPr>
              <w:color w:val="000000"/>
              <w:sz w:val="22"/>
              <w:szCs w:val="22"/>
            </w:rPr>
          </w:pPr>
          <w:r>
            <w:rPr>
              <w:color w:val="000000"/>
              <w:sz w:val="22"/>
              <w:szCs w:val="22"/>
            </w:rPr>
            <w:t>3.1 Research Design</w:t>
          </w:r>
          <w:r>
            <w:rPr>
              <w:color w:val="000000"/>
              <w:sz w:val="22"/>
              <w:szCs w:val="22"/>
            </w:rPr>
            <w:tab/>
            <w:t>22</w:t>
          </w:r>
        </w:p>
        <w:p w14:paraId="55B96051" w14:textId="77777777" w:rsidR="00DA1AF7" w:rsidRDefault="00684366">
          <w:pPr>
            <w:widowControl w:val="0"/>
            <w:tabs>
              <w:tab w:val="right" w:pos="12000"/>
            </w:tabs>
            <w:spacing w:before="60"/>
            <w:ind w:left="360"/>
            <w:rPr>
              <w:color w:val="000000"/>
              <w:sz w:val="22"/>
              <w:szCs w:val="22"/>
            </w:rPr>
          </w:pPr>
          <w:r>
            <w:rPr>
              <w:color w:val="000000"/>
              <w:sz w:val="22"/>
              <w:szCs w:val="22"/>
            </w:rPr>
            <w:t>3.2 Enumeration and Evidence Collection</w:t>
          </w:r>
          <w:r>
            <w:rPr>
              <w:color w:val="000000"/>
              <w:sz w:val="22"/>
              <w:szCs w:val="22"/>
            </w:rPr>
            <w:tab/>
            <w:t>22</w:t>
          </w:r>
        </w:p>
        <w:p w14:paraId="55B96052" w14:textId="77777777" w:rsidR="00DA1AF7" w:rsidRDefault="00684366">
          <w:pPr>
            <w:widowControl w:val="0"/>
            <w:tabs>
              <w:tab w:val="right" w:pos="12000"/>
            </w:tabs>
            <w:spacing w:before="60"/>
            <w:ind w:left="360"/>
            <w:rPr>
              <w:color w:val="000000"/>
              <w:sz w:val="22"/>
              <w:szCs w:val="22"/>
            </w:rPr>
          </w:pPr>
          <w:r>
            <w:rPr>
              <w:color w:val="000000"/>
              <w:sz w:val="22"/>
              <w:szCs w:val="22"/>
            </w:rPr>
            <w:t>3.3 Normalisation and Analysis</w:t>
          </w:r>
          <w:r>
            <w:rPr>
              <w:color w:val="000000"/>
              <w:sz w:val="22"/>
              <w:szCs w:val="22"/>
            </w:rPr>
            <w:tab/>
            <w:t>23</w:t>
          </w:r>
        </w:p>
        <w:p w14:paraId="55B96053" w14:textId="77777777" w:rsidR="00DA1AF7" w:rsidRDefault="00684366">
          <w:pPr>
            <w:widowControl w:val="0"/>
            <w:tabs>
              <w:tab w:val="right" w:pos="12000"/>
            </w:tabs>
            <w:spacing w:before="60"/>
            <w:ind w:left="360"/>
            <w:rPr>
              <w:color w:val="000000"/>
              <w:sz w:val="22"/>
              <w:szCs w:val="22"/>
            </w:rPr>
          </w:pPr>
          <w:r>
            <w:rPr>
              <w:color w:val="000000"/>
              <w:sz w:val="22"/>
              <w:szCs w:val="22"/>
            </w:rPr>
            <w:t>3.4 Scoring and Prioritisation</w:t>
          </w:r>
          <w:r>
            <w:rPr>
              <w:color w:val="000000"/>
              <w:sz w:val="22"/>
              <w:szCs w:val="22"/>
            </w:rPr>
            <w:tab/>
            <w:t>24</w:t>
          </w:r>
        </w:p>
        <w:p w14:paraId="55B96054" w14:textId="77777777" w:rsidR="00DA1AF7" w:rsidRDefault="00684366">
          <w:pPr>
            <w:widowControl w:val="0"/>
            <w:tabs>
              <w:tab w:val="right" w:pos="12000"/>
            </w:tabs>
            <w:spacing w:before="60"/>
            <w:ind w:left="360"/>
            <w:rPr>
              <w:color w:val="000000"/>
              <w:sz w:val="22"/>
              <w:szCs w:val="22"/>
            </w:rPr>
          </w:pPr>
          <w:r>
            <w:rPr>
              <w:color w:val="000000"/>
              <w:sz w:val="22"/>
              <w:szCs w:val="22"/>
            </w:rPr>
            <w:t>3.5 Controlled Execution and Verification</w:t>
          </w:r>
          <w:r>
            <w:rPr>
              <w:color w:val="000000"/>
              <w:sz w:val="22"/>
              <w:szCs w:val="22"/>
            </w:rPr>
            <w:tab/>
            <w:t>25</w:t>
          </w:r>
        </w:p>
        <w:p w14:paraId="55B96055" w14:textId="77777777" w:rsidR="00DA1AF7" w:rsidRDefault="00684366">
          <w:pPr>
            <w:widowControl w:val="0"/>
            <w:tabs>
              <w:tab w:val="right" w:pos="12000"/>
            </w:tabs>
            <w:spacing w:before="60"/>
            <w:ind w:left="360"/>
            <w:rPr>
              <w:color w:val="000000"/>
              <w:sz w:val="22"/>
              <w:szCs w:val="22"/>
            </w:rPr>
          </w:pPr>
          <w:r>
            <w:rPr>
              <w:color w:val="000000"/>
              <w:sz w:val="22"/>
              <w:szCs w:val="22"/>
            </w:rPr>
            <w:t>3.6 Evaluation</w:t>
          </w:r>
          <w:r>
            <w:rPr>
              <w:color w:val="000000"/>
              <w:sz w:val="22"/>
              <w:szCs w:val="22"/>
            </w:rPr>
            <w:tab/>
            <w:t>25</w:t>
          </w:r>
        </w:p>
        <w:p w14:paraId="55B96056" w14:textId="77777777" w:rsidR="00DA1AF7" w:rsidRDefault="00684366">
          <w:pPr>
            <w:widowControl w:val="0"/>
            <w:tabs>
              <w:tab w:val="right" w:pos="12000"/>
            </w:tabs>
            <w:spacing w:before="60"/>
            <w:ind w:left="360"/>
            <w:rPr>
              <w:color w:val="000000"/>
              <w:sz w:val="22"/>
              <w:szCs w:val="22"/>
            </w:rPr>
          </w:pPr>
          <w:r>
            <w:rPr>
              <w:color w:val="000000"/>
              <w:sz w:val="22"/>
              <w:szCs w:val="22"/>
            </w:rPr>
            <w:t>3.7 Ethical Safeguards and Test Environment Controls</w:t>
          </w:r>
          <w:r>
            <w:rPr>
              <w:color w:val="000000"/>
              <w:sz w:val="22"/>
              <w:szCs w:val="22"/>
            </w:rPr>
            <w:tab/>
            <w:t>26</w:t>
          </w:r>
        </w:p>
        <w:p w14:paraId="55B96057" w14:textId="77777777" w:rsidR="00DA1AF7" w:rsidRDefault="00684366">
          <w:pPr>
            <w:widowControl w:val="0"/>
            <w:tabs>
              <w:tab w:val="right" w:pos="12000"/>
            </w:tabs>
            <w:spacing w:before="60"/>
            <w:ind w:left="360"/>
            <w:rPr>
              <w:b/>
              <w:bCs/>
              <w:color w:val="000000"/>
              <w:sz w:val="22"/>
              <w:szCs w:val="22"/>
            </w:rPr>
          </w:pPr>
          <w:r>
            <w:rPr>
              <w:color w:val="000000"/>
              <w:sz w:val="22"/>
              <w:szCs w:val="22"/>
            </w:rPr>
            <w:t>3.8 Methodology Pipeline</w:t>
          </w:r>
          <w:r>
            <w:rPr>
              <w:color w:val="000000"/>
              <w:sz w:val="22"/>
              <w:szCs w:val="22"/>
            </w:rPr>
            <w:tab/>
            <w:t>27</w:t>
          </w:r>
        </w:p>
        <w:p w14:paraId="55B96058" w14:textId="77777777" w:rsidR="00DA1AF7" w:rsidRDefault="00684366">
          <w:pPr>
            <w:widowControl w:val="0"/>
            <w:tabs>
              <w:tab w:val="right" w:pos="12000"/>
            </w:tabs>
            <w:spacing w:before="60"/>
            <w:rPr>
              <w:b/>
              <w:bCs/>
              <w:color w:val="000000"/>
              <w:sz w:val="22"/>
              <w:szCs w:val="22"/>
            </w:rPr>
          </w:pPr>
          <w:r>
            <w:rPr>
              <w:b/>
              <w:bCs/>
              <w:color w:val="000000"/>
              <w:sz w:val="22"/>
              <w:szCs w:val="22"/>
            </w:rPr>
            <w:t>CHAPTER 4: IMPLEMENTATION</w:t>
          </w:r>
          <w:r>
            <w:rPr>
              <w:b/>
              <w:bCs/>
              <w:color w:val="000000"/>
              <w:sz w:val="22"/>
              <w:szCs w:val="22"/>
            </w:rPr>
            <w:tab/>
            <w:t>29</w:t>
          </w:r>
        </w:p>
        <w:p w14:paraId="55B96059" w14:textId="77777777" w:rsidR="00DA1AF7" w:rsidRDefault="00684366">
          <w:pPr>
            <w:widowControl w:val="0"/>
            <w:tabs>
              <w:tab w:val="right" w:pos="12000"/>
            </w:tabs>
            <w:spacing w:before="60"/>
            <w:ind w:left="360"/>
            <w:rPr>
              <w:color w:val="000000"/>
              <w:sz w:val="22"/>
              <w:szCs w:val="22"/>
            </w:rPr>
          </w:pPr>
          <w:r>
            <w:rPr>
              <w:color w:val="000000"/>
              <w:sz w:val="22"/>
              <w:szCs w:val="22"/>
            </w:rPr>
            <w:t>4.1 Core Architecture</w:t>
          </w:r>
          <w:r>
            <w:rPr>
              <w:color w:val="000000"/>
              <w:sz w:val="22"/>
              <w:szCs w:val="22"/>
            </w:rPr>
            <w:tab/>
            <w:t>30</w:t>
          </w:r>
        </w:p>
        <w:p w14:paraId="55B9605A" w14:textId="77777777" w:rsidR="00DA1AF7" w:rsidRDefault="00684366">
          <w:pPr>
            <w:widowControl w:val="0"/>
            <w:tabs>
              <w:tab w:val="right" w:pos="12000"/>
            </w:tabs>
            <w:spacing w:before="60"/>
            <w:ind w:left="360"/>
            <w:rPr>
              <w:color w:val="000000"/>
              <w:sz w:val="22"/>
              <w:szCs w:val="22"/>
            </w:rPr>
          </w:pPr>
          <w:r>
            <w:rPr>
              <w:color w:val="000000"/>
              <w:sz w:val="22"/>
              <w:szCs w:val="22"/>
            </w:rPr>
            <w:t>4.2 Supported Technique Categories</w:t>
          </w:r>
          <w:r>
            <w:rPr>
              <w:color w:val="000000"/>
              <w:sz w:val="22"/>
              <w:szCs w:val="22"/>
            </w:rPr>
            <w:tab/>
            <w:t>31</w:t>
          </w:r>
        </w:p>
        <w:p w14:paraId="55B9605B" w14:textId="77777777" w:rsidR="00DA1AF7" w:rsidRDefault="00684366">
          <w:pPr>
            <w:widowControl w:val="0"/>
            <w:tabs>
              <w:tab w:val="right" w:pos="12000"/>
            </w:tabs>
            <w:spacing w:before="60"/>
            <w:ind w:left="360"/>
            <w:rPr>
              <w:color w:val="000000"/>
              <w:sz w:val="22"/>
              <w:szCs w:val="22"/>
            </w:rPr>
          </w:pPr>
          <w:r>
            <w:rPr>
              <w:color w:val="000000"/>
              <w:sz w:val="22"/>
              <w:szCs w:val="22"/>
            </w:rPr>
            <w:t>4.3 Explainability and Logging</w:t>
          </w:r>
          <w:r>
            <w:rPr>
              <w:color w:val="000000"/>
              <w:sz w:val="22"/>
              <w:szCs w:val="22"/>
            </w:rPr>
            <w:tab/>
            <w:t>33</w:t>
          </w:r>
        </w:p>
        <w:p w14:paraId="55B9605C" w14:textId="77777777" w:rsidR="00DA1AF7" w:rsidRDefault="00684366">
          <w:pPr>
            <w:widowControl w:val="0"/>
            <w:tabs>
              <w:tab w:val="right" w:pos="12000"/>
            </w:tabs>
            <w:spacing w:before="60"/>
            <w:ind w:left="360"/>
            <w:rPr>
              <w:color w:val="000000"/>
              <w:sz w:val="22"/>
              <w:szCs w:val="22"/>
            </w:rPr>
          </w:pPr>
          <w:r>
            <w:rPr>
              <w:color w:val="000000"/>
              <w:sz w:val="22"/>
              <w:szCs w:val="22"/>
            </w:rPr>
            <w:t>4.4 Deployment Considerations</w:t>
          </w:r>
          <w:r>
            <w:rPr>
              <w:color w:val="000000"/>
              <w:sz w:val="22"/>
              <w:szCs w:val="22"/>
            </w:rPr>
            <w:tab/>
            <w:t>33</w:t>
          </w:r>
        </w:p>
        <w:p w14:paraId="55B9605D" w14:textId="77777777" w:rsidR="00DA1AF7" w:rsidRDefault="00684366">
          <w:pPr>
            <w:widowControl w:val="0"/>
            <w:tabs>
              <w:tab w:val="right" w:pos="12000"/>
            </w:tabs>
            <w:spacing w:before="60"/>
            <w:ind w:left="360"/>
            <w:rPr>
              <w:color w:val="000000"/>
              <w:sz w:val="22"/>
              <w:szCs w:val="22"/>
            </w:rPr>
          </w:pPr>
          <w:r>
            <w:rPr>
              <w:color w:val="000000"/>
              <w:sz w:val="22"/>
              <w:szCs w:val="22"/>
            </w:rPr>
            <w:t>4.5 Example Rule Structure</w:t>
          </w:r>
          <w:r>
            <w:rPr>
              <w:color w:val="000000"/>
              <w:sz w:val="22"/>
              <w:szCs w:val="22"/>
            </w:rPr>
            <w:tab/>
            <w:t>33</w:t>
          </w:r>
        </w:p>
        <w:p w14:paraId="55B9605E" w14:textId="77777777" w:rsidR="00DA1AF7" w:rsidRDefault="00684366">
          <w:pPr>
            <w:widowControl w:val="0"/>
            <w:tabs>
              <w:tab w:val="right" w:pos="12000"/>
            </w:tabs>
            <w:spacing w:before="60"/>
            <w:ind w:left="360"/>
            <w:rPr>
              <w:color w:val="000000"/>
              <w:sz w:val="22"/>
              <w:szCs w:val="22"/>
            </w:rPr>
          </w:pPr>
          <w:r>
            <w:rPr>
              <w:color w:val="000000"/>
              <w:sz w:val="22"/>
              <w:szCs w:val="22"/>
            </w:rPr>
            <w:t>4.6 Testing and Quality Assurance</w:t>
          </w:r>
          <w:r>
            <w:rPr>
              <w:color w:val="000000"/>
              <w:sz w:val="22"/>
              <w:szCs w:val="22"/>
            </w:rPr>
            <w:tab/>
            <w:t>35</w:t>
          </w:r>
        </w:p>
        <w:p w14:paraId="55B9605F" w14:textId="77777777" w:rsidR="00DA1AF7" w:rsidRDefault="00684366">
          <w:pPr>
            <w:widowControl w:val="0"/>
            <w:tabs>
              <w:tab w:val="right" w:pos="12000"/>
            </w:tabs>
            <w:spacing w:before="60"/>
            <w:ind w:left="360"/>
            <w:rPr>
              <w:color w:val="000000"/>
              <w:sz w:val="22"/>
              <w:szCs w:val="22"/>
            </w:rPr>
          </w:pPr>
          <w:r>
            <w:rPr>
              <w:color w:val="000000"/>
              <w:sz w:val="22"/>
              <w:szCs w:val="22"/>
            </w:rPr>
            <w:t>4.7 Limitations of the Current Implementation</w:t>
          </w:r>
          <w:r>
            <w:rPr>
              <w:color w:val="000000"/>
              <w:sz w:val="22"/>
              <w:szCs w:val="22"/>
            </w:rPr>
            <w:tab/>
            <w:t>36</w:t>
          </w:r>
        </w:p>
        <w:p w14:paraId="55B96060" w14:textId="77777777" w:rsidR="00DA1AF7" w:rsidRDefault="00684366">
          <w:pPr>
            <w:widowControl w:val="0"/>
            <w:tabs>
              <w:tab w:val="right" w:pos="12000"/>
            </w:tabs>
            <w:spacing w:before="60"/>
            <w:ind w:left="360"/>
            <w:rPr>
              <w:color w:val="000000"/>
              <w:sz w:val="22"/>
              <w:szCs w:val="22"/>
            </w:rPr>
          </w:pPr>
          <w:r>
            <w:rPr>
              <w:color w:val="000000"/>
              <w:sz w:val="22"/>
              <w:szCs w:val="22"/>
            </w:rPr>
            <w:t>4.8 Representative Implementation Code</w:t>
          </w:r>
          <w:r>
            <w:rPr>
              <w:color w:val="000000"/>
              <w:sz w:val="22"/>
              <w:szCs w:val="22"/>
            </w:rPr>
            <w:tab/>
            <w:t>38</w:t>
          </w:r>
        </w:p>
        <w:p w14:paraId="55B96061" w14:textId="77777777" w:rsidR="00DA1AF7" w:rsidRDefault="00684366">
          <w:pPr>
            <w:widowControl w:val="0"/>
            <w:tabs>
              <w:tab w:val="right" w:pos="12000"/>
            </w:tabs>
            <w:spacing w:before="60"/>
            <w:rPr>
              <w:b/>
              <w:bCs/>
              <w:color w:val="000000"/>
              <w:sz w:val="22"/>
              <w:szCs w:val="22"/>
            </w:rPr>
          </w:pPr>
          <w:r>
            <w:rPr>
              <w:b/>
              <w:bCs/>
              <w:color w:val="000000"/>
              <w:sz w:val="22"/>
              <w:szCs w:val="22"/>
            </w:rPr>
            <w:t>CHAPTER 5: RESULTS AND EVALUATION</w:t>
          </w:r>
          <w:r>
            <w:rPr>
              <w:b/>
              <w:bCs/>
              <w:color w:val="000000"/>
              <w:sz w:val="22"/>
              <w:szCs w:val="22"/>
            </w:rPr>
            <w:tab/>
            <w:t>41</w:t>
          </w:r>
        </w:p>
        <w:p w14:paraId="55B96062" w14:textId="77777777" w:rsidR="00DA1AF7" w:rsidRDefault="00684366">
          <w:pPr>
            <w:widowControl w:val="0"/>
            <w:tabs>
              <w:tab w:val="right" w:pos="12000"/>
            </w:tabs>
            <w:spacing w:before="60"/>
            <w:ind w:left="360"/>
            <w:rPr>
              <w:color w:val="000000"/>
              <w:sz w:val="22"/>
              <w:szCs w:val="22"/>
            </w:rPr>
          </w:pPr>
          <w:r>
            <w:rPr>
              <w:color w:val="000000"/>
              <w:sz w:val="22"/>
              <w:szCs w:val="22"/>
            </w:rPr>
            <w:t>5.1 Test Environment</w:t>
          </w:r>
          <w:r>
            <w:rPr>
              <w:color w:val="000000"/>
              <w:sz w:val="22"/>
              <w:szCs w:val="22"/>
            </w:rPr>
            <w:tab/>
            <w:t>41</w:t>
          </w:r>
        </w:p>
        <w:p w14:paraId="55B96063" w14:textId="77777777" w:rsidR="00DA1AF7" w:rsidRDefault="00684366">
          <w:pPr>
            <w:widowControl w:val="0"/>
            <w:tabs>
              <w:tab w:val="right" w:pos="12000"/>
            </w:tabs>
            <w:spacing w:before="60"/>
            <w:ind w:left="360"/>
            <w:rPr>
              <w:color w:val="000000"/>
              <w:sz w:val="22"/>
              <w:szCs w:val="22"/>
            </w:rPr>
          </w:pPr>
          <w:r>
            <w:rPr>
              <w:color w:val="000000"/>
              <w:sz w:val="22"/>
              <w:szCs w:val="22"/>
            </w:rPr>
            <w:t>5.2 Deployment and Initial Access</w:t>
          </w:r>
          <w:r>
            <w:rPr>
              <w:color w:val="000000"/>
              <w:sz w:val="22"/>
              <w:szCs w:val="22"/>
            </w:rPr>
            <w:tab/>
            <w:t>42</w:t>
          </w:r>
        </w:p>
        <w:p w14:paraId="55B96064" w14:textId="77777777" w:rsidR="00DA1AF7" w:rsidRDefault="00684366">
          <w:pPr>
            <w:widowControl w:val="0"/>
            <w:tabs>
              <w:tab w:val="right" w:pos="12000"/>
            </w:tabs>
            <w:spacing w:before="60"/>
            <w:ind w:left="360"/>
            <w:rPr>
              <w:color w:val="000000"/>
              <w:sz w:val="22"/>
              <w:szCs w:val="22"/>
            </w:rPr>
          </w:pPr>
          <w:r>
            <w:rPr>
              <w:color w:val="000000"/>
              <w:sz w:val="22"/>
              <w:szCs w:val="22"/>
            </w:rPr>
            <w:t>5.3 Automated Enumeration and the Exploitation Engine</w:t>
          </w:r>
          <w:r>
            <w:rPr>
              <w:color w:val="000000"/>
              <w:sz w:val="22"/>
              <w:szCs w:val="22"/>
            </w:rPr>
            <w:tab/>
            <w:t>43</w:t>
          </w:r>
        </w:p>
        <w:p w14:paraId="55B96065" w14:textId="77777777" w:rsidR="00DA1AF7" w:rsidRDefault="00684366">
          <w:pPr>
            <w:widowControl w:val="0"/>
            <w:tabs>
              <w:tab w:val="right" w:pos="12000"/>
            </w:tabs>
            <w:spacing w:before="60"/>
            <w:ind w:left="360"/>
            <w:rPr>
              <w:color w:val="000000"/>
              <w:sz w:val="22"/>
              <w:szCs w:val="22"/>
            </w:rPr>
          </w:pPr>
          <w:r>
            <w:rPr>
              <w:color w:val="000000"/>
              <w:sz w:val="22"/>
              <w:szCs w:val="22"/>
            </w:rPr>
            <w:lastRenderedPageBreak/>
            <w:t>5.4 Credential Reuse and Escalation to a Second Account</w:t>
          </w:r>
          <w:r>
            <w:rPr>
              <w:color w:val="000000"/>
              <w:sz w:val="22"/>
              <w:szCs w:val="22"/>
            </w:rPr>
            <w:tab/>
            <w:t>45</w:t>
          </w:r>
        </w:p>
        <w:p w14:paraId="55B96066" w14:textId="77777777" w:rsidR="00DA1AF7" w:rsidRDefault="00684366">
          <w:pPr>
            <w:widowControl w:val="0"/>
            <w:tabs>
              <w:tab w:val="right" w:pos="12000"/>
            </w:tabs>
            <w:spacing w:before="60"/>
            <w:ind w:left="360"/>
            <w:rPr>
              <w:color w:val="000000"/>
              <w:sz w:val="22"/>
              <w:szCs w:val="22"/>
            </w:rPr>
          </w:pPr>
          <w:r>
            <w:rPr>
              <w:color w:val="000000"/>
              <w:sz w:val="22"/>
              <w:szCs w:val="22"/>
            </w:rPr>
            <w:t>5.5 Verified Root via Sudo/GTFOBins Abuse</w:t>
          </w:r>
          <w:r>
            <w:rPr>
              <w:color w:val="000000"/>
              <w:sz w:val="22"/>
              <w:szCs w:val="22"/>
            </w:rPr>
            <w:tab/>
            <w:t>46</w:t>
          </w:r>
        </w:p>
        <w:p w14:paraId="55B96067" w14:textId="77777777" w:rsidR="00DA1AF7" w:rsidRDefault="00684366">
          <w:pPr>
            <w:widowControl w:val="0"/>
            <w:tabs>
              <w:tab w:val="right" w:pos="12000"/>
            </w:tabs>
            <w:spacing w:before="60"/>
            <w:ind w:left="360"/>
            <w:rPr>
              <w:color w:val="000000"/>
              <w:sz w:val="22"/>
              <w:szCs w:val="22"/>
            </w:rPr>
          </w:pPr>
          <w:r>
            <w:rPr>
              <w:color w:val="000000"/>
              <w:sz w:val="22"/>
              <w:szCs w:val="22"/>
            </w:rPr>
            <w:t>5.6 Evidence Chain Summary</w:t>
          </w:r>
          <w:r>
            <w:rPr>
              <w:color w:val="000000"/>
              <w:sz w:val="22"/>
              <w:szCs w:val="22"/>
            </w:rPr>
            <w:tab/>
            <w:t>47</w:t>
          </w:r>
        </w:p>
        <w:p w14:paraId="55B96068" w14:textId="77777777" w:rsidR="00DA1AF7" w:rsidRDefault="00684366">
          <w:pPr>
            <w:widowControl w:val="0"/>
            <w:tabs>
              <w:tab w:val="right" w:pos="12000"/>
            </w:tabs>
            <w:spacing w:before="60"/>
            <w:ind w:left="360"/>
            <w:rPr>
              <w:color w:val="000000"/>
              <w:sz w:val="22"/>
              <w:szCs w:val="22"/>
            </w:rPr>
          </w:pPr>
          <w:r>
            <w:rPr>
              <w:color w:val="000000"/>
              <w:sz w:val="22"/>
              <w:szCs w:val="22"/>
            </w:rPr>
            <w:t>5.7 Discussion Against the Research Questions</w:t>
          </w:r>
          <w:r>
            <w:rPr>
              <w:color w:val="000000"/>
              <w:sz w:val="22"/>
              <w:szCs w:val="22"/>
            </w:rPr>
            <w:tab/>
            <w:t>48</w:t>
          </w:r>
        </w:p>
        <w:p w14:paraId="55B96069" w14:textId="77777777" w:rsidR="00DA1AF7" w:rsidRDefault="00684366">
          <w:pPr>
            <w:widowControl w:val="0"/>
            <w:tabs>
              <w:tab w:val="right" w:pos="12000"/>
            </w:tabs>
            <w:spacing w:before="60"/>
            <w:ind w:left="360"/>
            <w:rPr>
              <w:color w:val="000000"/>
              <w:sz w:val="22"/>
              <w:szCs w:val="22"/>
            </w:rPr>
          </w:pPr>
          <w:r>
            <w:rPr>
              <w:color w:val="000000"/>
              <w:sz w:val="22"/>
              <w:szCs w:val="22"/>
            </w:rPr>
            <w:t>5.8 Report Content in Detail</w:t>
          </w:r>
          <w:r>
            <w:rPr>
              <w:color w:val="000000"/>
              <w:sz w:val="22"/>
              <w:szCs w:val="22"/>
            </w:rPr>
            <w:tab/>
            <w:t>49</w:t>
          </w:r>
        </w:p>
        <w:p w14:paraId="55B9606A" w14:textId="77777777" w:rsidR="00DA1AF7" w:rsidRDefault="00684366">
          <w:pPr>
            <w:widowControl w:val="0"/>
            <w:tabs>
              <w:tab w:val="right" w:pos="12000"/>
            </w:tabs>
            <w:spacing w:before="60"/>
            <w:ind w:left="360"/>
            <w:rPr>
              <w:color w:val="000000"/>
              <w:sz w:val="22"/>
              <w:szCs w:val="22"/>
            </w:rPr>
          </w:pPr>
          <w:r>
            <w:rPr>
              <w:color w:val="000000"/>
              <w:sz w:val="22"/>
              <w:szCs w:val="22"/>
            </w:rPr>
            <w:t>5.9 Status of the Planned Systematic Evaluation</w:t>
          </w:r>
          <w:r>
            <w:rPr>
              <w:color w:val="000000"/>
              <w:sz w:val="22"/>
              <w:szCs w:val="22"/>
            </w:rPr>
            <w:tab/>
            <w:t>50</w:t>
          </w:r>
        </w:p>
        <w:p w14:paraId="55B9606B" w14:textId="77777777" w:rsidR="00DA1AF7" w:rsidRDefault="00684366">
          <w:pPr>
            <w:widowControl w:val="0"/>
            <w:tabs>
              <w:tab w:val="right" w:pos="12000"/>
            </w:tabs>
            <w:spacing w:before="60"/>
            <w:ind w:left="360"/>
            <w:rPr>
              <w:color w:val="000000"/>
              <w:sz w:val="22"/>
              <w:szCs w:val="22"/>
            </w:rPr>
          </w:pPr>
          <w:r>
            <w:rPr>
              <w:color w:val="000000"/>
              <w:sz w:val="22"/>
              <w:szCs w:val="22"/>
            </w:rPr>
            <w:t>5.10 Threats to Validity</w:t>
          </w:r>
          <w:r>
            <w:rPr>
              <w:color w:val="000000"/>
              <w:sz w:val="22"/>
              <w:szCs w:val="22"/>
            </w:rPr>
            <w:tab/>
            <w:t>50</w:t>
          </w:r>
        </w:p>
        <w:p w14:paraId="55B9606C" w14:textId="77777777" w:rsidR="00DA1AF7" w:rsidRDefault="00684366">
          <w:pPr>
            <w:widowControl w:val="0"/>
            <w:tabs>
              <w:tab w:val="right" w:pos="12000"/>
            </w:tabs>
            <w:spacing w:before="60"/>
            <w:ind w:left="360"/>
            <w:rPr>
              <w:color w:val="000000"/>
              <w:sz w:val="22"/>
              <w:szCs w:val="22"/>
            </w:rPr>
          </w:pPr>
          <w:r>
            <w:rPr>
              <w:color w:val="000000"/>
              <w:sz w:val="22"/>
              <w:szCs w:val="22"/>
            </w:rPr>
            <w:t>5.11 Reflection on the Results Chapter</w:t>
          </w:r>
          <w:r>
            <w:rPr>
              <w:color w:val="000000"/>
              <w:sz w:val="22"/>
              <w:szCs w:val="22"/>
            </w:rPr>
            <w:tab/>
            <w:t>51</w:t>
          </w:r>
        </w:p>
        <w:p w14:paraId="55B9606D" w14:textId="77777777" w:rsidR="00DA1AF7" w:rsidRDefault="00684366">
          <w:pPr>
            <w:widowControl w:val="0"/>
            <w:tabs>
              <w:tab w:val="right" w:pos="12000"/>
            </w:tabs>
            <w:spacing w:before="60"/>
            <w:rPr>
              <w:b/>
              <w:bCs/>
              <w:color w:val="000000"/>
              <w:sz w:val="22"/>
              <w:szCs w:val="22"/>
            </w:rPr>
          </w:pPr>
          <w:r>
            <w:rPr>
              <w:b/>
              <w:bCs/>
              <w:color w:val="000000"/>
              <w:sz w:val="22"/>
              <w:szCs w:val="22"/>
            </w:rPr>
            <w:t>CHAPTER 6: REFLECTION</w:t>
          </w:r>
          <w:r>
            <w:rPr>
              <w:b/>
              <w:bCs/>
              <w:color w:val="000000"/>
              <w:sz w:val="22"/>
              <w:szCs w:val="22"/>
            </w:rPr>
            <w:tab/>
            <w:t>52</w:t>
          </w:r>
        </w:p>
        <w:p w14:paraId="55B9606E" w14:textId="77777777" w:rsidR="00DA1AF7" w:rsidRDefault="00684366">
          <w:pPr>
            <w:widowControl w:val="0"/>
            <w:tabs>
              <w:tab w:val="right" w:pos="12000"/>
            </w:tabs>
            <w:spacing w:before="60"/>
            <w:ind w:left="360"/>
            <w:rPr>
              <w:color w:val="000000"/>
              <w:sz w:val="22"/>
              <w:szCs w:val="22"/>
            </w:rPr>
          </w:pPr>
          <w:r>
            <w:rPr>
              <w:color w:val="000000"/>
              <w:sz w:val="22"/>
              <w:szCs w:val="22"/>
            </w:rPr>
            <w:t>6.1 Motivation and Initial Direction</w:t>
          </w:r>
          <w:r>
            <w:rPr>
              <w:color w:val="000000"/>
              <w:sz w:val="22"/>
              <w:szCs w:val="22"/>
            </w:rPr>
            <w:tab/>
            <w:t>52</w:t>
          </w:r>
        </w:p>
        <w:p w14:paraId="55B9606F" w14:textId="77777777" w:rsidR="00DA1AF7" w:rsidRDefault="00684366">
          <w:pPr>
            <w:widowControl w:val="0"/>
            <w:tabs>
              <w:tab w:val="right" w:pos="12000"/>
            </w:tabs>
            <w:spacing w:before="60"/>
            <w:ind w:left="360"/>
            <w:rPr>
              <w:color w:val="000000"/>
              <w:sz w:val="22"/>
              <w:szCs w:val="22"/>
            </w:rPr>
          </w:pPr>
          <w:r>
            <w:rPr>
              <w:color w:val="000000"/>
              <w:sz w:val="22"/>
              <w:szCs w:val="22"/>
            </w:rPr>
            <w:t>6.2 Design Trade-offs</w:t>
          </w:r>
          <w:r>
            <w:rPr>
              <w:color w:val="000000"/>
              <w:sz w:val="22"/>
              <w:szCs w:val="22"/>
            </w:rPr>
            <w:tab/>
            <w:t>52</w:t>
          </w:r>
        </w:p>
        <w:p w14:paraId="55B96070" w14:textId="77777777" w:rsidR="00DA1AF7" w:rsidRDefault="00684366">
          <w:pPr>
            <w:widowControl w:val="0"/>
            <w:tabs>
              <w:tab w:val="right" w:pos="12000"/>
            </w:tabs>
            <w:spacing w:before="60"/>
            <w:ind w:left="360"/>
            <w:rPr>
              <w:color w:val="000000"/>
              <w:sz w:val="22"/>
              <w:szCs w:val="22"/>
            </w:rPr>
          </w:pPr>
          <w:r>
            <w:rPr>
              <w:color w:val="000000"/>
              <w:sz w:val="22"/>
              <w:szCs w:val="22"/>
            </w:rPr>
            <w:t>6.3 Challenges Encountered</w:t>
          </w:r>
          <w:r>
            <w:rPr>
              <w:color w:val="000000"/>
              <w:sz w:val="22"/>
              <w:szCs w:val="22"/>
            </w:rPr>
            <w:tab/>
            <w:t>53</w:t>
          </w:r>
        </w:p>
        <w:p w14:paraId="55B96071" w14:textId="77777777" w:rsidR="00DA1AF7" w:rsidRDefault="00684366">
          <w:pPr>
            <w:widowControl w:val="0"/>
            <w:tabs>
              <w:tab w:val="right" w:pos="12000"/>
            </w:tabs>
            <w:spacing w:before="60"/>
            <w:ind w:left="360"/>
            <w:rPr>
              <w:color w:val="000000"/>
              <w:sz w:val="22"/>
              <w:szCs w:val="22"/>
            </w:rPr>
          </w:pPr>
          <w:r>
            <w:rPr>
              <w:color w:val="000000"/>
              <w:sz w:val="22"/>
              <w:szCs w:val="22"/>
            </w:rPr>
            <w:t>6.4 Skills Developed</w:t>
          </w:r>
          <w:r>
            <w:rPr>
              <w:color w:val="000000"/>
              <w:sz w:val="22"/>
              <w:szCs w:val="22"/>
            </w:rPr>
            <w:tab/>
            <w:t>54</w:t>
          </w:r>
        </w:p>
        <w:p w14:paraId="55B96072" w14:textId="77777777" w:rsidR="00DA1AF7" w:rsidRDefault="00684366">
          <w:pPr>
            <w:widowControl w:val="0"/>
            <w:tabs>
              <w:tab w:val="right" w:pos="12000"/>
            </w:tabs>
            <w:spacing w:before="60"/>
            <w:ind w:left="360"/>
            <w:rPr>
              <w:color w:val="000000"/>
              <w:sz w:val="22"/>
              <w:szCs w:val="22"/>
            </w:rPr>
          </w:pPr>
          <w:r>
            <w:rPr>
              <w:color w:val="000000"/>
              <w:sz w:val="22"/>
              <w:szCs w:val="22"/>
            </w:rPr>
            <w:t>6.5 What I Would Do Differently</w:t>
          </w:r>
          <w:r>
            <w:rPr>
              <w:color w:val="000000"/>
              <w:sz w:val="22"/>
              <w:szCs w:val="22"/>
            </w:rPr>
            <w:tab/>
            <w:t>55</w:t>
          </w:r>
        </w:p>
        <w:p w14:paraId="55B96073" w14:textId="77777777" w:rsidR="00DA1AF7" w:rsidRDefault="00684366">
          <w:pPr>
            <w:widowControl w:val="0"/>
            <w:tabs>
              <w:tab w:val="right" w:pos="12000"/>
            </w:tabs>
            <w:spacing w:before="60"/>
            <w:ind w:left="360"/>
            <w:rPr>
              <w:color w:val="000000"/>
              <w:sz w:val="22"/>
              <w:szCs w:val="22"/>
            </w:rPr>
          </w:pPr>
          <w:r>
            <w:rPr>
              <w:color w:val="000000"/>
              <w:sz w:val="22"/>
              <w:szCs w:val="22"/>
            </w:rPr>
            <w:t>6.6 Time Management and Project Planning</w:t>
          </w:r>
          <w:r>
            <w:rPr>
              <w:color w:val="000000"/>
              <w:sz w:val="22"/>
              <w:szCs w:val="22"/>
            </w:rPr>
            <w:tab/>
            <w:t>55</w:t>
          </w:r>
        </w:p>
        <w:p w14:paraId="55B96074" w14:textId="77777777" w:rsidR="00DA1AF7" w:rsidRDefault="00684366">
          <w:pPr>
            <w:widowControl w:val="0"/>
            <w:tabs>
              <w:tab w:val="right" w:pos="12000"/>
            </w:tabs>
            <w:spacing w:before="60"/>
            <w:ind w:left="360"/>
            <w:rPr>
              <w:color w:val="000000"/>
              <w:sz w:val="22"/>
              <w:szCs w:val="22"/>
            </w:rPr>
          </w:pPr>
          <w:r>
            <w:rPr>
              <w:color w:val="000000"/>
              <w:sz w:val="22"/>
              <w:szCs w:val="22"/>
            </w:rPr>
            <w:t>6.7 Ethical Reflection</w:t>
          </w:r>
          <w:r>
            <w:rPr>
              <w:color w:val="000000"/>
              <w:sz w:val="22"/>
              <w:szCs w:val="22"/>
            </w:rPr>
            <w:tab/>
            <w:t>56</w:t>
          </w:r>
        </w:p>
        <w:p w14:paraId="55B96075" w14:textId="77777777" w:rsidR="00DA1AF7" w:rsidRDefault="00684366">
          <w:pPr>
            <w:widowControl w:val="0"/>
            <w:tabs>
              <w:tab w:val="right" w:pos="12000"/>
            </w:tabs>
            <w:spacing w:before="60"/>
            <w:ind w:left="360"/>
            <w:rPr>
              <w:color w:val="000000"/>
              <w:sz w:val="22"/>
              <w:szCs w:val="22"/>
            </w:rPr>
          </w:pPr>
          <w:r>
            <w:rPr>
              <w:color w:val="000000"/>
              <w:sz w:val="22"/>
              <w:szCs w:val="22"/>
            </w:rPr>
            <w:t>6.8 Statement on the Use of AI-Assisted Tools</w:t>
          </w:r>
          <w:r>
            <w:rPr>
              <w:color w:val="000000"/>
              <w:sz w:val="22"/>
              <w:szCs w:val="22"/>
            </w:rPr>
            <w:tab/>
            <w:t>56</w:t>
          </w:r>
        </w:p>
        <w:p w14:paraId="55B96076" w14:textId="77777777" w:rsidR="00DA1AF7" w:rsidRDefault="00684366">
          <w:pPr>
            <w:widowControl w:val="0"/>
            <w:tabs>
              <w:tab w:val="right" w:pos="12000"/>
            </w:tabs>
            <w:spacing w:before="60"/>
            <w:ind w:left="360"/>
            <w:rPr>
              <w:color w:val="000000"/>
              <w:sz w:val="22"/>
              <w:szCs w:val="22"/>
            </w:rPr>
          </w:pPr>
          <w:r>
            <w:rPr>
              <w:color w:val="000000"/>
              <w:sz w:val="22"/>
              <w:szCs w:val="22"/>
            </w:rPr>
            <w:t>6.9 Overall Reflection</w:t>
          </w:r>
          <w:r>
            <w:rPr>
              <w:color w:val="000000"/>
              <w:sz w:val="22"/>
              <w:szCs w:val="22"/>
            </w:rPr>
            <w:tab/>
            <w:t>57</w:t>
          </w:r>
        </w:p>
        <w:p w14:paraId="55B96077" w14:textId="77777777" w:rsidR="00DA1AF7" w:rsidRDefault="00684366">
          <w:pPr>
            <w:widowControl w:val="0"/>
            <w:tabs>
              <w:tab w:val="right" w:pos="12000"/>
            </w:tabs>
            <w:spacing w:before="60"/>
            <w:rPr>
              <w:b/>
              <w:bCs/>
              <w:color w:val="000000"/>
              <w:sz w:val="22"/>
              <w:szCs w:val="22"/>
            </w:rPr>
          </w:pPr>
          <w:r>
            <w:rPr>
              <w:b/>
              <w:bCs/>
              <w:color w:val="000000"/>
              <w:sz w:val="22"/>
              <w:szCs w:val="22"/>
            </w:rPr>
            <w:t>CHAPTER 7: CONCLUSION</w:t>
          </w:r>
          <w:r>
            <w:rPr>
              <w:b/>
              <w:bCs/>
              <w:color w:val="000000"/>
              <w:sz w:val="22"/>
              <w:szCs w:val="22"/>
            </w:rPr>
            <w:tab/>
            <w:t>58</w:t>
          </w:r>
        </w:p>
        <w:p w14:paraId="55B96078" w14:textId="77777777" w:rsidR="00DA1AF7" w:rsidRDefault="00684366">
          <w:pPr>
            <w:widowControl w:val="0"/>
            <w:tabs>
              <w:tab w:val="right" w:pos="12000"/>
            </w:tabs>
            <w:spacing w:before="60"/>
            <w:rPr>
              <w:b/>
              <w:bCs/>
              <w:color w:val="000000"/>
              <w:sz w:val="22"/>
              <w:szCs w:val="22"/>
            </w:rPr>
          </w:pPr>
          <w:r>
            <w:rPr>
              <w:b/>
              <w:bCs/>
              <w:color w:val="000000"/>
              <w:sz w:val="22"/>
              <w:szCs w:val="22"/>
            </w:rPr>
            <w:t>References</w:t>
          </w:r>
          <w:r>
            <w:rPr>
              <w:b/>
              <w:bCs/>
              <w:color w:val="000000"/>
              <w:sz w:val="22"/>
              <w:szCs w:val="22"/>
            </w:rPr>
            <w:tab/>
            <w:t>60</w:t>
          </w:r>
        </w:p>
        <w:p w14:paraId="55B96079" w14:textId="77777777" w:rsidR="00DA1AF7" w:rsidRDefault="00684366">
          <w:pPr>
            <w:widowControl w:val="0"/>
            <w:tabs>
              <w:tab w:val="right" w:pos="12000"/>
            </w:tabs>
            <w:spacing w:before="60"/>
            <w:rPr>
              <w:b/>
              <w:bCs/>
              <w:color w:val="000000"/>
              <w:sz w:val="22"/>
              <w:szCs w:val="22"/>
            </w:rPr>
          </w:pPr>
          <w:r>
            <w:rPr>
              <w:b/>
              <w:bCs/>
              <w:color w:val="000000"/>
              <w:sz w:val="22"/>
              <w:szCs w:val="22"/>
            </w:rPr>
            <w:t>Appendix A: APEX CLI Practical Demonstration</w:t>
          </w:r>
          <w:r>
            <w:rPr>
              <w:b/>
              <w:bCs/>
              <w:color w:val="000000"/>
              <w:sz w:val="22"/>
              <w:szCs w:val="22"/>
            </w:rPr>
            <w:tab/>
            <w:t>62</w:t>
          </w:r>
        </w:p>
        <w:p w14:paraId="55B9607A" w14:textId="77777777" w:rsidR="00DA1AF7" w:rsidRDefault="00684366">
          <w:pPr>
            <w:widowControl w:val="0"/>
            <w:tabs>
              <w:tab w:val="right" w:pos="12000"/>
            </w:tabs>
            <w:spacing w:before="60"/>
            <w:ind w:left="360"/>
            <w:rPr>
              <w:color w:val="000000"/>
              <w:sz w:val="22"/>
              <w:szCs w:val="22"/>
            </w:rPr>
          </w:pPr>
          <w:r>
            <w:rPr>
              <w:color w:val="000000"/>
              <w:sz w:val="22"/>
              <w:szCs w:val="22"/>
            </w:rPr>
            <w:t>A.1 Command-Line Help and Database Update</w:t>
          </w:r>
          <w:r>
            <w:rPr>
              <w:color w:val="000000"/>
              <w:sz w:val="22"/>
              <w:szCs w:val="22"/>
            </w:rPr>
            <w:tab/>
            <w:t>62</w:t>
          </w:r>
        </w:p>
        <w:p w14:paraId="55B9607B" w14:textId="77777777" w:rsidR="00DA1AF7" w:rsidRDefault="00684366">
          <w:pPr>
            <w:widowControl w:val="0"/>
            <w:tabs>
              <w:tab w:val="right" w:pos="12000"/>
            </w:tabs>
            <w:spacing w:before="60"/>
            <w:ind w:left="360"/>
            <w:rPr>
              <w:color w:val="000000"/>
              <w:sz w:val="22"/>
              <w:szCs w:val="22"/>
            </w:rPr>
          </w:pPr>
          <w:r>
            <w:rPr>
              <w:color w:val="000000"/>
              <w:sz w:val="22"/>
              <w:szCs w:val="22"/>
            </w:rPr>
            <w:t>A.2 Refreshing the Knowledge Base</w:t>
          </w:r>
          <w:r>
            <w:rPr>
              <w:color w:val="000000"/>
              <w:sz w:val="22"/>
              <w:szCs w:val="22"/>
            </w:rPr>
            <w:tab/>
            <w:t>63</w:t>
          </w:r>
        </w:p>
        <w:p w14:paraId="55B9607C" w14:textId="77777777" w:rsidR="00DA1AF7" w:rsidRDefault="00684366">
          <w:pPr>
            <w:widowControl w:val="0"/>
            <w:tabs>
              <w:tab w:val="right" w:pos="12000"/>
            </w:tabs>
            <w:spacing w:before="60"/>
            <w:ind w:left="360"/>
            <w:rPr>
              <w:color w:val="000000"/>
              <w:sz w:val="22"/>
              <w:szCs w:val="22"/>
            </w:rPr>
          </w:pPr>
          <w:r>
            <w:rPr>
              <w:color w:val="000000"/>
              <w:sz w:val="22"/>
              <w:szCs w:val="22"/>
            </w:rPr>
            <w:t>A.3 Generating and Hosting the Bundle</w:t>
          </w:r>
          <w:r>
            <w:rPr>
              <w:color w:val="000000"/>
              <w:sz w:val="22"/>
              <w:szCs w:val="22"/>
            </w:rPr>
            <w:tab/>
            <w:t>64</w:t>
          </w:r>
        </w:p>
        <w:p w14:paraId="55B9607D" w14:textId="77777777" w:rsidR="00DA1AF7" w:rsidRDefault="00684366">
          <w:pPr>
            <w:widowControl w:val="0"/>
            <w:tabs>
              <w:tab w:val="right" w:pos="12000"/>
            </w:tabs>
            <w:spacing w:before="60"/>
            <w:ind w:left="360"/>
            <w:rPr>
              <w:color w:val="000000"/>
              <w:sz w:val="22"/>
              <w:szCs w:val="22"/>
            </w:rPr>
          </w:pPr>
          <w:r>
            <w:rPr>
              <w:color w:val="000000"/>
              <w:sz w:val="22"/>
              <w:szCs w:val="22"/>
            </w:rPr>
            <w:t>A.4 Automated Credential Harvesting</w:t>
          </w:r>
          <w:r>
            <w:rPr>
              <w:color w:val="000000"/>
              <w:sz w:val="22"/>
              <w:szCs w:val="22"/>
            </w:rPr>
            <w:tab/>
            <w:t>65</w:t>
          </w:r>
        </w:p>
        <w:p w14:paraId="55B9607E" w14:textId="77777777" w:rsidR="00DA1AF7" w:rsidRDefault="00684366">
          <w:pPr>
            <w:widowControl w:val="0"/>
            <w:tabs>
              <w:tab w:val="right" w:pos="12000"/>
            </w:tabs>
            <w:spacing w:before="60"/>
            <w:ind w:left="360"/>
            <w:rPr>
              <w:color w:val="000000"/>
              <w:sz w:val="22"/>
              <w:szCs w:val="22"/>
            </w:rPr>
          </w:pPr>
          <w:r>
            <w:rPr>
              <w:color w:val="000000"/>
              <w:sz w:val="22"/>
              <w:szCs w:val="22"/>
            </w:rPr>
            <w:t>A.5 Re-running the Bundle Under a Second Account</w:t>
          </w:r>
          <w:r>
            <w:rPr>
              <w:color w:val="000000"/>
              <w:sz w:val="22"/>
              <w:szCs w:val="22"/>
            </w:rPr>
            <w:tab/>
            <w:t>66</w:t>
          </w:r>
        </w:p>
        <w:p w14:paraId="55B9607F" w14:textId="77777777" w:rsidR="00DA1AF7" w:rsidRDefault="00684366">
          <w:pPr>
            <w:widowControl w:val="0"/>
            <w:tabs>
              <w:tab w:val="right" w:pos="12000"/>
            </w:tabs>
            <w:spacing w:before="60"/>
            <w:ind w:left="360"/>
            <w:rPr>
              <w:color w:val="000000"/>
              <w:sz w:val="22"/>
              <w:szCs w:val="22"/>
            </w:rPr>
          </w:pPr>
          <w:r>
            <w:rPr>
              <w:color w:val="000000"/>
              <w:sz w:val="22"/>
              <w:szCs w:val="22"/>
            </w:rPr>
            <w:t>A.6 Confirmed Root Shell</w:t>
          </w:r>
          <w:r>
            <w:rPr>
              <w:color w:val="000000"/>
              <w:sz w:val="22"/>
              <w:szCs w:val="22"/>
            </w:rPr>
            <w:tab/>
            <w:t>67</w:t>
          </w:r>
        </w:p>
        <w:p w14:paraId="55B96080" w14:textId="77777777" w:rsidR="00DA1AF7" w:rsidRDefault="00684366">
          <w:pPr>
            <w:widowControl w:val="0"/>
            <w:tabs>
              <w:tab w:val="right" w:pos="12000"/>
            </w:tabs>
            <w:spacing w:before="60"/>
            <w:rPr>
              <w:b/>
              <w:bCs/>
              <w:color w:val="000000"/>
              <w:sz w:val="22"/>
              <w:szCs w:val="22"/>
            </w:rPr>
          </w:pPr>
          <w:r>
            <w:rPr>
              <w:b/>
              <w:bCs/>
              <w:color w:val="000000"/>
              <w:sz w:val="22"/>
              <w:szCs w:val="22"/>
            </w:rPr>
            <w:t>Appendix B: Case Study Evidence Chain (Detail)</w:t>
          </w:r>
          <w:r>
            <w:rPr>
              <w:b/>
              <w:bCs/>
              <w:color w:val="000000"/>
              <w:sz w:val="22"/>
              <w:szCs w:val="22"/>
            </w:rPr>
            <w:tab/>
            <w:t>67</w:t>
          </w:r>
        </w:p>
        <w:p w14:paraId="55B96081" w14:textId="77777777" w:rsidR="00DA1AF7" w:rsidRDefault="00684366">
          <w:pPr>
            <w:widowControl w:val="0"/>
            <w:tabs>
              <w:tab w:val="right" w:pos="12000"/>
            </w:tabs>
            <w:spacing w:before="60"/>
            <w:rPr>
              <w:b/>
              <w:bCs/>
              <w:color w:val="000000"/>
              <w:sz w:val="22"/>
              <w:szCs w:val="22"/>
            </w:rPr>
          </w:pPr>
          <w:r>
            <w:rPr>
              <w:b/>
              <w:bCs/>
              <w:color w:val="000000"/>
              <w:sz w:val="22"/>
              <w:szCs w:val="22"/>
            </w:rPr>
            <w:t>Appendix C: Glossary of Terms</w:t>
          </w:r>
          <w:r>
            <w:rPr>
              <w:b/>
              <w:bCs/>
              <w:color w:val="000000"/>
              <w:sz w:val="22"/>
              <w:szCs w:val="22"/>
            </w:rPr>
            <w:tab/>
            <w:t>68</w:t>
          </w:r>
          <w:r>
            <w:fldChar w:fldCharType="end"/>
          </w:r>
        </w:p>
      </w:sdtContent>
    </w:sdt>
    <w:p w14:paraId="55B96082" w14:textId="77777777" w:rsidR="00DA1AF7" w:rsidRDefault="00684366">
      <w:pPr>
        <w:pageBreakBefore/>
        <w:spacing w:after="300" w:line="360" w:lineRule="auto"/>
        <w:jc w:val="center"/>
        <w:rPr>
          <w:b/>
          <w:bCs/>
          <w:sz w:val="32"/>
          <w:szCs w:val="32"/>
        </w:rPr>
      </w:pPr>
      <w:r>
        <w:rPr>
          <w:b/>
          <w:bCs/>
          <w:sz w:val="32"/>
          <w:szCs w:val="32"/>
        </w:rPr>
        <w:lastRenderedPageBreak/>
        <w:t>List of Figures</w:t>
      </w:r>
    </w:p>
    <w:p w14:paraId="55B96083" w14:textId="77777777" w:rsidR="00DA1AF7" w:rsidRDefault="00684366">
      <w:pPr>
        <w:tabs>
          <w:tab w:val="right" w:pos="9360"/>
        </w:tabs>
        <w:spacing w:before="160" w:after="140" w:line="360" w:lineRule="auto"/>
        <w:rPr>
          <w:sz w:val="20"/>
          <w:szCs w:val="20"/>
        </w:rPr>
      </w:pPr>
      <w:r>
        <w:rPr>
          <w:b/>
          <w:bCs/>
          <w:sz w:val="20"/>
          <w:szCs w:val="20"/>
        </w:rPr>
        <w:t>Figure 3.1. APEX methodology pipeline: enumeration through to reporting.</w:t>
      </w:r>
      <w:r>
        <w:rPr>
          <w:b/>
          <w:bCs/>
          <w:sz w:val="20"/>
          <w:szCs w:val="20"/>
        </w:rPr>
        <w:tab/>
        <w:t>25</w:t>
      </w:r>
    </w:p>
    <w:p w14:paraId="55B96084" w14:textId="77777777" w:rsidR="00DA1AF7" w:rsidRDefault="00684366">
      <w:pPr>
        <w:tabs>
          <w:tab w:val="right" w:pos="9360"/>
        </w:tabs>
        <w:spacing w:before="160" w:after="140" w:line="360" w:lineRule="auto"/>
        <w:rPr>
          <w:sz w:val="20"/>
          <w:szCs w:val="20"/>
        </w:rPr>
      </w:pPr>
      <w:r>
        <w:rPr>
          <w:b/>
          <w:bCs/>
          <w:sz w:val="20"/>
          <w:szCs w:val="20"/>
        </w:rPr>
        <w:t>Figure 3.2. Decision flow from a raw enumeration finding to a verified outcome.</w:t>
      </w:r>
      <w:r>
        <w:rPr>
          <w:b/>
          <w:bCs/>
          <w:sz w:val="20"/>
          <w:szCs w:val="20"/>
        </w:rPr>
        <w:tab/>
        <w:t>23</w:t>
      </w:r>
    </w:p>
    <w:p w14:paraId="55B96085" w14:textId="77777777" w:rsidR="00DA1AF7" w:rsidRDefault="00684366">
      <w:pPr>
        <w:tabs>
          <w:tab w:val="right" w:pos="9360"/>
        </w:tabs>
        <w:spacing w:before="160" w:after="140" w:line="360" w:lineRule="auto"/>
        <w:rPr>
          <w:sz w:val="20"/>
          <w:szCs w:val="20"/>
        </w:rPr>
      </w:pPr>
      <w:r>
        <w:rPr>
          <w:b/>
          <w:bCs/>
          <w:sz w:val="20"/>
          <w:szCs w:val="20"/>
        </w:rPr>
        <w:t>Figure 4.1. The seven-layer APEX architecture.</w:t>
      </w:r>
      <w:r>
        <w:rPr>
          <w:b/>
          <w:bCs/>
          <w:sz w:val="20"/>
          <w:szCs w:val="20"/>
        </w:rPr>
        <w:tab/>
        <w:t>28</w:t>
      </w:r>
    </w:p>
    <w:p w14:paraId="55B96086" w14:textId="77777777" w:rsidR="00DA1AF7" w:rsidRDefault="00684366">
      <w:pPr>
        <w:tabs>
          <w:tab w:val="right" w:pos="9360"/>
        </w:tabs>
        <w:spacing w:before="160" w:after="140" w:line="360" w:lineRule="auto"/>
        <w:rPr>
          <w:sz w:val="20"/>
          <w:szCs w:val="20"/>
        </w:rPr>
      </w:pPr>
      <w:r>
        <w:rPr>
          <w:b/>
          <w:bCs/>
          <w:sz w:val="20"/>
          <w:szCs w:val="20"/>
        </w:rPr>
        <w:t>Figure 4.2. Concept view of how the five weighting factors in Table 3.1 combine into a single ranked score.</w:t>
      </w:r>
      <w:r>
        <w:rPr>
          <w:b/>
          <w:bCs/>
          <w:sz w:val="20"/>
          <w:szCs w:val="20"/>
        </w:rPr>
        <w:tab/>
        <w:t>32</w:t>
      </w:r>
    </w:p>
    <w:p w14:paraId="55B96087" w14:textId="77777777" w:rsidR="00DA1AF7" w:rsidRDefault="00684366">
      <w:pPr>
        <w:tabs>
          <w:tab w:val="right" w:pos="9360"/>
        </w:tabs>
        <w:spacing w:before="160" w:after="140" w:line="360" w:lineRule="auto"/>
        <w:rPr>
          <w:sz w:val="20"/>
          <w:szCs w:val="20"/>
        </w:rPr>
      </w:pPr>
      <w:r>
        <w:rPr>
          <w:b/>
          <w:bCs/>
          <w:sz w:val="20"/>
          <w:szCs w:val="20"/>
        </w:rPr>
        <w:t>Figure 4.3. APEX Installation</w:t>
      </w:r>
      <w:r>
        <w:rPr>
          <w:b/>
          <w:bCs/>
          <w:sz w:val="20"/>
          <w:szCs w:val="20"/>
        </w:rPr>
        <w:tab/>
        <w:t>37</w:t>
      </w:r>
    </w:p>
    <w:p w14:paraId="55B96088" w14:textId="77777777" w:rsidR="00DA1AF7" w:rsidRDefault="00684366">
      <w:pPr>
        <w:tabs>
          <w:tab w:val="right" w:pos="9360"/>
        </w:tabs>
        <w:spacing w:before="160" w:after="140" w:line="360" w:lineRule="auto"/>
        <w:rPr>
          <w:sz w:val="20"/>
          <w:szCs w:val="20"/>
        </w:rPr>
      </w:pPr>
      <w:r>
        <w:rPr>
          <w:b/>
          <w:bCs/>
          <w:sz w:val="20"/>
          <w:szCs w:val="20"/>
        </w:rPr>
        <w:t>Figure 4.4. APEX HTTP Server</w:t>
      </w:r>
      <w:r>
        <w:rPr>
          <w:b/>
          <w:bCs/>
          <w:sz w:val="20"/>
          <w:szCs w:val="20"/>
        </w:rPr>
        <w:tab/>
        <w:t>38</w:t>
      </w:r>
    </w:p>
    <w:p w14:paraId="55B96089" w14:textId="77777777" w:rsidR="00DA1AF7" w:rsidRDefault="00684366">
      <w:pPr>
        <w:tabs>
          <w:tab w:val="right" w:pos="9360"/>
        </w:tabs>
        <w:spacing w:before="160" w:after="140" w:line="360" w:lineRule="auto"/>
        <w:rPr>
          <w:sz w:val="20"/>
          <w:szCs w:val="20"/>
        </w:rPr>
      </w:pPr>
      <w:r>
        <w:rPr>
          <w:b/>
          <w:bCs/>
          <w:sz w:val="20"/>
          <w:szCs w:val="20"/>
        </w:rPr>
        <w:t>Figure 4.5. main.py: the authorisation gate, phase logging setup and output-prefix helper.</w:t>
      </w:r>
      <w:r>
        <w:rPr>
          <w:b/>
          <w:bCs/>
          <w:sz w:val="20"/>
          <w:szCs w:val="20"/>
        </w:rPr>
        <w:tab/>
        <w:t>39</w:t>
      </w:r>
    </w:p>
    <w:p w14:paraId="55B9608A" w14:textId="77777777" w:rsidR="00DA1AF7" w:rsidRDefault="00684366">
      <w:pPr>
        <w:tabs>
          <w:tab w:val="right" w:pos="9360"/>
        </w:tabs>
        <w:spacing w:before="160" w:after="140" w:line="360" w:lineRule="auto"/>
        <w:rPr>
          <w:sz w:val="20"/>
          <w:szCs w:val="20"/>
        </w:rPr>
      </w:pPr>
      <w:r>
        <w:rPr>
          <w:b/>
          <w:bCs/>
          <w:sz w:val="20"/>
          <w:szCs w:val="20"/>
        </w:rPr>
        <w:t xml:space="preserve">Figure 4.6. main.py: end of the verification/reporting output and the </w:t>
      </w:r>
      <w:proofErr w:type="spellStart"/>
      <w:r>
        <w:rPr>
          <w:b/>
          <w:bCs/>
          <w:sz w:val="20"/>
          <w:szCs w:val="20"/>
        </w:rPr>
        <w:t>argparse</w:t>
      </w:r>
      <w:proofErr w:type="spellEnd"/>
      <w:r>
        <w:rPr>
          <w:b/>
          <w:bCs/>
          <w:sz w:val="20"/>
          <w:szCs w:val="20"/>
        </w:rPr>
        <w:t>-based command-line interface.</w:t>
      </w:r>
      <w:r>
        <w:rPr>
          <w:b/>
          <w:bCs/>
          <w:sz w:val="20"/>
          <w:szCs w:val="20"/>
        </w:rPr>
        <w:tab/>
      </w:r>
      <w:r>
        <w:rPr>
          <w:b/>
          <w:bCs/>
          <w:sz w:val="20"/>
          <w:szCs w:val="20"/>
        </w:rPr>
        <w:t>40</w:t>
      </w:r>
    </w:p>
    <w:p w14:paraId="55B9608B" w14:textId="77777777" w:rsidR="00DA1AF7" w:rsidRDefault="00684366">
      <w:pPr>
        <w:tabs>
          <w:tab w:val="right" w:pos="9360"/>
        </w:tabs>
        <w:spacing w:before="160" w:after="140" w:line="360" w:lineRule="auto"/>
        <w:rPr>
          <w:sz w:val="20"/>
          <w:szCs w:val="20"/>
        </w:rPr>
      </w:pPr>
      <w:r>
        <w:rPr>
          <w:b/>
          <w:bCs/>
          <w:sz w:val="20"/>
          <w:szCs w:val="20"/>
        </w:rPr>
        <w:t>Figure 4.7. phases/p0_environment.py: Phase 0 shell and environment assessment.</w:t>
      </w:r>
      <w:r>
        <w:rPr>
          <w:b/>
          <w:bCs/>
          <w:sz w:val="20"/>
          <w:szCs w:val="20"/>
        </w:rPr>
        <w:tab/>
        <w:t>40</w:t>
      </w:r>
    </w:p>
    <w:p w14:paraId="55B9608C" w14:textId="77777777" w:rsidR="00DA1AF7" w:rsidRDefault="00684366">
      <w:pPr>
        <w:tabs>
          <w:tab w:val="right" w:pos="9360"/>
        </w:tabs>
        <w:spacing w:before="160" w:after="140" w:line="360" w:lineRule="auto"/>
        <w:rPr>
          <w:sz w:val="20"/>
          <w:szCs w:val="20"/>
        </w:rPr>
      </w:pPr>
      <w:r>
        <w:rPr>
          <w:b/>
          <w:bCs/>
          <w:sz w:val="20"/>
          <w:szCs w:val="20"/>
        </w:rPr>
        <w:t xml:space="preserve">Figure 4.8. </w:t>
      </w:r>
      <w:proofErr w:type="spellStart"/>
      <w:r>
        <w:rPr>
          <w:b/>
          <w:bCs/>
          <w:sz w:val="20"/>
          <w:szCs w:val="20"/>
        </w:rPr>
        <w:t>db</w:t>
      </w:r>
      <w:proofErr w:type="spellEnd"/>
      <w:r>
        <w:rPr>
          <w:b/>
          <w:bCs/>
          <w:sz w:val="20"/>
          <w:szCs w:val="20"/>
        </w:rPr>
        <w:t xml:space="preserve">/__init__.py: database connection and </w:t>
      </w:r>
      <w:proofErr w:type="spellStart"/>
      <w:r>
        <w:rPr>
          <w:b/>
          <w:bCs/>
          <w:sz w:val="20"/>
          <w:szCs w:val="20"/>
        </w:rPr>
        <w:t>GTFOBins</w:t>
      </w:r>
      <w:proofErr w:type="spellEnd"/>
      <w:r>
        <w:rPr>
          <w:b/>
          <w:bCs/>
          <w:sz w:val="20"/>
          <w:szCs w:val="20"/>
        </w:rPr>
        <w:t>-style technique lookup helpers.</w:t>
      </w:r>
      <w:r>
        <w:rPr>
          <w:b/>
          <w:bCs/>
          <w:sz w:val="20"/>
          <w:szCs w:val="20"/>
        </w:rPr>
        <w:tab/>
        <w:t>41</w:t>
      </w:r>
    </w:p>
    <w:p w14:paraId="55B9608D" w14:textId="77777777" w:rsidR="00DA1AF7" w:rsidRDefault="00684366">
      <w:pPr>
        <w:tabs>
          <w:tab w:val="right" w:pos="9360"/>
        </w:tabs>
        <w:spacing w:before="160" w:after="140" w:line="360" w:lineRule="auto"/>
        <w:rPr>
          <w:sz w:val="20"/>
          <w:szCs w:val="20"/>
        </w:rPr>
      </w:pPr>
      <w:r>
        <w:rPr>
          <w:b/>
          <w:bCs/>
          <w:sz w:val="20"/>
          <w:szCs w:val="20"/>
        </w:rPr>
        <w:t xml:space="preserve">Figure 5.1. Bundle hosting on the attacking machine and initial SSH access to the target as user </w:t>
      </w:r>
      <w:proofErr w:type="spellStart"/>
      <w:r>
        <w:rPr>
          <w:b/>
          <w:bCs/>
          <w:sz w:val="20"/>
          <w:szCs w:val="20"/>
        </w:rPr>
        <w:t>jim</w:t>
      </w:r>
      <w:proofErr w:type="spellEnd"/>
      <w:r>
        <w:rPr>
          <w:b/>
          <w:bCs/>
          <w:sz w:val="20"/>
          <w:szCs w:val="20"/>
        </w:rPr>
        <w:t>.</w:t>
      </w:r>
      <w:r>
        <w:rPr>
          <w:b/>
          <w:bCs/>
          <w:sz w:val="20"/>
          <w:szCs w:val="20"/>
        </w:rPr>
        <w:tab/>
        <w:t>40</w:t>
      </w:r>
    </w:p>
    <w:p w14:paraId="55B9608E" w14:textId="77777777" w:rsidR="00DA1AF7" w:rsidRDefault="00684366">
      <w:pPr>
        <w:tabs>
          <w:tab w:val="right" w:pos="9360"/>
        </w:tabs>
        <w:spacing w:before="160" w:after="140" w:line="360" w:lineRule="auto"/>
        <w:rPr>
          <w:sz w:val="20"/>
          <w:szCs w:val="20"/>
        </w:rPr>
      </w:pPr>
      <w:r>
        <w:rPr>
          <w:b/>
          <w:bCs/>
          <w:sz w:val="20"/>
          <w:szCs w:val="20"/>
        </w:rPr>
        <w:t>Figure 5.2. APEX bundle start-up banner, authorisation prompt and Phase 0 shell assessment on the target.</w:t>
      </w:r>
      <w:r>
        <w:rPr>
          <w:b/>
          <w:bCs/>
          <w:sz w:val="20"/>
          <w:szCs w:val="20"/>
        </w:rPr>
        <w:tab/>
        <w:t>41</w:t>
      </w:r>
    </w:p>
    <w:p w14:paraId="55B9608F" w14:textId="77777777" w:rsidR="00DA1AF7" w:rsidRDefault="00684366">
      <w:pPr>
        <w:tabs>
          <w:tab w:val="right" w:pos="9360"/>
        </w:tabs>
        <w:spacing w:before="160" w:after="140" w:line="360" w:lineRule="auto"/>
        <w:rPr>
          <w:sz w:val="20"/>
          <w:szCs w:val="20"/>
        </w:rPr>
      </w:pPr>
      <w:r>
        <w:rPr>
          <w:b/>
          <w:bCs/>
          <w:sz w:val="20"/>
          <w:szCs w:val="20"/>
        </w:rPr>
        <w:t>Figure 5.3. Phase 5 exploitation attempts, Phase 6 verification (root not obtained automatically), Phase 7 report generation, and discovery of a mail-spool credential hint.</w:t>
      </w:r>
      <w:r>
        <w:rPr>
          <w:b/>
          <w:bCs/>
          <w:sz w:val="20"/>
          <w:szCs w:val="20"/>
        </w:rPr>
        <w:tab/>
        <w:t>42</w:t>
      </w:r>
    </w:p>
    <w:p w14:paraId="55B96090" w14:textId="77777777" w:rsidR="00DA1AF7" w:rsidRDefault="00684366">
      <w:pPr>
        <w:tabs>
          <w:tab w:val="right" w:pos="9360"/>
        </w:tabs>
        <w:spacing w:before="160" w:after="140" w:line="360" w:lineRule="auto"/>
        <w:rPr>
          <w:sz w:val="20"/>
          <w:szCs w:val="20"/>
        </w:rPr>
      </w:pPr>
      <w:r>
        <w:rPr>
          <w:b/>
          <w:bCs/>
          <w:sz w:val="20"/>
          <w:szCs w:val="20"/>
        </w:rPr>
        <w:t xml:space="preserve">Figure 5.4. Continuation of the mail message, showing the plaintext password left for the </w:t>
      </w:r>
      <w:proofErr w:type="spellStart"/>
      <w:r>
        <w:rPr>
          <w:b/>
          <w:bCs/>
          <w:sz w:val="20"/>
          <w:szCs w:val="20"/>
        </w:rPr>
        <w:t>charles</w:t>
      </w:r>
      <w:proofErr w:type="spellEnd"/>
      <w:r>
        <w:rPr>
          <w:b/>
          <w:bCs/>
          <w:sz w:val="20"/>
          <w:szCs w:val="20"/>
        </w:rPr>
        <w:t xml:space="preserve"> account.</w:t>
      </w:r>
      <w:r>
        <w:rPr>
          <w:b/>
          <w:bCs/>
          <w:sz w:val="20"/>
          <w:szCs w:val="20"/>
        </w:rPr>
        <w:tab/>
        <w:t>43</w:t>
      </w:r>
    </w:p>
    <w:p w14:paraId="55B96091" w14:textId="77777777" w:rsidR="00DA1AF7" w:rsidRDefault="00684366">
      <w:pPr>
        <w:tabs>
          <w:tab w:val="right" w:pos="9360"/>
        </w:tabs>
        <w:spacing w:before="160" w:after="140" w:line="360" w:lineRule="auto"/>
        <w:rPr>
          <w:sz w:val="20"/>
          <w:szCs w:val="20"/>
        </w:rPr>
      </w:pPr>
      <w:r>
        <w:rPr>
          <w:b/>
          <w:bCs/>
          <w:sz w:val="20"/>
          <w:szCs w:val="20"/>
        </w:rPr>
        <w:t xml:space="preserve">Figure 5.5. Recovered mail-spool credential, successful </w:t>
      </w:r>
      <w:proofErr w:type="spellStart"/>
      <w:r>
        <w:rPr>
          <w:b/>
          <w:bCs/>
          <w:sz w:val="20"/>
          <w:szCs w:val="20"/>
        </w:rPr>
        <w:t>su</w:t>
      </w:r>
      <w:proofErr w:type="spellEnd"/>
      <w:r>
        <w:rPr>
          <w:b/>
          <w:bCs/>
          <w:sz w:val="20"/>
          <w:szCs w:val="20"/>
        </w:rPr>
        <w:t xml:space="preserve"> to the </w:t>
      </w:r>
      <w:proofErr w:type="spellStart"/>
      <w:r>
        <w:rPr>
          <w:b/>
          <w:bCs/>
          <w:sz w:val="20"/>
          <w:szCs w:val="20"/>
        </w:rPr>
        <w:t>charles</w:t>
      </w:r>
      <w:proofErr w:type="spellEnd"/>
      <w:r>
        <w:rPr>
          <w:b/>
          <w:bCs/>
          <w:sz w:val="20"/>
          <w:szCs w:val="20"/>
        </w:rPr>
        <w:t xml:space="preserve"> account, and a second APEX run beginning under that account.</w:t>
      </w:r>
      <w:r>
        <w:rPr>
          <w:b/>
          <w:bCs/>
          <w:sz w:val="20"/>
          <w:szCs w:val="20"/>
        </w:rPr>
        <w:tab/>
        <w:t>43</w:t>
      </w:r>
    </w:p>
    <w:p w14:paraId="55B96092" w14:textId="77777777" w:rsidR="00DA1AF7" w:rsidRDefault="00684366">
      <w:pPr>
        <w:tabs>
          <w:tab w:val="right" w:pos="9360"/>
        </w:tabs>
        <w:spacing w:before="160" w:after="140" w:line="360" w:lineRule="auto"/>
        <w:rPr>
          <w:sz w:val="20"/>
          <w:szCs w:val="20"/>
        </w:rPr>
      </w:pPr>
      <w:r>
        <w:rPr>
          <w:b/>
          <w:bCs/>
          <w:sz w:val="20"/>
          <w:szCs w:val="20"/>
        </w:rPr>
        <w:t>Figure 5.6. Sudo/teehee write primitive used to add a root-equivalent account, followed by verified root access.</w:t>
      </w:r>
      <w:r>
        <w:rPr>
          <w:b/>
          <w:bCs/>
          <w:sz w:val="20"/>
          <w:szCs w:val="20"/>
        </w:rPr>
        <w:tab/>
        <w:t>44</w:t>
      </w:r>
    </w:p>
    <w:p w14:paraId="55B96093" w14:textId="77777777" w:rsidR="00DA1AF7" w:rsidRDefault="00684366">
      <w:pPr>
        <w:tabs>
          <w:tab w:val="right" w:pos="9360"/>
        </w:tabs>
        <w:spacing w:before="160" w:after="140" w:line="360" w:lineRule="auto"/>
        <w:rPr>
          <w:sz w:val="20"/>
          <w:szCs w:val="20"/>
        </w:rPr>
      </w:pPr>
      <w:r>
        <w:rPr>
          <w:b/>
          <w:bCs/>
          <w:sz w:val="20"/>
          <w:szCs w:val="20"/>
        </w:rPr>
        <w:t>Figure 5.7. The case study evidence chain as a single timeline, from initial SSH access as '</w:t>
      </w:r>
      <w:proofErr w:type="spellStart"/>
      <w:r>
        <w:rPr>
          <w:b/>
          <w:bCs/>
          <w:sz w:val="20"/>
          <w:szCs w:val="20"/>
        </w:rPr>
        <w:t>jim</w:t>
      </w:r>
      <w:proofErr w:type="spellEnd"/>
      <w:r>
        <w:rPr>
          <w:b/>
          <w:bCs/>
          <w:sz w:val="20"/>
          <w:szCs w:val="20"/>
        </w:rPr>
        <w:t>' to independently verified root as '</w:t>
      </w:r>
      <w:proofErr w:type="spellStart"/>
      <w:r>
        <w:rPr>
          <w:b/>
          <w:bCs/>
          <w:sz w:val="20"/>
          <w:szCs w:val="20"/>
        </w:rPr>
        <w:t>apexroot</w:t>
      </w:r>
      <w:proofErr w:type="spellEnd"/>
      <w:r>
        <w:rPr>
          <w:b/>
          <w:bCs/>
          <w:sz w:val="20"/>
          <w:szCs w:val="20"/>
        </w:rPr>
        <w:t>'.</w:t>
      </w:r>
      <w:r>
        <w:rPr>
          <w:b/>
          <w:bCs/>
          <w:sz w:val="20"/>
          <w:szCs w:val="20"/>
        </w:rPr>
        <w:tab/>
        <w:t>45</w:t>
      </w:r>
    </w:p>
    <w:p w14:paraId="55B96094" w14:textId="77777777" w:rsidR="00DA1AF7" w:rsidRDefault="00684366">
      <w:pPr>
        <w:pageBreakBefore/>
        <w:spacing w:after="300" w:line="360" w:lineRule="auto"/>
        <w:jc w:val="center"/>
        <w:rPr>
          <w:b/>
          <w:bCs/>
          <w:sz w:val="32"/>
          <w:szCs w:val="32"/>
        </w:rPr>
      </w:pPr>
      <w:r>
        <w:rPr>
          <w:b/>
          <w:bCs/>
          <w:sz w:val="32"/>
          <w:szCs w:val="32"/>
        </w:rPr>
        <w:lastRenderedPageBreak/>
        <w:t>List of Tables</w:t>
      </w:r>
    </w:p>
    <w:p w14:paraId="55B96095" w14:textId="77777777" w:rsidR="00DA1AF7" w:rsidRDefault="00684366">
      <w:pPr>
        <w:tabs>
          <w:tab w:val="right" w:pos="9360"/>
        </w:tabs>
        <w:spacing w:before="160" w:after="140" w:line="360" w:lineRule="auto"/>
      </w:pPr>
      <w:r>
        <w:rPr>
          <w:b/>
          <w:bCs/>
          <w:sz w:val="22"/>
          <w:szCs w:val="22"/>
        </w:rPr>
        <w:t>Table 3.1: Weighting factors used in candidate scoring</w:t>
      </w:r>
      <w:r>
        <w:rPr>
          <w:b/>
          <w:bCs/>
          <w:sz w:val="22"/>
          <w:szCs w:val="22"/>
        </w:rPr>
        <w:tab/>
        <w:t>23</w:t>
      </w:r>
    </w:p>
    <w:p w14:paraId="55B96096" w14:textId="77777777" w:rsidR="00DA1AF7" w:rsidRDefault="00684366">
      <w:pPr>
        <w:tabs>
          <w:tab w:val="right" w:pos="9360"/>
        </w:tabs>
        <w:spacing w:before="160" w:after="140" w:line="360" w:lineRule="auto"/>
      </w:pPr>
      <w:r>
        <w:rPr>
          <w:b/>
          <w:bCs/>
          <w:sz w:val="22"/>
          <w:szCs w:val="22"/>
        </w:rPr>
        <w:t>Table 4.1: Technique categories, trust boundaries, and evidence collected</w:t>
      </w:r>
      <w:r>
        <w:rPr>
          <w:b/>
          <w:bCs/>
          <w:sz w:val="22"/>
          <w:szCs w:val="22"/>
        </w:rPr>
        <w:tab/>
        <w:t>29</w:t>
      </w:r>
    </w:p>
    <w:p w14:paraId="55B96097" w14:textId="77777777" w:rsidR="00DA1AF7" w:rsidRDefault="00684366">
      <w:pPr>
        <w:tabs>
          <w:tab w:val="right" w:pos="9360"/>
        </w:tabs>
        <w:spacing w:before="160" w:after="140" w:line="360" w:lineRule="auto"/>
      </w:pPr>
      <w:r>
        <w:rPr>
          <w:b/>
          <w:bCs/>
          <w:sz w:val="22"/>
          <w:szCs w:val="22"/>
        </w:rPr>
        <w:t>Table 5.1: Summary of the case study evidence chain</w:t>
      </w:r>
      <w:r>
        <w:rPr>
          <w:b/>
          <w:bCs/>
          <w:sz w:val="22"/>
          <w:szCs w:val="22"/>
        </w:rPr>
        <w:tab/>
        <w:t>40</w:t>
      </w:r>
    </w:p>
    <w:p w14:paraId="55B96098" w14:textId="77777777" w:rsidR="00DA1AF7" w:rsidRDefault="00684366">
      <w:pPr>
        <w:tabs>
          <w:tab w:val="right" w:pos="9360"/>
        </w:tabs>
        <w:spacing w:before="160" w:after="140" w:line="360" w:lineRule="auto"/>
      </w:pPr>
      <w:r>
        <w:rPr>
          <w:b/>
          <w:bCs/>
          <w:sz w:val="22"/>
          <w:szCs w:val="22"/>
        </w:rPr>
        <w:t>Table C.1: Glossary of specialist and project-specific terms</w:t>
      </w:r>
      <w:r>
        <w:rPr>
          <w:b/>
          <w:bCs/>
          <w:sz w:val="22"/>
          <w:szCs w:val="22"/>
        </w:rPr>
        <w:tab/>
        <w:t>59</w:t>
      </w:r>
    </w:p>
    <w:p w14:paraId="55B96099" w14:textId="77777777" w:rsidR="00DA1AF7" w:rsidRDefault="00DA1AF7">
      <w:pPr>
        <w:spacing w:after="160" w:line="360" w:lineRule="auto"/>
        <w:jc w:val="both"/>
      </w:pPr>
    </w:p>
    <w:p w14:paraId="55B9609A" w14:textId="77777777" w:rsidR="00DA1AF7" w:rsidRDefault="00DA1AF7">
      <w:pPr>
        <w:pStyle w:val="Heading1"/>
        <w:spacing w:before="480" w:after="160" w:line="360" w:lineRule="auto"/>
        <w:rPr>
          <w:rFonts w:ascii="Times New Roman" w:eastAsia="Times New Roman" w:hAnsi="Times New Roman" w:cs="Times New Roman"/>
          <w:b/>
          <w:bCs/>
          <w:color w:val="000000"/>
        </w:rPr>
      </w:pPr>
    </w:p>
    <w:p w14:paraId="55B9609B" w14:textId="77777777" w:rsidR="00DA1AF7" w:rsidRDefault="00DA1AF7">
      <w:pPr>
        <w:pStyle w:val="Heading1"/>
        <w:spacing w:before="480" w:after="160" w:line="360" w:lineRule="auto"/>
        <w:rPr>
          <w:rFonts w:ascii="Times New Roman" w:eastAsia="Times New Roman" w:hAnsi="Times New Roman" w:cs="Times New Roman"/>
          <w:b/>
          <w:bCs/>
          <w:color w:val="000000"/>
        </w:rPr>
      </w:pPr>
    </w:p>
    <w:p w14:paraId="55B9609C" w14:textId="77777777" w:rsidR="00DA1AF7" w:rsidRDefault="00DA1AF7">
      <w:pPr>
        <w:pStyle w:val="Heading1"/>
        <w:spacing w:before="480" w:after="160" w:line="360" w:lineRule="auto"/>
        <w:rPr>
          <w:rFonts w:ascii="Times New Roman" w:eastAsia="Times New Roman" w:hAnsi="Times New Roman" w:cs="Times New Roman"/>
          <w:b/>
          <w:bCs/>
          <w:color w:val="000000"/>
        </w:rPr>
      </w:pPr>
    </w:p>
    <w:p w14:paraId="55B9609D" w14:textId="77777777" w:rsidR="00DA1AF7" w:rsidRDefault="00DA1AF7">
      <w:pPr>
        <w:pStyle w:val="Heading1"/>
        <w:spacing w:before="480" w:after="160" w:line="360" w:lineRule="auto"/>
        <w:rPr>
          <w:rFonts w:ascii="Times New Roman" w:eastAsia="Times New Roman" w:hAnsi="Times New Roman" w:cs="Times New Roman"/>
          <w:b/>
          <w:bCs/>
          <w:color w:val="000000"/>
        </w:rPr>
      </w:pPr>
    </w:p>
    <w:p w14:paraId="55B9609E" w14:textId="77777777" w:rsidR="00DA1AF7" w:rsidRDefault="00DA1AF7">
      <w:pPr>
        <w:pStyle w:val="Heading1"/>
        <w:spacing w:before="480" w:after="160" w:line="360" w:lineRule="auto"/>
        <w:rPr>
          <w:rFonts w:ascii="Times New Roman" w:eastAsia="Times New Roman" w:hAnsi="Times New Roman" w:cs="Times New Roman"/>
          <w:b/>
          <w:bCs/>
          <w:color w:val="000000"/>
        </w:rPr>
      </w:pPr>
    </w:p>
    <w:p w14:paraId="55B9609F" w14:textId="77777777" w:rsidR="00DA1AF7" w:rsidRDefault="00DA1AF7">
      <w:pPr>
        <w:pStyle w:val="Heading1"/>
        <w:spacing w:before="480" w:after="160" w:line="360" w:lineRule="auto"/>
        <w:rPr>
          <w:rFonts w:ascii="Times New Roman" w:eastAsia="Times New Roman" w:hAnsi="Times New Roman" w:cs="Times New Roman"/>
          <w:b/>
          <w:bCs/>
          <w:color w:val="000000"/>
        </w:rPr>
      </w:pPr>
    </w:p>
    <w:p w14:paraId="55B960A0" w14:textId="77777777" w:rsidR="00DA1AF7" w:rsidRDefault="00DA1AF7">
      <w:pPr>
        <w:pStyle w:val="Heading1"/>
        <w:spacing w:before="480" w:after="160" w:line="360" w:lineRule="auto"/>
        <w:rPr>
          <w:rFonts w:ascii="Times New Roman" w:eastAsia="Times New Roman" w:hAnsi="Times New Roman" w:cs="Times New Roman"/>
          <w:b/>
          <w:bCs/>
          <w:color w:val="000000"/>
        </w:rPr>
      </w:pPr>
    </w:p>
    <w:p w14:paraId="55B960A1" w14:textId="77777777" w:rsidR="00DA1AF7" w:rsidRDefault="00DA1AF7">
      <w:pPr>
        <w:pStyle w:val="Heading1"/>
        <w:spacing w:before="480" w:after="160" w:line="360" w:lineRule="auto"/>
        <w:rPr>
          <w:rFonts w:ascii="Times New Roman" w:eastAsia="Times New Roman" w:hAnsi="Times New Roman" w:cs="Times New Roman"/>
          <w:b/>
          <w:bCs/>
          <w:color w:val="000000"/>
        </w:rPr>
      </w:pPr>
    </w:p>
    <w:p w14:paraId="55B960A2" w14:textId="77777777" w:rsidR="00DA1AF7" w:rsidRDefault="00DA1AF7">
      <w:pPr>
        <w:pStyle w:val="Heading1"/>
        <w:spacing w:before="480" w:after="160" w:line="360" w:lineRule="auto"/>
        <w:rPr>
          <w:rFonts w:ascii="Times New Roman" w:eastAsia="Times New Roman" w:hAnsi="Times New Roman" w:cs="Times New Roman"/>
          <w:b/>
          <w:bCs/>
          <w:color w:val="000000"/>
        </w:rPr>
      </w:pPr>
    </w:p>
    <w:p w14:paraId="55B960A3" w14:textId="77777777" w:rsidR="00DA1AF7" w:rsidRDefault="00684366">
      <w:pPr>
        <w:pStyle w:val="Heading1"/>
        <w:spacing w:before="480" w:after="160" w:line="360" w:lineRule="auto"/>
        <w:rPr>
          <w:rFonts w:ascii="Times New Roman" w:eastAsia="Times New Roman" w:hAnsi="Times New Roman" w:cs="Times New Roman"/>
        </w:rPr>
      </w:pPr>
      <w:r>
        <w:rPr>
          <w:rFonts w:ascii="Times New Roman" w:eastAsia="Times New Roman" w:hAnsi="Times New Roman" w:cs="Times New Roman"/>
          <w:b/>
          <w:bCs/>
          <w:color w:val="000000"/>
        </w:rPr>
        <w:lastRenderedPageBreak/>
        <w:t>CHAPTER 1: INTRODUCTION</w:t>
      </w:r>
    </w:p>
    <w:p w14:paraId="55B960A4" w14:textId="77777777" w:rsidR="00DA1AF7" w:rsidRDefault="00684366">
      <w:pPr>
        <w:spacing w:after="160" w:line="360" w:lineRule="auto"/>
        <w:jc w:val="both"/>
        <w:rPr>
          <w:sz w:val="22"/>
          <w:szCs w:val="22"/>
        </w:rPr>
      </w:pPr>
      <w:r>
        <w:rPr>
          <w:sz w:val="22"/>
          <w:szCs w:val="22"/>
        </w:rPr>
        <w:t>Privilege escalation is one of the most important steps in Linux security assessment. Once a tester has an initial low-privilege account or shell, the next thing they typically do is look around the system for configuration issues, unsafe permissions, exposed credentials, insecure software and other factors that may lead to a more privileged account. The individual checks are well known, but turning many findings into a sound next action still hinges greatly on the tester's experience.</w:t>
      </w:r>
    </w:p>
    <w:p w14:paraId="55B960A5" w14:textId="77777777" w:rsidR="00DA1AF7" w:rsidRDefault="00684366">
      <w:pPr>
        <w:spacing w:after="160" w:line="360" w:lineRule="auto"/>
        <w:jc w:val="both"/>
        <w:rPr>
          <w:sz w:val="22"/>
          <w:szCs w:val="22"/>
        </w:rPr>
      </w:pPr>
      <w:r>
        <w:rPr>
          <w:sz w:val="22"/>
          <w:szCs w:val="22"/>
        </w:rPr>
        <w:t xml:space="preserve">That’s the sort of decision-making problem APEX (Autonomous Privilege Escalation </w:t>
      </w:r>
      <w:proofErr w:type="spellStart"/>
      <w:r>
        <w:rPr>
          <w:sz w:val="22"/>
          <w:szCs w:val="22"/>
        </w:rPr>
        <w:t>eXecutor</w:t>
      </w:r>
      <w:proofErr w:type="spellEnd"/>
      <w:r>
        <w:rPr>
          <w:sz w:val="22"/>
          <w:szCs w:val="22"/>
        </w:rPr>
        <w:t>) is designed to address. Rather than another code that spits out hundreds of lines of enumeration output, APEX handles privilege escalation as a flow of evidence collecting, analysis, prioritization, controlled execution and verification. It is written in Python and Bash and is meant for authorized penetration-testing and laboratory environments.</w:t>
      </w:r>
    </w:p>
    <w:p w14:paraId="55B960A6" w14:textId="77777777" w:rsidR="00DA1AF7" w:rsidRDefault="00684366">
      <w:pPr>
        <w:spacing w:after="160" w:line="360" w:lineRule="auto"/>
        <w:jc w:val="both"/>
        <w:rPr>
          <w:sz w:val="22"/>
          <w:szCs w:val="22"/>
        </w:rPr>
      </w:pPr>
      <w:r>
        <w:rPr>
          <w:sz w:val="22"/>
          <w:szCs w:val="22"/>
        </w:rPr>
        <w:t xml:space="preserve">The basic notion is simple: a decent automation tool shouldn't just tell you about a potentially interesting SUID binary, </w:t>
      </w:r>
      <w:proofErr w:type="spellStart"/>
      <w:r>
        <w:rPr>
          <w:sz w:val="22"/>
          <w:szCs w:val="22"/>
        </w:rPr>
        <w:t>sudo</w:t>
      </w:r>
      <w:proofErr w:type="spellEnd"/>
      <w:r>
        <w:rPr>
          <w:sz w:val="22"/>
          <w:szCs w:val="22"/>
        </w:rPr>
        <w:t xml:space="preserve"> rule, Linux capability, scheduled task, or kernel condition. It should also confirm that the relevant requirements are met, assess how promising the approach is, explain why it was prioritized, attempt an approved technique in a controlled context and check the result before continuing.</w:t>
      </w:r>
    </w:p>
    <w:p w14:paraId="55B960A7" w14:textId="77777777" w:rsidR="00DA1AF7" w:rsidRDefault="00684366">
      <w:pPr>
        <w:spacing w:after="160" w:line="360" w:lineRule="auto"/>
        <w:jc w:val="both"/>
        <w:rPr>
          <w:sz w:val="22"/>
          <w:szCs w:val="22"/>
        </w:rPr>
      </w:pPr>
      <w:r>
        <w:rPr>
          <w:sz w:val="22"/>
          <w:szCs w:val="22"/>
        </w:rPr>
        <w:t>For this project, an initial enumeration script was transformed into a two-part system: a Python command line utility for enumeration, scoring, controlled exploitation and reporting on the attacking host and a companion Bash bundle generator ('apex-bundle') that packages the equivalent dependency-free routine into a single portable shell script deployable on the target itself. This difference is important in practice: many targets, especially basic or obsolete Linux installs that were made on purpose, don't</w:t>
      </w:r>
      <w:r>
        <w:rPr>
          <w:sz w:val="22"/>
          <w:szCs w:val="22"/>
        </w:rPr>
        <w:t xml:space="preserve"> have Python 3, but almost all of them have a POSIX-compatible shell. Another tough choice was to keep both code pathways consistent against the same rule set, as discussed in Chapter 4.</w:t>
      </w:r>
    </w:p>
    <w:p w14:paraId="55B960A8" w14:textId="77777777" w:rsidR="00DA1AF7" w:rsidRDefault="00684366">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1.1 Problem Statement</w:t>
      </w:r>
    </w:p>
    <w:p w14:paraId="55B960A9" w14:textId="77777777" w:rsidR="00DA1AF7" w:rsidRDefault="00684366">
      <w:pPr>
        <w:spacing w:after="160" w:line="360" w:lineRule="auto"/>
        <w:jc w:val="both"/>
      </w:pPr>
      <w:r>
        <w:rPr>
          <w:sz w:val="22"/>
          <w:szCs w:val="22"/>
        </w:rPr>
        <w:t xml:space="preserve">Linux privilege escalation is backed by extensive practical knowledge, including enumeration scripts, binary-abuse references and penetration-testing frameworks. Tools such as PEASS-ng gather and highlight information useful for escalation, and resources like </w:t>
      </w:r>
      <w:proofErr w:type="spellStart"/>
      <w:r>
        <w:rPr>
          <w:sz w:val="22"/>
          <w:szCs w:val="22"/>
        </w:rPr>
        <w:t>GTFOBins</w:t>
      </w:r>
      <w:proofErr w:type="spellEnd"/>
      <w:r>
        <w:rPr>
          <w:sz w:val="22"/>
          <w:szCs w:val="22"/>
        </w:rPr>
        <w:t xml:space="preserve"> document how legitimate Unix binaries become security-relevant when combined with unsafe permissions or configurations [1], [2]. MITRE ATT&amp;CK also records elevation-control abuse such as </w:t>
      </w:r>
      <w:proofErr w:type="spellStart"/>
      <w:r>
        <w:rPr>
          <w:sz w:val="22"/>
          <w:szCs w:val="22"/>
        </w:rPr>
        <w:t>Setuid</w:t>
      </w:r>
      <w:proofErr w:type="spellEnd"/>
      <w:r>
        <w:rPr>
          <w:sz w:val="22"/>
          <w:szCs w:val="22"/>
        </w:rPr>
        <w:t>/</w:t>
      </w:r>
      <w:proofErr w:type="spellStart"/>
      <w:r>
        <w:rPr>
          <w:sz w:val="22"/>
          <w:szCs w:val="22"/>
        </w:rPr>
        <w:t>Setgid</w:t>
      </w:r>
      <w:proofErr w:type="spellEnd"/>
      <w:r>
        <w:rPr>
          <w:sz w:val="22"/>
          <w:szCs w:val="22"/>
        </w:rPr>
        <w:t xml:space="preserve"> and </w:t>
      </w:r>
      <w:proofErr w:type="spellStart"/>
      <w:r>
        <w:rPr>
          <w:sz w:val="22"/>
          <w:szCs w:val="22"/>
        </w:rPr>
        <w:t>sudo</w:t>
      </w:r>
      <w:proofErr w:type="spellEnd"/>
      <w:r>
        <w:rPr>
          <w:sz w:val="22"/>
          <w:szCs w:val="22"/>
        </w:rPr>
        <w:t xml:space="preserve"> as recognised privilege-escalation mechanisms [3], [4].</w:t>
      </w:r>
    </w:p>
    <w:p w14:paraId="55B960AA" w14:textId="77777777" w:rsidR="00DA1AF7" w:rsidRDefault="00684366">
      <w:pPr>
        <w:spacing w:after="160" w:line="360" w:lineRule="auto"/>
        <w:jc w:val="both"/>
        <w:rPr>
          <w:sz w:val="22"/>
          <w:szCs w:val="22"/>
        </w:rPr>
      </w:pPr>
      <w:r>
        <w:rPr>
          <w:sz w:val="22"/>
          <w:szCs w:val="22"/>
        </w:rPr>
        <w:lastRenderedPageBreak/>
        <w:t>Finding and decision-making are usually decoupled. Enumeration tools present many plausible leads, but the tester must still judge which findings are genuinely exploitable, decide what to try first, avoid irrelevant or hazardous attempts, and confirm whether the privilege level changed. An experienced tester can do this, but the more output there is, the slower and less consistent it becomes. As Chapter 5 shows, a single host can realistically yield sixty or more raw findings, and a junior analyst has no pr</w:t>
      </w:r>
      <w:r>
        <w:rPr>
          <w:sz w:val="22"/>
          <w:szCs w:val="22"/>
        </w:rPr>
        <w:t>incipled way to choose which few to examine first short of trying each in turn.</w:t>
      </w:r>
    </w:p>
    <w:p w14:paraId="55B960AB" w14:textId="77777777" w:rsidR="00DA1AF7" w:rsidRDefault="00684366">
      <w:pPr>
        <w:spacing w:after="160" w:line="360" w:lineRule="auto"/>
        <w:jc w:val="both"/>
        <w:rPr>
          <w:sz w:val="22"/>
          <w:szCs w:val="22"/>
        </w:rPr>
      </w:pPr>
      <w:r>
        <w:rPr>
          <w:sz w:val="22"/>
          <w:szCs w:val="22"/>
        </w:rPr>
        <w:t xml:space="preserve">This gap has a measurable cost in a live assessment: time spent triaging enumeration output is time not spent elsewhere in the engagement. A tester on a fixed window decides quickly, often from memory or a personal checklist. That informal, experience-based triage is hard to hand to a novice, hard to document consistently, and hard to reproduce on a second pass. It is also hard to </w:t>
      </w:r>
      <w:proofErr w:type="gramStart"/>
      <w:r>
        <w:rPr>
          <w:sz w:val="22"/>
          <w:szCs w:val="22"/>
        </w:rPr>
        <w:t>review:</w:t>
      </w:r>
      <w:proofErr w:type="gramEnd"/>
      <w:r>
        <w:rPr>
          <w:sz w:val="22"/>
          <w:szCs w:val="22"/>
        </w:rPr>
        <w:t xml:space="preserve"> when a candidate is discarded as unpromising, the decision and its justification are rarely recorded, so neither a supervisor nor the tester later can check whether the judgment was sound.</w:t>
      </w:r>
    </w:p>
    <w:p w14:paraId="55B960AC" w14:textId="77777777" w:rsidR="00DA1AF7" w:rsidRDefault="00684366">
      <w:pPr>
        <w:spacing w:after="160" w:line="360" w:lineRule="auto"/>
        <w:jc w:val="both"/>
        <w:rPr>
          <w:sz w:val="22"/>
          <w:szCs w:val="22"/>
        </w:rPr>
      </w:pPr>
      <w:r>
        <w:rPr>
          <w:sz w:val="22"/>
          <w:szCs w:val="22"/>
        </w:rPr>
        <w:t>This study therefore explored whether a structured, rule-based approach could close this gap by translating raw Linux enumeration results into prioritised escalation candidates and then verifying the chosen paths in a controlled environment. It is not about discovering new vulnerabilities, but about improving the interpretation, prioritisation and verification of known privilege-escalation evidence.</w:t>
      </w:r>
    </w:p>
    <w:p w14:paraId="55B960AD" w14:textId="77777777" w:rsidR="00DA1AF7" w:rsidRDefault="00684366">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1.2 Research Gap</w:t>
      </w:r>
    </w:p>
    <w:p w14:paraId="55B960AE" w14:textId="77777777" w:rsidR="00DA1AF7" w:rsidRDefault="00684366">
      <w:pPr>
        <w:spacing w:after="160" w:line="360" w:lineRule="auto"/>
        <w:jc w:val="both"/>
      </w:pPr>
      <w:r>
        <w:rPr>
          <w:sz w:val="22"/>
          <w:szCs w:val="22"/>
        </w:rPr>
        <w:t>Existing Linux privilege-escalation tooling is strong at enumeration, and general exploitation frameworks are good at running known modules. What is less often made transparent and reproducible is the intermediate layer between them: the reasoning that decides whether a finding qualifies for a technique, how to rank possible paths, and how to respond when a path fails.</w:t>
      </w:r>
    </w:p>
    <w:p w14:paraId="55B960AF" w14:textId="77777777" w:rsidR="00DA1AF7" w:rsidRDefault="00684366">
      <w:pPr>
        <w:spacing w:after="160" w:line="360" w:lineRule="auto"/>
        <w:jc w:val="both"/>
      </w:pPr>
      <w:r>
        <w:rPr>
          <w:sz w:val="22"/>
          <w:szCs w:val="22"/>
        </w:rPr>
        <w:t>Recent research is beginning to explore autonomous privilege escalation with large language model agents. Happe and Cito showed that LLM agents can perform Linux privilege escalation in penetration-testing settings [5]. Such work shows autonomous decision-making is a significant research direction, but LLM-based techniques can introduce non-determinism, cost, reproducibility problems and dependence on model behaviour.</w:t>
      </w:r>
    </w:p>
    <w:p w14:paraId="55B960B0" w14:textId="77777777" w:rsidR="00DA1AF7" w:rsidRDefault="00684366">
      <w:pPr>
        <w:spacing w:after="160" w:line="360" w:lineRule="auto"/>
        <w:jc w:val="both"/>
      </w:pPr>
      <w:r>
        <w:rPr>
          <w:sz w:val="22"/>
          <w:szCs w:val="22"/>
        </w:rPr>
        <w:t>APEX examines a different design point: a deterministic weighted decision engine whose rules, prerequisites and scores can be scrutinised, letting us investigate whether transparent automation can discover and verify common Linux privilege-escalation methods without an LLM deciding each step.</w:t>
      </w:r>
    </w:p>
    <w:p w14:paraId="55B960B1" w14:textId="77777777" w:rsidR="00DA1AF7" w:rsidRDefault="00DA1AF7">
      <w:pPr>
        <w:pStyle w:val="Heading2"/>
        <w:spacing w:before="280" w:after="120" w:line="360" w:lineRule="auto"/>
        <w:rPr>
          <w:rFonts w:ascii="Times New Roman" w:eastAsia="Times New Roman" w:hAnsi="Times New Roman" w:cs="Times New Roman"/>
          <w:b/>
          <w:bCs/>
          <w:color w:val="000000"/>
        </w:rPr>
      </w:pPr>
    </w:p>
    <w:p w14:paraId="55B960B2" w14:textId="77777777" w:rsidR="00DA1AF7" w:rsidRDefault="00684366">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lastRenderedPageBreak/>
        <w:t>1.3 Research Questions</w:t>
      </w:r>
    </w:p>
    <w:p w14:paraId="55B960B3" w14:textId="77777777" w:rsidR="00DA1AF7" w:rsidRDefault="00684366">
      <w:pPr>
        <w:spacing w:after="160" w:line="360" w:lineRule="auto"/>
        <w:jc w:val="both"/>
        <w:rPr>
          <w:sz w:val="22"/>
          <w:szCs w:val="22"/>
        </w:rPr>
      </w:pPr>
      <w:r>
        <w:rPr>
          <w:b/>
          <w:bCs/>
          <w:sz w:val="22"/>
          <w:szCs w:val="22"/>
        </w:rPr>
        <w:t xml:space="preserve">RQ1: </w:t>
      </w:r>
      <w:r>
        <w:rPr>
          <w:sz w:val="22"/>
          <w:szCs w:val="22"/>
        </w:rPr>
        <w:t>How well can explicit requirement criteria transform structured Linux enumeration data into legitimate privilege escalation candidates?</w:t>
      </w:r>
    </w:p>
    <w:p w14:paraId="55B960B4" w14:textId="77777777" w:rsidR="00DA1AF7" w:rsidRDefault="00684366">
      <w:pPr>
        <w:spacing w:after="160" w:line="360" w:lineRule="auto"/>
        <w:jc w:val="both"/>
        <w:rPr>
          <w:sz w:val="22"/>
          <w:szCs w:val="22"/>
        </w:rPr>
      </w:pPr>
      <w:r>
        <w:rPr>
          <w:b/>
          <w:bCs/>
          <w:sz w:val="22"/>
          <w:szCs w:val="22"/>
        </w:rPr>
        <w:t xml:space="preserve">RQ2: </w:t>
      </w:r>
      <w:r>
        <w:rPr>
          <w:sz w:val="22"/>
          <w:szCs w:val="22"/>
        </w:rPr>
        <w:t>Can a weighted rule-based scoring model be used to rank privilege escalation methods to increase success rate and decrease wasteful attempts?</w:t>
      </w:r>
    </w:p>
    <w:p w14:paraId="55B960B5" w14:textId="77777777" w:rsidR="00DA1AF7" w:rsidRDefault="00684366">
      <w:pPr>
        <w:spacing w:after="160" w:line="360" w:lineRule="auto"/>
        <w:jc w:val="both"/>
        <w:rPr>
          <w:sz w:val="22"/>
          <w:szCs w:val="22"/>
        </w:rPr>
      </w:pPr>
      <w:r>
        <w:rPr>
          <w:b/>
          <w:bCs/>
          <w:sz w:val="22"/>
          <w:szCs w:val="22"/>
        </w:rPr>
        <w:t xml:space="preserve">RQ3. </w:t>
      </w:r>
      <w:r>
        <w:rPr>
          <w:sz w:val="22"/>
          <w:szCs w:val="22"/>
        </w:rPr>
        <w:t>To what extent can APEX reliably execute and verify approved privilege-escalation procedures in controlled Linux environments?</w:t>
      </w:r>
    </w:p>
    <w:p w14:paraId="55B960B6" w14:textId="77777777" w:rsidR="00DA1AF7" w:rsidRDefault="00684366">
      <w:pPr>
        <w:spacing w:after="160" w:line="360" w:lineRule="auto"/>
        <w:jc w:val="both"/>
        <w:rPr>
          <w:sz w:val="22"/>
          <w:szCs w:val="22"/>
        </w:rPr>
      </w:pPr>
      <w:r>
        <w:rPr>
          <w:b/>
          <w:bCs/>
          <w:sz w:val="22"/>
          <w:szCs w:val="22"/>
        </w:rPr>
        <w:t xml:space="preserve">RQ4: </w:t>
      </w:r>
      <w:r>
        <w:rPr>
          <w:sz w:val="22"/>
          <w:szCs w:val="22"/>
        </w:rPr>
        <w:t>How does the APEX workflow compare to enumeration-only/manual analysis in terms of time, number of attempts, transparency and reproducibility?</w:t>
      </w:r>
    </w:p>
    <w:p w14:paraId="55B960B7" w14:textId="77777777" w:rsidR="00DA1AF7" w:rsidRDefault="00684366">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1.4 Aims and Objectives</w:t>
      </w:r>
    </w:p>
    <w:p w14:paraId="55B960B8" w14:textId="77777777" w:rsidR="00DA1AF7" w:rsidRDefault="00684366">
      <w:pPr>
        <w:numPr>
          <w:ilvl w:val="0"/>
          <w:numId w:val="1"/>
        </w:numPr>
        <w:spacing w:after="80" w:line="360" w:lineRule="auto"/>
      </w:pPr>
      <w:r>
        <w:rPr>
          <w:sz w:val="22"/>
          <w:szCs w:val="22"/>
        </w:rPr>
        <w:t>The overall aim is to design, build and evaluate a rule-based decision engine that ingests Linux privilege-escalation enumeration data and turns it into a ranked, explainable and verifiable set of exploitation attempts, without relying on a large language model to generate the underlying decisions.</w:t>
      </w:r>
    </w:p>
    <w:p w14:paraId="55B960B9" w14:textId="77777777" w:rsidR="00DA1AF7" w:rsidRDefault="00684366">
      <w:pPr>
        <w:numPr>
          <w:ilvl w:val="0"/>
          <w:numId w:val="1"/>
        </w:numPr>
        <w:spacing w:after="80" w:line="360" w:lineRule="auto"/>
      </w:pPr>
      <w:r>
        <w:rPr>
          <w:sz w:val="22"/>
          <w:szCs w:val="22"/>
        </w:rPr>
        <w:t>Existing enumeration tools, technique knowledge bases and automated or agentic privilege-escalation research are reviewed to find where decision-making help is lacking.</w:t>
      </w:r>
    </w:p>
    <w:p w14:paraId="55B960BA" w14:textId="77777777" w:rsidR="00DA1AF7" w:rsidRDefault="00684366">
      <w:pPr>
        <w:numPr>
          <w:ilvl w:val="0"/>
          <w:numId w:val="1"/>
        </w:numPr>
        <w:spacing w:after="80" w:line="360" w:lineRule="auto"/>
      </w:pPr>
      <w:r>
        <w:rPr>
          <w:sz w:val="22"/>
          <w:szCs w:val="22"/>
        </w:rPr>
        <w:t>Design a prerequisite-rule and weighted-scoring model to convert raw observations into ranked and explainable candidates.</w:t>
      </w:r>
    </w:p>
    <w:p w14:paraId="55B960BB" w14:textId="77777777" w:rsidR="00DA1AF7" w:rsidRDefault="00684366">
      <w:pPr>
        <w:numPr>
          <w:ilvl w:val="0"/>
          <w:numId w:val="1"/>
        </w:numPr>
        <w:spacing w:after="80" w:line="360" w:lineRule="auto"/>
      </w:pPr>
      <w:r>
        <w:rPr>
          <w:sz w:val="22"/>
          <w:szCs w:val="22"/>
        </w:rPr>
        <w:t>Implement the model as a functioning Python framework and a portable Bash bundle that can run in Python and non-Python contexts.</w:t>
      </w:r>
    </w:p>
    <w:p w14:paraId="55B960BC" w14:textId="77777777" w:rsidR="00DA1AF7" w:rsidRDefault="00684366">
      <w:pPr>
        <w:numPr>
          <w:ilvl w:val="0"/>
          <w:numId w:val="1"/>
        </w:numPr>
        <w:spacing w:after="80" w:line="360" w:lineRule="auto"/>
      </w:pPr>
      <w:r>
        <w:rPr>
          <w:sz w:val="22"/>
          <w:szCs w:val="22"/>
        </w:rPr>
        <w:t>Show the framework end-to-end on a controlled, intentionally susceptible Linux target and record the whole decision chain.</w:t>
      </w:r>
    </w:p>
    <w:p w14:paraId="55B960BD" w14:textId="77777777" w:rsidR="00DA1AF7" w:rsidRDefault="00684366">
      <w:pPr>
        <w:numPr>
          <w:ilvl w:val="0"/>
          <w:numId w:val="1"/>
        </w:numPr>
        <w:pBdr>
          <w:top w:val="nil"/>
          <w:left w:val="nil"/>
          <w:bottom w:val="nil"/>
          <w:right w:val="nil"/>
          <w:between w:val="nil"/>
        </w:pBdr>
        <w:spacing w:after="80" w:line="360" w:lineRule="auto"/>
      </w:pPr>
      <w:r>
        <w:rPr>
          <w:sz w:val="22"/>
          <w:szCs w:val="22"/>
        </w:rPr>
        <w:t>Develop an assessment plan able to answer RQ1-RQ4 across a wider range of test situations than a single demonstration can provide.</w:t>
      </w:r>
    </w:p>
    <w:p w14:paraId="55B960BE" w14:textId="77777777" w:rsidR="00DA1AF7" w:rsidRDefault="00684366">
      <w:pPr>
        <w:numPr>
          <w:ilvl w:val="0"/>
          <w:numId w:val="1"/>
        </w:numPr>
        <w:pBdr>
          <w:top w:val="nil"/>
          <w:left w:val="nil"/>
          <w:bottom w:val="nil"/>
          <w:right w:val="nil"/>
          <w:between w:val="nil"/>
        </w:pBdr>
        <w:spacing w:after="80" w:line="360" w:lineRule="auto"/>
      </w:pPr>
      <w:r>
        <w:rPr>
          <w:sz w:val="22"/>
          <w:szCs w:val="22"/>
        </w:rPr>
        <w:t>Critically reflect on design choices, constraints of the existing implementation and directions for future work.</w:t>
      </w:r>
    </w:p>
    <w:p w14:paraId="55B960BF" w14:textId="77777777" w:rsidR="00DA1AF7" w:rsidRDefault="00DA1AF7">
      <w:pPr>
        <w:pStyle w:val="Heading2"/>
        <w:spacing w:before="280" w:after="120" w:line="360" w:lineRule="auto"/>
        <w:rPr>
          <w:rFonts w:ascii="Times New Roman" w:eastAsia="Times New Roman" w:hAnsi="Times New Roman" w:cs="Times New Roman"/>
          <w:b/>
          <w:bCs/>
          <w:color w:val="000000"/>
        </w:rPr>
      </w:pPr>
    </w:p>
    <w:p w14:paraId="55B960C0" w14:textId="77777777" w:rsidR="00DA1AF7" w:rsidRDefault="00684366">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1.5 Scope and Limitations</w:t>
      </w:r>
    </w:p>
    <w:p w14:paraId="55B960C1" w14:textId="77777777" w:rsidR="00DA1AF7" w:rsidRDefault="00684366">
      <w:pPr>
        <w:spacing w:after="160" w:line="360" w:lineRule="auto"/>
        <w:jc w:val="both"/>
        <w:rPr>
          <w:sz w:val="22"/>
          <w:szCs w:val="22"/>
        </w:rPr>
      </w:pPr>
      <w:r>
        <w:rPr>
          <w:sz w:val="22"/>
          <w:szCs w:val="22"/>
        </w:rPr>
        <w:lastRenderedPageBreak/>
        <w:t>The scope is deliberately narrow to keep the evaluation meaningful. APEX is Linux-only; Windows escalation, cloud identity misconfigurations and container escapes are absent from the current rule base, though the same architecture could in principle cover them. The framework assumes an initial low-privilege foothold obtained by other means, whether a web vulnerability, a weak credential or a supplied practice account, and begins after that point rather than performing the first compromise.</w:t>
      </w:r>
    </w:p>
    <w:p w14:paraId="55B960C2" w14:textId="77777777" w:rsidR="00DA1AF7" w:rsidRDefault="00684366">
      <w:pPr>
        <w:spacing w:after="160" w:line="360" w:lineRule="auto"/>
        <w:jc w:val="both"/>
        <w:rPr>
          <w:sz w:val="22"/>
          <w:szCs w:val="22"/>
        </w:rPr>
      </w:pPr>
      <w:r>
        <w:rPr>
          <w:sz w:val="22"/>
          <w:szCs w:val="22"/>
        </w:rPr>
        <w:t xml:space="preserve">The implementation covers eleven privilege-escalation categories, discussed in Chapter 4. They were selected because they are well documented and common in both real assessments and training </w:t>
      </w:r>
      <w:proofErr w:type="gramStart"/>
      <w:r>
        <w:rPr>
          <w:sz w:val="22"/>
          <w:szCs w:val="22"/>
        </w:rPr>
        <w:t>contexts, and</w:t>
      </w:r>
      <w:proofErr w:type="gramEnd"/>
      <w:r>
        <w:rPr>
          <w:sz w:val="22"/>
          <w:szCs w:val="22"/>
        </w:rPr>
        <w:t xml:space="preserve"> can usually be checked and programmatically confirmed. Techniques relying largely on interactive judgment, proprietary application logic, or irreversible harmful actions are deliberately excluded from automatic execution and instead reported to the tester as findings for manual review.</w:t>
      </w:r>
    </w:p>
    <w:p w14:paraId="55B960C3" w14:textId="77777777" w:rsidR="00DA1AF7" w:rsidRDefault="00684366">
      <w:pPr>
        <w:spacing w:after="160" w:line="360" w:lineRule="auto"/>
        <w:jc w:val="both"/>
        <w:rPr>
          <w:sz w:val="22"/>
          <w:szCs w:val="22"/>
        </w:rPr>
      </w:pPr>
      <w:r>
        <w:rPr>
          <w:sz w:val="22"/>
          <w:szCs w:val="22"/>
        </w:rPr>
        <w:t>A further constraint, revisited in Chapter 5, is that the systematic multi-scenario evaluation set out in the methodology was not completed at the time of writing. Instead, the report presents a detailed case study of a single controlled run against a purpose-built vulnerable host, showing the pipeline working end-to-end and providing the qualitative evidence for RQ1 and RQ3. RQ2 and RQ4 require the broader test set and are the immediate next step.</w:t>
      </w:r>
    </w:p>
    <w:p w14:paraId="55B960C4" w14:textId="77777777" w:rsidR="00DA1AF7" w:rsidRDefault="00684366">
      <w:pPr>
        <w:spacing w:after="160" w:line="360" w:lineRule="auto"/>
        <w:jc w:val="both"/>
        <w:rPr>
          <w:sz w:val="22"/>
          <w:szCs w:val="22"/>
        </w:rPr>
      </w:pPr>
      <w:r>
        <w:rPr>
          <w:sz w:val="22"/>
          <w:szCs w:val="22"/>
        </w:rPr>
        <w:t>Finally, "authorised" testing here is deliberately limited: every target used during development, testing and the Chapter 5 case study was a disposable, purpose-built vulnerable virtual machine that I owned and controlled on a segregated private network. This report makes no claims about APEX's behaviour, safety or legality against any system outside that controlled setting, and none of the techniques described are recommendations to use against systems the reader is not explicitly authorised to test.</w:t>
      </w:r>
    </w:p>
    <w:p w14:paraId="55B960C5" w14:textId="77777777" w:rsidR="00DA1AF7" w:rsidRDefault="00684366">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1.6 Structure of the Report</w:t>
      </w:r>
    </w:p>
    <w:p w14:paraId="55B960C6" w14:textId="77777777" w:rsidR="00DA1AF7" w:rsidRDefault="00684366">
      <w:pPr>
        <w:spacing w:after="160" w:line="360" w:lineRule="auto"/>
        <w:jc w:val="both"/>
      </w:pPr>
      <w:r>
        <w:rPr>
          <w:sz w:val="22"/>
          <w:szCs w:val="22"/>
        </w:rPr>
        <w:t>Chapter 2 reviews the literature on Linux enumeration, technique knowledge bases, automated and agentic testing, and reporting practice. Chapter 3 sets out the methodology across the enumeration, analysis, scoring, execution and verification stages, with the assessment plan. Chapter 4 presents the implementation: layered architecture, supported categories, and explainability and logging. Chapter 5 gives results through a case study and discusses its limits. Chapter 6 reflects on building and testing the fra</w:t>
      </w:r>
      <w:r>
        <w:rPr>
          <w:sz w:val="22"/>
          <w:szCs w:val="22"/>
        </w:rPr>
        <w:t>mework, Chapter 7 concludes and sets out future work, and the Appendices walk through the command-line tool, bundle generator and recorded evidence chain.</w:t>
      </w:r>
    </w:p>
    <w:p w14:paraId="55B960C7" w14:textId="77777777" w:rsidR="00DA1AF7" w:rsidRDefault="00DA1AF7">
      <w:pPr>
        <w:spacing w:after="160" w:line="360" w:lineRule="auto"/>
        <w:jc w:val="both"/>
        <w:rPr>
          <w:b/>
          <w:bCs/>
          <w:sz w:val="32"/>
          <w:szCs w:val="32"/>
        </w:rPr>
      </w:pPr>
    </w:p>
    <w:p w14:paraId="55B960C8" w14:textId="77777777" w:rsidR="00DA1AF7" w:rsidRDefault="00684366">
      <w:pPr>
        <w:spacing w:after="160" w:line="360" w:lineRule="auto"/>
        <w:jc w:val="both"/>
      </w:pPr>
      <w:r>
        <w:rPr>
          <w:b/>
          <w:bCs/>
          <w:color w:val="000000"/>
          <w:sz w:val="32"/>
          <w:szCs w:val="32"/>
        </w:rPr>
        <w:t>CHAPTER 2: LITERATURE REVIEW</w:t>
      </w:r>
    </w:p>
    <w:p w14:paraId="55B960C9" w14:textId="77777777" w:rsidR="00DA1AF7" w:rsidRDefault="00684366">
      <w:pPr>
        <w:spacing w:after="160" w:line="360" w:lineRule="auto"/>
        <w:jc w:val="both"/>
      </w:pPr>
      <w:r>
        <w:rPr>
          <w:sz w:val="22"/>
          <w:szCs w:val="22"/>
        </w:rPr>
        <w:lastRenderedPageBreak/>
        <w:t>The review is organised thematically rather than by source, comparing what current techniques do well, where they fall short, and how those limits shape APEX's design.</w:t>
      </w:r>
    </w:p>
    <w:p w14:paraId="55B960CA" w14:textId="77777777" w:rsidR="00DA1AF7" w:rsidRDefault="00684366">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2.1 Linux Privilege Escalation and Enumeration</w:t>
      </w:r>
    </w:p>
    <w:p w14:paraId="55B960CB" w14:textId="77777777" w:rsidR="00DA1AF7" w:rsidRDefault="00684366">
      <w:pPr>
        <w:spacing w:after="160" w:line="360" w:lineRule="auto"/>
        <w:jc w:val="both"/>
        <w:rPr>
          <w:sz w:val="22"/>
          <w:szCs w:val="22"/>
        </w:rPr>
      </w:pPr>
      <w:r>
        <w:rPr>
          <w:sz w:val="22"/>
          <w:szCs w:val="22"/>
        </w:rPr>
        <w:t xml:space="preserve">Linux privilege escalation is usually less about a specific software bug than about breaking trust or configuration boundaries: unsafe </w:t>
      </w:r>
      <w:proofErr w:type="spellStart"/>
      <w:r>
        <w:rPr>
          <w:sz w:val="22"/>
          <w:szCs w:val="22"/>
        </w:rPr>
        <w:t>sudo</w:t>
      </w:r>
      <w:proofErr w:type="spellEnd"/>
      <w:r>
        <w:rPr>
          <w:sz w:val="22"/>
          <w:szCs w:val="22"/>
        </w:rPr>
        <w:t xml:space="preserve"> permissions, </w:t>
      </w:r>
      <w:proofErr w:type="spellStart"/>
      <w:r>
        <w:rPr>
          <w:sz w:val="22"/>
          <w:szCs w:val="22"/>
        </w:rPr>
        <w:t>Setuid</w:t>
      </w:r>
      <w:proofErr w:type="spellEnd"/>
      <w:r>
        <w:rPr>
          <w:sz w:val="22"/>
          <w:szCs w:val="22"/>
        </w:rPr>
        <w:t>/</w:t>
      </w:r>
      <w:proofErr w:type="spellStart"/>
      <w:r>
        <w:rPr>
          <w:sz w:val="22"/>
          <w:szCs w:val="22"/>
        </w:rPr>
        <w:t>Setgid</w:t>
      </w:r>
      <w:proofErr w:type="spellEnd"/>
      <w:r>
        <w:rPr>
          <w:sz w:val="22"/>
          <w:szCs w:val="22"/>
        </w:rPr>
        <w:t xml:space="preserve"> binaries, excess capabilities, writable scripts run by privileged processes, insecure scheduled jobs, unsafe PATH usage and vulnerable kernels. MITRE ATT&amp;CK recognises manipulation of elevation-control mechanisms, including </w:t>
      </w:r>
      <w:proofErr w:type="spellStart"/>
      <w:r>
        <w:rPr>
          <w:sz w:val="22"/>
          <w:szCs w:val="22"/>
        </w:rPr>
        <w:t>Setuid</w:t>
      </w:r>
      <w:proofErr w:type="spellEnd"/>
      <w:r>
        <w:rPr>
          <w:sz w:val="22"/>
          <w:szCs w:val="22"/>
        </w:rPr>
        <w:t>/</w:t>
      </w:r>
      <w:proofErr w:type="spellStart"/>
      <w:r>
        <w:rPr>
          <w:sz w:val="22"/>
          <w:szCs w:val="22"/>
        </w:rPr>
        <w:t>Setgid</w:t>
      </w:r>
      <w:proofErr w:type="spellEnd"/>
      <w:r>
        <w:rPr>
          <w:sz w:val="22"/>
          <w:szCs w:val="22"/>
        </w:rPr>
        <w:t xml:space="preserve"> and </w:t>
      </w:r>
      <w:proofErr w:type="spellStart"/>
      <w:r>
        <w:rPr>
          <w:sz w:val="22"/>
          <w:szCs w:val="22"/>
        </w:rPr>
        <w:t>sudo</w:t>
      </w:r>
      <w:proofErr w:type="spellEnd"/>
      <w:r>
        <w:rPr>
          <w:sz w:val="22"/>
          <w:szCs w:val="22"/>
        </w:rPr>
        <w:t>, as part of the privilege-escalation approach [3], [4].</w:t>
      </w:r>
    </w:p>
    <w:p w14:paraId="55B960CC" w14:textId="77777777" w:rsidR="00DA1AF7" w:rsidRDefault="00684366">
      <w:pPr>
        <w:spacing w:after="160" w:line="360" w:lineRule="auto"/>
        <w:jc w:val="both"/>
        <w:rPr>
          <w:sz w:val="22"/>
          <w:szCs w:val="22"/>
        </w:rPr>
      </w:pPr>
      <w:r>
        <w:rPr>
          <w:sz w:val="22"/>
          <w:szCs w:val="22"/>
        </w:rPr>
        <w:t xml:space="preserve">Many of these conditions can be found automatically with tools such as PEASS-ng [1], which offer speed and coverage. But enumeration output is evidence, not judgment: a highlighted binary may be harmless in one environment and exploitable in another, depending on ownership, rights, arguments and execution context. It does not say how its exploitability compares with other findings, nor whether the prerequisites for abusing </w:t>
      </w:r>
      <w:proofErr w:type="spellStart"/>
      <w:r>
        <w:rPr>
          <w:sz w:val="22"/>
          <w:szCs w:val="22"/>
        </w:rPr>
        <w:t>it</w:t>
      </w:r>
      <w:proofErr w:type="spellEnd"/>
      <w:r>
        <w:rPr>
          <w:sz w:val="22"/>
          <w:szCs w:val="22"/>
        </w:rPr>
        <w:t xml:space="preserve"> hold </w:t>
      </w:r>
      <w:proofErr w:type="gramStart"/>
      <w:r>
        <w:rPr>
          <w:sz w:val="22"/>
          <w:szCs w:val="22"/>
        </w:rPr>
        <w:t>on</w:t>
      </w:r>
      <w:proofErr w:type="gramEnd"/>
      <w:r>
        <w:rPr>
          <w:sz w:val="22"/>
          <w:szCs w:val="22"/>
        </w:rPr>
        <w:t xml:space="preserve"> this host.</w:t>
      </w:r>
    </w:p>
    <w:p w14:paraId="55B960CD" w14:textId="77777777" w:rsidR="00DA1AF7" w:rsidRDefault="00684366">
      <w:pPr>
        <w:spacing w:after="160" w:line="360" w:lineRule="auto"/>
        <w:jc w:val="both"/>
        <w:rPr>
          <w:sz w:val="22"/>
          <w:szCs w:val="22"/>
        </w:rPr>
      </w:pPr>
      <w:r>
        <w:rPr>
          <w:sz w:val="22"/>
          <w:szCs w:val="22"/>
        </w:rPr>
        <w:t>A related class of tooling targets kernel-exploit suggestion, matching a fingerprinted kernel version against a database of known local escalation CVEs. This quickly surfaces candidates but is prone to false positives, since a version match says nothing about backported fixes, whether the exploit's requirements are met, or whether it is safe to run near a production host. APEX therefore treats a CVE match as a candidate requiring further precondition validation, not an actionable finding.</w:t>
      </w:r>
    </w:p>
    <w:p w14:paraId="55B960CE" w14:textId="77777777" w:rsidR="00DA1AF7" w:rsidRDefault="00684366">
      <w:pPr>
        <w:spacing w:after="160" w:line="360" w:lineRule="auto"/>
        <w:jc w:val="both"/>
      </w:pPr>
      <w:r>
        <w:rPr>
          <w:sz w:val="22"/>
          <w:szCs w:val="22"/>
        </w:rPr>
        <w:t xml:space="preserve">Tools like </w:t>
      </w:r>
      <w:proofErr w:type="spellStart"/>
      <w:r>
        <w:rPr>
          <w:sz w:val="22"/>
          <w:szCs w:val="22"/>
        </w:rPr>
        <w:t>linux</w:t>
      </w:r>
      <w:proofErr w:type="spellEnd"/>
      <w:r>
        <w:rPr>
          <w:sz w:val="22"/>
          <w:szCs w:val="22"/>
        </w:rPr>
        <w:t>-exploit-suggester implement this fingerprint-and-match approach, comparing the running kernel against a maintained list of known local kernel exploits [14]. The tool is explicit that a suggestion is not a guarantee, since backports and distribution patching mean a version match can still be a false positive; APEX's kernel-exploit category adopts the same caution in Section 4.2.</w:t>
      </w:r>
    </w:p>
    <w:p w14:paraId="55B960CF" w14:textId="77777777" w:rsidR="00DA1AF7" w:rsidRDefault="00684366">
      <w:pPr>
        <w:spacing w:after="160" w:line="360" w:lineRule="auto"/>
        <w:jc w:val="both"/>
        <w:rPr>
          <w:sz w:val="22"/>
          <w:szCs w:val="22"/>
        </w:rPr>
      </w:pPr>
      <w:proofErr w:type="spellStart"/>
      <w:r>
        <w:rPr>
          <w:sz w:val="22"/>
          <w:szCs w:val="22"/>
        </w:rPr>
        <w:t>GTFOBins</w:t>
      </w:r>
      <w:proofErr w:type="spellEnd"/>
      <w:r>
        <w:rPr>
          <w:sz w:val="22"/>
          <w:szCs w:val="22"/>
        </w:rPr>
        <w:t xml:space="preserve"> is a complementary knowledge source: legitimate Unix binaries whose functionality can bypass restrictions or escalate privileges under unsafe permissions [2]. Each entry specifies the conditions that make a binary risky (for example, runnable via </w:t>
      </w:r>
      <w:proofErr w:type="spellStart"/>
      <w:r>
        <w:rPr>
          <w:sz w:val="22"/>
          <w:szCs w:val="22"/>
        </w:rPr>
        <w:t>sudo</w:t>
      </w:r>
      <w:proofErr w:type="spellEnd"/>
      <w:r>
        <w:rPr>
          <w:sz w:val="22"/>
          <w:szCs w:val="22"/>
        </w:rPr>
        <w:t xml:space="preserve"> or carrying the SUID bit) and the technique. APEX adopts this idea but encodes it as structured rules, so the reasoning can be reviewed programmatically rather than by manual lookup.</w:t>
      </w:r>
    </w:p>
    <w:p w14:paraId="55B960D0" w14:textId="77777777" w:rsidR="00DA1AF7" w:rsidRDefault="00684366">
      <w:pPr>
        <w:spacing w:after="160" w:line="360" w:lineRule="auto"/>
        <w:jc w:val="both"/>
        <w:rPr>
          <w:sz w:val="22"/>
          <w:szCs w:val="22"/>
        </w:rPr>
      </w:pPr>
      <w:r>
        <w:rPr>
          <w:sz w:val="22"/>
          <w:szCs w:val="22"/>
        </w:rPr>
        <w:t xml:space="preserve">Another widely used community reference is </w:t>
      </w:r>
      <w:proofErr w:type="spellStart"/>
      <w:r>
        <w:rPr>
          <w:sz w:val="22"/>
          <w:szCs w:val="22"/>
        </w:rPr>
        <w:t>HackTricks</w:t>
      </w:r>
      <w:proofErr w:type="spellEnd"/>
      <w:r>
        <w:rPr>
          <w:sz w:val="22"/>
          <w:szCs w:val="22"/>
        </w:rPr>
        <w:t xml:space="preserve">, a maintained practitioner wiki cataloguing Linux privilege-escalation checks in a checklist-style document [22]. Its coverage overlaps with PEASS-ng and </w:t>
      </w:r>
      <w:proofErr w:type="spellStart"/>
      <w:r>
        <w:rPr>
          <w:sz w:val="22"/>
          <w:szCs w:val="22"/>
        </w:rPr>
        <w:t>GTFOBins</w:t>
      </w:r>
      <w:proofErr w:type="spellEnd"/>
      <w:r>
        <w:rPr>
          <w:sz w:val="22"/>
          <w:szCs w:val="22"/>
        </w:rPr>
        <w:t xml:space="preserve"> but is organised as prose. It was consulted during rule design as a cross-check that the eleven </w:t>
      </w:r>
      <w:r>
        <w:rPr>
          <w:sz w:val="22"/>
          <w:szCs w:val="22"/>
        </w:rPr>
        <w:lastRenderedPageBreak/>
        <w:t>categories in Table 4.1 were not missing a common technique family, but APEX does not depend on it programmatically.</w:t>
      </w:r>
    </w:p>
    <w:p w14:paraId="55B960D1" w14:textId="77777777" w:rsidR="00DA1AF7" w:rsidRDefault="00684366">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2.2 Vulnerability Assessment and Security Testing Frameworks</w:t>
      </w:r>
    </w:p>
    <w:p w14:paraId="55B960D2" w14:textId="77777777" w:rsidR="00DA1AF7" w:rsidRDefault="00684366">
      <w:pPr>
        <w:spacing w:after="160" w:line="360" w:lineRule="auto"/>
        <w:jc w:val="both"/>
      </w:pPr>
      <w:r>
        <w:rPr>
          <w:sz w:val="22"/>
          <w:szCs w:val="22"/>
        </w:rPr>
        <w:t>Security-testing frameworks typically separate discovery, analysis and reporting into repeatable phases. NIST SP 800-115 defines technical security assessment as a planned process spanning testing, results analysis and mitigation planning [6]. Its emphasis on repeatable testing and evidence-based analysis underpins this methodology: the "collect evidence" stage is separated from the "decide what it means" stage rather than merged into one enumeration script.</w:t>
      </w:r>
    </w:p>
    <w:p w14:paraId="55B960D3" w14:textId="77777777" w:rsidR="00DA1AF7" w:rsidRDefault="00684366">
      <w:pPr>
        <w:spacing w:after="160" w:line="360" w:lineRule="auto"/>
        <w:jc w:val="both"/>
      </w:pPr>
      <w:r>
        <w:rPr>
          <w:sz w:val="22"/>
          <w:szCs w:val="22"/>
        </w:rPr>
        <w:t>This staged separation responds to a common failure mode in less-structured tooling, where one script both detects a condition and immediately tries to exploit it. Coupling discovery and exploitation costs the tester the chance to review the full findings before acting. Following NIST SP 800-115, the complete findings list in Section 3.3 exists and can be examined independently of which candidates were executed.</w:t>
      </w:r>
    </w:p>
    <w:p w14:paraId="55B960D4" w14:textId="77777777" w:rsidR="00DA1AF7" w:rsidRDefault="00684366">
      <w:pPr>
        <w:spacing w:after="160" w:line="360" w:lineRule="auto"/>
        <w:jc w:val="both"/>
        <w:rPr>
          <w:sz w:val="22"/>
          <w:szCs w:val="22"/>
        </w:rPr>
      </w:pPr>
      <w:r>
        <w:rPr>
          <w:sz w:val="22"/>
          <w:szCs w:val="22"/>
        </w:rPr>
        <w:t>Traditional vulnerability scanners search for flaws by matching a version string against a CVE database. Privilege escalation is more context-dependent: a version match alone is often insufficient, because exploitability can hinge on local permissions, configuration and environment. A kernel theoretically vulnerable may be practically unexploitable due to a missing compiler, hardened configuration or insufficient memory. APEX therefore combines configuration evidence with technique-specific requirements rat</w:t>
      </w:r>
      <w:r>
        <w:rPr>
          <w:sz w:val="22"/>
          <w:szCs w:val="22"/>
        </w:rPr>
        <w:t>her than assuming all conditions are equally exploitable.</w:t>
      </w:r>
    </w:p>
    <w:p w14:paraId="55B960D5" w14:textId="77777777" w:rsidR="00DA1AF7" w:rsidRDefault="00684366">
      <w:pPr>
        <w:spacing w:after="160" w:line="360" w:lineRule="auto"/>
        <w:jc w:val="both"/>
        <w:rPr>
          <w:sz w:val="22"/>
          <w:szCs w:val="22"/>
        </w:rPr>
      </w:pPr>
      <w:r>
        <w:rPr>
          <w:sz w:val="22"/>
          <w:szCs w:val="22"/>
        </w:rPr>
        <w:t>A closely related practice is severity- and likelihood-based scoring, most notably CVSS, which assigns a numeric severity to prioritise patching across large estates [11]; a newer complement, EPSS, forecasts the probability a CVE will be exploited in the wild from observed data [12]. Both consider a vulnerability in the abstract. APEX's scoring problem (Section 2.4) is narrower and local: ranking a small set of already-observed candidates on one host where evidence was directly gathered. This is why APEX do</w:t>
      </w:r>
      <w:r>
        <w:rPr>
          <w:sz w:val="22"/>
          <w:szCs w:val="22"/>
        </w:rPr>
        <w:t>es not reuse CVSS or EPSS outside the kernel-exploit category, where a CVE exists; the weakness class can still be classified using MITRE's CWE [17], noted as future work.</w:t>
      </w:r>
    </w:p>
    <w:p w14:paraId="55B960D6" w14:textId="77777777" w:rsidR="00DA1AF7" w:rsidRDefault="00684366">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2.3 Automated and Autonomous Security Testing</w:t>
      </w:r>
    </w:p>
    <w:p w14:paraId="55B960D7" w14:textId="77777777" w:rsidR="00DA1AF7" w:rsidRDefault="00684366">
      <w:pPr>
        <w:spacing w:after="160" w:line="360" w:lineRule="auto"/>
        <w:jc w:val="both"/>
      </w:pPr>
      <w:r>
        <w:rPr>
          <w:sz w:val="22"/>
          <w:szCs w:val="22"/>
        </w:rPr>
        <w:t>Automation in penetration testing ranges from scripted reconnaissance to systems that decide and act with little human involvement. Its key advantage is consistency: the same checks run in the same order and are logged repeatably. The risk is that automation can also repeat a bad decision efficiently, which is why scope control, validation and clear stopping conditions matter.</w:t>
      </w:r>
    </w:p>
    <w:p w14:paraId="55B960D8" w14:textId="77777777" w:rsidR="00DA1AF7" w:rsidRDefault="00684366">
      <w:pPr>
        <w:spacing w:after="160" w:line="360" w:lineRule="auto"/>
        <w:jc w:val="both"/>
        <w:rPr>
          <w:sz w:val="22"/>
          <w:szCs w:val="22"/>
        </w:rPr>
      </w:pPr>
      <w:r>
        <w:rPr>
          <w:sz w:val="22"/>
          <w:szCs w:val="22"/>
        </w:rPr>
        <w:lastRenderedPageBreak/>
        <w:t>It is useful to distinguish automation that replaces a fixed checklist from automation that replaces a judgment call. Listing all SUID binaries replaces a checklist item; choosing which to try first replaces a judgment call. Most enumeration tooling automates the former and leaves the latter to the tester, whereas the systems in this section also attempt to automate the judgment call, the goal underlying APEX's scoring engine in Section 2.4.</w:t>
      </w:r>
    </w:p>
    <w:p w14:paraId="55B960D9" w14:textId="77777777" w:rsidR="00DA1AF7" w:rsidRDefault="00684366">
      <w:pPr>
        <w:spacing w:after="160" w:line="360" w:lineRule="auto"/>
        <w:jc w:val="both"/>
      </w:pPr>
      <w:r>
        <w:rPr>
          <w:sz w:val="22"/>
          <w:szCs w:val="22"/>
        </w:rPr>
        <w:t>Recent development has shifted from fixed scripts to agentic privilege escalation: large language model agents applied to multi-turn escalation on controlled Linux targets, with locally hosted models explored so sensitive data need not leave the host.</w:t>
      </w:r>
    </w:p>
    <w:p w14:paraId="55B960DA" w14:textId="77777777" w:rsidR="00DA1AF7" w:rsidRDefault="00684366">
      <w:pPr>
        <w:spacing w:after="160" w:line="360" w:lineRule="auto"/>
        <w:jc w:val="both"/>
        <w:rPr>
          <w:sz w:val="22"/>
          <w:szCs w:val="22"/>
        </w:rPr>
      </w:pPr>
      <w:r>
        <w:rPr>
          <w:sz w:val="22"/>
          <w:szCs w:val="22"/>
        </w:rPr>
        <w:t>Although APEX is not primarily an LLM project, these studies matter to it: they show privilege escalation can be modelled as a measurable sequence of decisions and actions, with metrics such as success rate, attempt count and time-to-root. APEX keeps its core decision layer rule-based, so a chosen path traces to explicit evidence and scoring rules rather than a model's internal reasoning.</w:t>
      </w:r>
    </w:p>
    <w:p w14:paraId="55B960DB" w14:textId="77777777" w:rsidR="00DA1AF7" w:rsidRDefault="00684366">
      <w:pPr>
        <w:spacing w:after="160" w:line="360" w:lineRule="auto"/>
        <w:jc w:val="both"/>
        <w:rPr>
          <w:sz w:val="22"/>
          <w:szCs w:val="22"/>
        </w:rPr>
      </w:pPr>
      <w:r>
        <w:rPr>
          <w:sz w:val="22"/>
          <w:szCs w:val="22"/>
        </w:rPr>
        <w:t xml:space="preserve">Another reference point is </w:t>
      </w:r>
      <w:proofErr w:type="spellStart"/>
      <w:r>
        <w:rPr>
          <w:sz w:val="22"/>
          <w:szCs w:val="22"/>
        </w:rPr>
        <w:t>PentestGPT</w:t>
      </w:r>
      <w:proofErr w:type="spellEnd"/>
      <w:r>
        <w:rPr>
          <w:sz w:val="22"/>
          <w:szCs w:val="22"/>
        </w:rPr>
        <w:t>, an early, widely cited LLM-assisted penetration-testing aid that arranges a model's output into reasoning, generation and parsing modules to sustain a multi-step test [13]. DARPA's earlier Cyber Grand Challenge showed fully autonomous find-exploit-patch reasoning in a controlled competition [18]. These mark two ends of a spectrum: human-scaffolded general-purpose reasoning, and constrained, autonomous domain-specific reasoning. Table 2.1 summarises where these tools sit, showing APEX's contribut</w:t>
      </w:r>
      <w:r>
        <w:rPr>
          <w:sz w:val="22"/>
          <w:szCs w:val="22"/>
        </w:rPr>
        <w:t>ion is the ranking-and-verification layer most leave to the operator.</w:t>
      </w:r>
    </w:p>
    <w:tbl>
      <w:tblPr>
        <w:tblStyle w:val="a"/>
        <w:tblW w:w="9700" w:type="dxa"/>
        <w:tblInd w:w="0" w:type="dxa"/>
        <w:tblBorders>
          <w:top w:val="single" w:sz="4" w:space="0" w:color="9DB6CE"/>
          <w:left w:val="single" w:sz="4" w:space="0" w:color="9DB6CE"/>
          <w:bottom w:val="single" w:sz="4" w:space="0" w:color="9DB6CE"/>
          <w:right w:val="single" w:sz="4" w:space="0" w:color="9DB6CE"/>
          <w:insideH w:val="single" w:sz="4" w:space="0" w:color="C3D3E5"/>
          <w:insideV w:val="single" w:sz="4" w:space="0" w:color="C3D3E5"/>
        </w:tblBorders>
        <w:tblLayout w:type="fixed"/>
        <w:tblLook w:val="0000" w:firstRow="0" w:lastRow="0" w:firstColumn="0" w:lastColumn="0" w:noHBand="0" w:noVBand="0"/>
      </w:tblPr>
      <w:tblGrid>
        <w:gridCol w:w="2205"/>
        <w:gridCol w:w="2441"/>
        <w:gridCol w:w="2756"/>
        <w:gridCol w:w="2298"/>
      </w:tblGrid>
      <w:tr w:rsidR="00DA1AF7" w14:paraId="55B960E0" w14:textId="77777777">
        <w:trPr>
          <w:tblHeader/>
        </w:trPr>
        <w:tc>
          <w:tcPr>
            <w:tcW w:w="2205" w:type="dxa"/>
            <w:shd w:val="clear" w:color="auto" w:fill="4F81BD"/>
            <w:tcMar>
              <w:top w:w="80" w:type="dxa"/>
              <w:left w:w="100" w:type="dxa"/>
              <w:bottom w:w="80" w:type="dxa"/>
              <w:right w:w="100" w:type="dxa"/>
            </w:tcMar>
            <w:vAlign w:val="center"/>
          </w:tcPr>
          <w:p w14:paraId="55B960DC" w14:textId="77777777" w:rsidR="00DA1AF7" w:rsidRDefault="00684366">
            <w:pPr>
              <w:spacing w:line="360" w:lineRule="auto"/>
            </w:pPr>
            <w:r>
              <w:rPr>
                <w:b/>
                <w:bCs/>
                <w:sz w:val="20"/>
                <w:szCs w:val="20"/>
              </w:rPr>
              <w:t>Tool</w:t>
            </w:r>
          </w:p>
        </w:tc>
        <w:tc>
          <w:tcPr>
            <w:tcW w:w="2441" w:type="dxa"/>
            <w:shd w:val="clear" w:color="auto" w:fill="4F81BD"/>
            <w:tcMar>
              <w:top w:w="80" w:type="dxa"/>
              <w:left w:w="100" w:type="dxa"/>
              <w:bottom w:w="80" w:type="dxa"/>
              <w:right w:w="100" w:type="dxa"/>
            </w:tcMar>
            <w:vAlign w:val="center"/>
          </w:tcPr>
          <w:p w14:paraId="55B960DD" w14:textId="77777777" w:rsidR="00DA1AF7" w:rsidRDefault="00684366">
            <w:pPr>
              <w:spacing w:line="360" w:lineRule="auto"/>
            </w:pPr>
            <w:r>
              <w:rPr>
                <w:b/>
                <w:bCs/>
                <w:sz w:val="20"/>
                <w:szCs w:val="20"/>
              </w:rPr>
              <w:t>Primary function</w:t>
            </w:r>
          </w:p>
        </w:tc>
        <w:tc>
          <w:tcPr>
            <w:tcW w:w="2756" w:type="dxa"/>
            <w:shd w:val="clear" w:color="auto" w:fill="4F81BD"/>
            <w:tcMar>
              <w:top w:w="80" w:type="dxa"/>
              <w:left w:w="100" w:type="dxa"/>
              <w:bottom w:w="80" w:type="dxa"/>
              <w:right w:w="100" w:type="dxa"/>
            </w:tcMar>
            <w:vAlign w:val="center"/>
          </w:tcPr>
          <w:p w14:paraId="55B960DE" w14:textId="77777777" w:rsidR="00DA1AF7" w:rsidRDefault="00684366">
            <w:pPr>
              <w:spacing w:line="360" w:lineRule="auto"/>
            </w:pPr>
            <w:r>
              <w:rPr>
                <w:b/>
                <w:bCs/>
                <w:sz w:val="20"/>
                <w:szCs w:val="20"/>
              </w:rPr>
              <w:t>Decision / ranking approach</w:t>
            </w:r>
          </w:p>
        </w:tc>
        <w:tc>
          <w:tcPr>
            <w:tcW w:w="2298" w:type="dxa"/>
            <w:shd w:val="clear" w:color="auto" w:fill="4F81BD"/>
            <w:tcMar>
              <w:top w:w="80" w:type="dxa"/>
              <w:left w:w="100" w:type="dxa"/>
              <w:bottom w:w="80" w:type="dxa"/>
              <w:right w:w="100" w:type="dxa"/>
            </w:tcMar>
            <w:vAlign w:val="center"/>
          </w:tcPr>
          <w:p w14:paraId="55B960DF" w14:textId="77777777" w:rsidR="00DA1AF7" w:rsidRDefault="00684366">
            <w:pPr>
              <w:spacing w:line="360" w:lineRule="auto"/>
            </w:pPr>
            <w:r>
              <w:rPr>
                <w:b/>
                <w:bCs/>
                <w:sz w:val="20"/>
                <w:szCs w:val="20"/>
              </w:rPr>
              <w:t>Explainability</w:t>
            </w:r>
          </w:p>
        </w:tc>
      </w:tr>
      <w:tr w:rsidR="00DA1AF7" w14:paraId="55B960E5" w14:textId="77777777">
        <w:tc>
          <w:tcPr>
            <w:tcW w:w="2205" w:type="dxa"/>
            <w:tcMar>
              <w:top w:w="80" w:type="dxa"/>
              <w:left w:w="100" w:type="dxa"/>
              <w:bottom w:w="80" w:type="dxa"/>
              <w:right w:w="100" w:type="dxa"/>
            </w:tcMar>
            <w:vAlign w:val="center"/>
          </w:tcPr>
          <w:p w14:paraId="55B960E1" w14:textId="77777777" w:rsidR="00DA1AF7" w:rsidRDefault="00684366">
            <w:pPr>
              <w:spacing w:line="360" w:lineRule="auto"/>
            </w:pPr>
            <w:r>
              <w:rPr>
                <w:sz w:val="20"/>
                <w:szCs w:val="20"/>
              </w:rPr>
              <w:t>PEASS-ng [1]</w:t>
            </w:r>
          </w:p>
        </w:tc>
        <w:tc>
          <w:tcPr>
            <w:tcW w:w="2441" w:type="dxa"/>
            <w:tcMar>
              <w:top w:w="80" w:type="dxa"/>
              <w:left w:w="100" w:type="dxa"/>
              <w:bottom w:w="80" w:type="dxa"/>
              <w:right w:w="100" w:type="dxa"/>
            </w:tcMar>
            <w:vAlign w:val="center"/>
          </w:tcPr>
          <w:p w14:paraId="55B960E2" w14:textId="77777777" w:rsidR="00DA1AF7" w:rsidRDefault="00684366">
            <w:pPr>
              <w:spacing w:line="360" w:lineRule="auto"/>
            </w:pPr>
            <w:r>
              <w:rPr>
                <w:sz w:val="20"/>
                <w:szCs w:val="20"/>
              </w:rPr>
              <w:t>Automated enumeration</w:t>
            </w:r>
          </w:p>
        </w:tc>
        <w:tc>
          <w:tcPr>
            <w:tcW w:w="2756" w:type="dxa"/>
            <w:tcMar>
              <w:top w:w="80" w:type="dxa"/>
              <w:left w:w="100" w:type="dxa"/>
              <w:bottom w:w="80" w:type="dxa"/>
              <w:right w:w="100" w:type="dxa"/>
            </w:tcMar>
            <w:vAlign w:val="center"/>
          </w:tcPr>
          <w:p w14:paraId="55B960E3" w14:textId="77777777" w:rsidR="00DA1AF7" w:rsidRDefault="00684366">
            <w:pPr>
              <w:spacing w:line="360" w:lineRule="auto"/>
            </w:pPr>
            <w:r>
              <w:rPr>
                <w:sz w:val="20"/>
                <w:szCs w:val="20"/>
              </w:rPr>
              <w:t>None -- tester interprets output</w:t>
            </w:r>
          </w:p>
        </w:tc>
        <w:tc>
          <w:tcPr>
            <w:tcW w:w="2298" w:type="dxa"/>
            <w:tcMar>
              <w:top w:w="80" w:type="dxa"/>
              <w:left w:w="100" w:type="dxa"/>
              <w:bottom w:w="80" w:type="dxa"/>
              <w:right w:w="100" w:type="dxa"/>
            </w:tcMar>
            <w:vAlign w:val="center"/>
          </w:tcPr>
          <w:p w14:paraId="55B960E4" w14:textId="77777777" w:rsidR="00DA1AF7" w:rsidRDefault="00684366">
            <w:pPr>
              <w:spacing w:line="360" w:lineRule="auto"/>
            </w:pPr>
            <w:r>
              <w:rPr>
                <w:sz w:val="20"/>
                <w:szCs w:val="20"/>
              </w:rPr>
              <w:t>N/A (raw findings only)</w:t>
            </w:r>
          </w:p>
        </w:tc>
      </w:tr>
      <w:tr w:rsidR="00DA1AF7" w14:paraId="55B960EA" w14:textId="77777777">
        <w:tc>
          <w:tcPr>
            <w:tcW w:w="2205" w:type="dxa"/>
            <w:shd w:val="clear" w:color="auto" w:fill="D9E2F3"/>
            <w:tcMar>
              <w:top w:w="80" w:type="dxa"/>
              <w:left w:w="100" w:type="dxa"/>
              <w:bottom w:w="80" w:type="dxa"/>
              <w:right w:w="100" w:type="dxa"/>
            </w:tcMar>
            <w:vAlign w:val="center"/>
          </w:tcPr>
          <w:p w14:paraId="55B960E6" w14:textId="77777777" w:rsidR="00DA1AF7" w:rsidRDefault="00684366">
            <w:pPr>
              <w:spacing w:line="360" w:lineRule="auto"/>
            </w:pPr>
            <w:proofErr w:type="spellStart"/>
            <w:r>
              <w:rPr>
                <w:sz w:val="20"/>
                <w:szCs w:val="20"/>
              </w:rPr>
              <w:t>GTFOBins</w:t>
            </w:r>
            <w:proofErr w:type="spellEnd"/>
            <w:r>
              <w:rPr>
                <w:sz w:val="20"/>
                <w:szCs w:val="20"/>
              </w:rPr>
              <w:t xml:space="preserve"> [2]</w:t>
            </w:r>
          </w:p>
        </w:tc>
        <w:tc>
          <w:tcPr>
            <w:tcW w:w="2441" w:type="dxa"/>
            <w:shd w:val="clear" w:color="auto" w:fill="D9E2F3"/>
            <w:tcMar>
              <w:top w:w="80" w:type="dxa"/>
              <w:left w:w="100" w:type="dxa"/>
              <w:bottom w:w="80" w:type="dxa"/>
              <w:right w:w="100" w:type="dxa"/>
            </w:tcMar>
            <w:vAlign w:val="center"/>
          </w:tcPr>
          <w:p w14:paraId="55B960E7" w14:textId="77777777" w:rsidR="00DA1AF7" w:rsidRDefault="00684366">
            <w:pPr>
              <w:spacing w:line="360" w:lineRule="auto"/>
            </w:pPr>
            <w:r>
              <w:rPr>
                <w:sz w:val="20"/>
                <w:szCs w:val="20"/>
              </w:rPr>
              <w:t>Technique knowledge base</w:t>
            </w:r>
          </w:p>
        </w:tc>
        <w:tc>
          <w:tcPr>
            <w:tcW w:w="2756" w:type="dxa"/>
            <w:shd w:val="clear" w:color="auto" w:fill="D9E2F3"/>
            <w:tcMar>
              <w:top w:w="80" w:type="dxa"/>
              <w:left w:w="100" w:type="dxa"/>
              <w:bottom w:w="80" w:type="dxa"/>
              <w:right w:w="100" w:type="dxa"/>
            </w:tcMar>
            <w:vAlign w:val="center"/>
          </w:tcPr>
          <w:p w14:paraId="55B960E8" w14:textId="77777777" w:rsidR="00DA1AF7" w:rsidRDefault="00684366">
            <w:pPr>
              <w:spacing w:line="360" w:lineRule="auto"/>
            </w:pPr>
            <w:r>
              <w:rPr>
                <w:sz w:val="20"/>
                <w:szCs w:val="20"/>
              </w:rPr>
              <w:t>None -- manual lookup per binary</w:t>
            </w:r>
          </w:p>
        </w:tc>
        <w:tc>
          <w:tcPr>
            <w:tcW w:w="2298" w:type="dxa"/>
            <w:shd w:val="clear" w:color="auto" w:fill="D9E2F3"/>
            <w:tcMar>
              <w:top w:w="80" w:type="dxa"/>
              <w:left w:w="100" w:type="dxa"/>
              <w:bottom w:w="80" w:type="dxa"/>
              <w:right w:w="100" w:type="dxa"/>
            </w:tcMar>
            <w:vAlign w:val="center"/>
          </w:tcPr>
          <w:p w14:paraId="55B960E9" w14:textId="77777777" w:rsidR="00DA1AF7" w:rsidRDefault="00684366">
            <w:pPr>
              <w:spacing w:line="360" w:lineRule="auto"/>
            </w:pPr>
            <w:r>
              <w:rPr>
                <w:sz w:val="20"/>
                <w:szCs w:val="20"/>
              </w:rPr>
              <w:t>N/A (reference data)</w:t>
            </w:r>
          </w:p>
        </w:tc>
      </w:tr>
      <w:tr w:rsidR="00DA1AF7" w14:paraId="55B960EF" w14:textId="77777777">
        <w:tc>
          <w:tcPr>
            <w:tcW w:w="2205" w:type="dxa"/>
            <w:tcMar>
              <w:top w:w="80" w:type="dxa"/>
              <w:left w:w="100" w:type="dxa"/>
              <w:bottom w:w="80" w:type="dxa"/>
              <w:right w:w="100" w:type="dxa"/>
            </w:tcMar>
            <w:vAlign w:val="center"/>
          </w:tcPr>
          <w:p w14:paraId="55B960EB" w14:textId="77777777" w:rsidR="00DA1AF7" w:rsidRDefault="00684366">
            <w:pPr>
              <w:spacing w:line="360" w:lineRule="auto"/>
            </w:pPr>
            <w:proofErr w:type="spellStart"/>
            <w:r>
              <w:rPr>
                <w:sz w:val="20"/>
                <w:szCs w:val="20"/>
              </w:rPr>
              <w:t>linux</w:t>
            </w:r>
            <w:proofErr w:type="spellEnd"/>
            <w:r>
              <w:rPr>
                <w:sz w:val="20"/>
                <w:szCs w:val="20"/>
              </w:rPr>
              <w:t>-exploit-suggester [14]</w:t>
            </w:r>
          </w:p>
        </w:tc>
        <w:tc>
          <w:tcPr>
            <w:tcW w:w="2441" w:type="dxa"/>
            <w:tcMar>
              <w:top w:w="80" w:type="dxa"/>
              <w:left w:w="100" w:type="dxa"/>
              <w:bottom w:w="80" w:type="dxa"/>
              <w:right w:w="100" w:type="dxa"/>
            </w:tcMar>
            <w:vAlign w:val="center"/>
          </w:tcPr>
          <w:p w14:paraId="55B960EC" w14:textId="77777777" w:rsidR="00DA1AF7" w:rsidRDefault="00684366">
            <w:pPr>
              <w:spacing w:line="360" w:lineRule="auto"/>
            </w:pPr>
            <w:r>
              <w:rPr>
                <w:sz w:val="20"/>
                <w:szCs w:val="20"/>
              </w:rPr>
              <w:t>Kernel CVE matching</w:t>
            </w:r>
          </w:p>
        </w:tc>
        <w:tc>
          <w:tcPr>
            <w:tcW w:w="2756" w:type="dxa"/>
            <w:tcMar>
              <w:top w:w="80" w:type="dxa"/>
              <w:left w:w="100" w:type="dxa"/>
              <w:bottom w:w="80" w:type="dxa"/>
              <w:right w:w="100" w:type="dxa"/>
            </w:tcMar>
            <w:vAlign w:val="center"/>
          </w:tcPr>
          <w:p w14:paraId="55B960ED" w14:textId="77777777" w:rsidR="00DA1AF7" w:rsidRDefault="00684366">
            <w:pPr>
              <w:spacing w:line="360" w:lineRule="auto"/>
            </w:pPr>
            <w:r>
              <w:rPr>
                <w:sz w:val="20"/>
                <w:szCs w:val="20"/>
              </w:rPr>
              <w:t>Version-match only</w:t>
            </w:r>
          </w:p>
        </w:tc>
        <w:tc>
          <w:tcPr>
            <w:tcW w:w="2298" w:type="dxa"/>
            <w:tcMar>
              <w:top w:w="80" w:type="dxa"/>
              <w:left w:w="100" w:type="dxa"/>
              <w:bottom w:w="80" w:type="dxa"/>
              <w:right w:w="100" w:type="dxa"/>
            </w:tcMar>
            <w:vAlign w:val="center"/>
          </w:tcPr>
          <w:p w14:paraId="55B960EE" w14:textId="77777777" w:rsidR="00DA1AF7" w:rsidRDefault="00684366">
            <w:pPr>
              <w:spacing w:line="360" w:lineRule="auto"/>
            </w:pPr>
            <w:r>
              <w:rPr>
                <w:sz w:val="20"/>
                <w:szCs w:val="20"/>
              </w:rPr>
              <w:t>Low (no prerequisite check)</w:t>
            </w:r>
          </w:p>
        </w:tc>
      </w:tr>
      <w:tr w:rsidR="00DA1AF7" w14:paraId="55B960F4" w14:textId="77777777">
        <w:tc>
          <w:tcPr>
            <w:tcW w:w="2205" w:type="dxa"/>
            <w:shd w:val="clear" w:color="auto" w:fill="D9E2F3"/>
            <w:tcMar>
              <w:top w:w="80" w:type="dxa"/>
              <w:left w:w="100" w:type="dxa"/>
              <w:bottom w:w="80" w:type="dxa"/>
              <w:right w:w="100" w:type="dxa"/>
            </w:tcMar>
            <w:vAlign w:val="center"/>
          </w:tcPr>
          <w:p w14:paraId="55B960F0" w14:textId="77777777" w:rsidR="00DA1AF7" w:rsidRDefault="00684366">
            <w:pPr>
              <w:spacing w:line="360" w:lineRule="auto"/>
            </w:pPr>
            <w:proofErr w:type="spellStart"/>
            <w:r>
              <w:rPr>
                <w:sz w:val="20"/>
                <w:szCs w:val="20"/>
              </w:rPr>
              <w:t>PentestGPT</w:t>
            </w:r>
            <w:proofErr w:type="spellEnd"/>
            <w:r>
              <w:rPr>
                <w:sz w:val="20"/>
                <w:szCs w:val="20"/>
              </w:rPr>
              <w:t xml:space="preserve"> [13]</w:t>
            </w:r>
          </w:p>
        </w:tc>
        <w:tc>
          <w:tcPr>
            <w:tcW w:w="2441" w:type="dxa"/>
            <w:shd w:val="clear" w:color="auto" w:fill="D9E2F3"/>
            <w:tcMar>
              <w:top w:w="80" w:type="dxa"/>
              <w:left w:w="100" w:type="dxa"/>
              <w:bottom w:w="80" w:type="dxa"/>
              <w:right w:w="100" w:type="dxa"/>
            </w:tcMar>
            <w:vAlign w:val="center"/>
          </w:tcPr>
          <w:p w14:paraId="55B960F1" w14:textId="77777777" w:rsidR="00DA1AF7" w:rsidRDefault="00684366">
            <w:pPr>
              <w:spacing w:line="360" w:lineRule="auto"/>
            </w:pPr>
            <w:r>
              <w:rPr>
                <w:sz w:val="20"/>
                <w:szCs w:val="20"/>
              </w:rPr>
              <w:t>LLM-guided multi-step testing</w:t>
            </w:r>
          </w:p>
        </w:tc>
        <w:tc>
          <w:tcPr>
            <w:tcW w:w="2756" w:type="dxa"/>
            <w:shd w:val="clear" w:color="auto" w:fill="D9E2F3"/>
            <w:tcMar>
              <w:top w:w="80" w:type="dxa"/>
              <w:left w:w="100" w:type="dxa"/>
              <w:bottom w:w="80" w:type="dxa"/>
              <w:right w:w="100" w:type="dxa"/>
            </w:tcMar>
            <w:vAlign w:val="center"/>
          </w:tcPr>
          <w:p w14:paraId="55B960F2" w14:textId="77777777" w:rsidR="00DA1AF7" w:rsidRDefault="00684366">
            <w:pPr>
              <w:spacing w:line="360" w:lineRule="auto"/>
            </w:pPr>
            <w:r>
              <w:rPr>
                <w:sz w:val="20"/>
                <w:szCs w:val="20"/>
              </w:rPr>
              <w:t>LLM reasoning (opaque)</w:t>
            </w:r>
          </w:p>
        </w:tc>
        <w:tc>
          <w:tcPr>
            <w:tcW w:w="2298" w:type="dxa"/>
            <w:shd w:val="clear" w:color="auto" w:fill="D9E2F3"/>
            <w:tcMar>
              <w:top w:w="80" w:type="dxa"/>
              <w:left w:w="100" w:type="dxa"/>
              <w:bottom w:w="80" w:type="dxa"/>
              <w:right w:w="100" w:type="dxa"/>
            </w:tcMar>
            <w:vAlign w:val="center"/>
          </w:tcPr>
          <w:p w14:paraId="55B960F3" w14:textId="77777777" w:rsidR="00DA1AF7" w:rsidRDefault="00684366">
            <w:pPr>
              <w:spacing w:line="360" w:lineRule="auto"/>
            </w:pPr>
            <w:r>
              <w:rPr>
                <w:sz w:val="20"/>
                <w:szCs w:val="20"/>
              </w:rPr>
              <w:t>Limited (model-internal)</w:t>
            </w:r>
          </w:p>
        </w:tc>
      </w:tr>
      <w:tr w:rsidR="00DA1AF7" w14:paraId="55B960F9" w14:textId="77777777">
        <w:tc>
          <w:tcPr>
            <w:tcW w:w="2205" w:type="dxa"/>
            <w:tcMar>
              <w:top w:w="80" w:type="dxa"/>
              <w:left w:w="100" w:type="dxa"/>
              <w:bottom w:w="80" w:type="dxa"/>
              <w:right w:w="100" w:type="dxa"/>
            </w:tcMar>
            <w:vAlign w:val="center"/>
          </w:tcPr>
          <w:p w14:paraId="55B960F5" w14:textId="77777777" w:rsidR="00DA1AF7" w:rsidRDefault="00684366">
            <w:pPr>
              <w:spacing w:line="360" w:lineRule="auto"/>
            </w:pPr>
            <w:r>
              <w:rPr>
                <w:sz w:val="20"/>
                <w:szCs w:val="20"/>
              </w:rPr>
              <w:t>DARPA CGC systems [18]</w:t>
            </w:r>
          </w:p>
        </w:tc>
        <w:tc>
          <w:tcPr>
            <w:tcW w:w="2441" w:type="dxa"/>
            <w:tcMar>
              <w:top w:w="80" w:type="dxa"/>
              <w:left w:w="100" w:type="dxa"/>
              <w:bottom w:w="80" w:type="dxa"/>
              <w:right w:w="100" w:type="dxa"/>
            </w:tcMar>
            <w:vAlign w:val="center"/>
          </w:tcPr>
          <w:p w14:paraId="55B960F6" w14:textId="77777777" w:rsidR="00DA1AF7" w:rsidRDefault="00684366">
            <w:pPr>
              <w:spacing w:line="360" w:lineRule="auto"/>
            </w:pPr>
            <w:r>
              <w:rPr>
                <w:sz w:val="20"/>
                <w:szCs w:val="20"/>
              </w:rPr>
              <w:t>Fully autonomous exploit / patch</w:t>
            </w:r>
          </w:p>
        </w:tc>
        <w:tc>
          <w:tcPr>
            <w:tcW w:w="2756" w:type="dxa"/>
            <w:tcMar>
              <w:top w:w="80" w:type="dxa"/>
              <w:left w:w="100" w:type="dxa"/>
              <w:bottom w:w="80" w:type="dxa"/>
              <w:right w:w="100" w:type="dxa"/>
            </w:tcMar>
            <w:vAlign w:val="center"/>
          </w:tcPr>
          <w:p w14:paraId="55B960F7" w14:textId="77777777" w:rsidR="00DA1AF7" w:rsidRDefault="00684366">
            <w:pPr>
              <w:spacing w:line="360" w:lineRule="auto"/>
            </w:pPr>
            <w:r>
              <w:rPr>
                <w:sz w:val="20"/>
                <w:szCs w:val="20"/>
              </w:rPr>
              <w:t>Automated program analysis</w:t>
            </w:r>
          </w:p>
        </w:tc>
        <w:tc>
          <w:tcPr>
            <w:tcW w:w="2298" w:type="dxa"/>
            <w:tcMar>
              <w:top w:w="80" w:type="dxa"/>
              <w:left w:w="100" w:type="dxa"/>
              <w:bottom w:w="80" w:type="dxa"/>
              <w:right w:w="100" w:type="dxa"/>
            </w:tcMar>
            <w:vAlign w:val="center"/>
          </w:tcPr>
          <w:p w14:paraId="55B960F8" w14:textId="77777777" w:rsidR="00DA1AF7" w:rsidRDefault="00684366">
            <w:pPr>
              <w:spacing w:line="360" w:lineRule="auto"/>
            </w:pPr>
            <w:r>
              <w:rPr>
                <w:sz w:val="20"/>
                <w:szCs w:val="20"/>
              </w:rPr>
              <w:t>Low (competition-internal)</w:t>
            </w:r>
          </w:p>
        </w:tc>
      </w:tr>
      <w:tr w:rsidR="00DA1AF7" w14:paraId="55B960FE" w14:textId="77777777">
        <w:tc>
          <w:tcPr>
            <w:tcW w:w="2205" w:type="dxa"/>
            <w:shd w:val="clear" w:color="auto" w:fill="D9E2F3"/>
            <w:tcMar>
              <w:top w:w="80" w:type="dxa"/>
              <w:left w:w="100" w:type="dxa"/>
              <w:bottom w:w="80" w:type="dxa"/>
              <w:right w:w="100" w:type="dxa"/>
            </w:tcMar>
            <w:vAlign w:val="center"/>
          </w:tcPr>
          <w:p w14:paraId="55B960FA" w14:textId="77777777" w:rsidR="00DA1AF7" w:rsidRDefault="00684366">
            <w:pPr>
              <w:spacing w:line="360" w:lineRule="auto"/>
            </w:pPr>
            <w:r>
              <w:rPr>
                <w:sz w:val="20"/>
                <w:szCs w:val="20"/>
              </w:rPr>
              <w:t>APEX (this project)</w:t>
            </w:r>
          </w:p>
        </w:tc>
        <w:tc>
          <w:tcPr>
            <w:tcW w:w="2441" w:type="dxa"/>
            <w:shd w:val="clear" w:color="auto" w:fill="D9E2F3"/>
            <w:tcMar>
              <w:top w:w="80" w:type="dxa"/>
              <w:left w:w="100" w:type="dxa"/>
              <w:bottom w:w="80" w:type="dxa"/>
              <w:right w:w="100" w:type="dxa"/>
            </w:tcMar>
            <w:vAlign w:val="center"/>
          </w:tcPr>
          <w:p w14:paraId="55B960FB" w14:textId="77777777" w:rsidR="00DA1AF7" w:rsidRDefault="00684366">
            <w:pPr>
              <w:spacing w:line="360" w:lineRule="auto"/>
            </w:pPr>
            <w:r>
              <w:rPr>
                <w:sz w:val="20"/>
                <w:szCs w:val="20"/>
              </w:rPr>
              <w:t>Enumeration + ranking + execution + verification</w:t>
            </w:r>
          </w:p>
        </w:tc>
        <w:tc>
          <w:tcPr>
            <w:tcW w:w="2756" w:type="dxa"/>
            <w:shd w:val="clear" w:color="auto" w:fill="D9E2F3"/>
            <w:tcMar>
              <w:top w:w="80" w:type="dxa"/>
              <w:left w:w="100" w:type="dxa"/>
              <w:bottom w:w="80" w:type="dxa"/>
              <w:right w:w="100" w:type="dxa"/>
            </w:tcMar>
            <w:vAlign w:val="center"/>
          </w:tcPr>
          <w:p w14:paraId="55B960FC" w14:textId="77777777" w:rsidR="00DA1AF7" w:rsidRDefault="00684366">
            <w:pPr>
              <w:spacing w:line="360" w:lineRule="auto"/>
            </w:pPr>
            <w:r>
              <w:rPr>
                <w:sz w:val="20"/>
                <w:szCs w:val="20"/>
              </w:rPr>
              <w:t>Deterministic weighted rules (Sec. 3.4)</w:t>
            </w:r>
          </w:p>
        </w:tc>
        <w:tc>
          <w:tcPr>
            <w:tcW w:w="2298" w:type="dxa"/>
            <w:shd w:val="clear" w:color="auto" w:fill="D9E2F3"/>
            <w:tcMar>
              <w:top w:w="80" w:type="dxa"/>
              <w:left w:w="100" w:type="dxa"/>
              <w:bottom w:w="80" w:type="dxa"/>
              <w:right w:w="100" w:type="dxa"/>
            </w:tcMar>
            <w:vAlign w:val="center"/>
          </w:tcPr>
          <w:p w14:paraId="55B960FD" w14:textId="77777777" w:rsidR="00DA1AF7" w:rsidRDefault="00684366">
            <w:pPr>
              <w:spacing w:line="360" w:lineRule="auto"/>
            </w:pPr>
            <w:r>
              <w:rPr>
                <w:sz w:val="20"/>
                <w:szCs w:val="20"/>
              </w:rPr>
              <w:t>High (full decision trail, Ch. 4-5)</w:t>
            </w:r>
          </w:p>
        </w:tc>
      </w:tr>
    </w:tbl>
    <w:p w14:paraId="55B960FF" w14:textId="77777777" w:rsidR="00DA1AF7" w:rsidRDefault="00DA1AF7">
      <w:pPr>
        <w:spacing w:after="160" w:line="360" w:lineRule="auto"/>
        <w:jc w:val="both"/>
        <w:rPr>
          <w:sz w:val="22"/>
          <w:szCs w:val="22"/>
        </w:rPr>
      </w:pPr>
    </w:p>
    <w:p w14:paraId="55B96100" w14:textId="77777777" w:rsidR="00DA1AF7" w:rsidRDefault="00684366">
      <w:pPr>
        <w:spacing w:after="160" w:line="360" w:lineRule="auto"/>
        <w:jc w:val="both"/>
      </w:pPr>
      <w:r>
        <w:rPr>
          <w:sz w:val="22"/>
          <w:szCs w:val="22"/>
        </w:rPr>
        <w:t>It is also worth noting what the table does not show: relative effectiveness. The tools differ so much in scope, autonomy and target class that a single head-to-head benchmark would measure different things under one banner. This is why RQ4 in Section 1.3 is scoped narrowly to compare APEX against a manual, enumeration-only baseline rather than the systems listed here.</w:t>
      </w:r>
    </w:p>
    <w:p w14:paraId="55B96101" w14:textId="77777777" w:rsidR="00DA1AF7" w:rsidRDefault="00684366">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2.4 Decision-Making, Prioritisation and Verification</w:t>
      </w:r>
    </w:p>
    <w:p w14:paraId="55B96102" w14:textId="77777777" w:rsidR="00DA1AF7" w:rsidRDefault="00684366">
      <w:pPr>
        <w:spacing w:after="160" w:line="360" w:lineRule="auto"/>
        <w:jc w:val="both"/>
        <w:rPr>
          <w:sz w:val="22"/>
          <w:szCs w:val="22"/>
        </w:rPr>
      </w:pPr>
      <w:r>
        <w:rPr>
          <w:sz w:val="22"/>
          <w:szCs w:val="22"/>
        </w:rPr>
        <w:t xml:space="preserve">Not all findings are equally important, a central design issue. A technique with all prerequisites </w:t>
      </w:r>
      <w:proofErr w:type="gramStart"/>
      <w:r>
        <w:rPr>
          <w:sz w:val="22"/>
          <w:szCs w:val="22"/>
        </w:rPr>
        <w:t>satisfied,</w:t>
      </w:r>
      <w:proofErr w:type="gramEnd"/>
      <w:r>
        <w:rPr>
          <w:sz w:val="22"/>
          <w:szCs w:val="22"/>
        </w:rPr>
        <w:t xml:space="preserve"> low environmental risk and a direct route to elevated execution should usually rank above a speculative kernel path depending on a narrow version range and extra conditions. APEX encodes this in a weighted score.</w:t>
      </w:r>
    </w:p>
    <w:p w14:paraId="55B96103" w14:textId="77777777" w:rsidR="00DA1AF7" w:rsidRDefault="00684366">
      <w:pPr>
        <w:spacing w:after="160" w:line="360" w:lineRule="auto"/>
        <w:jc w:val="both"/>
      </w:pPr>
      <w:r>
        <w:rPr>
          <w:sz w:val="22"/>
          <w:szCs w:val="22"/>
        </w:rPr>
        <w:t xml:space="preserve">The score does not imply a universal likelihood of exploitation; it gives a consistent way to order candidates. Its factors include prerequisite satisfaction, evidence confidence, expected reliability, environmental dependence, required interaction and operational risk. Making these explicit keeps the ranking interpretable and </w:t>
      </w:r>
      <w:proofErr w:type="spellStart"/>
      <w:r>
        <w:rPr>
          <w:sz w:val="22"/>
          <w:szCs w:val="22"/>
        </w:rPr>
        <w:t>tunable</w:t>
      </w:r>
      <w:proofErr w:type="spellEnd"/>
      <w:r>
        <w:rPr>
          <w:sz w:val="22"/>
          <w:szCs w:val="22"/>
        </w:rPr>
        <w:t xml:space="preserve">, so a supervisor can ask why a </w:t>
      </w:r>
      <w:proofErr w:type="spellStart"/>
      <w:r>
        <w:rPr>
          <w:sz w:val="22"/>
          <w:szCs w:val="22"/>
        </w:rPr>
        <w:t>sudo</w:t>
      </w:r>
      <w:proofErr w:type="spellEnd"/>
      <w:r>
        <w:rPr>
          <w:sz w:val="22"/>
          <w:szCs w:val="22"/>
        </w:rPr>
        <w:t xml:space="preserve"> rule ranked above a SUID binary and get an evidence-based answer.</w:t>
      </w:r>
    </w:p>
    <w:p w14:paraId="55B96104" w14:textId="77777777" w:rsidR="00DA1AF7" w:rsidRDefault="00684366">
      <w:pPr>
        <w:spacing w:after="160" w:line="360" w:lineRule="auto"/>
        <w:jc w:val="both"/>
        <w:rPr>
          <w:sz w:val="22"/>
          <w:szCs w:val="22"/>
        </w:rPr>
      </w:pPr>
      <w:r>
        <w:rPr>
          <w:sz w:val="22"/>
          <w:szCs w:val="22"/>
        </w:rPr>
        <w:t>Such weighted-ranking ideas are not confined to security tooling; they also appear in vulnerability management, combining severity, exploitability and exposure into one number to decide what to patch first. APEX's scoring engine applies the same idea to ordering escalation attempts on one host.</w:t>
      </w:r>
    </w:p>
    <w:p w14:paraId="55B96105" w14:textId="77777777" w:rsidR="00DA1AF7" w:rsidRDefault="00684366">
      <w:pPr>
        <w:spacing w:after="160" w:line="360" w:lineRule="auto"/>
        <w:jc w:val="both"/>
        <w:rPr>
          <w:sz w:val="22"/>
          <w:szCs w:val="22"/>
        </w:rPr>
      </w:pPr>
      <w:r>
        <w:rPr>
          <w:sz w:val="22"/>
          <w:szCs w:val="22"/>
        </w:rPr>
        <w:t xml:space="preserve">Verification is equally vital: a technique that runs without error has not necessarily succeeded. APEX checks the resulting security context and logs whether the effective privilege level </w:t>
      </w:r>
      <w:proofErr w:type="gramStart"/>
      <w:r>
        <w:rPr>
          <w:sz w:val="22"/>
          <w:szCs w:val="22"/>
        </w:rPr>
        <w:t>actually changed</w:t>
      </w:r>
      <w:proofErr w:type="gramEnd"/>
      <w:r>
        <w:rPr>
          <w:sz w:val="22"/>
          <w:szCs w:val="22"/>
        </w:rPr>
        <w:t xml:space="preserve">: success ends the attempt cycle, failure is logged and the engine moves on. Skipping this step lets a tool return false positives, for example logging a </w:t>
      </w:r>
      <w:proofErr w:type="spellStart"/>
      <w:r>
        <w:rPr>
          <w:sz w:val="22"/>
          <w:szCs w:val="22"/>
        </w:rPr>
        <w:t>sudo</w:t>
      </w:r>
      <w:proofErr w:type="spellEnd"/>
      <w:r>
        <w:rPr>
          <w:sz w:val="22"/>
          <w:szCs w:val="22"/>
        </w:rPr>
        <w:t xml:space="preserve"> command as "attempted" when it failed silently.</w:t>
      </w:r>
    </w:p>
    <w:p w14:paraId="55B96106" w14:textId="77777777" w:rsidR="00DA1AF7" w:rsidRDefault="00684366">
      <w:pPr>
        <w:spacing w:after="160" w:line="360" w:lineRule="auto"/>
        <w:jc w:val="both"/>
        <w:rPr>
          <w:sz w:val="22"/>
          <w:szCs w:val="22"/>
        </w:rPr>
      </w:pPr>
      <w:r>
        <w:rPr>
          <w:sz w:val="22"/>
          <w:szCs w:val="22"/>
        </w:rPr>
        <w:t>This focus on an inspectable decision trail links APEX to explainable AI (XAI), concerned with making automated security decisions interpretable to an analyst rather than delivering only a verdict [20]. The rationale is that an analyst who cannot understand why a system decided as it did cannot easily trust, audit or correct it. APEX adopts a rule-based design that is explainable by construction, and the reporting requirements in Sections 3.4 and 4.3 follow this literature's insistence that explanation is a</w:t>
      </w:r>
      <w:r>
        <w:rPr>
          <w:sz w:val="22"/>
          <w:szCs w:val="22"/>
        </w:rPr>
        <w:t xml:space="preserve"> first-class requirement.</w:t>
      </w:r>
    </w:p>
    <w:p w14:paraId="55B96107" w14:textId="77777777" w:rsidR="00DA1AF7" w:rsidRDefault="00684366">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2.5 Reporting and Reproducibility</w:t>
      </w:r>
    </w:p>
    <w:p w14:paraId="55B96108" w14:textId="77777777" w:rsidR="00DA1AF7" w:rsidRDefault="00684366">
      <w:pPr>
        <w:spacing w:after="160" w:line="360" w:lineRule="auto"/>
        <w:jc w:val="both"/>
      </w:pPr>
      <w:r>
        <w:rPr>
          <w:sz w:val="22"/>
          <w:szCs w:val="22"/>
        </w:rPr>
        <w:lastRenderedPageBreak/>
        <w:t>Security-assessment results only have value if someone else can understand what was observed and how a conclusion was reached. APEX records raw discoveries, normalised evidence, candidate techniques, scores, reasons for acceptance or rejection, attempted actions and verification results, which is why its reports are far longer than a simple pass/fail summary.</w:t>
      </w:r>
    </w:p>
    <w:p w14:paraId="55B96109" w14:textId="77777777" w:rsidR="00DA1AF7" w:rsidRDefault="00684366">
      <w:pPr>
        <w:spacing w:after="160" w:line="360" w:lineRule="auto"/>
        <w:jc w:val="both"/>
        <w:rPr>
          <w:sz w:val="22"/>
          <w:szCs w:val="22"/>
        </w:rPr>
      </w:pPr>
      <w:r>
        <w:rPr>
          <w:sz w:val="22"/>
          <w:szCs w:val="22"/>
        </w:rPr>
        <w:t>The project also uses version-controlled source code and test scenarios to track changes to rules and scoring. Reproducibility matters especially when comparing an automated system against manual analysis, because the conditions must be identical; if rules or weights change between runs unrecorded, any apparent improvement cannot be confidently attributed to the change tested.</w:t>
      </w:r>
    </w:p>
    <w:p w14:paraId="55B9610A" w14:textId="77777777" w:rsidR="00DA1AF7" w:rsidRDefault="00684366">
      <w:pPr>
        <w:spacing w:after="160" w:line="360" w:lineRule="auto"/>
        <w:jc w:val="both"/>
        <w:rPr>
          <w:sz w:val="22"/>
          <w:szCs w:val="22"/>
        </w:rPr>
      </w:pPr>
      <w:r>
        <w:rPr>
          <w:sz w:val="22"/>
          <w:szCs w:val="22"/>
        </w:rPr>
        <w:t>Target-state drift is another reproducibility problem specific to active exploitation. Unlike a read-only enumeration script, APEX's execution layer can change the target's state, for example by adding the privileged account in Chapter 5, so the same scenario cannot be run twice without resetting to a baseline. This is reflected in the assessment plan in Section 3.6, where each scenario starts from a stated snapshot, a discipline the Chapter 5 case study followed.</w:t>
      </w:r>
    </w:p>
    <w:p w14:paraId="55B9610B" w14:textId="77777777" w:rsidR="00DA1AF7" w:rsidRDefault="00684366">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2.6 Literature Review Summary</w:t>
      </w:r>
    </w:p>
    <w:tbl>
      <w:tblPr>
        <w:tblStyle w:val="a0"/>
        <w:tblW w:w="9700" w:type="dxa"/>
        <w:tblInd w:w="0" w:type="dxa"/>
        <w:tblBorders>
          <w:top w:val="single" w:sz="4" w:space="0" w:color="9DB6CE"/>
          <w:left w:val="single" w:sz="4" w:space="0" w:color="9DB6CE"/>
          <w:bottom w:val="single" w:sz="4" w:space="0" w:color="9DB6CE"/>
          <w:right w:val="single" w:sz="4" w:space="0" w:color="9DB6CE"/>
          <w:insideH w:val="single" w:sz="4" w:space="0" w:color="C3D3E5"/>
          <w:insideV w:val="single" w:sz="4" w:space="0" w:color="C3D3E5"/>
        </w:tblBorders>
        <w:tblLayout w:type="fixed"/>
        <w:tblLook w:val="0000" w:firstRow="0" w:lastRow="0" w:firstColumn="0" w:lastColumn="0" w:noHBand="0" w:noVBand="0"/>
      </w:tblPr>
      <w:tblGrid>
        <w:gridCol w:w="1900"/>
        <w:gridCol w:w="2600"/>
        <w:gridCol w:w="2600"/>
        <w:gridCol w:w="2600"/>
      </w:tblGrid>
      <w:tr w:rsidR="00DA1AF7" w14:paraId="55B96110" w14:textId="77777777">
        <w:trPr>
          <w:tblHeader/>
        </w:trPr>
        <w:tc>
          <w:tcPr>
            <w:tcW w:w="1900" w:type="dxa"/>
            <w:shd w:val="clear" w:color="auto" w:fill="4F81BD"/>
            <w:tcMar>
              <w:top w:w="80" w:type="dxa"/>
              <w:left w:w="100" w:type="dxa"/>
              <w:bottom w:w="80" w:type="dxa"/>
              <w:right w:w="100" w:type="dxa"/>
            </w:tcMar>
            <w:vAlign w:val="center"/>
          </w:tcPr>
          <w:p w14:paraId="55B9610C" w14:textId="77777777" w:rsidR="00DA1AF7" w:rsidRDefault="00684366">
            <w:pPr>
              <w:spacing w:line="360" w:lineRule="auto"/>
            </w:pPr>
            <w:r>
              <w:rPr>
                <w:b/>
                <w:bCs/>
                <w:color w:val="FFFFFF"/>
                <w:sz w:val="19"/>
                <w:szCs w:val="19"/>
              </w:rPr>
              <w:t>Theme</w:t>
            </w:r>
          </w:p>
        </w:tc>
        <w:tc>
          <w:tcPr>
            <w:tcW w:w="2600" w:type="dxa"/>
            <w:shd w:val="clear" w:color="auto" w:fill="4F81BD"/>
            <w:tcMar>
              <w:top w:w="80" w:type="dxa"/>
              <w:left w:w="100" w:type="dxa"/>
              <w:bottom w:w="80" w:type="dxa"/>
              <w:right w:w="100" w:type="dxa"/>
            </w:tcMar>
            <w:vAlign w:val="center"/>
          </w:tcPr>
          <w:p w14:paraId="55B9610D" w14:textId="77777777" w:rsidR="00DA1AF7" w:rsidRDefault="00684366">
            <w:pPr>
              <w:spacing w:line="360" w:lineRule="auto"/>
            </w:pPr>
            <w:r>
              <w:rPr>
                <w:b/>
                <w:bCs/>
                <w:color w:val="FFFFFF"/>
                <w:sz w:val="19"/>
                <w:szCs w:val="19"/>
              </w:rPr>
              <w:t>Existing Strength</w:t>
            </w:r>
          </w:p>
        </w:tc>
        <w:tc>
          <w:tcPr>
            <w:tcW w:w="2600" w:type="dxa"/>
            <w:shd w:val="clear" w:color="auto" w:fill="4F81BD"/>
            <w:tcMar>
              <w:top w:w="80" w:type="dxa"/>
              <w:left w:w="100" w:type="dxa"/>
              <w:bottom w:w="80" w:type="dxa"/>
              <w:right w:w="100" w:type="dxa"/>
            </w:tcMar>
            <w:vAlign w:val="center"/>
          </w:tcPr>
          <w:p w14:paraId="55B9610E" w14:textId="77777777" w:rsidR="00DA1AF7" w:rsidRDefault="00684366">
            <w:pPr>
              <w:spacing w:line="360" w:lineRule="auto"/>
            </w:pPr>
            <w:r>
              <w:rPr>
                <w:b/>
                <w:bCs/>
                <w:color w:val="FFFFFF"/>
                <w:sz w:val="19"/>
                <w:szCs w:val="19"/>
              </w:rPr>
              <w:t>Observed Limitation</w:t>
            </w:r>
          </w:p>
        </w:tc>
        <w:tc>
          <w:tcPr>
            <w:tcW w:w="2600" w:type="dxa"/>
            <w:shd w:val="clear" w:color="auto" w:fill="4F81BD"/>
            <w:tcMar>
              <w:top w:w="80" w:type="dxa"/>
              <w:left w:w="100" w:type="dxa"/>
              <w:bottom w:w="80" w:type="dxa"/>
              <w:right w:w="100" w:type="dxa"/>
            </w:tcMar>
            <w:vAlign w:val="center"/>
          </w:tcPr>
          <w:p w14:paraId="55B9610F" w14:textId="77777777" w:rsidR="00DA1AF7" w:rsidRDefault="00684366">
            <w:pPr>
              <w:spacing w:line="360" w:lineRule="auto"/>
            </w:pPr>
            <w:r>
              <w:rPr>
                <w:b/>
                <w:bCs/>
                <w:color w:val="FFFFFF"/>
                <w:sz w:val="19"/>
                <w:szCs w:val="19"/>
              </w:rPr>
              <w:t>APEX Response</w:t>
            </w:r>
          </w:p>
        </w:tc>
      </w:tr>
      <w:tr w:rsidR="00DA1AF7" w14:paraId="55B96115" w14:textId="77777777">
        <w:tc>
          <w:tcPr>
            <w:tcW w:w="1900" w:type="dxa"/>
            <w:tcMar>
              <w:top w:w="80" w:type="dxa"/>
              <w:left w:w="100" w:type="dxa"/>
              <w:bottom w:w="80" w:type="dxa"/>
              <w:right w:w="100" w:type="dxa"/>
            </w:tcMar>
            <w:vAlign w:val="center"/>
          </w:tcPr>
          <w:p w14:paraId="55B96111" w14:textId="77777777" w:rsidR="00DA1AF7" w:rsidRDefault="00684366">
            <w:pPr>
              <w:spacing w:line="360" w:lineRule="auto"/>
              <w:rPr>
                <w:sz w:val="22"/>
                <w:szCs w:val="22"/>
              </w:rPr>
            </w:pPr>
            <w:r>
              <w:rPr>
                <w:color w:val="000000"/>
                <w:sz w:val="22"/>
                <w:szCs w:val="22"/>
              </w:rPr>
              <w:t>Enumeration tools</w:t>
            </w:r>
          </w:p>
        </w:tc>
        <w:tc>
          <w:tcPr>
            <w:tcW w:w="2600" w:type="dxa"/>
            <w:tcMar>
              <w:top w:w="80" w:type="dxa"/>
              <w:left w:w="100" w:type="dxa"/>
              <w:bottom w:w="80" w:type="dxa"/>
              <w:right w:w="100" w:type="dxa"/>
            </w:tcMar>
            <w:vAlign w:val="center"/>
          </w:tcPr>
          <w:p w14:paraId="55B96112" w14:textId="77777777" w:rsidR="00DA1AF7" w:rsidRDefault="00684366">
            <w:pPr>
              <w:spacing w:line="360" w:lineRule="auto"/>
              <w:rPr>
                <w:sz w:val="22"/>
                <w:szCs w:val="22"/>
              </w:rPr>
            </w:pPr>
            <w:r>
              <w:rPr>
                <w:sz w:val="22"/>
                <w:szCs w:val="22"/>
              </w:rPr>
              <w:t>Fast, wide collection of Linux results</w:t>
            </w:r>
          </w:p>
        </w:tc>
        <w:tc>
          <w:tcPr>
            <w:tcW w:w="2600" w:type="dxa"/>
            <w:tcMar>
              <w:top w:w="80" w:type="dxa"/>
              <w:left w:w="100" w:type="dxa"/>
              <w:bottom w:w="80" w:type="dxa"/>
              <w:right w:w="100" w:type="dxa"/>
            </w:tcMar>
            <w:vAlign w:val="center"/>
          </w:tcPr>
          <w:p w14:paraId="55B96113" w14:textId="77777777" w:rsidR="00DA1AF7" w:rsidRDefault="00684366">
            <w:pPr>
              <w:spacing w:line="360" w:lineRule="auto"/>
              <w:rPr>
                <w:sz w:val="22"/>
                <w:szCs w:val="22"/>
              </w:rPr>
            </w:pPr>
            <w:r>
              <w:rPr>
                <w:color w:val="000000"/>
                <w:sz w:val="22"/>
                <w:szCs w:val="22"/>
              </w:rPr>
              <w:t>Human still interprets and prioritises output</w:t>
            </w:r>
          </w:p>
        </w:tc>
        <w:tc>
          <w:tcPr>
            <w:tcW w:w="2600" w:type="dxa"/>
            <w:tcMar>
              <w:top w:w="80" w:type="dxa"/>
              <w:left w:w="100" w:type="dxa"/>
              <w:bottom w:w="80" w:type="dxa"/>
              <w:right w:w="100" w:type="dxa"/>
            </w:tcMar>
            <w:vAlign w:val="center"/>
          </w:tcPr>
          <w:p w14:paraId="55B96114" w14:textId="77777777" w:rsidR="00DA1AF7" w:rsidRDefault="00684366">
            <w:pPr>
              <w:spacing w:line="360" w:lineRule="auto"/>
              <w:rPr>
                <w:sz w:val="22"/>
                <w:szCs w:val="22"/>
              </w:rPr>
            </w:pPr>
            <w:r>
              <w:rPr>
                <w:color w:val="000000"/>
                <w:sz w:val="22"/>
                <w:szCs w:val="22"/>
              </w:rPr>
              <w:t>Structured evidence and candidate generation</w:t>
            </w:r>
          </w:p>
        </w:tc>
      </w:tr>
      <w:tr w:rsidR="00DA1AF7" w14:paraId="55B9611A" w14:textId="77777777">
        <w:tc>
          <w:tcPr>
            <w:tcW w:w="1900" w:type="dxa"/>
            <w:shd w:val="clear" w:color="auto" w:fill="D9E2F3"/>
            <w:tcMar>
              <w:top w:w="80" w:type="dxa"/>
              <w:left w:w="100" w:type="dxa"/>
              <w:bottom w:w="80" w:type="dxa"/>
              <w:right w:w="100" w:type="dxa"/>
            </w:tcMar>
            <w:vAlign w:val="center"/>
          </w:tcPr>
          <w:p w14:paraId="55B96116" w14:textId="77777777" w:rsidR="00DA1AF7" w:rsidRDefault="00684366">
            <w:pPr>
              <w:spacing w:line="360" w:lineRule="auto"/>
              <w:rPr>
                <w:sz w:val="22"/>
                <w:szCs w:val="22"/>
              </w:rPr>
            </w:pPr>
            <w:r>
              <w:rPr>
                <w:color w:val="000000"/>
                <w:sz w:val="22"/>
                <w:szCs w:val="22"/>
              </w:rPr>
              <w:t>Technique knowledge bases</w:t>
            </w:r>
          </w:p>
        </w:tc>
        <w:tc>
          <w:tcPr>
            <w:tcW w:w="2600" w:type="dxa"/>
            <w:shd w:val="clear" w:color="auto" w:fill="D9E2F3"/>
            <w:tcMar>
              <w:top w:w="80" w:type="dxa"/>
              <w:left w:w="100" w:type="dxa"/>
              <w:bottom w:w="80" w:type="dxa"/>
              <w:right w:w="100" w:type="dxa"/>
            </w:tcMar>
            <w:vAlign w:val="center"/>
          </w:tcPr>
          <w:p w14:paraId="55B96117" w14:textId="77777777" w:rsidR="00DA1AF7" w:rsidRDefault="00684366">
            <w:pPr>
              <w:spacing w:line="360" w:lineRule="auto"/>
              <w:rPr>
                <w:sz w:val="22"/>
                <w:szCs w:val="22"/>
              </w:rPr>
            </w:pPr>
            <w:r>
              <w:rPr>
                <w:sz w:val="22"/>
                <w:szCs w:val="22"/>
              </w:rPr>
              <w:t>Known abuse tendencies in documents</w:t>
            </w:r>
          </w:p>
        </w:tc>
        <w:tc>
          <w:tcPr>
            <w:tcW w:w="2600" w:type="dxa"/>
            <w:shd w:val="clear" w:color="auto" w:fill="D9E2F3"/>
            <w:tcMar>
              <w:top w:w="80" w:type="dxa"/>
              <w:left w:w="100" w:type="dxa"/>
              <w:bottom w:w="80" w:type="dxa"/>
              <w:right w:w="100" w:type="dxa"/>
            </w:tcMar>
            <w:vAlign w:val="center"/>
          </w:tcPr>
          <w:p w14:paraId="55B96118" w14:textId="77777777" w:rsidR="00DA1AF7" w:rsidRDefault="00684366">
            <w:pPr>
              <w:spacing w:line="360" w:lineRule="auto"/>
              <w:rPr>
                <w:sz w:val="22"/>
                <w:szCs w:val="22"/>
              </w:rPr>
            </w:pPr>
            <w:r>
              <w:rPr>
                <w:color w:val="000000"/>
                <w:sz w:val="22"/>
                <w:szCs w:val="22"/>
              </w:rPr>
              <w:t>Usually consulted manually</w:t>
            </w:r>
          </w:p>
        </w:tc>
        <w:tc>
          <w:tcPr>
            <w:tcW w:w="2600" w:type="dxa"/>
            <w:shd w:val="clear" w:color="auto" w:fill="D9E2F3"/>
            <w:tcMar>
              <w:top w:w="80" w:type="dxa"/>
              <w:left w:w="100" w:type="dxa"/>
              <w:bottom w:w="80" w:type="dxa"/>
              <w:right w:w="100" w:type="dxa"/>
            </w:tcMar>
            <w:vAlign w:val="center"/>
          </w:tcPr>
          <w:p w14:paraId="55B96119" w14:textId="77777777" w:rsidR="00DA1AF7" w:rsidRDefault="00684366">
            <w:pPr>
              <w:spacing w:line="360" w:lineRule="auto"/>
              <w:rPr>
                <w:sz w:val="22"/>
                <w:szCs w:val="22"/>
              </w:rPr>
            </w:pPr>
            <w:r>
              <w:rPr>
                <w:color w:val="000000"/>
                <w:sz w:val="22"/>
                <w:szCs w:val="22"/>
              </w:rPr>
              <w:t>Prerequisite rules linked to findings</w:t>
            </w:r>
          </w:p>
        </w:tc>
      </w:tr>
      <w:tr w:rsidR="00DA1AF7" w14:paraId="55B9611F" w14:textId="77777777">
        <w:tc>
          <w:tcPr>
            <w:tcW w:w="1900" w:type="dxa"/>
            <w:tcMar>
              <w:top w:w="80" w:type="dxa"/>
              <w:left w:w="100" w:type="dxa"/>
              <w:bottom w:w="80" w:type="dxa"/>
              <w:right w:w="100" w:type="dxa"/>
            </w:tcMar>
            <w:vAlign w:val="center"/>
          </w:tcPr>
          <w:p w14:paraId="55B9611B" w14:textId="77777777" w:rsidR="00DA1AF7" w:rsidRDefault="00684366">
            <w:pPr>
              <w:spacing w:line="360" w:lineRule="auto"/>
              <w:rPr>
                <w:sz w:val="22"/>
                <w:szCs w:val="22"/>
              </w:rPr>
            </w:pPr>
            <w:r>
              <w:rPr>
                <w:color w:val="000000"/>
                <w:sz w:val="22"/>
                <w:szCs w:val="22"/>
              </w:rPr>
              <w:t>Exploitation frameworks</w:t>
            </w:r>
          </w:p>
        </w:tc>
        <w:tc>
          <w:tcPr>
            <w:tcW w:w="2600" w:type="dxa"/>
            <w:tcMar>
              <w:top w:w="80" w:type="dxa"/>
              <w:left w:w="100" w:type="dxa"/>
              <w:bottom w:w="80" w:type="dxa"/>
              <w:right w:w="100" w:type="dxa"/>
            </w:tcMar>
            <w:vAlign w:val="center"/>
          </w:tcPr>
          <w:p w14:paraId="55B9611C" w14:textId="77777777" w:rsidR="00DA1AF7" w:rsidRDefault="00684366">
            <w:pPr>
              <w:spacing w:line="360" w:lineRule="auto"/>
              <w:rPr>
                <w:sz w:val="22"/>
                <w:szCs w:val="22"/>
              </w:rPr>
            </w:pPr>
            <w:r>
              <w:rPr>
                <w:color w:val="000000"/>
                <w:sz w:val="22"/>
                <w:szCs w:val="22"/>
              </w:rPr>
              <w:t>Repeatable execution of known modules</w:t>
            </w:r>
          </w:p>
        </w:tc>
        <w:tc>
          <w:tcPr>
            <w:tcW w:w="2600" w:type="dxa"/>
            <w:tcMar>
              <w:top w:w="80" w:type="dxa"/>
              <w:left w:w="100" w:type="dxa"/>
              <w:bottom w:w="80" w:type="dxa"/>
              <w:right w:w="100" w:type="dxa"/>
            </w:tcMar>
            <w:vAlign w:val="center"/>
          </w:tcPr>
          <w:p w14:paraId="55B9611D" w14:textId="77777777" w:rsidR="00DA1AF7" w:rsidRDefault="00684366">
            <w:pPr>
              <w:spacing w:line="360" w:lineRule="auto"/>
              <w:rPr>
                <w:sz w:val="22"/>
                <w:szCs w:val="22"/>
              </w:rPr>
            </w:pPr>
            <w:r>
              <w:rPr>
                <w:color w:val="000000"/>
                <w:sz w:val="22"/>
                <w:szCs w:val="22"/>
              </w:rPr>
              <w:t>Selection logic may remain operator-driven</w:t>
            </w:r>
          </w:p>
        </w:tc>
        <w:tc>
          <w:tcPr>
            <w:tcW w:w="2600" w:type="dxa"/>
            <w:tcMar>
              <w:top w:w="80" w:type="dxa"/>
              <w:left w:w="100" w:type="dxa"/>
              <w:bottom w:w="80" w:type="dxa"/>
              <w:right w:w="100" w:type="dxa"/>
            </w:tcMar>
            <w:vAlign w:val="center"/>
          </w:tcPr>
          <w:p w14:paraId="55B9611E" w14:textId="77777777" w:rsidR="00DA1AF7" w:rsidRDefault="00684366">
            <w:pPr>
              <w:spacing w:line="360" w:lineRule="auto"/>
              <w:rPr>
                <w:sz w:val="22"/>
                <w:szCs w:val="22"/>
              </w:rPr>
            </w:pPr>
            <w:r>
              <w:rPr>
                <w:color w:val="000000"/>
                <w:sz w:val="22"/>
                <w:szCs w:val="22"/>
              </w:rPr>
              <w:t>Weighted ranking and controlled attempt cycle</w:t>
            </w:r>
          </w:p>
        </w:tc>
      </w:tr>
      <w:tr w:rsidR="00DA1AF7" w14:paraId="55B96124" w14:textId="77777777">
        <w:tc>
          <w:tcPr>
            <w:tcW w:w="1900" w:type="dxa"/>
            <w:shd w:val="clear" w:color="auto" w:fill="D9E2F3"/>
            <w:tcMar>
              <w:top w:w="80" w:type="dxa"/>
              <w:left w:w="100" w:type="dxa"/>
              <w:bottom w:w="80" w:type="dxa"/>
              <w:right w:w="100" w:type="dxa"/>
            </w:tcMar>
            <w:vAlign w:val="center"/>
          </w:tcPr>
          <w:p w14:paraId="55B96120" w14:textId="77777777" w:rsidR="00DA1AF7" w:rsidRDefault="00684366">
            <w:pPr>
              <w:spacing w:line="360" w:lineRule="auto"/>
              <w:rPr>
                <w:sz w:val="22"/>
                <w:szCs w:val="22"/>
              </w:rPr>
            </w:pPr>
            <w:r>
              <w:rPr>
                <w:color w:val="000000"/>
                <w:sz w:val="22"/>
                <w:szCs w:val="22"/>
              </w:rPr>
              <w:t>LLM / agentic approaches</w:t>
            </w:r>
          </w:p>
        </w:tc>
        <w:tc>
          <w:tcPr>
            <w:tcW w:w="2600" w:type="dxa"/>
            <w:shd w:val="clear" w:color="auto" w:fill="D9E2F3"/>
            <w:tcMar>
              <w:top w:w="80" w:type="dxa"/>
              <w:left w:w="100" w:type="dxa"/>
              <w:bottom w:w="80" w:type="dxa"/>
              <w:right w:w="100" w:type="dxa"/>
            </w:tcMar>
            <w:vAlign w:val="center"/>
          </w:tcPr>
          <w:p w14:paraId="55B96121" w14:textId="77777777" w:rsidR="00DA1AF7" w:rsidRDefault="00684366">
            <w:pPr>
              <w:spacing w:line="360" w:lineRule="auto"/>
              <w:rPr>
                <w:sz w:val="22"/>
                <w:szCs w:val="22"/>
              </w:rPr>
            </w:pPr>
            <w:r>
              <w:rPr>
                <w:color w:val="000000"/>
                <w:sz w:val="22"/>
                <w:szCs w:val="22"/>
              </w:rPr>
              <w:t>Adaptive reasoning across multiple steps</w:t>
            </w:r>
          </w:p>
        </w:tc>
        <w:tc>
          <w:tcPr>
            <w:tcW w:w="2600" w:type="dxa"/>
            <w:shd w:val="clear" w:color="auto" w:fill="D9E2F3"/>
            <w:tcMar>
              <w:top w:w="80" w:type="dxa"/>
              <w:left w:w="100" w:type="dxa"/>
              <w:bottom w:w="80" w:type="dxa"/>
              <w:right w:w="100" w:type="dxa"/>
            </w:tcMar>
            <w:vAlign w:val="center"/>
          </w:tcPr>
          <w:p w14:paraId="55B96122" w14:textId="77777777" w:rsidR="00DA1AF7" w:rsidRDefault="00684366">
            <w:pPr>
              <w:spacing w:line="360" w:lineRule="auto"/>
              <w:rPr>
                <w:sz w:val="22"/>
                <w:szCs w:val="22"/>
              </w:rPr>
            </w:pPr>
            <w:r>
              <w:rPr>
                <w:color w:val="000000"/>
                <w:sz w:val="22"/>
                <w:szCs w:val="22"/>
              </w:rPr>
              <w:t>Non-determinism and reproducibility concerns</w:t>
            </w:r>
          </w:p>
        </w:tc>
        <w:tc>
          <w:tcPr>
            <w:tcW w:w="2600" w:type="dxa"/>
            <w:shd w:val="clear" w:color="auto" w:fill="D9E2F3"/>
            <w:tcMar>
              <w:top w:w="80" w:type="dxa"/>
              <w:left w:w="100" w:type="dxa"/>
              <w:bottom w:w="80" w:type="dxa"/>
              <w:right w:w="100" w:type="dxa"/>
            </w:tcMar>
            <w:vAlign w:val="center"/>
          </w:tcPr>
          <w:p w14:paraId="55B96123" w14:textId="77777777" w:rsidR="00DA1AF7" w:rsidRDefault="00684366">
            <w:pPr>
              <w:spacing w:line="360" w:lineRule="auto"/>
              <w:rPr>
                <w:sz w:val="22"/>
                <w:szCs w:val="22"/>
              </w:rPr>
            </w:pPr>
            <w:r>
              <w:rPr>
                <w:color w:val="000000"/>
                <w:sz w:val="22"/>
                <w:szCs w:val="22"/>
              </w:rPr>
              <w:t>Transparent, deterministic core</w:t>
            </w:r>
          </w:p>
        </w:tc>
      </w:tr>
      <w:tr w:rsidR="00DA1AF7" w14:paraId="55B96129" w14:textId="77777777">
        <w:tc>
          <w:tcPr>
            <w:tcW w:w="1900" w:type="dxa"/>
            <w:tcMar>
              <w:top w:w="80" w:type="dxa"/>
              <w:left w:w="100" w:type="dxa"/>
              <w:bottom w:w="80" w:type="dxa"/>
              <w:right w:w="100" w:type="dxa"/>
            </w:tcMar>
            <w:vAlign w:val="center"/>
          </w:tcPr>
          <w:p w14:paraId="55B96125" w14:textId="77777777" w:rsidR="00DA1AF7" w:rsidRDefault="00684366">
            <w:pPr>
              <w:spacing w:line="360" w:lineRule="auto"/>
              <w:rPr>
                <w:sz w:val="22"/>
                <w:szCs w:val="22"/>
              </w:rPr>
            </w:pPr>
            <w:r>
              <w:rPr>
                <w:color w:val="000000"/>
                <w:sz w:val="22"/>
                <w:szCs w:val="22"/>
              </w:rPr>
              <w:t>Security reporting</w:t>
            </w:r>
          </w:p>
        </w:tc>
        <w:tc>
          <w:tcPr>
            <w:tcW w:w="2600" w:type="dxa"/>
            <w:tcMar>
              <w:top w:w="80" w:type="dxa"/>
              <w:left w:w="100" w:type="dxa"/>
              <w:bottom w:w="80" w:type="dxa"/>
              <w:right w:w="100" w:type="dxa"/>
            </w:tcMar>
            <w:vAlign w:val="center"/>
          </w:tcPr>
          <w:p w14:paraId="55B96126" w14:textId="77777777" w:rsidR="00DA1AF7" w:rsidRDefault="00684366">
            <w:pPr>
              <w:spacing w:line="360" w:lineRule="auto"/>
              <w:rPr>
                <w:sz w:val="22"/>
                <w:szCs w:val="22"/>
              </w:rPr>
            </w:pPr>
            <w:r>
              <w:rPr>
                <w:color w:val="000000"/>
                <w:sz w:val="22"/>
                <w:szCs w:val="22"/>
              </w:rPr>
              <w:t>Documents findings and outcomes</w:t>
            </w:r>
          </w:p>
        </w:tc>
        <w:tc>
          <w:tcPr>
            <w:tcW w:w="2600" w:type="dxa"/>
            <w:tcMar>
              <w:top w:w="80" w:type="dxa"/>
              <w:left w:w="100" w:type="dxa"/>
              <w:bottom w:w="80" w:type="dxa"/>
              <w:right w:w="100" w:type="dxa"/>
            </w:tcMar>
            <w:vAlign w:val="center"/>
          </w:tcPr>
          <w:p w14:paraId="55B96127" w14:textId="77777777" w:rsidR="00DA1AF7" w:rsidRDefault="00684366">
            <w:pPr>
              <w:spacing w:line="360" w:lineRule="auto"/>
              <w:rPr>
                <w:sz w:val="22"/>
                <w:szCs w:val="22"/>
              </w:rPr>
            </w:pPr>
            <w:r>
              <w:rPr>
                <w:color w:val="000000"/>
                <w:sz w:val="22"/>
                <w:szCs w:val="22"/>
              </w:rPr>
              <w:t>Decision process may be poorly captured</w:t>
            </w:r>
          </w:p>
        </w:tc>
        <w:tc>
          <w:tcPr>
            <w:tcW w:w="2600" w:type="dxa"/>
            <w:tcMar>
              <w:top w:w="80" w:type="dxa"/>
              <w:left w:w="100" w:type="dxa"/>
              <w:bottom w:w="80" w:type="dxa"/>
              <w:right w:w="100" w:type="dxa"/>
            </w:tcMar>
            <w:vAlign w:val="center"/>
          </w:tcPr>
          <w:p w14:paraId="55B96128" w14:textId="77777777" w:rsidR="00DA1AF7" w:rsidRDefault="00684366">
            <w:pPr>
              <w:spacing w:line="360" w:lineRule="auto"/>
              <w:rPr>
                <w:sz w:val="22"/>
                <w:szCs w:val="22"/>
              </w:rPr>
            </w:pPr>
            <w:r>
              <w:rPr>
                <w:color w:val="000000"/>
                <w:sz w:val="22"/>
                <w:szCs w:val="22"/>
              </w:rPr>
              <w:t>Records scores, reasons, attempts and verification</w:t>
            </w:r>
          </w:p>
        </w:tc>
      </w:tr>
    </w:tbl>
    <w:p w14:paraId="55B9612A" w14:textId="77777777" w:rsidR="00DA1AF7" w:rsidRDefault="00684366">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2.7 Summary of the Gap</w:t>
      </w:r>
    </w:p>
    <w:p w14:paraId="55B9612B" w14:textId="77777777" w:rsidR="00DA1AF7" w:rsidRDefault="00684366">
      <w:pPr>
        <w:spacing w:after="160" w:line="360" w:lineRule="auto"/>
        <w:jc w:val="both"/>
      </w:pPr>
      <w:r>
        <w:rPr>
          <w:sz w:val="22"/>
          <w:szCs w:val="22"/>
        </w:rPr>
        <w:t xml:space="preserve">All five themes point to one common gap. Enumeration tools, knowledge bases, exploitation frameworks and reporting practice each handle part of the workflow well, but the connective layer, turning raw findings </w:t>
      </w:r>
      <w:r>
        <w:rPr>
          <w:sz w:val="22"/>
          <w:szCs w:val="22"/>
        </w:rPr>
        <w:lastRenderedPageBreak/>
        <w:t>into a few justified, ranked and verified actions, is usually left to the tester or to an LLM whose reasoning is not fully inspectable. APEX fills that gap, making the step from enumeration to exploitation explicit, inspectable and repeatable.</w:t>
      </w:r>
    </w:p>
    <w:p w14:paraId="55B9612C" w14:textId="77777777" w:rsidR="00DA1AF7" w:rsidRDefault="00684366">
      <w:pPr>
        <w:spacing w:after="160" w:line="360" w:lineRule="auto"/>
        <w:jc w:val="both"/>
      </w:pPr>
      <w:r>
        <w:rPr>
          <w:sz w:val="22"/>
          <w:szCs w:val="22"/>
        </w:rPr>
        <w:t xml:space="preserve">This positioning shapes how the project should be judged: the relevant comparison is not APEX versus a hypothetical flawless automated </w:t>
      </w:r>
      <w:proofErr w:type="spellStart"/>
      <w:r>
        <w:rPr>
          <w:sz w:val="22"/>
          <w:szCs w:val="22"/>
        </w:rPr>
        <w:t>pentester</w:t>
      </w:r>
      <w:proofErr w:type="spellEnd"/>
      <w:r>
        <w:rPr>
          <w:sz w:val="22"/>
          <w:szCs w:val="22"/>
        </w:rPr>
        <w:t xml:space="preserve">, but versus the status quo of a tester manually triaging PEASS-ng or </w:t>
      </w:r>
      <w:proofErr w:type="spellStart"/>
      <w:r>
        <w:rPr>
          <w:sz w:val="22"/>
          <w:szCs w:val="22"/>
        </w:rPr>
        <w:t>LinPEAS</w:t>
      </w:r>
      <w:proofErr w:type="spellEnd"/>
      <w:r>
        <w:rPr>
          <w:sz w:val="22"/>
          <w:szCs w:val="22"/>
        </w:rPr>
        <w:t xml:space="preserve"> output line by line. On that basis, even a modest improvement in the consistency of prioritisation and verification is a meaningful contribution.</w:t>
      </w:r>
    </w:p>
    <w:p w14:paraId="55B9612D" w14:textId="77777777" w:rsidR="00DA1AF7" w:rsidRDefault="00684366">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2.8 Ethical and Legal Considerations in Automated Exploitation</w:t>
      </w:r>
    </w:p>
    <w:p w14:paraId="55B9612E" w14:textId="77777777" w:rsidR="00DA1AF7" w:rsidRDefault="00684366">
      <w:pPr>
        <w:spacing w:after="160" w:line="360" w:lineRule="auto"/>
        <w:jc w:val="both"/>
        <w:rPr>
          <w:sz w:val="22"/>
          <w:szCs w:val="22"/>
        </w:rPr>
      </w:pPr>
      <w:r>
        <w:rPr>
          <w:sz w:val="22"/>
          <w:szCs w:val="22"/>
        </w:rPr>
        <w:t>A tool that automatically attempts privilege escalation raises ethical and legal concerns a descriptive script does not, which the literature in Section 2.3 largely treats as an operational footnote rather than a design constraint. Unauthorised access is a criminal offence in most jurisdictions, and the line between authorised testing and intrusion is not the technology used but clear, scoped authority from the system owner. APEX must therefore make it hard to run against a target the operator has not knowi</w:t>
      </w:r>
      <w:r>
        <w:rPr>
          <w:sz w:val="22"/>
          <w:szCs w:val="22"/>
        </w:rPr>
        <w:t>ngly selected.</w:t>
      </w:r>
    </w:p>
    <w:p w14:paraId="55B9612F" w14:textId="77777777" w:rsidR="00DA1AF7" w:rsidRDefault="00684366">
      <w:pPr>
        <w:spacing w:after="160" w:line="360" w:lineRule="auto"/>
        <w:jc w:val="both"/>
        <w:rPr>
          <w:sz w:val="22"/>
          <w:szCs w:val="22"/>
        </w:rPr>
      </w:pPr>
      <w:r>
        <w:rPr>
          <w:sz w:val="22"/>
          <w:szCs w:val="22"/>
        </w:rPr>
        <w:t>In practice this translated into concrete design decisions: the authorisation prompt in Section 4.4 requires an explicit typed acknowledgment before any exploitation attempt, the Bash bundle refuses to run silently in the background, and each Phase 5 action is written to the audit log in Section 4.3 before the command executes, so a partially completed run still leaves an accurate record.</w:t>
      </w:r>
    </w:p>
    <w:p w14:paraId="55B96130" w14:textId="77777777" w:rsidR="00DA1AF7" w:rsidRDefault="00684366">
      <w:pPr>
        <w:spacing w:after="160" w:line="360" w:lineRule="auto"/>
        <w:jc w:val="both"/>
      </w:pPr>
      <w:r>
        <w:rPr>
          <w:sz w:val="22"/>
          <w:szCs w:val="22"/>
        </w:rPr>
        <w:t>Professional guidance such as NIST SP 800-115 treats authorisation, scoping and rules of engagement as prerequisites to any technical testing, not paperwork separate from the tool [6]. This informed building the mandatory authorisation prompt and a visible "FOR AUTHORIZED USE ONLY" banner into the Bash bundle (Section 4.4), so the requirement is enforced at the point of use rather than left as a skippable note.</w:t>
      </w:r>
    </w:p>
    <w:p w14:paraId="55B96131" w14:textId="77777777" w:rsidR="00DA1AF7" w:rsidRDefault="00684366">
      <w:pPr>
        <w:spacing w:after="160" w:line="360" w:lineRule="auto"/>
        <w:jc w:val="both"/>
      </w:pPr>
      <w:r>
        <w:rPr>
          <w:sz w:val="22"/>
          <w:szCs w:val="22"/>
        </w:rPr>
        <w:t xml:space="preserve">A second issue unique to automated exploitation is unintended damage: some techniques, especially kernel exploits, can crash or corrupt the target even when used correctly. This is why the "--stealth" flag in Section 3.5 is a first-class option, letting an operator exclude the highest-risk categories from automatic execution while still using the enumeration, scoring and reporting layers. All testing, including the Chapter 5 case study, ran only on a disposable vulnerable VM on an isolated private network, </w:t>
      </w:r>
      <w:r>
        <w:rPr>
          <w:sz w:val="22"/>
          <w:szCs w:val="22"/>
        </w:rPr>
        <w:t>following the ethical guidance and scope in Section 1.5.</w:t>
      </w:r>
    </w:p>
    <w:p w14:paraId="55B96132" w14:textId="77777777" w:rsidR="00DA1AF7" w:rsidRDefault="00684366">
      <w:pPr>
        <w:spacing w:after="160" w:line="360" w:lineRule="auto"/>
        <w:jc w:val="both"/>
      </w:pPr>
      <w:r>
        <w:rPr>
          <w:b/>
          <w:bCs/>
          <w:color w:val="000000"/>
          <w:sz w:val="32"/>
          <w:szCs w:val="32"/>
        </w:rPr>
        <w:t>CHAPTER 3: METHODOLOGY</w:t>
      </w:r>
    </w:p>
    <w:p w14:paraId="55B96133" w14:textId="77777777" w:rsidR="00DA1AF7" w:rsidRDefault="00684366">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3.1 Research Design</w:t>
      </w:r>
    </w:p>
    <w:p w14:paraId="55B96134" w14:textId="77777777" w:rsidR="00DA1AF7" w:rsidRDefault="00684366">
      <w:pPr>
        <w:spacing w:after="160" w:line="360" w:lineRule="auto"/>
        <w:jc w:val="both"/>
        <w:rPr>
          <w:sz w:val="22"/>
          <w:szCs w:val="22"/>
        </w:rPr>
      </w:pPr>
      <w:r>
        <w:rPr>
          <w:sz w:val="22"/>
          <w:szCs w:val="22"/>
        </w:rPr>
        <w:lastRenderedPageBreak/>
        <w:t>The project follows a design-and-evaluation process: APEX is implemented as an operational security-automation framework, then verified against controlled Linux scenarios with known privilege-escalation conditions. The evaluation examines whether the framework discovers legitimate paths, ranks them meaningfully, executes supported techniques correctly and checks the resulting privilege status.</w:t>
      </w:r>
    </w:p>
    <w:p w14:paraId="55B96135" w14:textId="77777777" w:rsidR="00DA1AF7" w:rsidRDefault="00684366">
      <w:pPr>
        <w:spacing w:after="160" w:line="360" w:lineRule="auto"/>
        <w:jc w:val="both"/>
        <w:rPr>
          <w:sz w:val="22"/>
          <w:szCs w:val="22"/>
        </w:rPr>
      </w:pPr>
      <w:r>
        <w:rPr>
          <w:sz w:val="22"/>
          <w:szCs w:val="22"/>
        </w:rPr>
        <w:t xml:space="preserve">The phased separation follows general penetration-testing methodology as set out in the OWASP Web Security Testing Guide; although aimed mainly at web applications, it prescribes the same discipline of information gathering, analysis and reporting as separate, auditable stages [16]. OWASP was chosen over NIST SP 800-115 for a Linux privilege-escalation tool because its guidance is more implementation-oriented and closer to the structured, step-by-step evidence gathering APEX performs, while NIST SP 800-115 </w:t>
      </w:r>
      <w:r>
        <w:rPr>
          <w:sz w:val="22"/>
          <w:szCs w:val="22"/>
        </w:rPr>
        <w:t>provides the higher-level assessment-process framing used elsewhere in this chapter.</w:t>
      </w:r>
    </w:p>
    <w:p w14:paraId="55B96136" w14:textId="77777777" w:rsidR="00DA1AF7" w:rsidRDefault="00684366">
      <w:pPr>
        <w:spacing w:after="160" w:line="360" w:lineRule="auto"/>
        <w:jc w:val="both"/>
        <w:rPr>
          <w:sz w:val="22"/>
          <w:szCs w:val="22"/>
        </w:rPr>
      </w:pPr>
      <w:r>
        <w:rPr>
          <w:sz w:val="22"/>
          <w:szCs w:val="22"/>
        </w:rPr>
        <w:t xml:space="preserve">All tests run from an authorised low-privilege environment. The target configuration and expected escalation paths are pre-defined so APEX's output can be compared with ground truth, and the same scenarios can be analysed manually or with enumeration-only tools to give a baseline for RQ4. This design-and-evaluation structure was preferred over a purely theoretical or purely empirical approach because the research questions are only answerable once a working system exists to measure: RQ1-RQ3 </w:t>
      </w:r>
      <w:proofErr w:type="gramStart"/>
      <w:r>
        <w:rPr>
          <w:sz w:val="22"/>
          <w:szCs w:val="22"/>
        </w:rPr>
        <w:t>in particular ask</w:t>
      </w:r>
      <w:proofErr w:type="gramEnd"/>
      <w:r>
        <w:rPr>
          <w:sz w:val="22"/>
          <w:szCs w:val="22"/>
        </w:rPr>
        <w:t xml:space="preserve"> how the implementation behaves, not just how it is supposed to.</w:t>
      </w:r>
    </w:p>
    <w:p w14:paraId="55B96137" w14:textId="77777777" w:rsidR="00DA1AF7" w:rsidRDefault="00684366">
      <w:pPr>
        <w:spacing w:after="160" w:line="360" w:lineRule="auto"/>
        <w:jc w:val="both"/>
        <w:rPr>
          <w:sz w:val="22"/>
          <w:szCs w:val="22"/>
        </w:rPr>
      </w:pPr>
      <w:r>
        <w:rPr>
          <w:sz w:val="22"/>
          <w:szCs w:val="22"/>
        </w:rPr>
        <w:t>A key methodological choice was to treat the manual, enumeration-only baseline in RQ4 as a genuine comparison condition, not a formality. For every baseline run we capture the same information APEX records: which findings a competent reviewer would highlight, in what order, and how long that took. Without this discipline, comparing APEX with "manual analysis" would compare a documented system against undocumented intuition, which is not a fair test of RQ4.</w:t>
      </w:r>
    </w:p>
    <w:p w14:paraId="55B96138" w14:textId="77777777" w:rsidR="00DA1AF7" w:rsidRDefault="00684366">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3.2 Enumeration and Evidence Collection</w:t>
      </w:r>
    </w:p>
    <w:p w14:paraId="55B96139" w14:textId="77777777" w:rsidR="00DA1AF7" w:rsidRDefault="00684366">
      <w:pPr>
        <w:spacing w:after="160" w:line="360" w:lineRule="auto"/>
        <w:jc w:val="both"/>
      </w:pPr>
      <w:r>
        <w:rPr>
          <w:sz w:val="22"/>
          <w:szCs w:val="22"/>
        </w:rPr>
        <w:t xml:space="preserve">During enumeration, the supported technique modules gather the required evidence. The framework does not collect everything a Linux host can print but focuses on information that feeds a decision rule. Categories currently include SUID/SGID files, </w:t>
      </w:r>
      <w:proofErr w:type="spellStart"/>
      <w:r>
        <w:rPr>
          <w:sz w:val="22"/>
          <w:szCs w:val="22"/>
        </w:rPr>
        <w:t>sudo</w:t>
      </w:r>
      <w:proofErr w:type="spellEnd"/>
      <w:r>
        <w:rPr>
          <w:sz w:val="22"/>
          <w:szCs w:val="22"/>
        </w:rPr>
        <w:t xml:space="preserve"> permissions, Linux capabilities, scheduled tasks, writable files and directories, PATH-related conditions, kernel information and other locally relevant configuration evidence.</w:t>
      </w:r>
    </w:p>
    <w:p w14:paraId="55B9613A" w14:textId="77777777" w:rsidR="00DA1AF7" w:rsidRDefault="00684366">
      <w:pPr>
        <w:spacing w:after="160" w:line="360" w:lineRule="auto"/>
        <w:jc w:val="both"/>
        <w:rPr>
          <w:sz w:val="22"/>
          <w:szCs w:val="22"/>
        </w:rPr>
      </w:pPr>
      <w:r>
        <w:rPr>
          <w:sz w:val="22"/>
          <w:szCs w:val="22"/>
        </w:rPr>
        <w:t xml:space="preserve">The collector fails safely: if a check cannot complete, for example because a command is missing on a minimal target, it records the gap as "not checked" rather than crashing or treating the missing data as a negative result. This matters for the analysis phase in Section 3.3, because a prerequisite that could not be </w:t>
      </w:r>
      <w:r>
        <w:rPr>
          <w:sz w:val="22"/>
          <w:szCs w:val="22"/>
        </w:rPr>
        <w:lastRenderedPageBreak/>
        <w:t>verified should not be treated like one verified and found false; confusing the two would produce a misleadingly confident candidate list.</w:t>
      </w:r>
    </w:p>
    <w:p w14:paraId="55B9613B" w14:textId="77777777" w:rsidR="00DA1AF7" w:rsidRDefault="00684366">
      <w:pPr>
        <w:spacing w:after="160" w:line="360" w:lineRule="auto"/>
        <w:jc w:val="both"/>
        <w:rPr>
          <w:sz w:val="22"/>
          <w:szCs w:val="22"/>
        </w:rPr>
      </w:pPr>
      <w:r>
        <w:rPr>
          <w:sz w:val="22"/>
          <w:szCs w:val="22"/>
        </w:rPr>
        <w:t>Wherever possible each collector returns structured data rather than free-form terminal output. This supports RQ1 by letting the project examine whether raw operating-system evidence can be turned into machine-readable facts sufficient for candidate generation. In practice it meant implementing the collectors twice, once in Python for the main 'apex' tool and once in POSIX shell for the portable bundle, kept behaviourally consistent; this duplication is noted as a limitation in Chapter 6.</w:t>
      </w:r>
    </w:p>
    <w:p w14:paraId="55B9613C" w14:textId="77777777" w:rsidR="00DA1AF7" w:rsidRDefault="00684366">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3.3 Normalisation and Analysis</w:t>
      </w:r>
    </w:p>
    <w:p w14:paraId="55B9613D" w14:textId="77777777" w:rsidR="00DA1AF7" w:rsidRDefault="00684366">
      <w:pPr>
        <w:spacing w:after="160" w:line="360" w:lineRule="auto"/>
        <w:jc w:val="both"/>
        <w:rPr>
          <w:sz w:val="22"/>
          <w:szCs w:val="22"/>
        </w:rPr>
      </w:pPr>
      <w:r>
        <w:rPr>
          <w:sz w:val="22"/>
          <w:szCs w:val="22"/>
        </w:rPr>
        <w:t>The raw results are transformed into a standard internal format. Each candidate technique is characterised by its category, evidence, required conditions, confidence indicators, safety constraints and a verification procedure. The analysis engine confirms these prerequisites before a technique proceeds to ranking.</w:t>
      </w:r>
    </w:p>
    <w:p w14:paraId="55B9613E" w14:textId="77777777" w:rsidR="00DA1AF7" w:rsidRDefault="00684366">
      <w:pPr>
        <w:spacing w:after="160" w:line="360" w:lineRule="auto"/>
        <w:jc w:val="both"/>
        <w:rPr>
          <w:sz w:val="22"/>
          <w:szCs w:val="22"/>
        </w:rPr>
      </w:pPr>
      <w:r>
        <w:rPr>
          <w:sz w:val="22"/>
          <w:szCs w:val="22"/>
        </w:rPr>
        <w:t xml:space="preserve">This stage avoids a common automation error: assuming anything potentially interesting must be exploitable. A finding that does not meet its criteria is kept in the report but tagged as rejected or incomplete, with the reason noted, for example an SUID binary absent from any known </w:t>
      </w:r>
      <w:proofErr w:type="spellStart"/>
      <w:r>
        <w:rPr>
          <w:sz w:val="22"/>
          <w:szCs w:val="22"/>
        </w:rPr>
        <w:t>GTFOBins</w:t>
      </w:r>
      <w:proofErr w:type="spellEnd"/>
      <w:r>
        <w:rPr>
          <w:sz w:val="22"/>
          <w:szCs w:val="22"/>
        </w:rPr>
        <w:t>-style abuse list is logged as informational rather than promoted to a scored candidate, so the tester can still see it without diluting the ranked list.</w:t>
      </w:r>
    </w:p>
    <w:p w14:paraId="55B9613F" w14:textId="77777777" w:rsidR="00DA1AF7" w:rsidRDefault="00684366">
      <w:pPr>
        <w:spacing w:after="160" w:line="360" w:lineRule="auto"/>
        <w:jc w:val="both"/>
      </w:pPr>
      <w:r>
        <w:rPr>
          <w:sz w:val="22"/>
          <w:szCs w:val="22"/>
        </w:rPr>
        <w:t xml:space="preserve">Normalisation must also handle ambiguous evidence. A </w:t>
      </w:r>
      <w:proofErr w:type="spellStart"/>
      <w:r>
        <w:rPr>
          <w:sz w:val="22"/>
          <w:szCs w:val="22"/>
        </w:rPr>
        <w:t>sudo</w:t>
      </w:r>
      <w:proofErr w:type="spellEnd"/>
      <w:r>
        <w:rPr>
          <w:sz w:val="22"/>
          <w:szCs w:val="22"/>
        </w:rPr>
        <w:t xml:space="preserve"> rule permitting a script rather than a fixed binary is a good example: its exploitability depends on whether the script is writable by the current user, a separate check the analysis layer performs before treating the candidate's prerequisites as complete. Treating "</w:t>
      </w:r>
      <w:proofErr w:type="spellStart"/>
      <w:r>
        <w:rPr>
          <w:sz w:val="22"/>
          <w:szCs w:val="22"/>
        </w:rPr>
        <w:t>sudo</w:t>
      </w:r>
      <w:proofErr w:type="spellEnd"/>
      <w:r>
        <w:rPr>
          <w:sz w:val="22"/>
          <w:szCs w:val="22"/>
        </w:rPr>
        <w:t xml:space="preserve"> permits that script" and "that script is writable" as two independent conditions, rather than inferring the second from the first, is a deliberately conservative choice that keeps the false-positive rate low, at some cost to the number</w:t>
      </w:r>
      <w:r>
        <w:rPr>
          <w:sz w:val="22"/>
          <w:szCs w:val="22"/>
        </w:rPr>
        <w:t xml:space="preserve"> of candidates generated.</w:t>
      </w:r>
    </w:p>
    <w:p w14:paraId="55B96140" w14:textId="77777777" w:rsidR="00DA1AF7" w:rsidRDefault="00684366">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3.4 Scoring and Prioritisation</w:t>
      </w:r>
    </w:p>
    <w:p w14:paraId="55B96141" w14:textId="77777777" w:rsidR="00DA1AF7" w:rsidRDefault="00684366">
      <w:pPr>
        <w:spacing w:after="160" w:line="360" w:lineRule="auto"/>
        <w:jc w:val="both"/>
      </w:pPr>
      <w:r>
        <w:rPr>
          <w:sz w:val="22"/>
          <w:szCs w:val="22"/>
        </w:rPr>
        <w:t>Eligible candidates receive a weighted exploitability score. The initial model uses transparent factors: prerequisite completeness, evidence confidence, expected reliability, dependency count and operational risk. The weights are adjustable so studies can compare scoring approaches. The factors and the rationale for each are summarised in Table 3.1, with an indicative default weight per factor; these are initial values, not fixed constants, and the limits of calibrating them without empirical data are discu</w:t>
      </w:r>
      <w:r>
        <w:rPr>
          <w:sz w:val="22"/>
          <w:szCs w:val="22"/>
        </w:rPr>
        <w:t>ssed in Section 4.7.</w:t>
      </w:r>
    </w:p>
    <w:tbl>
      <w:tblPr>
        <w:tblStyle w:val="a1"/>
        <w:tblW w:w="9700" w:type="dxa"/>
        <w:tblInd w:w="0" w:type="dxa"/>
        <w:tblBorders>
          <w:top w:val="single" w:sz="4" w:space="0" w:color="9DB6CE"/>
          <w:left w:val="single" w:sz="4" w:space="0" w:color="9DB6CE"/>
          <w:bottom w:val="single" w:sz="4" w:space="0" w:color="9DB6CE"/>
          <w:right w:val="single" w:sz="4" w:space="0" w:color="9DB6CE"/>
          <w:insideH w:val="single" w:sz="4" w:space="0" w:color="C3D3E5"/>
          <w:insideV w:val="single" w:sz="4" w:space="0" w:color="C3D3E5"/>
        </w:tblBorders>
        <w:tblLayout w:type="fixed"/>
        <w:tblLook w:val="0000" w:firstRow="0" w:lastRow="0" w:firstColumn="0" w:lastColumn="0" w:noHBand="0" w:noVBand="0"/>
      </w:tblPr>
      <w:tblGrid>
        <w:gridCol w:w="1692"/>
        <w:gridCol w:w="3214"/>
        <w:gridCol w:w="3298"/>
        <w:gridCol w:w="1496"/>
      </w:tblGrid>
      <w:tr w:rsidR="00DA1AF7" w14:paraId="55B96146" w14:textId="77777777">
        <w:trPr>
          <w:tblHeader/>
        </w:trPr>
        <w:tc>
          <w:tcPr>
            <w:tcW w:w="1692" w:type="dxa"/>
            <w:shd w:val="clear" w:color="auto" w:fill="4F81BD"/>
            <w:tcMar>
              <w:top w:w="80" w:type="dxa"/>
              <w:left w:w="100" w:type="dxa"/>
              <w:bottom w:w="80" w:type="dxa"/>
              <w:right w:w="100" w:type="dxa"/>
            </w:tcMar>
            <w:vAlign w:val="center"/>
          </w:tcPr>
          <w:p w14:paraId="55B96142" w14:textId="77777777" w:rsidR="00DA1AF7" w:rsidRDefault="00684366">
            <w:pPr>
              <w:spacing w:line="360" w:lineRule="auto"/>
              <w:rPr>
                <w:sz w:val="20"/>
                <w:szCs w:val="20"/>
              </w:rPr>
            </w:pPr>
            <w:r>
              <w:rPr>
                <w:b/>
                <w:bCs/>
                <w:color w:val="FFFFFF"/>
                <w:sz w:val="20"/>
                <w:szCs w:val="20"/>
              </w:rPr>
              <w:lastRenderedPageBreak/>
              <w:t>Factor</w:t>
            </w:r>
          </w:p>
        </w:tc>
        <w:tc>
          <w:tcPr>
            <w:tcW w:w="3214" w:type="dxa"/>
            <w:shd w:val="clear" w:color="auto" w:fill="4F81BD"/>
            <w:tcMar>
              <w:top w:w="80" w:type="dxa"/>
              <w:left w:w="100" w:type="dxa"/>
              <w:bottom w:w="80" w:type="dxa"/>
              <w:right w:w="100" w:type="dxa"/>
            </w:tcMar>
            <w:vAlign w:val="center"/>
          </w:tcPr>
          <w:p w14:paraId="55B96143" w14:textId="77777777" w:rsidR="00DA1AF7" w:rsidRDefault="00684366">
            <w:pPr>
              <w:spacing w:line="360" w:lineRule="auto"/>
              <w:rPr>
                <w:sz w:val="20"/>
                <w:szCs w:val="20"/>
              </w:rPr>
            </w:pPr>
            <w:r>
              <w:rPr>
                <w:b/>
                <w:bCs/>
                <w:color w:val="FFFFFF"/>
                <w:sz w:val="20"/>
                <w:szCs w:val="20"/>
              </w:rPr>
              <w:t>What it captures</w:t>
            </w:r>
          </w:p>
        </w:tc>
        <w:tc>
          <w:tcPr>
            <w:tcW w:w="3298" w:type="dxa"/>
            <w:shd w:val="clear" w:color="auto" w:fill="4F81BD"/>
            <w:tcMar>
              <w:top w:w="80" w:type="dxa"/>
              <w:left w:w="100" w:type="dxa"/>
              <w:bottom w:w="80" w:type="dxa"/>
              <w:right w:w="100" w:type="dxa"/>
            </w:tcMar>
            <w:vAlign w:val="center"/>
          </w:tcPr>
          <w:p w14:paraId="55B96144" w14:textId="77777777" w:rsidR="00DA1AF7" w:rsidRDefault="00684366">
            <w:pPr>
              <w:spacing w:line="360" w:lineRule="auto"/>
              <w:rPr>
                <w:sz w:val="20"/>
                <w:szCs w:val="20"/>
              </w:rPr>
            </w:pPr>
            <w:r>
              <w:rPr>
                <w:b/>
                <w:bCs/>
                <w:color w:val="FFFFFF"/>
                <w:sz w:val="20"/>
                <w:szCs w:val="20"/>
              </w:rPr>
              <w:t>Effect on score</w:t>
            </w:r>
          </w:p>
        </w:tc>
        <w:tc>
          <w:tcPr>
            <w:tcW w:w="1496" w:type="dxa"/>
          </w:tcPr>
          <w:p w14:paraId="55B96145" w14:textId="77777777" w:rsidR="00DA1AF7" w:rsidRDefault="00684366">
            <w:pPr>
              <w:spacing w:line="360" w:lineRule="auto"/>
              <w:rPr>
                <w:sz w:val="20"/>
                <w:szCs w:val="20"/>
              </w:rPr>
            </w:pPr>
            <w:r>
              <w:rPr>
                <w:b/>
                <w:bCs/>
                <w:sz w:val="20"/>
                <w:szCs w:val="20"/>
              </w:rPr>
              <w:t>Illustrative default weight*</w:t>
            </w:r>
          </w:p>
        </w:tc>
      </w:tr>
      <w:tr w:rsidR="00DA1AF7" w14:paraId="55B9614B" w14:textId="77777777">
        <w:tc>
          <w:tcPr>
            <w:tcW w:w="1692" w:type="dxa"/>
            <w:tcMar>
              <w:top w:w="80" w:type="dxa"/>
              <w:left w:w="100" w:type="dxa"/>
              <w:bottom w:w="80" w:type="dxa"/>
              <w:right w:w="100" w:type="dxa"/>
            </w:tcMar>
            <w:vAlign w:val="center"/>
          </w:tcPr>
          <w:p w14:paraId="55B96147" w14:textId="77777777" w:rsidR="00DA1AF7" w:rsidRDefault="00684366">
            <w:pPr>
              <w:spacing w:line="360" w:lineRule="auto"/>
              <w:rPr>
                <w:sz w:val="20"/>
                <w:szCs w:val="20"/>
              </w:rPr>
            </w:pPr>
            <w:r>
              <w:rPr>
                <w:color w:val="000000"/>
                <w:sz w:val="20"/>
                <w:szCs w:val="20"/>
              </w:rPr>
              <w:t>Prerequisite completeness</w:t>
            </w:r>
          </w:p>
        </w:tc>
        <w:tc>
          <w:tcPr>
            <w:tcW w:w="3214" w:type="dxa"/>
            <w:tcMar>
              <w:top w:w="80" w:type="dxa"/>
              <w:left w:w="100" w:type="dxa"/>
              <w:bottom w:w="80" w:type="dxa"/>
              <w:right w:w="100" w:type="dxa"/>
            </w:tcMar>
            <w:vAlign w:val="center"/>
          </w:tcPr>
          <w:p w14:paraId="55B96148" w14:textId="77777777" w:rsidR="00DA1AF7" w:rsidRDefault="00684366">
            <w:pPr>
              <w:spacing w:line="360" w:lineRule="auto"/>
              <w:rPr>
                <w:sz w:val="20"/>
                <w:szCs w:val="20"/>
              </w:rPr>
            </w:pPr>
            <w:r>
              <w:rPr>
                <w:sz w:val="20"/>
                <w:szCs w:val="20"/>
              </w:rPr>
              <w:t>Confirmed present ratio of the necessary conditions for a technique</w:t>
            </w:r>
          </w:p>
        </w:tc>
        <w:tc>
          <w:tcPr>
            <w:tcW w:w="3298" w:type="dxa"/>
            <w:tcMar>
              <w:top w:w="80" w:type="dxa"/>
              <w:left w:w="100" w:type="dxa"/>
              <w:bottom w:w="80" w:type="dxa"/>
              <w:right w:w="100" w:type="dxa"/>
            </w:tcMar>
            <w:vAlign w:val="center"/>
          </w:tcPr>
          <w:p w14:paraId="55B96149" w14:textId="77777777" w:rsidR="00DA1AF7" w:rsidRDefault="00684366">
            <w:pPr>
              <w:spacing w:line="360" w:lineRule="auto"/>
              <w:rPr>
                <w:sz w:val="20"/>
                <w:szCs w:val="20"/>
              </w:rPr>
            </w:pPr>
            <w:r>
              <w:rPr>
                <w:sz w:val="20"/>
                <w:szCs w:val="20"/>
              </w:rPr>
              <w:t>More completeness improves the score Incomplete candidates are filtered before scoring</w:t>
            </w:r>
          </w:p>
        </w:tc>
        <w:tc>
          <w:tcPr>
            <w:tcW w:w="1496" w:type="dxa"/>
          </w:tcPr>
          <w:p w14:paraId="55B9614A" w14:textId="77777777" w:rsidR="00DA1AF7" w:rsidRDefault="00684366">
            <w:pPr>
              <w:spacing w:line="360" w:lineRule="auto"/>
              <w:rPr>
                <w:sz w:val="20"/>
                <w:szCs w:val="20"/>
              </w:rPr>
            </w:pPr>
            <w:r>
              <w:rPr>
                <w:sz w:val="20"/>
                <w:szCs w:val="20"/>
              </w:rPr>
              <w:t>+0.30</w:t>
            </w:r>
          </w:p>
        </w:tc>
      </w:tr>
      <w:tr w:rsidR="00DA1AF7" w14:paraId="55B96150" w14:textId="77777777">
        <w:tc>
          <w:tcPr>
            <w:tcW w:w="1692" w:type="dxa"/>
            <w:shd w:val="clear" w:color="auto" w:fill="D9E2F3"/>
            <w:tcMar>
              <w:top w:w="80" w:type="dxa"/>
              <w:left w:w="100" w:type="dxa"/>
              <w:bottom w:w="80" w:type="dxa"/>
              <w:right w:w="100" w:type="dxa"/>
            </w:tcMar>
            <w:vAlign w:val="center"/>
          </w:tcPr>
          <w:p w14:paraId="55B9614C" w14:textId="77777777" w:rsidR="00DA1AF7" w:rsidRDefault="00684366">
            <w:pPr>
              <w:spacing w:line="360" w:lineRule="auto"/>
              <w:rPr>
                <w:sz w:val="20"/>
                <w:szCs w:val="20"/>
              </w:rPr>
            </w:pPr>
            <w:r>
              <w:rPr>
                <w:color w:val="000000"/>
                <w:sz w:val="20"/>
                <w:szCs w:val="20"/>
              </w:rPr>
              <w:t>Evidence confidence</w:t>
            </w:r>
          </w:p>
        </w:tc>
        <w:tc>
          <w:tcPr>
            <w:tcW w:w="3214" w:type="dxa"/>
            <w:shd w:val="clear" w:color="auto" w:fill="D9E2F3"/>
            <w:tcMar>
              <w:top w:w="80" w:type="dxa"/>
              <w:left w:w="100" w:type="dxa"/>
              <w:bottom w:w="80" w:type="dxa"/>
              <w:right w:w="100" w:type="dxa"/>
            </w:tcMar>
            <w:vAlign w:val="center"/>
          </w:tcPr>
          <w:p w14:paraId="55B9614D" w14:textId="77777777" w:rsidR="00DA1AF7" w:rsidRDefault="00684366">
            <w:pPr>
              <w:spacing w:line="360" w:lineRule="auto"/>
              <w:rPr>
                <w:sz w:val="20"/>
                <w:szCs w:val="20"/>
              </w:rPr>
            </w:pPr>
            <w:r>
              <w:rPr>
                <w:sz w:val="20"/>
                <w:szCs w:val="20"/>
              </w:rPr>
              <w:t xml:space="preserve">How direct the evidence was observed (e.g. a proven </w:t>
            </w:r>
            <w:proofErr w:type="spellStart"/>
            <w:r>
              <w:rPr>
                <w:sz w:val="20"/>
                <w:szCs w:val="20"/>
              </w:rPr>
              <w:t>sudo</w:t>
            </w:r>
            <w:proofErr w:type="spellEnd"/>
            <w:r>
              <w:rPr>
                <w:sz w:val="20"/>
                <w:szCs w:val="20"/>
              </w:rPr>
              <w:t xml:space="preserve"> rule versus inferred)</w:t>
            </w:r>
          </w:p>
        </w:tc>
        <w:tc>
          <w:tcPr>
            <w:tcW w:w="3298" w:type="dxa"/>
            <w:shd w:val="clear" w:color="auto" w:fill="D9E2F3"/>
            <w:tcMar>
              <w:top w:w="80" w:type="dxa"/>
              <w:left w:w="100" w:type="dxa"/>
              <w:bottom w:w="80" w:type="dxa"/>
              <w:right w:w="100" w:type="dxa"/>
            </w:tcMar>
            <w:vAlign w:val="center"/>
          </w:tcPr>
          <w:p w14:paraId="55B9614E" w14:textId="77777777" w:rsidR="00DA1AF7" w:rsidRDefault="00684366">
            <w:pPr>
              <w:spacing w:line="360" w:lineRule="auto"/>
              <w:rPr>
                <w:sz w:val="20"/>
                <w:szCs w:val="20"/>
              </w:rPr>
            </w:pPr>
            <w:r>
              <w:rPr>
                <w:sz w:val="20"/>
                <w:szCs w:val="20"/>
              </w:rPr>
              <w:t>Directly seen evidence is given greater weight than inferred evidence</w:t>
            </w:r>
          </w:p>
        </w:tc>
        <w:tc>
          <w:tcPr>
            <w:tcW w:w="1496" w:type="dxa"/>
          </w:tcPr>
          <w:p w14:paraId="55B9614F" w14:textId="77777777" w:rsidR="00DA1AF7" w:rsidRDefault="00684366">
            <w:pPr>
              <w:spacing w:line="360" w:lineRule="auto"/>
              <w:rPr>
                <w:sz w:val="20"/>
                <w:szCs w:val="20"/>
              </w:rPr>
            </w:pPr>
            <w:r>
              <w:rPr>
                <w:sz w:val="20"/>
                <w:szCs w:val="20"/>
              </w:rPr>
              <w:t>+0.20</w:t>
            </w:r>
          </w:p>
        </w:tc>
      </w:tr>
      <w:tr w:rsidR="00DA1AF7" w14:paraId="55B96155" w14:textId="77777777">
        <w:tc>
          <w:tcPr>
            <w:tcW w:w="1692" w:type="dxa"/>
            <w:tcMar>
              <w:top w:w="80" w:type="dxa"/>
              <w:left w:w="100" w:type="dxa"/>
              <w:bottom w:w="80" w:type="dxa"/>
              <w:right w:w="100" w:type="dxa"/>
            </w:tcMar>
            <w:vAlign w:val="center"/>
          </w:tcPr>
          <w:p w14:paraId="55B96151" w14:textId="77777777" w:rsidR="00DA1AF7" w:rsidRDefault="00684366">
            <w:pPr>
              <w:spacing w:line="360" w:lineRule="auto"/>
              <w:rPr>
                <w:sz w:val="20"/>
                <w:szCs w:val="20"/>
              </w:rPr>
            </w:pPr>
            <w:r>
              <w:rPr>
                <w:color w:val="000000"/>
                <w:sz w:val="20"/>
                <w:szCs w:val="20"/>
              </w:rPr>
              <w:t>Expected reliability</w:t>
            </w:r>
          </w:p>
        </w:tc>
        <w:tc>
          <w:tcPr>
            <w:tcW w:w="3214" w:type="dxa"/>
            <w:tcMar>
              <w:top w:w="80" w:type="dxa"/>
              <w:left w:w="100" w:type="dxa"/>
              <w:bottom w:w="80" w:type="dxa"/>
              <w:right w:w="100" w:type="dxa"/>
            </w:tcMar>
            <w:vAlign w:val="center"/>
          </w:tcPr>
          <w:p w14:paraId="55B96152" w14:textId="77777777" w:rsidR="00DA1AF7" w:rsidRDefault="00684366">
            <w:pPr>
              <w:spacing w:line="360" w:lineRule="auto"/>
              <w:rPr>
                <w:sz w:val="20"/>
                <w:szCs w:val="20"/>
              </w:rPr>
            </w:pPr>
            <w:r>
              <w:rPr>
                <w:sz w:val="20"/>
                <w:szCs w:val="20"/>
              </w:rPr>
              <w:t xml:space="preserve">Historical reliability of the approach category (e.g. </w:t>
            </w:r>
            <w:proofErr w:type="spellStart"/>
            <w:r>
              <w:rPr>
                <w:sz w:val="20"/>
                <w:szCs w:val="20"/>
              </w:rPr>
              <w:t>sudo</w:t>
            </w:r>
            <w:proofErr w:type="spellEnd"/>
            <w:r>
              <w:rPr>
                <w:sz w:val="20"/>
                <w:szCs w:val="20"/>
              </w:rPr>
              <w:t>/</w:t>
            </w:r>
            <w:proofErr w:type="spellStart"/>
            <w:r>
              <w:rPr>
                <w:sz w:val="20"/>
                <w:szCs w:val="20"/>
              </w:rPr>
              <w:t>GTFOBins</w:t>
            </w:r>
            <w:proofErr w:type="spellEnd"/>
            <w:r>
              <w:rPr>
                <w:sz w:val="20"/>
                <w:szCs w:val="20"/>
              </w:rPr>
              <w:t xml:space="preserve"> misuse vs. unverified kernel exploit)</w:t>
            </w:r>
          </w:p>
        </w:tc>
        <w:tc>
          <w:tcPr>
            <w:tcW w:w="3298" w:type="dxa"/>
            <w:tcMar>
              <w:top w:w="80" w:type="dxa"/>
              <w:left w:w="100" w:type="dxa"/>
              <w:bottom w:w="80" w:type="dxa"/>
              <w:right w:w="100" w:type="dxa"/>
            </w:tcMar>
            <w:vAlign w:val="center"/>
          </w:tcPr>
          <w:p w14:paraId="55B96153" w14:textId="77777777" w:rsidR="00DA1AF7" w:rsidRDefault="00684366">
            <w:pPr>
              <w:spacing w:line="360" w:lineRule="auto"/>
              <w:rPr>
                <w:sz w:val="20"/>
                <w:szCs w:val="20"/>
              </w:rPr>
            </w:pPr>
            <w:r>
              <w:rPr>
                <w:sz w:val="20"/>
                <w:szCs w:val="20"/>
              </w:rPr>
              <w:t>Speculative technique classes are preferred above more reliable ones</w:t>
            </w:r>
          </w:p>
        </w:tc>
        <w:tc>
          <w:tcPr>
            <w:tcW w:w="1496" w:type="dxa"/>
          </w:tcPr>
          <w:p w14:paraId="55B96154" w14:textId="77777777" w:rsidR="00DA1AF7" w:rsidRDefault="00684366">
            <w:pPr>
              <w:spacing w:line="360" w:lineRule="auto"/>
              <w:rPr>
                <w:sz w:val="20"/>
                <w:szCs w:val="20"/>
              </w:rPr>
            </w:pPr>
            <w:r>
              <w:rPr>
                <w:sz w:val="20"/>
                <w:szCs w:val="20"/>
              </w:rPr>
              <w:t>+0.20</w:t>
            </w:r>
          </w:p>
        </w:tc>
      </w:tr>
      <w:tr w:rsidR="00DA1AF7" w14:paraId="55B9615A" w14:textId="77777777">
        <w:tc>
          <w:tcPr>
            <w:tcW w:w="1692" w:type="dxa"/>
            <w:shd w:val="clear" w:color="auto" w:fill="D9E2F3"/>
            <w:tcMar>
              <w:top w:w="80" w:type="dxa"/>
              <w:left w:w="100" w:type="dxa"/>
              <w:bottom w:w="80" w:type="dxa"/>
              <w:right w:w="100" w:type="dxa"/>
            </w:tcMar>
            <w:vAlign w:val="center"/>
          </w:tcPr>
          <w:p w14:paraId="55B96156" w14:textId="77777777" w:rsidR="00DA1AF7" w:rsidRDefault="00684366">
            <w:pPr>
              <w:spacing w:line="360" w:lineRule="auto"/>
              <w:rPr>
                <w:sz w:val="20"/>
                <w:szCs w:val="20"/>
              </w:rPr>
            </w:pPr>
            <w:r>
              <w:rPr>
                <w:color w:val="000000"/>
                <w:sz w:val="20"/>
                <w:szCs w:val="20"/>
              </w:rPr>
              <w:t>Dependency count</w:t>
            </w:r>
          </w:p>
        </w:tc>
        <w:tc>
          <w:tcPr>
            <w:tcW w:w="3214" w:type="dxa"/>
            <w:shd w:val="clear" w:color="auto" w:fill="D9E2F3"/>
            <w:tcMar>
              <w:top w:w="80" w:type="dxa"/>
              <w:left w:w="100" w:type="dxa"/>
              <w:bottom w:w="80" w:type="dxa"/>
              <w:right w:w="100" w:type="dxa"/>
            </w:tcMar>
            <w:vAlign w:val="center"/>
          </w:tcPr>
          <w:p w14:paraId="55B96157" w14:textId="77777777" w:rsidR="00DA1AF7" w:rsidRDefault="00684366">
            <w:pPr>
              <w:spacing w:line="360" w:lineRule="auto"/>
              <w:rPr>
                <w:sz w:val="20"/>
                <w:szCs w:val="20"/>
              </w:rPr>
            </w:pPr>
            <w:r>
              <w:rPr>
                <w:sz w:val="20"/>
                <w:szCs w:val="20"/>
              </w:rPr>
              <w:t>Number of additional conditions or tools required by the technique</w:t>
            </w:r>
          </w:p>
        </w:tc>
        <w:tc>
          <w:tcPr>
            <w:tcW w:w="3298" w:type="dxa"/>
            <w:shd w:val="clear" w:color="auto" w:fill="D9E2F3"/>
            <w:tcMar>
              <w:top w:w="80" w:type="dxa"/>
              <w:left w:w="100" w:type="dxa"/>
              <w:bottom w:w="80" w:type="dxa"/>
              <w:right w:w="100" w:type="dxa"/>
            </w:tcMar>
            <w:vAlign w:val="center"/>
          </w:tcPr>
          <w:p w14:paraId="55B96158" w14:textId="77777777" w:rsidR="00DA1AF7" w:rsidRDefault="00684366">
            <w:pPr>
              <w:spacing w:line="360" w:lineRule="auto"/>
              <w:rPr>
                <w:sz w:val="20"/>
                <w:szCs w:val="20"/>
              </w:rPr>
            </w:pPr>
            <w:r>
              <w:rPr>
                <w:sz w:val="20"/>
                <w:szCs w:val="20"/>
              </w:rPr>
              <w:t>The score is penalized by more dependents, i.e. a higher probability of failure</w:t>
            </w:r>
          </w:p>
        </w:tc>
        <w:tc>
          <w:tcPr>
            <w:tcW w:w="1496" w:type="dxa"/>
          </w:tcPr>
          <w:p w14:paraId="55B96159" w14:textId="77777777" w:rsidR="00DA1AF7" w:rsidRDefault="00684366">
            <w:pPr>
              <w:spacing w:line="360" w:lineRule="auto"/>
              <w:rPr>
                <w:sz w:val="20"/>
                <w:szCs w:val="20"/>
              </w:rPr>
            </w:pPr>
            <w:r>
              <w:rPr>
                <w:sz w:val="20"/>
                <w:szCs w:val="20"/>
              </w:rPr>
              <w:t>-0.15</w:t>
            </w:r>
          </w:p>
        </w:tc>
      </w:tr>
      <w:tr w:rsidR="00DA1AF7" w14:paraId="55B9615F" w14:textId="77777777">
        <w:tc>
          <w:tcPr>
            <w:tcW w:w="1692" w:type="dxa"/>
            <w:tcMar>
              <w:top w:w="80" w:type="dxa"/>
              <w:left w:w="100" w:type="dxa"/>
              <w:bottom w:w="80" w:type="dxa"/>
              <w:right w:w="100" w:type="dxa"/>
            </w:tcMar>
            <w:vAlign w:val="center"/>
          </w:tcPr>
          <w:p w14:paraId="55B9615B" w14:textId="77777777" w:rsidR="00DA1AF7" w:rsidRDefault="00684366">
            <w:pPr>
              <w:spacing w:line="360" w:lineRule="auto"/>
              <w:rPr>
                <w:sz w:val="20"/>
                <w:szCs w:val="20"/>
              </w:rPr>
            </w:pPr>
            <w:r>
              <w:rPr>
                <w:color w:val="000000"/>
                <w:sz w:val="20"/>
                <w:szCs w:val="20"/>
              </w:rPr>
              <w:t>Operational risk</w:t>
            </w:r>
          </w:p>
        </w:tc>
        <w:tc>
          <w:tcPr>
            <w:tcW w:w="3214" w:type="dxa"/>
            <w:tcMar>
              <w:top w:w="80" w:type="dxa"/>
              <w:left w:w="100" w:type="dxa"/>
              <w:bottom w:w="80" w:type="dxa"/>
              <w:right w:w="100" w:type="dxa"/>
            </w:tcMar>
            <w:vAlign w:val="center"/>
          </w:tcPr>
          <w:p w14:paraId="55B9615C" w14:textId="77777777" w:rsidR="00DA1AF7" w:rsidRDefault="00684366">
            <w:pPr>
              <w:spacing w:line="360" w:lineRule="auto"/>
              <w:rPr>
                <w:sz w:val="20"/>
                <w:szCs w:val="20"/>
              </w:rPr>
            </w:pPr>
            <w:r>
              <w:rPr>
                <w:sz w:val="20"/>
                <w:szCs w:val="20"/>
              </w:rPr>
              <w:t>Potential for the attempt to break the subject e.g. destabilizing the kernel</w:t>
            </w:r>
          </w:p>
        </w:tc>
        <w:tc>
          <w:tcPr>
            <w:tcW w:w="3298" w:type="dxa"/>
            <w:tcMar>
              <w:top w:w="80" w:type="dxa"/>
              <w:left w:w="100" w:type="dxa"/>
              <w:bottom w:w="80" w:type="dxa"/>
              <w:right w:w="100" w:type="dxa"/>
            </w:tcMar>
            <w:vAlign w:val="center"/>
          </w:tcPr>
          <w:p w14:paraId="55B9615D" w14:textId="77777777" w:rsidR="00DA1AF7" w:rsidRDefault="00684366">
            <w:pPr>
              <w:spacing w:line="360" w:lineRule="auto"/>
              <w:rPr>
                <w:sz w:val="20"/>
                <w:szCs w:val="20"/>
              </w:rPr>
            </w:pPr>
            <w:r>
              <w:rPr>
                <w:sz w:val="20"/>
                <w:szCs w:val="20"/>
              </w:rPr>
              <w:t xml:space="preserve">Higher risk strategies are </w:t>
            </w:r>
            <w:proofErr w:type="gramStart"/>
            <w:r>
              <w:rPr>
                <w:sz w:val="20"/>
                <w:szCs w:val="20"/>
              </w:rPr>
              <w:t>down-weighted</w:t>
            </w:r>
            <w:proofErr w:type="gramEnd"/>
            <w:r>
              <w:rPr>
                <w:sz w:val="20"/>
                <w:szCs w:val="20"/>
              </w:rPr>
              <w:t xml:space="preserve"> and even be removed from the execution profile altogether</w:t>
            </w:r>
          </w:p>
        </w:tc>
        <w:tc>
          <w:tcPr>
            <w:tcW w:w="1496" w:type="dxa"/>
          </w:tcPr>
          <w:p w14:paraId="55B9615E" w14:textId="77777777" w:rsidR="00DA1AF7" w:rsidRDefault="00684366">
            <w:pPr>
              <w:spacing w:line="360" w:lineRule="auto"/>
              <w:rPr>
                <w:sz w:val="20"/>
                <w:szCs w:val="20"/>
              </w:rPr>
            </w:pPr>
            <w:r>
              <w:rPr>
                <w:sz w:val="20"/>
                <w:szCs w:val="20"/>
              </w:rPr>
              <w:t>-0.15</w:t>
            </w:r>
          </w:p>
        </w:tc>
      </w:tr>
    </w:tbl>
    <w:p w14:paraId="55B96160" w14:textId="77777777" w:rsidR="00DA1AF7" w:rsidRDefault="00DA1AF7">
      <w:pPr>
        <w:spacing w:after="160" w:line="360" w:lineRule="auto"/>
        <w:jc w:val="both"/>
        <w:rPr>
          <w:sz w:val="22"/>
          <w:szCs w:val="22"/>
        </w:rPr>
      </w:pPr>
    </w:p>
    <w:p w14:paraId="55B96161" w14:textId="77777777" w:rsidR="00DA1AF7" w:rsidRDefault="00DA1AF7">
      <w:pPr>
        <w:spacing w:after="160" w:line="360" w:lineRule="auto"/>
        <w:jc w:val="both"/>
        <w:rPr>
          <w:sz w:val="22"/>
          <w:szCs w:val="22"/>
        </w:rPr>
      </w:pPr>
    </w:p>
    <w:p w14:paraId="55B96162" w14:textId="77777777" w:rsidR="00DA1AF7" w:rsidRDefault="00684366">
      <w:pPr>
        <w:spacing w:after="160" w:line="360" w:lineRule="auto"/>
        <w:jc w:val="both"/>
        <w:rPr>
          <w:sz w:val="22"/>
          <w:szCs w:val="22"/>
        </w:rPr>
      </w:pPr>
      <w:r>
        <w:rPr>
          <w:sz w:val="22"/>
          <w:szCs w:val="22"/>
        </w:rPr>
        <w:t xml:space="preserve">The scoring weights are stored separately from the rule definitions in Section 3.3, a deliberate separation of concerns: a rule defines what a technique requires and how to verify it; the weighting model defines how competing, already-valid candidates are ordered. Keeping them distinct means the weighting model in Table 3.1 can be adjusted, for example after the evaluation in Section 3.6 finds a </w:t>
      </w:r>
      <w:proofErr w:type="spellStart"/>
      <w:r>
        <w:rPr>
          <w:sz w:val="22"/>
          <w:szCs w:val="22"/>
        </w:rPr>
        <w:t>miscalibrated</w:t>
      </w:r>
      <w:proofErr w:type="spellEnd"/>
      <w:r>
        <w:rPr>
          <w:sz w:val="22"/>
          <w:szCs w:val="22"/>
        </w:rPr>
        <w:t xml:space="preserve"> factor, without touching the precondition logic.</w:t>
      </w:r>
    </w:p>
    <w:p w14:paraId="55B96163" w14:textId="77777777" w:rsidR="00DA1AF7" w:rsidRDefault="00684366">
      <w:pPr>
        <w:spacing w:after="160" w:line="360" w:lineRule="auto"/>
        <w:jc w:val="both"/>
        <w:rPr>
          <w:sz w:val="22"/>
          <w:szCs w:val="22"/>
        </w:rPr>
      </w:pPr>
      <w:r>
        <w:rPr>
          <w:sz w:val="22"/>
          <w:szCs w:val="22"/>
        </w:rPr>
        <w:t>For RQ2, the ranking order is compared with the known successful paths in the test scenarios. Useful metrics include whether a successful path appears in the top one, three or five candidates, and how many failed attempts precede success, evaluating the ranking method rather than simply checking that the tool eventually reaches root. The scoring model in Table 3.1 operates within the decision flow of Figure 3.2.</w:t>
      </w:r>
    </w:p>
    <w:p w14:paraId="55B96164" w14:textId="77777777" w:rsidR="00DA1AF7" w:rsidRDefault="00684366">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3.5 Controlled Execution and Verification</w:t>
      </w:r>
    </w:p>
    <w:p w14:paraId="55B96165" w14:textId="77777777" w:rsidR="00DA1AF7" w:rsidRDefault="00684366">
      <w:pPr>
        <w:spacing w:after="160" w:line="360" w:lineRule="auto"/>
        <w:jc w:val="both"/>
        <w:rPr>
          <w:sz w:val="22"/>
          <w:szCs w:val="22"/>
        </w:rPr>
      </w:pPr>
      <w:r>
        <w:rPr>
          <w:sz w:val="22"/>
          <w:szCs w:val="22"/>
        </w:rPr>
        <w:lastRenderedPageBreak/>
        <w:t>In the execution phase, only supported techniques that have passed prerequisite and scope checks are attempted. The framework suits isolated environments where highly destructive actions can be disabled or excluded from the evaluation profile (the --stealth flag disables noisy approaches such as kernel exploitation and direct '/etc/passwd' writing). Each attempt produces an execution record containing the chosen candidate, relevant evidence, and outcome and error information.</w:t>
      </w:r>
    </w:p>
    <w:p w14:paraId="55B96166" w14:textId="77777777" w:rsidR="00DA1AF7" w:rsidRDefault="00684366">
      <w:pPr>
        <w:spacing w:after="160" w:line="360" w:lineRule="auto"/>
        <w:jc w:val="both"/>
        <w:rPr>
          <w:sz w:val="22"/>
          <w:szCs w:val="22"/>
        </w:rPr>
      </w:pPr>
      <w:r>
        <w:rPr>
          <w:sz w:val="22"/>
          <w:szCs w:val="22"/>
        </w:rPr>
        <w:t>After each attempt, the verification component determines whether the effective security context has changed, usually by comparing user and group identities before and after. The attempt cycle ends once the desired privileged context is reached; if verification fails, APEX logs it and selects the next eligible candidate. This step answers RQ3 directly by distinguishing "the action ran" from "privilege escalation actually succeeded".</w:t>
      </w:r>
    </w:p>
    <w:p w14:paraId="55B96167" w14:textId="77777777" w:rsidR="00DA1AF7" w:rsidRDefault="00684366">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3.6 Evaluation</w:t>
      </w:r>
    </w:p>
    <w:p w14:paraId="55B96168" w14:textId="77777777" w:rsidR="00DA1AF7" w:rsidRDefault="00684366">
      <w:pPr>
        <w:spacing w:after="160" w:line="360" w:lineRule="auto"/>
        <w:jc w:val="both"/>
        <w:rPr>
          <w:sz w:val="22"/>
          <w:szCs w:val="22"/>
        </w:rPr>
      </w:pPr>
      <w:r>
        <w:rPr>
          <w:sz w:val="22"/>
          <w:szCs w:val="22"/>
        </w:rPr>
        <w:t xml:space="preserve">APEX is assessed on a series of controlled Linux virtual machines or containers with deliberately designed escalation paths. The test set should include positive cases where a supported path exists and negative or deceptive cases where an interesting finding is </w:t>
      </w:r>
      <w:proofErr w:type="gramStart"/>
      <w:r>
        <w:rPr>
          <w:sz w:val="22"/>
          <w:szCs w:val="22"/>
        </w:rPr>
        <w:t>present</w:t>
      </w:r>
      <w:proofErr w:type="gramEnd"/>
      <w:r>
        <w:rPr>
          <w:sz w:val="22"/>
          <w:szCs w:val="22"/>
        </w:rPr>
        <w:t xml:space="preserve"> but its prerequisites are incomplete.</w:t>
      </w:r>
    </w:p>
    <w:p w14:paraId="55B96169" w14:textId="77777777" w:rsidR="00DA1AF7" w:rsidRDefault="00DA1AF7">
      <w:pPr>
        <w:spacing w:after="160" w:line="360" w:lineRule="auto"/>
        <w:jc w:val="both"/>
        <w:rPr>
          <w:sz w:val="22"/>
          <w:szCs w:val="22"/>
        </w:rPr>
      </w:pPr>
    </w:p>
    <w:p w14:paraId="55B9616A" w14:textId="77777777" w:rsidR="00DA1AF7" w:rsidRDefault="00684366">
      <w:pPr>
        <w:numPr>
          <w:ilvl w:val="0"/>
          <w:numId w:val="1"/>
        </w:numPr>
        <w:spacing w:after="80" w:line="360" w:lineRule="auto"/>
      </w:pPr>
      <w:r>
        <w:rPr>
          <w:b/>
          <w:bCs/>
          <w:sz w:val="22"/>
          <w:szCs w:val="22"/>
        </w:rPr>
        <w:t xml:space="preserve">Candidate detection rate: </w:t>
      </w:r>
      <w:r>
        <w:rPr>
          <w:sz w:val="22"/>
          <w:szCs w:val="22"/>
        </w:rPr>
        <w:t>percent of known supported escalation paths detected by APEX.</w:t>
      </w:r>
    </w:p>
    <w:p w14:paraId="55B9616B" w14:textId="77777777" w:rsidR="00DA1AF7" w:rsidRDefault="00684366">
      <w:pPr>
        <w:numPr>
          <w:ilvl w:val="0"/>
          <w:numId w:val="1"/>
        </w:numPr>
        <w:spacing w:after="80" w:line="360" w:lineRule="auto"/>
      </w:pPr>
      <w:r>
        <w:rPr>
          <w:b/>
          <w:bCs/>
          <w:sz w:val="22"/>
          <w:szCs w:val="22"/>
        </w:rPr>
        <w:t xml:space="preserve">quality of ranking: </w:t>
      </w:r>
      <w:r>
        <w:rPr>
          <w:sz w:val="22"/>
          <w:szCs w:val="22"/>
        </w:rPr>
        <w:t>rank of the successful path in the ranked list of candidates.</w:t>
      </w:r>
    </w:p>
    <w:p w14:paraId="55B9616C" w14:textId="77777777" w:rsidR="00DA1AF7" w:rsidRDefault="00684366">
      <w:pPr>
        <w:numPr>
          <w:ilvl w:val="0"/>
          <w:numId w:val="1"/>
        </w:numPr>
        <w:spacing w:after="80" w:line="360" w:lineRule="auto"/>
      </w:pPr>
      <w:r>
        <w:rPr>
          <w:b/>
          <w:bCs/>
          <w:sz w:val="22"/>
          <w:szCs w:val="22"/>
        </w:rPr>
        <w:t xml:space="preserve">Execution success rate: </w:t>
      </w:r>
      <w:r>
        <w:rPr>
          <w:sz w:val="22"/>
          <w:szCs w:val="22"/>
        </w:rPr>
        <w:t>% of supported pathways accurately discovered in the lab and successfully executed.</w:t>
      </w:r>
    </w:p>
    <w:p w14:paraId="55B9616D" w14:textId="77777777" w:rsidR="00DA1AF7" w:rsidRDefault="00684366">
      <w:pPr>
        <w:numPr>
          <w:ilvl w:val="0"/>
          <w:numId w:val="1"/>
        </w:numPr>
        <w:spacing w:after="80" w:line="360" w:lineRule="auto"/>
      </w:pPr>
      <w:r>
        <w:rPr>
          <w:b/>
          <w:bCs/>
          <w:sz w:val="22"/>
          <w:szCs w:val="22"/>
        </w:rPr>
        <w:t xml:space="preserve">Verification accuracy: </w:t>
      </w:r>
      <w:r>
        <w:rPr>
          <w:sz w:val="22"/>
          <w:szCs w:val="22"/>
        </w:rPr>
        <w:t>can APEX correctly identify successful and unsuccessful attempts?</w:t>
      </w:r>
    </w:p>
    <w:p w14:paraId="55B9616E" w14:textId="77777777" w:rsidR="00DA1AF7" w:rsidRDefault="00684366">
      <w:pPr>
        <w:numPr>
          <w:ilvl w:val="0"/>
          <w:numId w:val="1"/>
        </w:numPr>
        <w:spacing w:after="80" w:line="360" w:lineRule="auto"/>
      </w:pPr>
      <w:r>
        <w:rPr>
          <w:b/>
          <w:bCs/>
          <w:sz w:val="22"/>
          <w:szCs w:val="22"/>
        </w:rPr>
        <w:t xml:space="preserve">Time to verified result: </w:t>
      </w:r>
      <w:r>
        <w:rPr>
          <w:sz w:val="22"/>
          <w:szCs w:val="22"/>
        </w:rPr>
        <w:t>The time elapsed between enumeration and validated result.</w:t>
      </w:r>
    </w:p>
    <w:p w14:paraId="55B9616F" w14:textId="77777777" w:rsidR="00DA1AF7" w:rsidRDefault="00684366">
      <w:pPr>
        <w:numPr>
          <w:ilvl w:val="0"/>
          <w:numId w:val="1"/>
        </w:numPr>
        <w:spacing w:after="80" w:line="360" w:lineRule="auto"/>
      </w:pPr>
      <w:r>
        <w:rPr>
          <w:b/>
          <w:bCs/>
          <w:sz w:val="22"/>
          <w:szCs w:val="22"/>
        </w:rPr>
        <w:t xml:space="preserve">Attempt efficiency – </w:t>
      </w:r>
      <w:proofErr w:type="gramStart"/>
      <w:r>
        <w:rPr>
          <w:sz w:val="22"/>
          <w:szCs w:val="22"/>
        </w:rPr>
        <w:t>amount</w:t>
      </w:r>
      <w:proofErr w:type="gramEnd"/>
      <w:r>
        <w:rPr>
          <w:sz w:val="22"/>
          <w:szCs w:val="22"/>
        </w:rPr>
        <w:t xml:space="preserve"> of attempted candidates before a validated result.</w:t>
      </w:r>
    </w:p>
    <w:p w14:paraId="55B96170" w14:textId="77777777" w:rsidR="00DA1AF7" w:rsidRDefault="00684366">
      <w:pPr>
        <w:numPr>
          <w:ilvl w:val="0"/>
          <w:numId w:val="1"/>
        </w:numPr>
        <w:pBdr>
          <w:top w:val="nil"/>
          <w:left w:val="nil"/>
          <w:bottom w:val="nil"/>
          <w:right w:val="nil"/>
          <w:between w:val="nil"/>
        </w:pBdr>
        <w:spacing w:after="80" w:line="360" w:lineRule="auto"/>
      </w:pPr>
      <w:r>
        <w:rPr>
          <w:b/>
          <w:bCs/>
          <w:sz w:val="22"/>
          <w:szCs w:val="22"/>
        </w:rPr>
        <w:t xml:space="preserve">Explainability: </w:t>
      </w:r>
      <w:r>
        <w:rPr>
          <w:sz w:val="22"/>
          <w:szCs w:val="22"/>
        </w:rPr>
        <w:t>does the report include sufficient evidence to rebuild why a path was chosen or not.</w:t>
      </w:r>
    </w:p>
    <w:p w14:paraId="55B96171" w14:textId="77777777" w:rsidR="00DA1AF7" w:rsidRDefault="00684366">
      <w:pPr>
        <w:spacing w:after="160" w:line="360" w:lineRule="auto"/>
        <w:jc w:val="both"/>
      </w:pPr>
      <w:r>
        <w:rPr>
          <w:sz w:val="22"/>
          <w:szCs w:val="22"/>
        </w:rPr>
        <w:t>These metrics are computed per scenario and then aggregated, not pooled into one figure, because a pooled average can hide systematic weakness in one category behind strong performance in another. Reporting per-category results, as the evidence-chain table in Chapter 5 does for one scenario, makes such unevenness visible once the full scenario set has been run.</w:t>
      </w:r>
    </w:p>
    <w:p w14:paraId="55B96172" w14:textId="77777777" w:rsidR="00DA1AF7" w:rsidRDefault="00684366">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3.7 Ethical Safeguards and Test Environment Controls</w:t>
      </w:r>
    </w:p>
    <w:p w14:paraId="55B96173" w14:textId="77777777" w:rsidR="00DA1AF7" w:rsidRDefault="00684366">
      <w:pPr>
        <w:spacing w:after="160" w:line="360" w:lineRule="auto"/>
        <w:jc w:val="both"/>
      </w:pPr>
      <w:r>
        <w:rPr>
          <w:sz w:val="22"/>
          <w:szCs w:val="22"/>
        </w:rPr>
        <w:lastRenderedPageBreak/>
        <w:t>In line with Section 2.8, the methodology built in tangible safeguards rather than treating ethics as a separate matter. All development and testing ran on a private, host-only or isolated network segment so neither the attacking machine nor the target could reach any system outside the lab. The target virtual machines were intentionally vulnerable, disposable training images, reset to a known snapshot between runs so no persistent state carried over between scenarios.</w:t>
      </w:r>
    </w:p>
    <w:p w14:paraId="55B96174" w14:textId="77777777" w:rsidR="00DA1AF7" w:rsidRDefault="00684366">
      <w:pPr>
        <w:spacing w:after="160" w:line="360" w:lineRule="auto"/>
        <w:jc w:val="both"/>
      </w:pPr>
      <w:r>
        <w:rPr>
          <w:sz w:val="22"/>
          <w:szCs w:val="22"/>
        </w:rPr>
        <w:t>Three further controls were built into the framework rather than left to external process: the mandatory authorisation prompt and banner in Section 4.4, requiring explicit acknowledgment before any exploitation attempt; the '--stealth' and '--</w:t>
      </w:r>
      <w:proofErr w:type="spellStart"/>
      <w:r>
        <w:rPr>
          <w:sz w:val="22"/>
          <w:szCs w:val="22"/>
        </w:rPr>
        <w:t>enum</w:t>
      </w:r>
      <w:proofErr w:type="spellEnd"/>
      <w:r>
        <w:rPr>
          <w:sz w:val="22"/>
          <w:szCs w:val="22"/>
        </w:rPr>
        <w:t xml:space="preserve">-only' flags, which let an operator exclude active exploitation entirely; and a scope check in the analysis layer that rejects candidates targeting paths and services beyond the trust boundaries of the eleven categories in Table 4.1. These do not prevent deliberate misuse, since the tool is general-purpose, but they make accidental or </w:t>
      </w:r>
      <w:proofErr w:type="spellStart"/>
      <w:r>
        <w:rPr>
          <w:sz w:val="22"/>
          <w:szCs w:val="22"/>
        </w:rPr>
        <w:t>unscoped</w:t>
      </w:r>
      <w:proofErr w:type="spellEnd"/>
      <w:r>
        <w:rPr>
          <w:sz w:val="22"/>
          <w:szCs w:val="22"/>
        </w:rPr>
        <w:t xml:space="preserve"> execution substantially less likely, judged the more realistic risk during development.</w:t>
      </w:r>
    </w:p>
    <w:p w14:paraId="55B96175" w14:textId="77777777" w:rsidR="00DA1AF7" w:rsidRDefault="00684366">
      <w:pPr>
        <w:pStyle w:val="Heading2"/>
        <w:spacing w:before="280" w:after="120" w:line="360" w:lineRule="auto"/>
        <w:rPr>
          <w:rFonts w:ascii="Times New Roman" w:eastAsia="Times New Roman" w:hAnsi="Times New Roman" w:cs="Times New Roman"/>
          <w:b/>
          <w:bCs/>
          <w:color w:val="000000"/>
        </w:rPr>
      </w:pPr>
      <w:r>
        <w:rPr>
          <w:rFonts w:ascii="Times New Roman" w:eastAsia="Times New Roman" w:hAnsi="Times New Roman" w:cs="Times New Roman"/>
          <w:b/>
          <w:bCs/>
          <w:color w:val="000000"/>
        </w:rPr>
        <w:t>3.8 Methodology Pipeline</w:t>
      </w:r>
    </w:p>
    <w:p w14:paraId="55B96176" w14:textId="77777777" w:rsidR="00DA1AF7" w:rsidRDefault="00DA1AF7"/>
    <w:p w14:paraId="55B96177" w14:textId="77777777" w:rsidR="00DA1AF7" w:rsidRDefault="00684366">
      <w:pPr>
        <w:spacing w:before="160" w:after="40" w:line="360" w:lineRule="auto"/>
        <w:jc w:val="center"/>
      </w:pPr>
      <w:r>
        <w:rPr>
          <w:noProof/>
        </w:rPr>
        <w:drawing>
          <wp:inline distT="114300" distB="114300" distL="114300" distR="114300" wp14:anchorId="55B9631B" wp14:editId="55B9631C">
            <wp:extent cx="5414963" cy="1804988"/>
            <wp:effectExtent l="0" t="0" r="0" b="0"/>
            <wp:docPr id="6"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9"/>
                    <a:srcRect/>
                    <a:stretch>
                      <a:fillRect/>
                    </a:stretch>
                  </pic:blipFill>
                  <pic:spPr>
                    <a:xfrm>
                      <a:off x="0" y="0"/>
                      <a:ext cx="5414963" cy="1804988"/>
                    </a:xfrm>
                    <a:prstGeom prst="rect">
                      <a:avLst/>
                    </a:prstGeom>
                    <a:ln/>
                  </pic:spPr>
                </pic:pic>
              </a:graphicData>
            </a:graphic>
          </wp:inline>
        </w:drawing>
      </w:r>
    </w:p>
    <w:p w14:paraId="55B96178" w14:textId="77777777" w:rsidR="00DA1AF7" w:rsidRDefault="00684366">
      <w:pPr>
        <w:spacing w:before="60" w:after="240" w:line="360" w:lineRule="auto"/>
        <w:jc w:val="center"/>
        <w:rPr>
          <w:i/>
          <w:iCs/>
          <w:color w:val="444444"/>
          <w:sz w:val="20"/>
          <w:szCs w:val="20"/>
        </w:rPr>
      </w:pPr>
      <w:r>
        <w:rPr>
          <w:i/>
          <w:iCs/>
          <w:color w:val="444444"/>
          <w:sz w:val="20"/>
          <w:szCs w:val="20"/>
        </w:rPr>
        <w:t>Figure 3.1. APEX methodology pipeline: enumeration through to reporting.</w:t>
      </w:r>
    </w:p>
    <w:p w14:paraId="55B96179" w14:textId="77777777" w:rsidR="00DA1AF7" w:rsidRDefault="00DA1AF7">
      <w:pPr>
        <w:spacing w:before="60" w:after="240" w:line="360" w:lineRule="auto"/>
        <w:jc w:val="center"/>
        <w:rPr>
          <w:i/>
          <w:iCs/>
          <w:color w:val="444444"/>
          <w:sz w:val="20"/>
          <w:szCs w:val="20"/>
        </w:rPr>
      </w:pPr>
    </w:p>
    <w:p w14:paraId="55B9617A" w14:textId="77777777" w:rsidR="00DA1AF7" w:rsidRDefault="00684366">
      <w:pPr>
        <w:spacing w:before="60" w:after="240" w:line="360" w:lineRule="auto"/>
        <w:rPr>
          <w:sz w:val="22"/>
          <w:szCs w:val="22"/>
        </w:rPr>
      </w:pPr>
      <w:r>
        <w:rPr>
          <w:sz w:val="22"/>
          <w:szCs w:val="22"/>
        </w:rPr>
        <w:t>The APEX methodology pipeline is a structured penetration-testing process moving through reconnaissance, vulnerability assessment, exploitation, reporting, remediation and post-assessment monitoring. It ensures vulnerabilities are not only found but also validated, recorded, remediated and re-assessed, improving overall security posture.</w:t>
      </w:r>
    </w:p>
    <w:p w14:paraId="55B9617B" w14:textId="77777777" w:rsidR="00DA1AF7" w:rsidRDefault="00684366">
      <w:pPr>
        <w:spacing w:before="160" w:after="40" w:line="360" w:lineRule="auto"/>
        <w:jc w:val="center"/>
      </w:pPr>
      <w:r>
        <w:rPr>
          <w:noProof/>
        </w:rPr>
        <w:lastRenderedPageBreak/>
        <w:drawing>
          <wp:inline distT="0" distB="0" distL="0" distR="0" wp14:anchorId="55B9631D" wp14:editId="55B9631E">
            <wp:extent cx="4210050" cy="5195380"/>
            <wp:effectExtent l="0" t="0" r="0" b="0"/>
            <wp:docPr id="5"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0"/>
                    <a:srcRect/>
                    <a:stretch>
                      <a:fillRect/>
                    </a:stretch>
                  </pic:blipFill>
                  <pic:spPr>
                    <a:xfrm>
                      <a:off x="0" y="0"/>
                      <a:ext cx="4210050" cy="5195380"/>
                    </a:xfrm>
                    <a:prstGeom prst="rect">
                      <a:avLst/>
                    </a:prstGeom>
                    <a:ln/>
                  </pic:spPr>
                </pic:pic>
              </a:graphicData>
            </a:graphic>
          </wp:inline>
        </w:drawing>
      </w:r>
    </w:p>
    <w:p w14:paraId="55B9617C" w14:textId="77777777" w:rsidR="00DA1AF7" w:rsidRDefault="00684366">
      <w:pPr>
        <w:spacing w:before="60" w:after="240" w:line="360" w:lineRule="auto"/>
        <w:jc w:val="center"/>
      </w:pPr>
      <w:r>
        <w:rPr>
          <w:i/>
          <w:iCs/>
          <w:color w:val="444444"/>
          <w:sz w:val="20"/>
          <w:szCs w:val="20"/>
        </w:rPr>
        <w:t>Figure 3.2. Decision flow from a raw enumeration finding to a verified outcome.</w:t>
      </w:r>
    </w:p>
    <w:p w14:paraId="55B9617D" w14:textId="77777777" w:rsidR="00DA1AF7" w:rsidRDefault="00684366">
      <w:pPr>
        <w:pStyle w:val="Heading1"/>
        <w:spacing w:before="240" w:after="240" w:line="360" w:lineRule="auto"/>
        <w:ind w:left="600" w:right="600"/>
        <w:rPr>
          <w:rFonts w:ascii="Times New Roman" w:eastAsia="Times New Roman" w:hAnsi="Times New Roman" w:cs="Times New Roman"/>
          <w:color w:val="000000"/>
          <w:sz w:val="22"/>
          <w:szCs w:val="22"/>
        </w:rPr>
      </w:pPr>
      <w:bookmarkStart w:id="3" w:name="_mn93maxlbi9c" w:colFirst="0" w:colLast="0"/>
      <w:bookmarkEnd w:id="3"/>
      <w:r>
        <w:rPr>
          <w:rFonts w:ascii="Times New Roman" w:eastAsia="Times New Roman" w:hAnsi="Times New Roman" w:cs="Times New Roman"/>
          <w:color w:val="000000"/>
          <w:sz w:val="22"/>
          <w:szCs w:val="22"/>
        </w:rPr>
        <w:t>The APEX decision flow is a guided procedure that turns raw enumeration results into validated security decisions. Findings are filtered against predefined prerequisites, translated into candidates, scored for exploitability and prioritised for testing. Nothing is tested unnecessarily: before exploitation, the engine checks that there is sufficient evidence. Successful validations are marked as verified findings with supporting evidence, and unsuccessful attempts as confirmed failures, improving consistency</w:t>
      </w:r>
      <w:r>
        <w:rPr>
          <w:rFonts w:ascii="Times New Roman" w:eastAsia="Times New Roman" w:hAnsi="Times New Roman" w:cs="Times New Roman"/>
          <w:color w:val="000000"/>
          <w:sz w:val="22"/>
          <w:szCs w:val="22"/>
        </w:rPr>
        <w:t>, traceability and evidence-based decision-making across the process.</w:t>
      </w:r>
    </w:p>
    <w:p w14:paraId="55B9617E" w14:textId="77777777" w:rsidR="00DA1AF7" w:rsidRDefault="00DA1AF7">
      <w:pPr>
        <w:pStyle w:val="Heading1"/>
        <w:spacing w:before="480" w:after="160" w:line="360" w:lineRule="auto"/>
        <w:rPr>
          <w:rFonts w:ascii="Times New Roman" w:eastAsia="Times New Roman" w:hAnsi="Times New Roman" w:cs="Times New Roman"/>
          <w:b/>
          <w:bCs/>
          <w:color w:val="000000"/>
        </w:rPr>
      </w:pPr>
    </w:p>
    <w:p w14:paraId="55B9617F" w14:textId="77777777" w:rsidR="00DA1AF7" w:rsidRDefault="00684366">
      <w:pPr>
        <w:pStyle w:val="Heading1"/>
        <w:spacing w:before="480" w:after="160" w:line="360" w:lineRule="auto"/>
        <w:rPr>
          <w:rFonts w:ascii="Times New Roman" w:eastAsia="Times New Roman" w:hAnsi="Times New Roman" w:cs="Times New Roman"/>
        </w:rPr>
      </w:pPr>
      <w:r>
        <w:rPr>
          <w:rFonts w:ascii="Times New Roman" w:eastAsia="Times New Roman" w:hAnsi="Times New Roman" w:cs="Times New Roman"/>
          <w:b/>
          <w:bCs/>
          <w:color w:val="000000"/>
        </w:rPr>
        <w:lastRenderedPageBreak/>
        <w:t>CHAPTER 4: IMPLEMENTATION</w:t>
      </w:r>
    </w:p>
    <w:p w14:paraId="55B96180" w14:textId="77777777" w:rsidR="00DA1AF7" w:rsidRDefault="00DA1AF7"/>
    <w:p w14:paraId="55B96181" w14:textId="77777777" w:rsidR="00DA1AF7" w:rsidRDefault="00684366">
      <w:pPr>
        <w:spacing w:after="160" w:line="360" w:lineRule="auto"/>
        <w:jc w:val="both"/>
        <w:rPr>
          <w:sz w:val="22"/>
          <w:szCs w:val="22"/>
        </w:rPr>
      </w:pPr>
      <w:r>
        <w:rPr>
          <w:sz w:val="22"/>
          <w:szCs w:val="22"/>
        </w:rPr>
        <w:t>APEX is written mostly in Python, with Bash used where a lightweight shell-based deployment is beneficial. The architecture is modular so that enumeration, analysis, scoring, execution and verification can evolve independently, which also makes it easier to test one part without running the whole procedure.</w:t>
      </w:r>
    </w:p>
    <w:p w14:paraId="55B96182" w14:textId="77777777" w:rsidR="00DA1AF7" w:rsidRDefault="00684366">
      <w:pPr>
        <w:spacing w:after="160" w:line="360" w:lineRule="auto"/>
        <w:jc w:val="both"/>
        <w:rPr>
          <w:sz w:val="22"/>
          <w:szCs w:val="22"/>
        </w:rPr>
      </w:pPr>
      <w:r>
        <w:rPr>
          <w:sz w:val="22"/>
          <w:szCs w:val="22"/>
        </w:rPr>
        <w:t xml:space="preserve">Two deployment forms co-exist. The 'apex' command-line utility runs on the tester's attacking machine (a Kali Linux workstation throughout development) and can refresh its knowledge base from public sources such as </w:t>
      </w:r>
      <w:proofErr w:type="spellStart"/>
      <w:r>
        <w:rPr>
          <w:sz w:val="22"/>
          <w:szCs w:val="22"/>
        </w:rPr>
        <w:t>GTFOBins</w:t>
      </w:r>
      <w:proofErr w:type="spellEnd"/>
      <w:r>
        <w:rPr>
          <w:sz w:val="22"/>
          <w:szCs w:val="22"/>
        </w:rPr>
        <w:t xml:space="preserve"> and the National Vulnerability Database before an engagement. The companion 'apex-bundle' packages an equivalent rule set and enumeration logic into a single self-contained Bash script, apex_bundle.sh, that can be run directly on a target lacking Python 3, Internet access or development tools. Both share the same seven-layer design and produce identical HTML and text reports.</w:t>
      </w:r>
    </w:p>
    <w:p w14:paraId="55B96183" w14:textId="77777777" w:rsidR="00DA1AF7" w:rsidRDefault="00684366">
      <w:pPr>
        <w:spacing w:after="160" w:line="360" w:lineRule="auto"/>
        <w:jc w:val="both"/>
        <w:rPr>
          <w:sz w:val="22"/>
          <w:szCs w:val="22"/>
        </w:rPr>
      </w:pPr>
      <w:r>
        <w:rPr>
          <w:sz w:val="22"/>
          <w:szCs w:val="22"/>
        </w:rPr>
        <w:t>Python was the natural primary language: its standard library for process handling, structured data and HTTP requests supports the knowledge-</w:t>
      </w:r>
      <w:proofErr w:type="spellStart"/>
      <w:r>
        <w:rPr>
          <w:sz w:val="22"/>
          <w:szCs w:val="22"/>
        </w:rPr>
        <w:t>base</w:t>
      </w:r>
      <w:proofErr w:type="spellEnd"/>
      <w:r>
        <w:rPr>
          <w:sz w:val="22"/>
          <w:szCs w:val="22"/>
        </w:rPr>
        <w:t xml:space="preserve"> update and reporting layers, and it dominates the security-tooling ecosystem of Chapter 2, simplifying integration with sources such as the National Vulnerability Database and </w:t>
      </w:r>
      <w:proofErr w:type="spellStart"/>
      <w:r>
        <w:rPr>
          <w:sz w:val="22"/>
          <w:szCs w:val="22"/>
        </w:rPr>
        <w:t>GTFOBins</w:t>
      </w:r>
      <w:proofErr w:type="spellEnd"/>
      <w:r>
        <w:rPr>
          <w:sz w:val="22"/>
          <w:szCs w:val="22"/>
        </w:rPr>
        <w:t>. Bash was chosen for the portable bundle not for its ergonomics but because it is almost universally available on Linux, including the older, constrained training targets the project set out to support (Section 1.5).</w:t>
      </w:r>
    </w:p>
    <w:p w14:paraId="55B96184" w14:textId="77777777" w:rsidR="00DA1AF7" w:rsidRDefault="00DA1AF7">
      <w:pPr>
        <w:pStyle w:val="Heading2"/>
        <w:spacing w:before="280" w:after="120" w:line="360" w:lineRule="auto"/>
        <w:rPr>
          <w:rFonts w:ascii="Times New Roman" w:eastAsia="Times New Roman" w:hAnsi="Times New Roman" w:cs="Times New Roman"/>
          <w:b/>
          <w:bCs/>
          <w:color w:val="000000"/>
        </w:rPr>
      </w:pPr>
    </w:p>
    <w:p w14:paraId="55B96185" w14:textId="77777777" w:rsidR="00DA1AF7" w:rsidRDefault="00DA1AF7">
      <w:pPr>
        <w:pStyle w:val="Heading2"/>
        <w:spacing w:before="280" w:after="120" w:line="360" w:lineRule="auto"/>
        <w:rPr>
          <w:rFonts w:ascii="Times New Roman" w:eastAsia="Times New Roman" w:hAnsi="Times New Roman" w:cs="Times New Roman"/>
          <w:b/>
          <w:bCs/>
          <w:color w:val="000000"/>
        </w:rPr>
      </w:pPr>
    </w:p>
    <w:p w14:paraId="55B96186" w14:textId="77777777" w:rsidR="00DA1AF7" w:rsidRDefault="00DA1AF7">
      <w:pPr>
        <w:pStyle w:val="Heading2"/>
        <w:spacing w:before="280" w:after="120" w:line="360" w:lineRule="auto"/>
        <w:rPr>
          <w:rFonts w:ascii="Times New Roman" w:eastAsia="Times New Roman" w:hAnsi="Times New Roman" w:cs="Times New Roman"/>
          <w:b/>
          <w:bCs/>
          <w:color w:val="000000"/>
        </w:rPr>
      </w:pPr>
    </w:p>
    <w:p w14:paraId="55B96187" w14:textId="77777777" w:rsidR="00DA1AF7" w:rsidRDefault="00684366">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4.1 Core Architecture</w:t>
      </w:r>
    </w:p>
    <w:p w14:paraId="55B96188" w14:textId="77777777" w:rsidR="00DA1AF7" w:rsidRDefault="00684366">
      <w:pPr>
        <w:spacing w:before="160" w:after="40" w:line="360" w:lineRule="auto"/>
        <w:jc w:val="center"/>
      </w:pPr>
      <w:r>
        <w:rPr>
          <w:noProof/>
        </w:rPr>
        <w:lastRenderedPageBreak/>
        <w:drawing>
          <wp:inline distT="0" distB="0" distL="0" distR="0" wp14:anchorId="55B9631F" wp14:editId="55B96320">
            <wp:extent cx="4476750" cy="5337562"/>
            <wp:effectExtent l="0" t="0" r="0" b="0"/>
            <wp:docPr id="8"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11"/>
                    <a:srcRect/>
                    <a:stretch>
                      <a:fillRect/>
                    </a:stretch>
                  </pic:blipFill>
                  <pic:spPr>
                    <a:xfrm>
                      <a:off x="0" y="0"/>
                      <a:ext cx="4476750" cy="5337562"/>
                    </a:xfrm>
                    <a:prstGeom prst="rect">
                      <a:avLst/>
                    </a:prstGeom>
                    <a:ln/>
                  </pic:spPr>
                </pic:pic>
              </a:graphicData>
            </a:graphic>
          </wp:inline>
        </w:drawing>
      </w:r>
    </w:p>
    <w:p w14:paraId="55B96189" w14:textId="77777777" w:rsidR="00DA1AF7" w:rsidRDefault="00684366">
      <w:pPr>
        <w:spacing w:before="60" w:after="240" w:line="360" w:lineRule="auto"/>
        <w:jc w:val="center"/>
      </w:pPr>
      <w:r>
        <w:rPr>
          <w:i/>
          <w:iCs/>
          <w:color w:val="444444"/>
          <w:sz w:val="20"/>
          <w:szCs w:val="20"/>
        </w:rPr>
        <w:t>Figure 4.1. The seven-layer APEX architecture.</w:t>
      </w:r>
    </w:p>
    <w:p w14:paraId="55B9618A" w14:textId="77777777" w:rsidR="00DA1AF7" w:rsidRDefault="00684366">
      <w:pPr>
        <w:numPr>
          <w:ilvl w:val="0"/>
          <w:numId w:val="1"/>
        </w:numPr>
        <w:pBdr>
          <w:top w:val="nil"/>
          <w:left w:val="nil"/>
          <w:bottom w:val="nil"/>
          <w:right w:val="nil"/>
          <w:between w:val="nil"/>
        </w:pBdr>
        <w:spacing w:after="80" w:line="360" w:lineRule="auto"/>
      </w:pPr>
      <w:r>
        <w:rPr>
          <w:b/>
          <w:bCs/>
          <w:color w:val="000000"/>
          <w:sz w:val="22"/>
          <w:szCs w:val="22"/>
        </w:rPr>
        <w:t>Enumeration layer:</w:t>
      </w:r>
      <w:r>
        <w:rPr>
          <w:color w:val="000000"/>
          <w:sz w:val="22"/>
          <w:szCs w:val="22"/>
        </w:rPr>
        <w:t xml:space="preserve"> Collects system evidence required by supported privilege-escalation categories.</w:t>
      </w:r>
    </w:p>
    <w:p w14:paraId="55B9618B" w14:textId="77777777" w:rsidR="00DA1AF7" w:rsidRDefault="00684366">
      <w:pPr>
        <w:numPr>
          <w:ilvl w:val="0"/>
          <w:numId w:val="1"/>
        </w:numPr>
        <w:pBdr>
          <w:top w:val="nil"/>
          <w:left w:val="nil"/>
          <w:bottom w:val="nil"/>
          <w:right w:val="nil"/>
          <w:between w:val="nil"/>
        </w:pBdr>
        <w:spacing w:after="80" w:line="360" w:lineRule="auto"/>
      </w:pPr>
      <w:r>
        <w:rPr>
          <w:b/>
          <w:bCs/>
          <w:color w:val="000000"/>
          <w:sz w:val="22"/>
          <w:szCs w:val="22"/>
        </w:rPr>
        <w:t>Knowledge/rule layer:</w:t>
      </w:r>
      <w:r>
        <w:rPr>
          <w:color w:val="000000"/>
          <w:sz w:val="22"/>
          <w:szCs w:val="22"/>
        </w:rPr>
        <w:t xml:space="preserve"> Stores technique prerequisites, metadata, constraints and verification requirements.</w:t>
      </w:r>
    </w:p>
    <w:p w14:paraId="55B9618C" w14:textId="77777777" w:rsidR="00DA1AF7" w:rsidRDefault="00684366">
      <w:pPr>
        <w:numPr>
          <w:ilvl w:val="0"/>
          <w:numId w:val="1"/>
        </w:numPr>
        <w:pBdr>
          <w:top w:val="nil"/>
          <w:left w:val="nil"/>
          <w:bottom w:val="nil"/>
          <w:right w:val="nil"/>
          <w:between w:val="nil"/>
        </w:pBdr>
        <w:spacing w:after="80" w:line="360" w:lineRule="auto"/>
      </w:pPr>
      <w:r>
        <w:rPr>
          <w:b/>
          <w:bCs/>
          <w:color w:val="000000"/>
          <w:sz w:val="22"/>
          <w:szCs w:val="22"/>
        </w:rPr>
        <w:t>Analysis layer:</w:t>
      </w:r>
      <w:r>
        <w:rPr>
          <w:color w:val="000000"/>
          <w:sz w:val="22"/>
          <w:szCs w:val="22"/>
        </w:rPr>
        <w:t xml:space="preserve"> Matches findings to rules and rejects candidates with missing prerequisites.</w:t>
      </w:r>
    </w:p>
    <w:p w14:paraId="55B9618D" w14:textId="77777777" w:rsidR="00DA1AF7" w:rsidRDefault="00684366">
      <w:pPr>
        <w:numPr>
          <w:ilvl w:val="0"/>
          <w:numId w:val="1"/>
        </w:numPr>
        <w:pBdr>
          <w:top w:val="nil"/>
          <w:left w:val="nil"/>
          <w:bottom w:val="nil"/>
          <w:right w:val="nil"/>
          <w:between w:val="nil"/>
        </w:pBdr>
        <w:spacing w:after="80" w:line="360" w:lineRule="auto"/>
      </w:pPr>
      <w:r>
        <w:rPr>
          <w:b/>
          <w:bCs/>
          <w:color w:val="000000"/>
          <w:sz w:val="22"/>
          <w:szCs w:val="22"/>
        </w:rPr>
        <w:t>Scoring engine:</w:t>
      </w:r>
      <w:r>
        <w:rPr>
          <w:color w:val="000000"/>
          <w:sz w:val="22"/>
          <w:szCs w:val="22"/>
        </w:rPr>
        <w:t xml:space="preserve"> Calculates a weighted score and produces a ranked candidate list.</w:t>
      </w:r>
    </w:p>
    <w:p w14:paraId="55B9618E" w14:textId="77777777" w:rsidR="00DA1AF7" w:rsidRDefault="00684366">
      <w:pPr>
        <w:numPr>
          <w:ilvl w:val="0"/>
          <w:numId w:val="1"/>
        </w:numPr>
        <w:pBdr>
          <w:top w:val="nil"/>
          <w:left w:val="nil"/>
          <w:bottom w:val="nil"/>
          <w:right w:val="nil"/>
          <w:between w:val="nil"/>
        </w:pBdr>
        <w:spacing w:after="80" w:line="360" w:lineRule="auto"/>
      </w:pPr>
      <w:r>
        <w:rPr>
          <w:b/>
          <w:bCs/>
          <w:color w:val="000000"/>
          <w:sz w:val="22"/>
          <w:szCs w:val="22"/>
        </w:rPr>
        <w:t>Execution layer:</w:t>
      </w:r>
      <w:r>
        <w:rPr>
          <w:color w:val="000000"/>
          <w:sz w:val="22"/>
          <w:szCs w:val="22"/>
        </w:rPr>
        <w:t xml:space="preserve"> Runs approved technique modules in the controlled target environment.</w:t>
      </w:r>
    </w:p>
    <w:p w14:paraId="55B9618F" w14:textId="77777777" w:rsidR="00DA1AF7" w:rsidRDefault="00684366">
      <w:pPr>
        <w:numPr>
          <w:ilvl w:val="0"/>
          <w:numId w:val="1"/>
        </w:numPr>
        <w:pBdr>
          <w:top w:val="nil"/>
          <w:left w:val="nil"/>
          <w:bottom w:val="nil"/>
          <w:right w:val="nil"/>
          <w:between w:val="nil"/>
        </w:pBdr>
        <w:spacing w:after="80" w:line="360" w:lineRule="auto"/>
      </w:pPr>
      <w:r>
        <w:rPr>
          <w:b/>
          <w:bCs/>
          <w:color w:val="000000"/>
          <w:sz w:val="22"/>
          <w:szCs w:val="22"/>
        </w:rPr>
        <w:t>Verification layer:</w:t>
      </w:r>
      <w:r>
        <w:rPr>
          <w:color w:val="000000"/>
          <w:sz w:val="22"/>
          <w:szCs w:val="22"/>
        </w:rPr>
        <w:t xml:space="preserve"> Checks the resulting privilege context after each attempt.</w:t>
      </w:r>
    </w:p>
    <w:p w14:paraId="55B96190" w14:textId="77777777" w:rsidR="00DA1AF7" w:rsidRDefault="00684366">
      <w:pPr>
        <w:numPr>
          <w:ilvl w:val="0"/>
          <w:numId w:val="1"/>
        </w:numPr>
        <w:pBdr>
          <w:top w:val="nil"/>
          <w:left w:val="nil"/>
          <w:bottom w:val="nil"/>
          <w:right w:val="nil"/>
          <w:between w:val="nil"/>
        </w:pBdr>
        <w:spacing w:after="80" w:line="360" w:lineRule="auto"/>
      </w:pPr>
      <w:r>
        <w:rPr>
          <w:b/>
          <w:bCs/>
          <w:color w:val="000000"/>
          <w:sz w:val="22"/>
          <w:szCs w:val="22"/>
        </w:rPr>
        <w:lastRenderedPageBreak/>
        <w:t>Reporting layer:</w:t>
      </w:r>
      <w:r>
        <w:rPr>
          <w:color w:val="000000"/>
          <w:sz w:val="22"/>
          <w:szCs w:val="22"/>
        </w:rPr>
        <w:t xml:space="preserve"> Records findings, decisions, scores, attempts and </w:t>
      </w:r>
      <w:proofErr w:type="gramStart"/>
      <w:r>
        <w:rPr>
          <w:color w:val="000000"/>
          <w:sz w:val="22"/>
          <w:szCs w:val="22"/>
        </w:rPr>
        <w:t>final outcome</w:t>
      </w:r>
      <w:proofErr w:type="gramEnd"/>
      <w:r>
        <w:rPr>
          <w:color w:val="000000"/>
          <w:sz w:val="22"/>
          <w:szCs w:val="22"/>
        </w:rPr>
        <w:t>.</w:t>
      </w:r>
    </w:p>
    <w:p w14:paraId="55B96191" w14:textId="77777777" w:rsidR="00DA1AF7" w:rsidRDefault="00684366">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4.2 Supported Technique Categories</w:t>
      </w:r>
    </w:p>
    <w:p w14:paraId="55B96192" w14:textId="77777777" w:rsidR="00DA1AF7" w:rsidRDefault="00684366">
      <w:pPr>
        <w:spacing w:after="160" w:line="360" w:lineRule="auto"/>
        <w:jc w:val="both"/>
      </w:pPr>
      <w:r>
        <w:rPr>
          <w:sz w:val="22"/>
          <w:szCs w:val="22"/>
        </w:rPr>
        <w:t xml:space="preserve">The current implementation covers eleven privilege-escalation techniques, classified by the type of trust boundary abused rather than as an unstructured list. Table 4.1 shows the eleven categories, the trust boundary each </w:t>
      </w:r>
      <w:proofErr w:type="gramStart"/>
      <w:r>
        <w:rPr>
          <w:sz w:val="22"/>
          <w:szCs w:val="22"/>
        </w:rPr>
        <w:t>abuses</w:t>
      </w:r>
      <w:proofErr w:type="gramEnd"/>
      <w:r>
        <w:rPr>
          <w:sz w:val="22"/>
          <w:szCs w:val="22"/>
        </w:rPr>
        <w:t xml:space="preserve"> and the evidence APEX collects for it.</w:t>
      </w:r>
    </w:p>
    <w:tbl>
      <w:tblPr>
        <w:tblStyle w:val="a2"/>
        <w:tblW w:w="9701" w:type="dxa"/>
        <w:tblInd w:w="0" w:type="dxa"/>
        <w:tblBorders>
          <w:top w:val="single" w:sz="4" w:space="0" w:color="9DB6CE"/>
          <w:left w:val="single" w:sz="4" w:space="0" w:color="9DB6CE"/>
          <w:bottom w:val="single" w:sz="4" w:space="0" w:color="9DB6CE"/>
          <w:right w:val="single" w:sz="4" w:space="0" w:color="9DB6CE"/>
          <w:insideH w:val="single" w:sz="4" w:space="0" w:color="C3D3E5"/>
          <w:insideV w:val="single" w:sz="4" w:space="0" w:color="C3D3E5"/>
        </w:tblBorders>
        <w:tblLayout w:type="fixed"/>
        <w:tblLook w:val="0000" w:firstRow="0" w:lastRow="0" w:firstColumn="0" w:lastColumn="0" w:noHBand="0" w:noVBand="0"/>
      </w:tblPr>
      <w:tblGrid>
        <w:gridCol w:w="441"/>
        <w:gridCol w:w="1789"/>
        <w:gridCol w:w="2075"/>
        <w:gridCol w:w="2719"/>
        <w:gridCol w:w="2677"/>
      </w:tblGrid>
      <w:tr w:rsidR="00DA1AF7" w14:paraId="55B96198" w14:textId="77777777">
        <w:trPr>
          <w:tblHeader/>
        </w:trPr>
        <w:tc>
          <w:tcPr>
            <w:tcW w:w="441" w:type="dxa"/>
            <w:shd w:val="clear" w:color="auto" w:fill="4F81BD"/>
            <w:tcMar>
              <w:top w:w="80" w:type="dxa"/>
              <w:left w:w="100" w:type="dxa"/>
              <w:bottom w:w="80" w:type="dxa"/>
              <w:right w:w="100" w:type="dxa"/>
            </w:tcMar>
            <w:vAlign w:val="center"/>
          </w:tcPr>
          <w:p w14:paraId="55B96193" w14:textId="77777777" w:rsidR="00DA1AF7" w:rsidRDefault="00684366">
            <w:pPr>
              <w:spacing w:line="360" w:lineRule="auto"/>
            </w:pPr>
            <w:r>
              <w:rPr>
                <w:b/>
                <w:bCs/>
                <w:color w:val="FFFFFF"/>
                <w:sz w:val="19"/>
                <w:szCs w:val="19"/>
              </w:rPr>
              <w:t>#</w:t>
            </w:r>
          </w:p>
        </w:tc>
        <w:tc>
          <w:tcPr>
            <w:tcW w:w="1789" w:type="dxa"/>
            <w:shd w:val="clear" w:color="auto" w:fill="4F81BD"/>
            <w:tcMar>
              <w:top w:w="80" w:type="dxa"/>
              <w:left w:w="100" w:type="dxa"/>
              <w:bottom w:w="80" w:type="dxa"/>
              <w:right w:w="100" w:type="dxa"/>
            </w:tcMar>
            <w:vAlign w:val="center"/>
          </w:tcPr>
          <w:p w14:paraId="55B96194" w14:textId="77777777" w:rsidR="00DA1AF7" w:rsidRDefault="00684366">
            <w:pPr>
              <w:spacing w:line="360" w:lineRule="auto"/>
            </w:pPr>
            <w:r>
              <w:rPr>
                <w:b/>
                <w:bCs/>
                <w:color w:val="FFFFFF"/>
                <w:sz w:val="19"/>
                <w:szCs w:val="19"/>
              </w:rPr>
              <w:t>Category</w:t>
            </w:r>
          </w:p>
        </w:tc>
        <w:tc>
          <w:tcPr>
            <w:tcW w:w="2075" w:type="dxa"/>
            <w:shd w:val="clear" w:color="auto" w:fill="4F81BD"/>
            <w:tcMar>
              <w:top w:w="80" w:type="dxa"/>
              <w:left w:w="100" w:type="dxa"/>
              <w:bottom w:w="80" w:type="dxa"/>
              <w:right w:w="100" w:type="dxa"/>
            </w:tcMar>
            <w:vAlign w:val="center"/>
          </w:tcPr>
          <w:p w14:paraId="55B96195" w14:textId="77777777" w:rsidR="00DA1AF7" w:rsidRDefault="00684366">
            <w:pPr>
              <w:spacing w:line="360" w:lineRule="auto"/>
            </w:pPr>
            <w:r>
              <w:rPr>
                <w:b/>
                <w:bCs/>
                <w:color w:val="FFFFFF"/>
                <w:sz w:val="19"/>
                <w:szCs w:val="19"/>
              </w:rPr>
              <w:t>Trust boundary abused</w:t>
            </w:r>
          </w:p>
        </w:tc>
        <w:tc>
          <w:tcPr>
            <w:tcW w:w="2719" w:type="dxa"/>
            <w:shd w:val="clear" w:color="auto" w:fill="4F81BD"/>
            <w:tcMar>
              <w:top w:w="80" w:type="dxa"/>
              <w:left w:w="100" w:type="dxa"/>
              <w:bottom w:w="80" w:type="dxa"/>
              <w:right w:w="100" w:type="dxa"/>
            </w:tcMar>
            <w:vAlign w:val="center"/>
          </w:tcPr>
          <w:p w14:paraId="55B96196" w14:textId="77777777" w:rsidR="00DA1AF7" w:rsidRDefault="00684366">
            <w:pPr>
              <w:spacing w:line="360" w:lineRule="auto"/>
            </w:pPr>
            <w:r>
              <w:rPr>
                <w:b/>
                <w:bCs/>
                <w:color w:val="FFFFFF"/>
                <w:sz w:val="19"/>
                <w:szCs w:val="19"/>
              </w:rPr>
              <w:t>Primary evidence collected</w:t>
            </w:r>
          </w:p>
        </w:tc>
        <w:tc>
          <w:tcPr>
            <w:tcW w:w="2677" w:type="dxa"/>
          </w:tcPr>
          <w:p w14:paraId="55B96197" w14:textId="77777777" w:rsidR="00DA1AF7" w:rsidRDefault="00684366">
            <w:pPr>
              <w:spacing w:line="360" w:lineRule="auto"/>
            </w:pPr>
            <w:r>
              <w:rPr>
                <w:b/>
                <w:bCs/>
                <w:sz w:val="20"/>
                <w:szCs w:val="20"/>
              </w:rPr>
              <w:t>Verification signal</w:t>
            </w:r>
          </w:p>
        </w:tc>
      </w:tr>
      <w:tr w:rsidR="00DA1AF7" w14:paraId="55B9619E" w14:textId="77777777">
        <w:tc>
          <w:tcPr>
            <w:tcW w:w="441" w:type="dxa"/>
            <w:tcMar>
              <w:top w:w="80" w:type="dxa"/>
              <w:left w:w="100" w:type="dxa"/>
              <w:bottom w:w="80" w:type="dxa"/>
              <w:right w:w="100" w:type="dxa"/>
            </w:tcMar>
            <w:vAlign w:val="center"/>
          </w:tcPr>
          <w:p w14:paraId="55B96199" w14:textId="77777777" w:rsidR="00DA1AF7" w:rsidRDefault="00684366">
            <w:pPr>
              <w:spacing w:line="360" w:lineRule="auto"/>
            </w:pPr>
            <w:r>
              <w:rPr>
                <w:color w:val="000000"/>
                <w:sz w:val="19"/>
                <w:szCs w:val="19"/>
              </w:rPr>
              <w:t>1</w:t>
            </w:r>
          </w:p>
        </w:tc>
        <w:tc>
          <w:tcPr>
            <w:tcW w:w="1789" w:type="dxa"/>
            <w:tcMar>
              <w:top w:w="80" w:type="dxa"/>
              <w:left w:w="100" w:type="dxa"/>
              <w:bottom w:w="80" w:type="dxa"/>
              <w:right w:w="100" w:type="dxa"/>
            </w:tcMar>
            <w:vAlign w:val="center"/>
          </w:tcPr>
          <w:p w14:paraId="55B9619A" w14:textId="77777777" w:rsidR="00DA1AF7" w:rsidRDefault="00684366">
            <w:pPr>
              <w:spacing w:line="360" w:lineRule="auto"/>
            </w:pPr>
            <w:r>
              <w:rPr>
                <w:color w:val="000000"/>
                <w:sz w:val="19"/>
                <w:szCs w:val="19"/>
              </w:rPr>
              <w:t xml:space="preserve">Sudo NOPASSWD / </w:t>
            </w:r>
            <w:proofErr w:type="spellStart"/>
            <w:r>
              <w:rPr>
                <w:color w:val="000000"/>
                <w:sz w:val="19"/>
                <w:szCs w:val="19"/>
              </w:rPr>
              <w:t>GTFOBins</w:t>
            </w:r>
            <w:proofErr w:type="spellEnd"/>
            <w:r>
              <w:rPr>
                <w:color w:val="000000"/>
                <w:sz w:val="19"/>
                <w:szCs w:val="19"/>
              </w:rPr>
              <w:t xml:space="preserve"> abuse</w:t>
            </w:r>
          </w:p>
        </w:tc>
        <w:tc>
          <w:tcPr>
            <w:tcW w:w="2075" w:type="dxa"/>
            <w:tcMar>
              <w:top w:w="80" w:type="dxa"/>
              <w:left w:w="100" w:type="dxa"/>
              <w:bottom w:w="80" w:type="dxa"/>
              <w:right w:w="100" w:type="dxa"/>
            </w:tcMar>
            <w:vAlign w:val="center"/>
          </w:tcPr>
          <w:p w14:paraId="55B9619B" w14:textId="77777777" w:rsidR="00DA1AF7" w:rsidRDefault="00684366">
            <w:pPr>
              <w:spacing w:line="360" w:lineRule="auto"/>
            </w:pPr>
            <w:r>
              <w:rPr>
                <w:color w:val="000000"/>
                <w:sz w:val="19"/>
                <w:szCs w:val="19"/>
              </w:rPr>
              <w:t>Delegated execution permissions</w:t>
            </w:r>
          </w:p>
        </w:tc>
        <w:tc>
          <w:tcPr>
            <w:tcW w:w="2719" w:type="dxa"/>
            <w:tcMar>
              <w:top w:w="80" w:type="dxa"/>
              <w:left w:w="100" w:type="dxa"/>
              <w:bottom w:w="80" w:type="dxa"/>
              <w:right w:w="100" w:type="dxa"/>
            </w:tcMar>
            <w:vAlign w:val="center"/>
          </w:tcPr>
          <w:p w14:paraId="55B9619C" w14:textId="77777777" w:rsidR="00DA1AF7" w:rsidRDefault="00684366">
            <w:pPr>
              <w:spacing w:line="360" w:lineRule="auto"/>
            </w:pPr>
            <w:proofErr w:type="spellStart"/>
            <w:r>
              <w:rPr>
                <w:color w:val="000000"/>
                <w:sz w:val="19"/>
                <w:szCs w:val="19"/>
              </w:rPr>
              <w:t>sudo</w:t>
            </w:r>
            <w:proofErr w:type="spellEnd"/>
            <w:r>
              <w:rPr>
                <w:color w:val="000000"/>
                <w:sz w:val="19"/>
                <w:szCs w:val="19"/>
              </w:rPr>
              <w:t xml:space="preserve"> -l output, matched against a </w:t>
            </w:r>
            <w:proofErr w:type="spellStart"/>
            <w:r>
              <w:rPr>
                <w:color w:val="000000"/>
                <w:sz w:val="19"/>
                <w:szCs w:val="19"/>
              </w:rPr>
              <w:t>GTFOBins</w:t>
            </w:r>
            <w:proofErr w:type="spellEnd"/>
            <w:r>
              <w:rPr>
                <w:color w:val="000000"/>
                <w:sz w:val="19"/>
                <w:szCs w:val="19"/>
              </w:rPr>
              <w:t>-derived rule list</w:t>
            </w:r>
          </w:p>
        </w:tc>
        <w:tc>
          <w:tcPr>
            <w:tcW w:w="2677" w:type="dxa"/>
          </w:tcPr>
          <w:p w14:paraId="55B9619D" w14:textId="77777777" w:rsidR="00DA1AF7" w:rsidRDefault="00684366">
            <w:pPr>
              <w:spacing w:line="360" w:lineRule="auto"/>
            </w:pPr>
            <w:r>
              <w:rPr>
                <w:sz w:val="20"/>
                <w:szCs w:val="20"/>
              </w:rPr>
              <w:t>Effective UID changes to 0 (or target UID) after invocation</w:t>
            </w:r>
          </w:p>
        </w:tc>
      </w:tr>
      <w:tr w:rsidR="00DA1AF7" w14:paraId="55B961A4" w14:textId="77777777">
        <w:tc>
          <w:tcPr>
            <w:tcW w:w="441" w:type="dxa"/>
            <w:shd w:val="clear" w:color="auto" w:fill="D9E2F3"/>
            <w:tcMar>
              <w:top w:w="80" w:type="dxa"/>
              <w:left w:w="100" w:type="dxa"/>
              <w:bottom w:w="80" w:type="dxa"/>
              <w:right w:w="100" w:type="dxa"/>
            </w:tcMar>
            <w:vAlign w:val="center"/>
          </w:tcPr>
          <w:p w14:paraId="55B9619F" w14:textId="77777777" w:rsidR="00DA1AF7" w:rsidRDefault="00684366">
            <w:pPr>
              <w:spacing w:line="360" w:lineRule="auto"/>
            </w:pPr>
            <w:r>
              <w:rPr>
                <w:color w:val="000000"/>
                <w:sz w:val="19"/>
                <w:szCs w:val="19"/>
              </w:rPr>
              <w:t>2</w:t>
            </w:r>
          </w:p>
        </w:tc>
        <w:tc>
          <w:tcPr>
            <w:tcW w:w="1789" w:type="dxa"/>
            <w:shd w:val="clear" w:color="auto" w:fill="D9E2F3"/>
            <w:tcMar>
              <w:top w:w="80" w:type="dxa"/>
              <w:left w:w="100" w:type="dxa"/>
              <w:bottom w:w="80" w:type="dxa"/>
              <w:right w:w="100" w:type="dxa"/>
            </w:tcMar>
            <w:vAlign w:val="center"/>
          </w:tcPr>
          <w:p w14:paraId="55B961A0" w14:textId="77777777" w:rsidR="00DA1AF7" w:rsidRDefault="00684366">
            <w:pPr>
              <w:spacing w:line="360" w:lineRule="auto"/>
            </w:pPr>
            <w:r>
              <w:rPr>
                <w:color w:val="000000"/>
                <w:sz w:val="19"/>
                <w:szCs w:val="19"/>
              </w:rPr>
              <w:t>SUID / SGID binaries</w:t>
            </w:r>
          </w:p>
        </w:tc>
        <w:tc>
          <w:tcPr>
            <w:tcW w:w="2075" w:type="dxa"/>
            <w:shd w:val="clear" w:color="auto" w:fill="D9E2F3"/>
            <w:tcMar>
              <w:top w:w="80" w:type="dxa"/>
              <w:left w:w="100" w:type="dxa"/>
              <w:bottom w:w="80" w:type="dxa"/>
              <w:right w:w="100" w:type="dxa"/>
            </w:tcMar>
            <w:vAlign w:val="center"/>
          </w:tcPr>
          <w:p w14:paraId="55B961A1" w14:textId="77777777" w:rsidR="00DA1AF7" w:rsidRDefault="00684366">
            <w:pPr>
              <w:spacing w:line="360" w:lineRule="auto"/>
            </w:pPr>
            <w:r>
              <w:rPr>
                <w:color w:val="000000"/>
                <w:sz w:val="19"/>
                <w:szCs w:val="19"/>
              </w:rPr>
              <w:t>File permission bit that changes effective user/group</w:t>
            </w:r>
          </w:p>
        </w:tc>
        <w:tc>
          <w:tcPr>
            <w:tcW w:w="2719" w:type="dxa"/>
            <w:shd w:val="clear" w:color="auto" w:fill="D9E2F3"/>
            <w:tcMar>
              <w:top w:w="80" w:type="dxa"/>
              <w:left w:w="100" w:type="dxa"/>
              <w:bottom w:w="80" w:type="dxa"/>
              <w:right w:w="100" w:type="dxa"/>
            </w:tcMar>
            <w:vAlign w:val="center"/>
          </w:tcPr>
          <w:p w14:paraId="55B961A2" w14:textId="77777777" w:rsidR="00DA1AF7" w:rsidRDefault="00684366">
            <w:pPr>
              <w:spacing w:line="360" w:lineRule="auto"/>
            </w:pPr>
            <w:r>
              <w:rPr>
                <w:color w:val="000000"/>
                <w:sz w:val="19"/>
                <w:szCs w:val="19"/>
              </w:rPr>
              <w:t xml:space="preserve">Filesystem scan for the </w:t>
            </w:r>
            <w:proofErr w:type="spellStart"/>
            <w:r>
              <w:rPr>
                <w:color w:val="000000"/>
                <w:sz w:val="19"/>
                <w:szCs w:val="19"/>
              </w:rPr>
              <w:t>setuid</w:t>
            </w:r>
            <w:proofErr w:type="spellEnd"/>
            <w:r>
              <w:rPr>
                <w:color w:val="000000"/>
                <w:sz w:val="19"/>
                <w:szCs w:val="19"/>
              </w:rPr>
              <w:t>/</w:t>
            </w:r>
            <w:proofErr w:type="spellStart"/>
            <w:r>
              <w:rPr>
                <w:color w:val="000000"/>
                <w:sz w:val="19"/>
                <w:szCs w:val="19"/>
              </w:rPr>
              <w:t>setgid</w:t>
            </w:r>
            <w:proofErr w:type="spellEnd"/>
            <w:r>
              <w:rPr>
                <w:color w:val="000000"/>
                <w:sz w:val="19"/>
                <w:szCs w:val="19"/>
              </w:rPr>
              <w:t xml:space="preserve"> bit</w:t>
            </w:r>
          </w:p>
        </w:tc>
        <w:tc>
          <w:tcPr>
            <w:tcW w:w="2677" w:type="dxa"/>
          </w:tcPr>
          <w:p w14:paraId="55B961A3" w14:textId="77777777" w:rsidR="00DA1AF7" w:rsidRDefault="00684366">
            <w:pPr>
              <w:spacing w:line="360" w:lineRule="auto"/>
            </w:pPr>
            <w:r>
              <w:rPr>
                <w:sz w:val="20"/>
                <w:szCs w:val="20"/>
              </w:rPr>
              <w:t>Spawned shell's effective UID matches the binary's owner</w:t>
            </w:r>
          </w:p>
        </w:tc>
      </w:tr>
      <w:tr w:rsidR="00DA1AF7" w14:paraId="55B961AA" w14:textId="77777777">
        <w:tc>
          <w:tcPr>
            <w:tcW w:w="441" w:type="dxa"/>
            <w:tcMar>
              <w:top w:w="80" w:type="dxa"/>
              <w:left w:w="100" w:type="dxa"/>
              <w:bottom w:w="80" w:type="dxa"/>
              <w:right w:w="100" w:type="dxa"/>
            </w:tcMar>
            <w:vAlign w:val="center"/>
          </w:tcPr>
          <w:p w14:paraId="55B961A5" w14:textId="77777777" w:rsidR="00DA1AF7" w:rsidRDefault="00684366">
            <w:pPr>
              <w:spacing w:line="360" w:lineRule="auto"/>
            </w:pPr>
            <w:r>
              <w:rPr>
                <w:color w:val="000000"/>
                <w:sz w:val="19"/>
                <w:szCs w:val="19"/>
              </w:rPr>
              <w:t>3</w:t>
            </w:r>
          </w:p>
        </w:tc>
        <w:tc>
          <w:tcPr>
            <w:tcW w:w="1789" w:type="dxa"/>
            <w:tcMar>
              <w:top w:w="80" w:type="dxa"/>
              <w:left w:w="100" w:type="dxa"/>
              <w:bottom w:w="80" w:type="dxa"/>
              <w:right w:w="100" w:type="dxa"/>
            </w:tcMar>
            <w:vAlign w:val="center"/>
          </w:tcPr>
          <w:p w14:paraId="55B961A6" w14:textId="77777777" w:rsidR="00DA1AF7" w:rsidRDefault="00684366">
            <w:pPr>
              <w:spacing w:line="360" w:lineRule="auto"/>
            </w:pPr>
            <w:r>
              <w:rPr>
                <w:color w:val="000000"/>
                <w:sz w:val="19"/>
                <w:szCs w:val="19"/>
              </w:rPr>
              <w:t>Linux capabilities</w:t>
            </w:r>
          </w:p>
        </w:tc>
        <w:tc>
          <w:tcPr>
            <w:tcW w:w="2075" w:type="dxa"/>
            <w:tcMar>
              <w:top w:w="80" w:type="dxa"/>
              <w:left w:w="100" w:type="dxa"/>
              <w:bottom w:w="80" w:type="dxa"/>
              <w:right w:w="100" w:type="dxa"/>
            </w:tcMar>
            <w:vAlign w:val="center"/>
          </w:tcPr>
          <w:p w14:paraId="55B961A7" w14:textId="77777777" w:rsidR="00DA1AF7" w:rsidRDefault="00684366">
            <w:pPr>
              <w:spacing w:line="360" w:lineRule="auto"/>
            </w:pPr>
            <w:r>
              <w:rPr>
                <w:color w:val="000000"/>
                <w:sz w:val="19"/>
                <w:szCs w:val="19"/>
              </w:rPr>
              <w:t>Fine-grained kernel privileges attached to a binary</w:t>
            </w:r>
          </w:p>
        </w:tc>
        <w:tc>
          <w:tcPr>
            <w:tcW w:w="2719" w:type="dxa"/>
            <w:tcMar>
              <w:top w:w="80" w:type="dxa"/>
              <w:left w:w="100" w:type="dxa"/>
              <w:bottom w:w="80" w:type="dxa"/>
              <w:right w:w="100" w:type="dxa"/>
            </w:tcMar>
            <w:vAlign w:val="center"/>
          </w:tcPr>
          <w:p w14:paraId="55B961A8" w14:textId="77777777" w:rsidR="00DA1AF7" w:rsidRDefault="00684366">
            <w:pPr>
              <w:spacing w:line="360" w:lineRule="auto"/>
            </w:pPr>
            <w:proofErr w:type="spellStart"/>
            <w:r>
              <w:rPr>
                <w:color w:val="000000"/>
                <w:sz w:val="19"/>
                <w:szCs w:val="19"/>
              </w:rPr>
              <w:t>getcap</w:t>
            </w:r>
            <w:proofErr w:type="spellEnd"/>
            <w:r>
              <w:rPr>
                <w:color w:val="000000"/>
                <w:sz w:val="19"/>
                <w:szCs w:val="19"/>
              </w:rPr>
              <w:t>-style capability scan</w:t>
            </w:r>
          </w:p>
        </w:tc>
        <w:tc>
          <w:tcPr>
            <w:tcW w:w="2677" w:type="dxa"/>
          </w:tcPr>
          <w:p w14:paraId="55B961A9" w14:textId="77777777" w:rsidR="00DA1AF7" w:rsidRDefault="00684366">
            <w:pPr>
              <w:spacing w:line="360" w:lineRule="auto"/>
            </w:pPr>
            <w:r>
              <w:rPr>
                <w:sz w:val="20"/>
                <w:szCs w:val="20"/>
              </w:rPr>
              <w:t>Capability successfully exercised (e.g. file read/write as root)</w:t>
            </w:r>
          </w:p>
        </w:tc>
      </w:tr>
      <w:tr w:rsidR="00DA1AF7" w14:paraId="55B961B0" w14:textId="77777777">
        <w:tc>
          <w:tcPr>
            <w:tcW w:w="441" w:type="dxa"/>
            <w:shd w:val="clear" w:color="auto" w:fill="D9E2F3"/>
            <w:tcMar>
              <w:top w:w="80" w:type="dxa"/>
              <w:left w:w="100" w:type="dxa"/>
              <w:bottom w:w="80" w:type="dxa"/>
              <w:right w:w="100" w:type="dxa"/>
            </w:tcMar>
            <w:vAlign w:val="center"/>
          </w:tcPr>
          <w:p w14:paraId="55B961AB" w14:textId="77777777" w:rsidR="00DA1AF7" w:rsidRDefault="00684366">
            <w:pPr>
              <w:spacing w:line="360" w:lineRule="auto"/>
            </w:pPr>
            <w:r>
              <w:rPr>
                <w:color w:val="000000"/>
                <w:sz w:val="19"/>
                <w:szCs w:val="19"/>
              </w:rPr>
              <w:t>4</w:t>
            </w:r>
          </w:p>
        </w:tc>
        <w:tc>
          <w:tcPr>
            <w:tcW w:w="1789" w:type="dxa"/>
            <w:shd w:val="clear" w:color="auto" w:fill="D9E2F3"/>
            <w:tcMar>
              <w:top w:w="80" w:type="dxa"/>
              <w:left w:w="100" w:type="dxa"/>
              <w:bottom w:w="80" w:type="dxa"/>
              <w:right w:w="100" w:type="dxa"/>
            </w:tcMar>
            <w:vAlign w:val="center"/>
          </w:tcPr>
          <w:p w14:paraId="55B961AC" w14:textId="77777777" w:rsidR="00DA1AF7" w:rsidRDefault="00684366">
            <w:pPr>
              <w:spacing w:line="360" w:lineRule="auto"/>
            </w:pPr>
            <w:r>
              <w:rPr>
                <w:color w:val="000000"/>
                <w:sz w:val="19"/>
                <w:szCs w:val="19"/>
              </w:rPr>
              <w:t>Cron and scheduled tasks</w:t>
            </w:r>
          </w:p>
        </w:tc>
        <w:tc>
          <w:tcPr>
            <w:tcW w:w="2075" w:type="dxa"/>
            <w:shd w:val="clear" w:color="auto" w:fill="D9E2F3"/>
            <w:tcMar>
              <w:top w:w="80" w:type="dxa"/>
              <w:left w:w="100" w:type="dxa"/>
              <w:bottom w:w="80" w:type="dxa"/>
              <w:right w:w="100" w:type="dxa"/>
            </w:tcMar>
            <w:vAlign w:val="center"/>
          </w:tcPr>
          <w:p w14:paraId="55B961AD" w14:textId="77777777" w:rsidR="00DA1AF7" w:rsidRDefault="00684366">
            <w:pPr>
              <w:spacing w:line="360" w:lineRule="auto"/>
            </w:pPr>
            <w:r>
              <w:rPr>
                <w:color w:val="000000"/>
                <w:sz w:val="19"/>
                <w:szCs w:val="19"/>
              </w:rPr>
              <w:t>Privileged, time-triggered execution</w:t>
            </w:r>
          </w:p>
        </w:tc>
        <w:tc>
          <w:tcPr>
            <w:tcW w:w="2719" w:type="dxa"/>
            <w:shd w:val="clear" w:color="auto" w:fill="D9E2F3"/>
            <w:tcMar>
              <w:top w:w="80" w:type="dxa"/>
              <w:left w:w="100" w:type="dxa"/>
              <w:bottom w:w="80" w:type="dxa"/>
              <w:right w:w="100" w:type="dxa"/>
            </w:tcMar>
            <w:vAlign w:val="center"/>
          </w:tcPr>
          <w:p w14:paraId="55B961AE" w14:textId="77777777" w:rsidR="00DA1AF7" w:rsidRDefault="00684366">
            <w:pPr>
              <w:spacing w:line="360" w:lineRule="auto"/>
            </w:pPr>
            <w:r>
              <w:rPr>
                <w:color w:val="000000"/>
                <w:sz w:val="19"/>
                <w:szCs w:val="19"/>
              </w:rPr>
              <w:t xml:space="preserve">Crontab and </w:t>
            </w:r>
            <w:proofErr w:type="spellStart"/>
            <w:r>
              <w:rPr>
                <w:color w:val="000000"/>
                <w:sz w:val="19"/>
                <w:szCs w:val="19"/>
              </w:rPr>
              <w:t>systemd</w:t>
            </w:r>
            <w:proofErr w:type="spellEnd"/>
            <w:r>
              <w:rPr>
                <w:color w:val="000000"/>
                <w:sz w:val="19"/>
                <w:szCs w:val="19"/>
              </w:rPr>
              <w:t xml:space="preserve"> timer inspection, writability checks</w:t>
            </w:r>
          </w:p>
        </w:tc>
        <w:tc>
          <w:tcPr>
            <w:tcW w:w="2677" w:type="dxa"/>
          </w:tcPr>
          <w:p w14:paraId="55B961AF" w14:textId="77777777" w:rsidR="00DA1AF7" w:rsidRDefault="00684366">
            <w:pPr>
              <w:spacing w:line="360" w:lineRule="auto"/>
            </w:pPr>
            <w:r>
              <w:rPr>
                <w:sz w:val="20"/>
                <w:szCs w:val="20"/>
              </w:rPr>
              <w:t>Planted payload executes under the higher-privileged account</w:t>
            </w:r>
          </w:p>
        </w:tc>
      </w:tr>
      <w:tr w:rsidR="00DA1AF7" w14:paraId="55B961B6" w14:textId="77777777">
        <w:tc>
          <w:tcPr>
            <w:tcW w:w="441" w:type="dxa"/>
            <w:tcMar>
              <w:top w:w="80" w:type="dxa"/>
              <w:left w:w="100" w:type="dxa"/>
              <w:bottom w:w="80" w:type="dxa"/>
              <w:right w:w="100" w:type="dxa"/>
            </w:tcMar>
            <w:vAlign w:val="center"/>
          </w:tcPr>
          <w:p w14:paraId="55B961B1" w14:textId="77777777" w:rsidR="00DA1AF7" w:rsidRDefault="00684366">
            <w:pPr>
              <w:spacing w:line="360" w:lineRule="auto"/>
            </w:pPr>
            <w:r>
              <w:rPr>
                <w:color w:val="000000"/>
                <w:sz w:val="19"/>
                <w:szCs w:val="19"/>
              </w:rPr>
              <w:t>5</w:t>
            </w:r>
          </w:p>
        </w:tc>
        <w:tc>
          <w:tcPr>
            <w:tcW w:w="1789" w:type="dxa"/>
            <w:tcMar>
              <w:top w:w="80" w:type="dxa"/>
              <w:left w:w="100" w:type="dxa"/>
              <w:bottom w:w="80" w:type="dxa"/>
              <w:right w:w="100" w:type="dxa"/>
            </w:tcMar>
            <w:vAlign w:val="center"/>
          </w:tcPr>
          <w:p w14:paraId="55B961B2" w14:textId="77777777" w:rsidR="00DA1AF7" w:rsidRDefault="00684366">
            <w:pPr>
              <w:spacing w:line="360" w:lineRule="auto"/>
            </w:pPr>
            <w:r>
              <w:rPr>
                <w:color w:val="000000"/>
                <w:sz w:val="19"/>
                <w:szCs w:val="19"/>
              </w:rPr>
              <w:t>Writable service/config files</w:t>
            </w:r>
          </w:p>
        </w:tc>
        <w:tc>
          <w:tcPr>
            <w:tcW w:w="2075" w:type="dxa"/>
            <w:tcMar>
              <w:top w:w="80" w:type="dxa"/>
              <w:left w:w="100" w:type="dxa"/>
              <w:bottom w:w="80" w:type="dxa"/>
              <w:right w:w="100" w:type="dxa"/>
            </w:tcMar>
            <w:vAlign w:val="center"/>
          </w:tcPr>
          <w:p w14:paraId="55B961B3" w14:textId="77777777" w:rsidR="00DA1AF7" w:rsidRDefault="00684366">
            <w:pPr>
              <w:spacing w:line="360" w:lineRule="auto"/>
            </w:pPr>
            <w:r>
              <w:rPr>
                <w:color w:val="000000"/>
                <w:sz w:val="19"/>
                <w:szCs w:val="19"/>
              </w:rPr>
              <w:t>Files trusted and (re)read by privileged processes</w:t>
            </w:r>
          </w:p>
        </w:tc>
        <w:tc>
          <w:tcPr>
            <w:tcW w:w="2719" w:type="dxa"/>
            <w:tcMar>
              <w:top w:w="80" w:type="dxa"/>
              <w:left w:w="100" w:type="dxa"/>
              <w:bottom w:w="80" w:type="dxa"/>
              <w:right w:w="100" w:type="dxa"/>
            </w:tcMar>
            <w:vAlign w:val="center"/>
          </w:tcPr>
          <w:p w14:paraId="55B961B4" w14:textId="77777777" w:rsidR="00DA1AF7" w:rsidRDefault="00684366">
            <w:pPr>
              <w:spacing w:line="360" w:lineRule="auto"/>
            </w:pPr>
            <w:r>
              <w:rPr>
                <w:color w:val="000000"/>
                <w:sz w:val="19"/>
                <w:szCs w:val="19"/>
              </w:rPr>
              <w:t>Writability checks against known service paths</w:t>
            </w:r>
          </w:p>
        </w:tc>
        <w:tc>
          <w:tcPr>
            <w:tcW w:w="2677" w:type="dxa"/>
          </w:tcPr>
          <w:p w14:paraId="55B961B5" w14:textId="77777777" w:rsidR="00DA1AF7" w:rsidRDefault="00684366">
            <w:pPr>
              <w:spacing w:line="360" w:lineRule="auto"/>
            </w:pPr>
            <w:r>
              <w:rPr>
                <w:sz w:val="20"/>
                <w:szCs w:val="20"/>
              </w:rPr>
              <w:t>Service reload picks up the modified configuration</w:t>
            </w:r>
          </w:p>
        </w:tc>
      </w:tr>
      <w:tr w:rsidR="00DA1AF7" w14:paraId="55B961BC" w14:textId="77777777">
        <w:tc>
          <w:tcPr>
            <w:tcW w:w="441" w:type="dxa"/>
            <w:shd w:val="clear" w:color="auto" w:fill="D9E2F3"/>
            <w:tcMar>
              <w:top w:w="80" w:type="dxa"/>
              <w:left w:w="100" w:type="dxa"/>
              <w:bottom w:w="80" w:type="dxa"/>
              <w:right w:w="100" w:type="dxa"/>
            </w:tcMar>
            <w:vAlign w:val="center"/>
          </w:tcPr>
          <w:p w14:paraId="55B961B7" w14:textId="77777777" w:rsidR="00DA1AF7" w:rsidRDefault="00684366">
            <w:pPr>
              <w:spacing w:line="360" w:lineRule="auto"/>
            </w:pPr>
            <w:r>
              <w:rPr>
                <w:color w:val="000000"/>
                <w:sz w:val="19"/>
                <w:szCs w:val="19"/>
              </w:rPr>
              <w:t>6</w:t>
            </w:r>
          </w:p>
        </w:tc>
        <w:tc>
          <w:tcPr>
            <w:tcW w:w="1789" w:type="dxa"/>
            <w:shd w:val="clear" w:color="auto" w:fill="D9E2F3"/>
            <w:tcMar>
              <w:top w:w="80" w:type="dxa"/>
              <w:left w:w="100" w:type="dxa"/>
              <w:bottom w:w="80" w:type="dxa"/>
              <w:right w:w="100" w:type="dxa"/>
            </w:tcMar>
            <w:vAlign w:val="center"/>
          </w:tcPr>
          <w:p w14:paraId="55B961B8" w14:textId="77777777" w:rsidR="00DA1AF7" w:rsidRDefault="00684366">
            <w:pPr>
              <w:spacing w:line="360" w:lineRule="auto"/>
            </w:pPr>
            <w:r>
              <w:rPr>
                <w:color w:val="000000"/>
                <w:sz w:val="19"/>
                <w:szCs w:val="19"/>
              </w:rPr>
              <w:t>PATH and wildcard abuse</w:t>
            </w:r>
          </w:p>
        </w:tc>
        <w:tc>
          <w:tcPr>
            <w:tcW w:w="2075" w:type="dxa"/>
            <w:shd w:val="clear" w:color="auto" w:fill="D9E2F3"/>
            <w:tcMar>
              <w:top w:w="80" w:type="dxa"/>
              <w:left w:w="100" w:type="dxa"/>
              <w:bottom w:w="80" w:type="dxa"/>
              <w:right w:w="100" w:type="dxa"/>
            </w:tcMar>
            <w:vAlign w:val="center"/>
          </w:tcPr>
          <w:p w14:paraId="55B961B9" w14:textId="77777777" w:rsidR="00DA1AF7" w:rsidRDefault="00684366">
            <w:pPr>
              <w:spacing w:line="360" w:lineRule="auto"/>
            </w:pPr>
            <w:r>
              <w:rPr>
                <w:color w:val="000000"/>
                <w:sz w:val="19"/>
                <w:szCs w:val="19"/>
              </w:rPr>
              <w:t>Ambiguous or attacker-influenced command resolution</w:t>
            </w:r>
          </w:p>
        </w:tc>
        <w:tc>
          <w:tcPr>
            <w:tcW w:w="2719" w:type="dxa"/>
            <w:shd w:val="clear" w:color="auto" w:fill="D9E2F3"/>
            <w:tcMar>
              <w:top w:w="80" w:type="dxa"/>
              <w:left w:w="100" w:type="dxa"/>
              <w:bottom w:w="80" w:type="dxa"/>
              <w:right w:w="100" w:type="dxa"/>
            </w:tcMar>
            <w:vAlign w:val="center"/>
          </w:tcPr>
          <w:p w14:paraId="55B961BA" w14:textId="77777777" w:rsidR="00DA1AF7" w:rsidRDefault="00684366">
            <w:pPr>
              <w:spacing w:line="360" w:lineRule="auto"/>
            </w:pPr>
            <w:r>
              <w:rPr>
                <w:color w:val="000000"/>
                <w:sz w:val="19"/>
                <w:szCs w:val="19"/>
              </w:rPr>
              <w:t>PATH ordering and writable-directory checks</w:t>
            </w:r>
          </w:p>
        </w:tc>
        <w:tc>
          <w:tcPr>
            <w:tcW w:w="2677" w:type="dxa"/>
          </w:tcPr>
          <w:p w14:paraId="55B961BB" w14:textId="77777777" w:rsidR="00DA1AF7" w:rsidRDefault="00684366">
            <w:pPr>
              <w:spacing w:line="360" w:lineRule="auto"/>
            </w:pPr>
            <w:r>
              <w:rPr>
                <w:sz w:val="20"/>
                <w:szCs w:val="20"/>
              </w:rPr>
              <w:t>Substituted binary executes in place of the intended one</w:t>
            </w:r>
          </w:p>
        </w:tc>
      </w:tr>
      <w:tr w:rsidR="00DA1AF7" w14:paraId="55B961C2" w14:textId="77777777">
        <w:tc>
          <w:tcPr>
            <w:tcW w:w="441" w:type="dxa"/>
            <w:tcMar>
              <w:top w:w="80" w:type="dxa"/>
              <w:left w:w="100" w:type="dxa"/>
              <w:bottom w:w="80" w:type="dxa"/>
              <w:right w:w="100" w:type="dxa"/>
            </w:tcMar>
            <w:vAlign w:val="center"/>
          </w:tcPr>
          <w:p w14:paraId="55B961BD" w14:textId="77777777" w:rsidR="00DA1AF7" w:rsidRDefault="00684366">
            <w:pPr>
              <w:spacing w:line="360" w:lineRule="auto"/>
            </w:pPr>
            <w:r>
              <w:rPr>
                <w:color w:val="000000"/>
                <w:sz w:val="19"/>
                <w:szCs w:val="19"/>
              </w:rPr>
              <w:t>7</w:t>
            </w:r>
          </w:p>
        </w:tc>
        <w:tc>
          <w:tcPr>
            <w:tcW w:w="1789" w:type="dxa"/>
            <w:tcMar>
              <w:top w:w="80" w:type="dxa"/>
              <w:left w:w="100" w:type="dxa"/>
              <w:bottom w:w="80" w:type="dxa"/>
              <w:right w:w="100" w:type="dxa"/>
            </w:tcMar>
            <w:vAlign w:val="center"/>
          </w:tcPr>
          <w:p w14:paraId="55B961BE" w14:textId="77777777" w:rsidR="00DA1AF7" w:rsidRDefault="00684366">
            <w:pPr>
              <w:spacing w:line="360" w:lineRule="auto"/>
            </w:pPr>
            <w:r>
              <w:rPr>
                <w:color w:val="000000"/>
                <w:sz w:val="19"/>
                <w:szCs w:val="19"/>
              </w:rPr>
              <w:t>Kernel exploit candidates</w:t>
            </w:r>
          </w:p>
        </w:tc>
        <w:tc>
          <w:tcPr>
            <w:tcW w:w="2075" w:type="dxa"/>
            <w:tcMar>
              <w:top w:w="80" w:type="dxa"/>
              <w:left w:w="100" w:type="dxa"/>
              <w:bottom w:w="80" w:type="dxa"/>
              <w:right w:w="100" w:type="dxa"/>
            </w:tcMar>
            <w:vAlign w:val="center"/>
          </w:tcPr>
          <w:p w14:paraId="55B961BF" w14:textId="77777777" w:rsidR="00DA1AF7" w:rsidRDefault="00684366">
            <w:pPr>
              <w:spacing w:line="360" w:lineRule="auto"/>
            </w:pPr>
            <w:r>
              <w:rPr>
                <w:color w:val="000000"/>
                <w:sz w:val="19"/>
                <w:szCs w:val="19"/>
              </w:rPr>
              <w:t>Kernel version boundary</w:t>
            </w:r>
          </w:p>
        </w:tc>
        <w:tc>
          <w:tcPr>
            <w:tcW w:w="2719" w:type="dxa"/>
            <w:tcMar>
              <w:top w:w="80" w:type="dxa"/>
              <w:left w:w="100" w:type="dxa"/>
              <w:bottom w:w="80" w:type="dxa"/>
              <w:right w:w="100" w:type="dxa"/>
            </w:tcMar>
            <w:vAlign w:val="center"/>
          </w:tcPr>
          <w:p w14:paraId="55B961C0" w14:textId="77777777" w:rsidR="00DA1AF7" w:rsidRDefault="00684366">
            <w:pPr>
              <w:spacing w:line="360" w:lineRule="auto"/>
            </w:pPr>
            <w:r>
              <w:rPr>
                <w:color w:val="000000"/>
                <w:sz w:val="19"/>
                <w:szCs w:val="19"/>
              </w:rPr>
              <w:t>Kernel version and distribution fingerprint matched to a CVE list</w:t>
            </w:r>
          </w:p>
        </w:tc>
        <w:tc>
          <w:tcPr>
            <w:tcW w:w="2677" w:type="dxa"/>
          </w:tcPr>
          <w:p w14:paraId="55B961C1" w14:textId="77777777" w:rsidR="00DA1AF7" w:rsidRDefault="00684366">
            <w:pPr>
              <w:spacing w:line="360" w:lineRule="auto"/>
            </w:pPr>
            <w:r>
              <w:rPr>
                <w:sz w:val="20"/>
                <w:szCs w:val="20"/>
              </w:rPr>
              <w:t>Effective UID 0 obtained after exploit execution</w:t>
            </w:r>
          </w:p>
        </w:tc>
      </w:tr>
      <w:tr w:rsidR="00DA1AF7" w14:paraId="55B961C8" w14:textId="77777777">
        <w:tc>
          <w:tcPr>
            <w:tcW w:w="441" w:type="dxa"/>
            <w:shd w:val="clear" w:color="auto" w:fill="D9E2F3"/>
            <w:tcMar>
              <w:top w:w="80" w:type="dxa"/>
              <w:left w:w="100" w:type="dxa"/>
              <w:bottom w:w="80" w:type="dxa"/>
              <w:right w:w="100" w:type="dxa"/>
            </w:tcMar>
            <w:vAlign w:val="center"/>
          </w:tcPr>
          <w:p w14:paraId="55B961C3" w14:textId="77777777" w:rsidR="00DA1AF7" w:rsidRDefault="00684366">
            <w:pPr>
              <w:spacing w:line="360" w:lineRule="auto"/>
            </w:pPr>
            <w:r>
              <w:rPr>
                <w:color w:val="000000"/>
                <w:sz w:val="19"/>
                <w:szCs w:val="19"/>
              </w:rPr>
              <w:t>8</w:t>
            </w:r>
          </w:p>
        </w:tc>
        <w:tc>
          <w:tcPr>
            <w:tcW w:w="1789" w:type="dxa"/>
            <w:shd w:val="clear" w:color="auto" w:fill="D9E2F3"/>
            <w:tcMar>
              <w:top w:w="80" w:type="dxa"/>
              <w:left w:w="100" w:type="dxa"/>
              <w:bottom w:w="80" w:type="dxa"/>
              <w:right w:w="100" w:type="dxa"/>
            </w:tcMar>
            <w:vAlign w:val="center"/>
          </w:tcPr>
          <w:p w14:paraId="55B961C4" w14:textId="77777777" w:rsidR="00DA1AF7" w:rsidRDefault="00684366">
            <w:pPr>
              <w:spacing w:line="360" w:lineRule="auto"/>
            </w:pPr>
            <w:r>
              <w:rPr>
                <w:color w:val="000000"/>
                <w:sz w:val="19"/>
                <w:szCs w:val="19"/>
              </w:rPr>
              <w:t>NFS / mount misconfiguration</w:t>
            </w:r>
          </w:p>
        </w:tc>
        <w:tc>
          <w:tcPr>
            <w:tcW w:w="2075" w:type="dxa"/>
            <w:shd w:val="clear" w:color="auto" w:fill="D9E2F3"/>
            <w:tcMar>
              <w:top w:w="80" w:type="dxa"/>
              <w:left w:w="100" w:type="dxa"/>
              <w:bottom w:w="80" w:type="dxa"/>
              <w:right w:w="100" w:type="dxa"/>
            </w:tcMar>
            <w:vAlign w:val="center"/>
          </w:tcPr>
          <w:p w14:paraId="55B961C5" w14:textId="77777777" w:rsidR="00DA1AF7" w:rsidRDefault="00684366">
            <w:pPr>
              <w:spacing w:line="360" w:lineRule="auto"/>
            </w:pPr>
            <w:r>
              <w:rPr>
                <w:color w:val="000000"/>
                <w:sz w:val="19"/>
                <w:szCs w:val="19"/>
              </w:rPr>
              <w:t>Trust placed in mounted filesystems</w:t>
            </w:r>
          </w:p>
        </w:tc>
        <w:tc>
          <w:tcPr>
            <w:tcW w:w="2719" w:type="dxa"/>
            <w:shd w:val="clear" w:color="auto" w:fill="D9E2F3"/>
            <w:tcMar>
              <w:top w:w="80" w:type="dxa"/>
              <w:left w:w="100" w:type="dxa"/>
              <w:bottom w:w="80" w:type="dxa"/>
              <w:right w:w="100" w:type="dxa"/>
            </w:tcMar>
            <w:vAlign w:val="center"/>
          </w:tcPr>
          <w:p w14:paraId="55B961C6" w14:textId="77777777" w:rsidR="00DA1AF7" w:rsidRDefault="00684366">
            <w:pPr>
              <w:spacing w:line="360" w:lineRule="auto"/>
            </w:pPr>
            <w:r>
              <w:rPr>
                <w:color w:val="000000"/>
                <w:sz w:val="19"/>
                <w:szCs w:val="19"/>
              </w:rPr>
              <w:t>Export and mount option inspection</w:t>
            </w:r>
          </w:p>
        </w:tc>
        <w:tc>
          <w:tcPr>
            <w:tcW w:w="2677" w:type="dxa"/>
          </w:tcPr>
          <w:p w14:paraId="55B961C7" w14:textId="77777777" w:rsidR="00DA1AF7" w:rsidRDefault="00684366">
            <w:pPr>
              <w:spacing w:line="360" w:lineRule="auto"/>
            </w:pPr>
            <w:r>
              <w:rPr>
                <w:sz w:val="20"/>
                <w:szCs w:val="20"/>
              </w:rPr>
              <w:t>File created via the mount is owned by root on the host</w:t>
            </w:r>
          </w:p>
        </w:tc>
      </w:tr>
      <w:tr w:rsidR="00DA1AF7" w14:paraId="55B961CE" w14:textId="77777777">
        <w:tc>
          <w:tcPr>
            <w:tcW w:w="441" w:type="dxa"/>
            <w:tcMar>
              <w:top w:w="80" w:type="dxa"/>
              <w:left w:w="100" w:type="dxa"/>
              <w:bottom w:w="80" w:type="dxa"/>
              <w:right w:w="100" w:type="dxa"/>
            </w:tcMar>
            <w:vAlign w:val="center"/>
          </w:tcPr>
          <w:p w14:paraId="55B961C9" w14:textId="77777777" w:rsidR="00DA1AF7" w:rsidRDefault="00684366">
            <w:pPr>
              <w:spacing w:line="360" w:lineRule="auto"/>
            </w:pPr>
            <w:r>
              <w:rPr>
                <w:color w:val="000000"/>
                <w:sz w:val="19"/>
                <w:szCs w:val="19"/>
              </w:rPr>
              <w:lastRenderedPageBreak/>
              <w:t>9</w:t>
            </w:r>
          </w:p>
        </w:tc>
        <w:tc>
          <w:tcPr>
            <w:tcW w:w="1789" w:type="dxa"/>
            <w:tcMar>
              <w:top w:w="80" w:type="dxa"/>
              <w:left w:w="100" w:type="dxa"/>
              <w:bottom w:w="80" w:type="dxa"/>
              <w:right w:w="100" w:type="dxa"/>
            </w:tcMar>
            <w:vAlign w:val="center"/>
          </w:tcPr>
          <w:p w14:paraId="55B961CA" w14:textId="77777777" w:rsidR="00DA1AF7" w:rsidRDefault="00684366">
            <w:pPr>
              <w:spacing w:line="360" w:lineRule="auto"/>
            </w:pPr>
            <w:r>
              <w:rPr>
                <w:color w:val="000000"/>
                <w:sz w:val="19"/>
                <w:szCs w:val="19"/>
              </w:rPr>
              <w:t>Credential exposure</w:t>
            </w:r>
          </w:p>
        </w:tc>
        <w:tc>
          <w:tcPr>
            <w:tcW w:w="2075" w:type="dxa"/>
            <w:tcMar>
              <w:top w:w="80" w:type="dxa"/>
              <w:left w:w="100" w:type="dxa"/>
              <w:bottom w:w="80" w:type="dxa"/>
              <w:right w:w="100" w:type="dxa"/>
            </w:tcMar>
            <w:vAlign w:val="center"/>
          </w:tcPr>
          <w:p w14:paraId="55B961CB" w14:textId="77777777" w:rsidR="00DA1AF7" w:rsidRDefault="00684366">
            <w:pPr>
              <w:spacing w:line="360" w:lineRule="auto"/>
            </w:pPr>
            <w:r>
              <w:rPr>
                <w:color w:val="000000"/>
                <w:sz w:val="19"/>
                <w:szCs w:val="19"/>
              </w:rPr>
              <w:t>Confidentiality of stored secrets</w:t>
            </w:r>
          </w:p>
        </w:tc>
        <w:tc>
          <w:tcPr>
            <w:tcW w:w="2719" w:type="dxa"/>
            <w:tcMar>
              <w:top w:w="80" w:type="dxa"/>
              <w:left w:w="100" w:type="dxa"/>
              <w:bottom w:w="80" w:type="dxa"/>
              <w:right w:w="100" w:type="dxa"/>
            </w:tcMar>
            <w:vAlign w:val="center"/>
          </w:tcPr>
          <w:p w14:paraId="55B961CC" w14:textId="77777777" w:rsidR="00DA1AF7" w:rsidRDefault="00684366">
            <w:pPr>
              <w:spacing w:line="360" w:lineRule="auto"/>
            </w:pPr>
            <w:r>
              <w:rPr>
                <w:color w:val="000000"/>
                <w:sz w:val="19"/>
                <w:szCs w:val="19"/>
              </w:rPr>
              <w:t>Readable history files, mail spools, config files and backups</w:t>
            </w:r>
          </w:p>
        </w:tc>
        <w:tc>
          <w:tcPr>
            <w:tcW w:w="2677" w:type="dxa"/>
          </w:tcPr>
          <w:p w14:paraId="55B961CD" w14:textId="77777777" w:rsidR="00DA1AF7" w:rsidRDefault="00684366">
            <w:pPr>
              <w:spacing w:line="360" w:lineRule="auto"/>
            </w:pPr>
            <w:r>
              <w:rPr>
                <w:sz w:val="20"/>
                <w:szCs w:val="20"/>
              </w:rPr>
              <w:t>N/A -- informational; verified only once reused in category 10</w:t>
            </w:r>
          </w:p>
        </w:tc>
      </w:tr>
      <w:tr w:rsidR="00DA1AF7" w14:paraId="55B961D4" w14:textId="77777777">
        <w:tc>
          <w:tcPr>
            <w:tcW w:w="441" w:type="dxa"/>
            <w:shd w:val="clear" w:color="auto" w:fill="D9E2F3"/>
            <w:tcMar>
              <w:top w:w="80" w:type="dxa"/>
              <w:left w:w="100" w:type="dxa"/>
              <w:bottom w:w="80" w:type="dxa"/>
              <w:right w:w="100" w:type="dxa"/>
            </w:tcMar>
            <w:vAlign w:val="center"/>
          </w:tcPr>
          <w:p w14:paraId="55B961CF" w14:textId="77777777" w:rsidR="00DA1AF7" w:rsidRDefault="00684366">
            <w:pPr>
              <w:spacing w:line="360" w:lineRule="auto"/>
            </w:pPr>
            <w:r>
              <w:rPr>
                <w:color w:val="000000"/>
                <w:sz w:val="19"/>
                <w:szCs w:val="19"/>
              </w:rPr>
              <w:t>10</w:t>
            </w:r>
          </w:p>
        </w:tc>
        <w:tc>
          <w:tcPr>
            <w:tcW w:w="1789" w:type="dxa"/>
            <w:shd w:val="clear" w:color="auto" w:fill="D9E2F3"/>
            <w:tcMar>
              <w:top w:w="80" w:type="dxa"/>
              <w:left w:w="100" w:type="dxa"/>
              <w:bottom w:w="80" w:type="dxa"/>
              <w:right w:w="100" w:type="dxa"/>
            </w:tcMar>
            <w:vAlign w:val="center"/>
          </w:tcPr>
          <w:p w14:paraId="55B961D0" w14:textId="77777777" w:rsidR="00DA1AF7" w:rsidRDefault="00684366">
            <w:pPr>
              <w:spacing w:line="360" w:lineRule="auto"/>
            </w:pPr>
            <w:r>
              <w:rPr>
                <w:color w:val="000000"/>
                <w:sz w:val="19"/>
                <w:szCs w:val="19"/>
              </w:rPr>
              <w:t>Password reuse / lateral movement</w:t>
            </w:r>
          </w:p>
        </w:tc>
        <w:tc>
          <w:tcPr>
            <w:tcW w:w="2075" w:type="dxa"/>
            <w:shd w:val="clear" w:color="auto" w:fill="D9E2F3"/>
            <w:tcMar>
              <w:top w:w="80" w:type="dxa"/>
              <w:left w:w="100" w:type="dxa"/>
              <w:bottom w:w="80" w:type="dxa"/>
              <w:right w:w="100" w:type="dxa"/>
            </w:tcMar>
            <w:vAlign w:val="center"/>
          </w:tcPr>
          <w:p w14:paraId="55B961D1" w14:textId="77777777" w:rsidR="00DA1AF7" w:rsidRDefault="00684366">
            <w:pPr>
              <w:spacing w:line="360" w:lineRule="auto"/>
            </w:pPr>
            <w:r>
              <w:rPr>
                <w:color w:val="000000"/>
                <w:sz w:val="19"/>
                <w:szCs w:val="19"/>
              </w:rPr>
              <w:t>Shared secrets across accounts</w:t>
            </w:r>
          </w:p>
        </w:tc>
        <w:tc>
          <w:tcPr>
            <w:tcW w:w="2719" w:type="dxa"/>
            <w:shd w:val="clear" w:color="auto" w:fill="D9E2F3"/>
            <w:tcMar>
              <w:top w:w="80" w:type="dxa"/>
              <w:left w:w="100" w:type="dxa"/>
              <w:bottom w:w="80" w:type="dxa"/>
              <w:right w:w="100" w:type="dxa"/>
            </w:tcMar>
            <w:vAlign w:val="center"/>
          </w:tcPr>
          <w:p w14:paraId="55B961D2" w14:textId="77777777" w:rsidR="00DA1AF7" w:rsidRDefault="00684366">
            <w:pPr>
              <w:spacing w:line="360" w:lineRule="auto"/>
            </w:pPr>
            <w:r>
              <w:rPr>
                <w:color w:val="000000"/>
                <w:sz w:val="19"/>
                <w:szCs w:val="19"/>
              </w:rPr>
              <w:t>Harvested candidate credentials tried against local accounts</w:t>
            </w:r>
          </w:p>
        </w:tc>
        <w:tc>
          <w:tcPr>
            <w:tcW w:w="2677" w:type="dxa"/>
          </w:tcPr>
          <w:p w14:paraId="55B961D3" w14:textId="77777777" w:rsidR="00DA1AF7" w:rsidRDefault="00684366">
            <w:pPr>
              <w:spacing w:line="360" w:lineRule="auto"/>
            </w:pPr>
            <w:r>
              <w:rPr>
                <w:sz w:val="20"/>
                <w:szCs w:val="20"/>
              </w:rPr>
              <w:t>Successful authentication as the target account</w:t>
            </w:r>
          </w:p>
        </w:tc>
      </w:tr>
      <w:tr w:rsidR="00DA1AF7" w14:paraId="55B961DA" w14:textId="77777777">
        <w:tc>
          <w:tcPr>
            <w:tcW w:w="441" w:type="dxa"/>
            <w:tcMar>
              <w:top w:w="80" w:type="dxa"/>
              <w:left w:w="100" w:type="dxa"/>
              <w:bottom w:w="80" w:type="dxa"/>
              <w:right w:w="100" w:type="dxa"/>
            </w:tcMar>
            <w:vAlign w:val="center"/>
          </w:tcPr>
          <w:p w14:paraId="55B961D5" w14:textId="77777777" w:rsidR="00DA1AF7" w:rsidRDefault="00684366">
            <w:pPr>
              <w:spacing w:line="360" w:lineRule="auto"/>
            </w:pPr>
            <w:r>
              <w:rPr>
                <w:color w:val="000000"/>
                <w:sz w:val="19"/>
                <w:szCs w:val="19"/>
              </w:rPr>
              <w:t>11</w:t>
            </w:r>
          </w:p>
        </w:tc>
        <w:tc>
          <w:tcPr>
            <w:tcW w:w="1789" w:type="dxa"/>
            <w:tcMar>
              <w:top w:w="80" w:type="dxa"/>
              <w:left w:w="100" w:type="dxa"/>
              <w:bottom w:w="80" w:type="dxa"/>
              <w:right w:w="100" w:type="dxa"/>
            </w:tcMar>
            <w:vAlign w:val="center"/>
          </w:tcPr>
          <w:p w14:paraId="55B961D6" w14:textId="77777777" w:rsidR="00DA1AF7" w:rsidRDefault="00684366">
            <w:pPr>
              <w:spacing w:line="360" w:lineRule="auto"/>
            </w:pPr>
            <w:r>
              <w:rPr>
                <w:color w:val="000000"/>
                <w:sz w:val="19"/>
                <w:szCs w:val="19"/>
              </w:rPr>
              <w:t>Docker/group-membership abuse</w:t>
            </w:r>
          </w:p>
        </w:tc>
        <w:tc>
          <w:tcPr>
            <w:tcW w:w="2075" w:type="dxa"/>
            <w:tcMar>
              <w:top w:w="80" w:type="dxa"/>
              <w:left w:w="100" w:type="dxa"/>
              <w:bottom w:w="80" w:type="dxa"/>
              <w:right w:w="100" w:type="dxa"/>
            </w:tcMar>
            <w:vAlign w:val="center"/>
          </w:tcPr>
          <w:p w14:paraId="55B961D7" w14:textId="77777777" w:rsidR="00DA1AF7" w:rsidRDefault="00684366">
            <w:pPr>
              <w:spacing w:line="360" w:lineRule="auto"/>
            </w:pPr>
            <w:r>
              <w:rPr>
                <w:color w:val="000000"/>
                <w:sz w:val="19"/>
                <w:szCs w:val="19"/>
              </w:rPr>
              <w:t>Group membership implying elevated access</w:t>
            </w:r>
          </w:p>
        </w:tc>
        <w:tc>
          <w:tcPr>
            <w:tcW w:w="2719" w:type="dxa"/>
            <w:tcMar>
              <w:top w:w="80" w:type="dxa"/>
              <w:left w:w="100" w:type="dxa"/>
              <w:bottom w:w="80" w:type="dxa"/>
              <w:right w:w="100" w:type="dxa"/>
            </w:tcMar>
            <w:vAlign w:val="center"/>
          </w:tcPr>
          <w:p w14:paraId="55B961D8" w14:textId="77777777" w:rsidR="00DA1AF7" w:rsidRDefault="00684366">
            <w:pPr>
              <w:spacing w:line="360" w:lineRule="auto"/>
            </w:pPr>
            <w:r>
              <w:rPr>
                <w:color w:val="000000"/>
                <w:sz w:val="19"/>
                <w:szCs w:val="19"/>
              </w:rPr>
              <w:t>Group list inspection against known dangerous groups</w:t>
            </w:r>
          </w:p>
        </w:tc>
        <w:tc>
          <w:tcPr>
            <w:tcW w:w="2677" w:type="dxa"/>
          </w:tcPr>
          <w:p w14:paraId="55B961D9" w14:textId="77777777" w:rsidR="00DA1AF7" w:rsidRDefault="00684366">
            <w:pPr>
              <w:spacing w:line="360" w:lineRule="auto"/>
            </w:pPr>
            <w:r>
              <w:rPr>
                <w:sz w:val="20"/>
                <w:szCs w:val="20"/>
              </w:rPr>
              <w:t>Root-equivalent access confirmed via the group's known primitive</w:t>
            </w:r>
          </w:p>
        </w:tc>
      </w:tr>
    </w:tbl>
    <w:p w14:paraId="55B961DB" w14:textId="77777777" w:rsidR="00DA1AF7" w:rsidRDefault="00DA1AF7">
      <w:pPr>
        <w:spacing w:after="160" w:line="360" w:lineRule="auto"/>
        <w:jc w:val="both"/>
        <w:rPr>
          <w:sz w:val="22"/>
          <w:szCs w:val="22"/>
        </w:rPr>
      </w:pPr>
    </w:p>
    <w:p w14:paraId="55B961DC" w14:textId="77777777" w:rsidR="00DA1AF7" w:rsidRDefault="00684366">
      <w:pPr>
        <w:spacing w:after="160" w:line="360" w:lineRule="auto"/>
        <w:jc w:val="both"/>
        <w:rPr>
          <w:sz w:val="22"/>
          <w:szCs w:val="22"/>
        </w:rPr>
      </w:pPr>
      <w:r>
        <w:rPr>
          <w:sz w:val="22"/>
          <w:szCs w:val="22"/>
        </w:rPr>
        <w:t xml:space="preserve">A few categories warrant brief discussion. The most heavily used is </w:t>
      </w:r>
      <w:proofErr w:type="spellStart"/>
      <w:r>
        <w:rPr>
          <w:sz w:val="22"/>
          <w:szCs w:val="22"/>
        </w:rPr>
        <w:t>sudo</w:t>
      </w:r>
      <w:proofErr w:type="spellEnd"/>
      <w:r>
        <w:rPr>
          <w:sz w:val="22"/>
          <w:szCs w:val="22"/>
        </w:rPr>
        <w:t>/</w:t>
      </w:r>
      <w:proofErr w:type="spellStart"/>
      <w:r>
        <w:rPr>
          <w:sz w:val="22"/>
          <w:szCs w:val="22"/>
        </w:rPr>
        <w:t>GTFOBins</w:t>
      </w:r>
      <w:proofErr w:type="spellEnd"/>
      <w:r>
        <w:rPr>
          <w:sz w:val="22"/>
          <w:szCs w:val="22"/>
        </w:rPr>
        <w:t xml:space="preserve"> (category 1), because </w:t>
      </w:r>
      <w:proofErr w:type="spellStart"/>
      <w:r>
        <w:rPr>
          <w:sz w:val="22"/>
          <w:szCs w:val="22"/>
        </w:rPr>
        <w:t>sudo</w:t>
      </w:r>
      <w:proofErr w:type="spellEnd"/>
      <w:r>
        <w:rPr>
          <w:sz w:val="22"/>
          <w:szCs w:val="22"/>
        </w:rPr>
        <w:t xml:space="preserve"> misconfiguration remains one of the most common Linux escalation vectors and is responsible for the successful escalation in Chapter 5. Category 9 is deliberately informational, not exploitative: APEX does not guess or brute-force credentials, only reveal plaintext or weakly protected secrets already readable by the current account, leaving their use to the tester. The kernel-exploit category (category 7), as noted in Section 2.1, is treated with the greatest caution</w:t>
      </w:r>
      <w:r>
        <w:rPr>
          <w:sz w:val="22"/>
          <w:szCs w:val="22"/>
        </w:rPr>
        <w:t xml:space="preserve"> of the eleven, carrying the highest risk of destabilising the target and </w:t>
      </w:r>
      <w:proofErr w:type="gramStart"/>
      <w:r>
        <w:rPr>
          <w:sz w:val="22"/>
          <w:szCs w:val="22"/>
        </w:rPr>
        <w:t>being the category</w:t>
      </w:r>
      <w:proofErr w:type="gramEnd"/>
      <w:r>
        <w:rPr>
          <w:sz w:val="22"/>
          <w:szCs w:val="22"/>
        </w:rPr>
        <w:t xml:space="preserve"> most affected by the '--stealth' flag.</w:t>
      </w:r>
    </w:p>
    <w:p w14:paraId="55B961DD" w14:textId="77777777" w:rsidR="00DA1AF7" w:rsidRDefault="00684366">
      <w:pPr>
        <w:spacing w:after="160" w:line="360" w:lineRule="auto"/>
        <w:jc w:val="both"/>
        <w:rPr>
          <w:sz w:val="22"/>
          <w:szCs w:val="22"/>
        </w:rPr>
      </w:pPr>
      <w:r>
        <w:rPr>
          <w:sz w:val="22"/>
          <w:szCs w:val="22"/>
        </w:rPr>
        <w:t xml:space="preserve">The crucial implementation feature is that every category shares the same lifecycle: gather evidence, validate preconditions, compute a score, attempt it if permitted, and verify the outcome. This common interface is what lets APEX function as a framework rather than a collection of independent </w:t>
      </w:r>
      <w:proofErr w:type="gramStart"/>
      <w:r>
        <w:rPr>
          <w:sz w:val="22"/>
          <w:szCs w:val="22"/>
        </w:rPr>
        <w:t>scripts, and</w:t>
      </w:r>
      <w:proofErr w:type="gramEnd"/>
      <w:r>
        <w:rPr>
          <w:sz w:val="22"/>
          <w:szCs w:val="22"/>
        </w:rPr>
        <w:t xml:space="preserve"> is how categories 9 and 10 (credential exposure and password reuse) were added mid-development without touching the scoring or reporting layers.</w:t>
      </w:r>
    </w:p>
    <w:p w14:paraId="55B961DE" w14:textId="77777777" w:rsidR="00DA1AF7" w:rsidRDefault="00DA1AF7">
      <w:pPr>
        <w:pStyle w:val="Heading2"/>
        <w:spacing w:before="280" w:after="120" w:line="360" w:lineRule="auto"/>
        <w:rPr>
          <w:rFonts w:ascii="Times New Roman" w:eastAsia="Times New Roman" w:hAnsi="Times New Roman" w:cs="Times New Roman"/>
          <w:b/>
          <w:bCs/>
          <w:color w:val="000000"/>
        </w:rPr>
      </w:pPr>
    </w:p>
    <w:p w14:paraId="55B961DF" w14:textId="77777777" w:rsidR="00DA1AF7" w:rsidRDefault="00684366">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4.3 Explainability and Logging</w:t>
      </w:r>
    </w:p>
    <w:p w14:paraId="55B961E0" w14:textId="77777777" w:rsidR="00DA1AF7" w:rsidRDefault="00684366">
      <w:pPr>
        <w:spacing w:after="160" w:line="360" w:lineRule="auto"/>
        <w:jc w:val="both"/>
        <w:rPr>
          <w:sz w:val="22"/>
          <w:szCs w:val="22"/>
        </w:rPr>
      </w:pPr>
      <w:r>
        <w:rPr>
          <w:sz w:val="22"/>
          <w:szCs w:val="22"/>
        </w:rPr>
        <w:t>Every candidate should be traceable in the final report: what evidence produced it, which conditions were met, how its score was computed, whether it was attempted, and what verification followed. This is deliberately more verbose than a simple success/failure report, because the decision trail is part of the research contribution.</w:t>
      </w:r>
    </w:p>
    <w:p w14:paraId="55B961E1" w14:textId="77777777" w:rsidR="00DA1AF7" w:rsidRDefault="00684366">
      <w:pPr>
        <w:spacing w:after="160" w:line="360" w:lineRule="auto"/>
        <w:jc w:val="both"/>
        <w:rPr>
          <w:sz w:val="22"/>
          <w:szCs w:val="22"/>
        </w:rPr>
      </w:pPr>
      <w:r>
        <w:rPr>
          <w:sz w:val="22"/>
          <w:szCs w:val="22"/>
        </w:rPr>
        <w:lastRenderedPageBreak/>
        <w:t>In practice this is a structured, phased console log (Phase 0 through Phase 7 in the current build, covering shell and environment assessment, credential harvesting, misconfiguration auditing, CVE discovery, the exploitation engine, verification and report generation), echoed into both an HTML report and a plain-text report saved under a configurable output directory. Examples of this staged output are taken directly from a real assessment run in Chapter 5.</w:t>
      </w:r>
    </w:p>
    <w:p w14:paraId="55B961E2" w14:textId="77777777" w:rsidR="00DA1AF7" w:rsidRDefault="00684366">
      <w:pPr>
        <w:spacing w:after="160" w:line="360" w:lineRule="auto"/>
        <w:jc w:val="both"/>
        <w:rPr>
          <w:sz w:val="22"/>
          <w:szCs w:val="22"/>
        </w:rPr>
      </w:pPr>
      <w:r>
        <w:rPr>
          <w:sz w:val="22"/>
          <w:szCs w:val="22"/>
        </w:rPr>
        <w:t>The phase numbers are deliberately stable between runs and between the two implementations, so a reader comparing two reports (such as the '</w:t>
      </w:r>
      <w:proofErr w:type="spellStart"/>
      <w:r>
        <w:rPr>
          <w:sz w:val="22"/>
          <w:szCs w:val="22"/>
        </w:rPr>
        <w:t>jim</w:t>
      </w:r>
      <w:proofErr w:type="spellEnd"/>
      <w:r>
        <w:rPr>
          <w:sz w:val="22"/>
          <w:szCs w:val="22"/>
        </w:rPr>
        <w:t>' and '</w:t>
      </w:r>
      <w:proofErr w:type="spellStart"/>
      <w:r>
        <w:rPr>
          <w:sz w:val="22"/>
          <w:szCs w:val="22"/>
        </w:rPr>
        <w:t>charles</w:t>
      </w:r>
      <w:proofErr w:type="spellEnd"/>
      <w:r>
        <w:rPr>
          <w:sz w:val="22"/>
          <w:szCs w:val="22"/>
        </w:rPr>
        <w:t>' runs in Chapter 5) can match "Phase 5" in one against "Phase 5" in the other without re-reading the whole log. This was treated as a usability requirement rather than a cosmetic detail, since early testing showed inconsistent phase labelling between the Python and Bash implementations made cross-referencing noticeably harder, which informed the shared-specification testing approach in Section 4.6.</w:t>
      </w:r>
    </w:p>
    <w:p w14:paraId="55B961E3" w14:textId="77777777" w:rsidR="00DA1AF7" w:rsidRDefault="00684366">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4.4 Deployment Considerations</w:t>
      </w:r>
    </w:p>
    <w:p w14:paraId="55B961E4" w14:textId="77777777" w:rsidR="00DA1AF7" w:rsidRDefault="00684366">
      <w:pPr>
        <w:spacing w:after="160" w:line="360" w:lineRule="auto"/>
        <w:jc w:val="both"/>
      </w:pPr>
      <w:r>
        <w:rPr>
          <w:sz w:val="22"/>
          <w:szCs w:val="22"/>
        </w:rPr>
        <w:t xml:space="preserve">Because 'apex_bundle.sh' runs on a target host during an authorised assessment, it minimises dependencies: it falls back to a small hard-coded technique table if 'sqlite3' is absent, checks for interpreters such as Python 3, Python 2, Perl, PHP, AWK and GCC before relying on them, and requires explicit authorisation before any active attempt. The "FOR AUTHORIZED USE ONLY" banner and authorisation prompt at the start of every run were added specifically to stop the tool running unattended or unintentionally </w:t>
      </w:r>
      <w:r>
        <w:rPr>
          <w:sz w:val="22"/>
          <w:szCs w:val="22"/>
        </w:rPr>
        <w:t>against a system the operator has not deliberately targeted.</w:t>
      </w:r>
    </w:p>
    <w:p w14:paraId="55B961E5" w14:textId="77777777" w:rsidR="00DA1AF7" w:rsidRDefault="00684366">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4.5 Example Rule Structure</w:t>
      </w:r>
    </w:p>
    <w:p w14:paraId="55B961E6" w14:textId="77777777" w:rsidR="00DA1AF7" w:rsidRDefault="00684366">
      <w:pPr>
        <w:spacing w:after="160" w:line="360" w:lineRule="auto"/>
        <w:jc w:val="both"/>
      </w:pPr>
      <w:r>
        <w:rPr>
          <w:sz w:val="22"/>
          <w:szCs w:val="22"/>
        </w:rPr>
        <w:t>To make the analysis and scoring layers concrete without reproducing exploit code, it helps to understand a technique rule's structure. Each rule in the knowledge/rule layer (Section 4.1) has five fields: a category label matching one of the eleven rows in Table 4.1; prerequisite conditions that must all hold, as determined by the enumeration layer, before a candidate is generated; a base weight and scoring modifiers feeding the factors in Table 3.1; a reference to the execution module, called only if the c</w:t>
      </w:r>
      <w:r>
        <w:rPr>
          <w:sz w:val="22"/>
          <w:szCs w:val="22"/>
        </w:rPr>
        <w:t>andidate is selected and within the current profile; and a verification method, most often a before/after comparison of effective user and group identifiers.</w:t>
      </w:r>
    </w:p>
    <w:p w14:paraId="55B961E7" w14:textId="77777777" w:rsidR="00DA1AF7" w:rsidRDefault="00684366">
      <w:pPr>
        <w:spacing w:after="160" w:line="360" w:lineRule="auto"/>
        <w:jc w:val="both"/>
      </w:pPr>
      <w:r>
        <w:rPr>
          <w:sz w:val="22"/>
          <w:szCs w:val="22"/>
        </w:rPr>
        <w:t xml:space="preserve">This structure let the </w:t>
      </w:r>
      <w:proofErr w:type="spellStart"/>
      <w:r>
        <w:rPr>
          <w:sz w:val="22"/>
          <w:szCs w:val="22"/>
        </w:rPr>
        <w:t>sudo</w:t>
      </w:r>
      <w:proofErr w:type="spellEnd"/>
      <w:r>
        <w:rPr>
          <w:sz w:val="22"/>
          <w:szCs w:val="22"/>
        </w:rPr>
        <w:t>/</w:t>
      </w:r>
      <w:proofErr w:type="spellStart"/>
      <w:r>
        <w:rPr>
          <w:sz w:val="22"/>
          <w:szCs w:val="22"/>
        </w:rPr>
        <w:t>GTFOBins</w:t>
      </w:r>
      <w:proofErr w:type="spellEnd"/>
      <w:r>
        <w:rPr>
          <w:sz w:val="22"/>
          <w:szCs w:val="22"/>
        </w:rPr>
        <w:t xml:space="preserve"> category in Section 5.5 handle an edge-case binary such as 'teehee': by expressing the rule in terms of behaviour (a binary that, invoked via </w:t>
      </w:r>
      <w:proofErr w:type="spellStart"/>
      <w:r>
        <w:rPr>
          <w:sz w:val="22"/>
          <w:szCs w:val="22"/>
        </w:rPr>
        <w:t>sudo</w:t>
      </w:r>
      <w:proofErr w:type="spellEnd"/>
      <w:r>
        <w:rPr>
          <w:sz w:val="22"/>
          <w:szCs w:val="22"/>
        </w:rPr>
        <w:t xml:space="preserve">, can write attacker-controlled content to an arbitrary file) rather than a fixed list of names, a binary not anticipated during development could still be matched against the rule's prerequisites once its behaviour was confirmed. The same structure </w:t>
      </w:r>
      <w:r>
        <w:rPr>
          <w:sz w:val="22"/>
          <w:szCs w:val="22"/>
        </w:rPr>
        <w:lastRenderedPageBreak/>
        <w:t>lets a rule be clearly rejected and explained in the report when a requirement is missing, per Section</w:t>
      </w:r>
      <w:r>
        <w:rPr>
          <w:sz w:val="22"/>
          <w:szCs w:val="22"/>
        </w:rPr>
        <w:t xml:space="preserve"> 3.3, rather than silently discarded.</w:t>
      </w:r>
    </w:p>
    <w:p w14:paraId="55B961E8" w14:textId="77777777" w:rsidR="00DA1AF7" w:rsidRDefault="00684366">
      <w:pPr>
        <w:spacing w:before="160" w:after="40" w:line="360" w:lineRule="auto"/>
        <w:jc w:val="center"/>
      </w:pPr>
      <w:r>
        <w:rPr>
          <w:noProof/>
        </w:rPr>
        <w:drawing>
          <wp:inline distT="0" distB="0" distL="114300" distR="114300" wp14:anchorId="55B96321" wp14:editId="55B96322">
            <wp:extent cx="5124450" cy="3608910"/>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124450" cy="3608910"/>
                    </a:xfrm>
                    <a:prstGeom prst="rect">
                      <a:avLst/>
                    </a:prstGeom>
                    <a:ln/>
                  </pic:spPr>
                </pic:pic>
              </a:graphicData>
            </a:graphic>
          </wp:inline>
        </w:drawing>
      </w:r>
    </w:p>
    <w:p w14:paraId="55B961E9" w14:textId="77777777" w:rsidR="00DA1AF7" w:rsidRDefault="00684366">
      <w:pPr>
        <w:spacing w:before="60" w:after="240" w:line="360" w:lineRule="auto"/>
        <w:jc w:val="center"/>
      </w:pPr>
      <w:r>
        <w:rPr>
          <w:i/>
          <w:iCs/>
          <w:sz w:val="20"/>
          <w:szCs w:val="20"/>
        </w:rPr>
        <w:t>Figure 4.2. Concept view of how the five weighting factors in Table 3.1 combine into a single ranked score.</w:t>
      </w:r>
    </w:p>
    <w:p w14:paraId="55B961EA" w14:textId="77777777" w:rsidR="00DA1AF7" w:rsidRDefault="00684366">
      <w:pPr>
        <w:spacing w:after="160" w:line="360" w:lineRule="auto"/>
        <w:jc w:val="both"/>
      </w:pPr>
      <w:r>
        <w:rPr>
          <w:sz w:val="22"/>
          <w:szCs w:val="22"/>
        </w:rPr>
        <w:t xml:space="preserve">Figure 4.2 illustrates this conceptually. The three factors that raise a candidate's score (prerequisite completeness, evidence confidence and expected reliability) and the two that lower it (dependency count and operational risk) combine into the weighted exploitability score in Section 3.4, which fixes the candidate's position in the ranked list. The diagram omits the specific numeric weights, subject to the calibration in Section 4.7, so the relationship between factors and outcome is visible </w:t>
      </w:r>
      <w:proofErr w:type="gramStart"/>
      <w:r>
        <w:rPr>
          <w:sz w:val="22"/>
          <w:szCs w:val="22"/>
        </w:rPr>
        <w:t>at a glance</w:t>
      </w:r>
      <w:proofErr w:type="gramEnd"/>
      <w:r>
        <w:rPr>
          <w:sz w:val="22"/>
          <w:szCs w:val="22"/>
        </w:rPr>
        <w:t>.</w:t>
      </w:r>
    </w:p>
    <w:p w14:paraId="55B961EB" w14:textId="77777777" w:rsidR="00DA1AF7" w:rsidRDefault="00684366">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4.6 Testing and Quality Assurance</w:t>
      </w:r>
    </w:p>
    <w:p w14:paraId="55B961EC" w14:textId="77777777" w:rsidR="00DA1AF7" w:rsidRDefault="00684366">
      <w:pPr>
        <w:spacing w:after="160" w:line="360" w:lineRule="auto"/>
        <w:jc w:val="both"/>
        <w:rPr>
          <w:sz w:val="22"/>
          <w:szCs w:val="22"/>
        </w:rPr>
      </w:pPr>
      <w:r>
        <w:rPr>
          <w:sz w:val="22"/>
          <w:szCs w:val="22"/>
        </w:rPr>
        <w:t>Because APEX actively attempts exploitation, correctness testing mattered more than for a descriptive enumeration script: a false positive in verification, reporting success when nothing changed, is a more serious defect than a missed finding. Testing was done at three levels. Unit tests exercised the analysis and scoring layers against synthetic enumeration data, including deliberately incomplete or contradictory evidence, to confirm prerequisite checking excluded candidates and the factors in Table 3.1 co</w:t>
      </w:r>
      <w:r>
        <w:rPr>
          <w:sz w:val="22"/>
          <w:szCs w:val="22"/>
        </w:rPr>
        <w:t xml:space="preserve">mbined as intended. Integration tests ran individual technique modules against a disposable VM carrying one known scenario at a time, so execution and verification could be checked in isolation. End-to-end tests, of which </w:t>
      </w:r>
      <w:r>
        <w:rPr>
          <w:sz w:val="22"/>
          <w:szCs w:val="22"/>
        </w:rPr>
        <w:lastRenderedPageBreak/>
        <w:t>the Chapter 5 case study is the fullest example, ran the whole framework against a target with multiple layered conditions to confirm the phases in Section 4.3 behaved correctly in sequence, including reporting a negative verification result partway through.</w:t>
      </w:r>
    </w:p>
    <w:p w14:paraId="55B961ED" w14:textId="77777777" w:rsidR="00DA1AF7" w:rsidRDefault="00684366">
      <w:pPr>
        <w:spacing w:after="160" w:line="360" w:lineRule="auto"/>
        <w:jc w:val="both"/>
        <w:rPr>
          <w:sz w:val="22"/>
          <w:szCs w:val="22"/>
        </w:rPr>
      </w:pPr>
      <w:r>
        <w:rPr>
          <w:sz w:val="22"/>
          <w:szCs w:val="22"/>
        </w:rPr>
        <w:t>A frequent source of failures during testing, noted in Section 6.3, was divergence between the Python 'apex' implementation and the Bash bundle for the same rule. Because the two do not share code, it was important to test them against the same target with the same intended outcome, rather than independently, to catch cases where a rule had been changed in one but not the other. From roughly mid-project this was part of the standard testing checklist for any rule-base change.</w:t>
      </w:r>
    </w:p>
    <w:p w14:paraId="55B961EE" w14:textId="77777777" w:rsidR="00DA1AF7" w:rsidRDefault="00684366">
      <w:pPr>
        <w:spacing w:after="160" w:line="360" w:lineRule="auto"/>
        <w:jc w:val="center"/>
        <w:rPr>
          <w:sz w:val="22"/>
          <w:szCs w:val="22"/>
        </w:rPr>
      </w:pPr>
      <w:r>
        <w:rPr>
          <w:noProof/>
          <w:sz w:val="22"/>
          <w:szCs w:val="22"/>
        </w:rPr>
        <w:drawing>
          <wp:inline distT="114300" distB="114300" distL="114300" distR="114300" wp14:anchorId="55B96323" wp14:editId="55B96324">
            <wp:extent cx="3948113" cy="3037557"/>
            <wp:effectExtent l="0" t="0" r="0" b="0"/>
            <wp:docPr id="10"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3"/>
                    <a:srcRect/>
                    <a:stretch>
                      <a:fillRect/>
                    </a:stretch>
                  </pic:blipFill>
                  <pic:spPr>
                    <a:xfrm>
                      <a:off x="0" y="0"/>
                      <a:ext cx="3948113" cy="3037557"/>
                    </a:xfrm>
                    <a:prstGeom prst="rect">
                      <a:avLst/>
                    </a:prstGeom>
                    <a:ln/>
                  </pic:spPr>
                </pic:pic>
              </a:graphicData>
            </a:graphic>
          </wp:inline>
        </w:drawing>
      </w:r>
    </w:p>
    <w:p w14:paraId="55B961EF" w14:textId="77777777" w:rsidR="00DA1AF7" w:rsidRDefault="00684366">
      <w:pPr>
        <w:spacing w:before="60" w:after="240" w:line="360" w:lineRule="auto"/>
        <w:jc w:val="center"/>
        <w:rPr>
          <w:sz w:val="22"/>
          <w:szCs w:val="22"/>
        </w:rPr>
      </w:pPr>
      <w:r>
        <w:rPr>
          <w:i/>
          <w:iCs/>
          <w:color w:val="444444"/>
          <w:sz w:val="20"/>
          <w:szCs w:val="20"/>
        </w:rPr>
        <w:t>Figure 4.3. APEX Installation</w:t>
      </w:r>
    </w:p>
    <w:p w14:paraId="55B961F0" w14:textId="77777777" w:rsidR="00DA1AF7" w:rsidRDefault="00684366">
      <w:pPr>
        <w:numPr>
          <w:ilvl w:val="0"/>
          <w:numId w:val="2"/>
        </w:numPr>
        <w:spacing w:after="160" w:line="360" w:lineRule="auto"/>
        <w:jc w:val="both"/>
        <w:rPr>
          <w:sz w:val="22"/>
          <w:szCs w:val="22"/>
        </w:rPr>
      </w:pPr>
      <w:r>
        <w:rPr>
          <w:sz w:val="22"/>
          <w:szCs w:val="22"/>
        </w:rPr>
        <w:t xml:space="preserve">The screenshot illustrates the access to the APEX directory on Kali Linux. A Python HTTP server is created on port 8000, so that the files in the APEX directory can be accessed via a web browser at </w:t>
      </w:r>
      <w:proofErr w:type="gramStart"/>
      <w:r>
        <w:rPr>
          <w:sz w:val="22"/>
          <w:szCs w:val="22"/>
        </w:rPr>
        <w:t>http://0.0.0.0:8000/ .</w:t>
      </w:r>
      <w:proofErr w:type="gramEnd"/>
    </w:p>
    <w:p w14:paraId="55B961F1" w14:textId="77777777" w:rsidR="00DA1AF7" w:rsidRDefault="00684366">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4.7 Limitations of the Current Implementation</w:t>
      </w:r>
    </w:p>
    <w:p w14:paraId="55B961F2" w14:textId="77777777" w:rsidR="00DA1AF7" w:rsidRDefault="00684366">
      <w:pPr>
        <w:spacing w:after="160" w:line="360" w:lineRule="auto"/>
        <w:jc w:val="both"/>
        <w:rPr>
          <w:sz w:val="22"/>
          <w:szCs w:val="22"/>
        </w:rPr>
      </w:pPr>
      <w:r>
        <w:rPr>
          <w:sz w:val="22"/>
          <w:szCs w:val="22"/>
        </w:rPr>
        <w:t>Several implementation constraints are worth stating plainly. First, the rule base covers eleven categories judged most prevalent from the Chapter 2 literature and typical training-platform content; it is not exhaustive, and a target relying on a technique outside these categories would be invisible to APEX's scoring and execution layers, though it might still appear as raw, unscored evidence.</w:t>
      </w:r>
    </w:p>
    <w:p w14:paraId="55B961F3" w14:textId="77777777" w:rsidR="00DA1AF7" w:rsidRDefault="00684366">
      <w:pPr>
        <w:spacing w:after="160" w:line="360" w:lineRule="auto"/>
        <w:jc w:val="both"/>
        <w:rPr>
          <w:sz w:val="22"/>
          <w:szCs w:val="22"/>
        </w:rPr>
      </w:pPr>
      <w:r>
        <w:rPr>
          <w:sz w:val="22"/>
          <w:szCs w:val="22"/>
        </w:rPr>
        <w:lastRenderedPageBreak/>
        <w:t xml:space="preserve">Second, the score weights in Table 3.1 were chosen by engineering judgment guided by the literature, not fitted statistically against outcome data, because the multi-scenario dataset such fitting requires is exactly what Section 5.9 identifies as missing. The weights should therefore be seen as a reasonable initial configuration rather than an experimentally proven </w:t>
      </w:r>
      <w:proofErr w:type="gramStart"/>
      <w:r>
        <w:rPr>
          <w:sz w:val="22"/>
          <w:szCs w:val="22"/>
        </w:rPr>
        <w:t>model, and</w:t>
      </w:r>
      <w:proofErr w:type="gramEnd"/>
      <w:r>
        <w:rPr>
          <w:sz w:val="22"/>
          <w:szCs w:val="22"/>
        </w:rPr>
        <w:t xml:space="preserve"> recalibrating them once a systematic dataset is available is noted as future work in Chapter 7.</w:t>
      </w:r>
    </w:p>
    <w:p w14:paraId="55B961F4" w14:textId="77777777" w:rsidR="00DA1AF7" w:rsidRDefault="00684366">
      <w:pPr>
        <w:spacing w:after="160" w:line="360" w:lineRule="auto"/>
        <w:jc w:val="both"/>
        <w:rPr>
          <w:sz w:val="22"/>
          <w:szCs w:val="22"/>
        </w:rPr>
      </w:pPr>
      <w:r>
        <w:rPr>
          <w:sz w:val="22"/>
          <w:szCs w:val="22"/>
        </w:rPr>
        <w:t>Third, the dependency-light Bash bundle in Section 4.4 trades capability for portability: several checks that are straightforward in Python, such as robustly parsing '</w:t>
      </w:r>
      <w:proofErr w:type="spellStart"/>
      <w:r>
        <w:rPr>
          <w:sz w:val="22"/>
          <w:szCs w:val="22"/>
        </w:rPr>
        <w:t>sudo</w:t>
      </w:r>
      <w:proofErr w:type="spellEnd"/>
      <w:r>
        <w:rPr>
          <w:sz w:val="22"/>
          <w:szCs w:val="22"/>
        </w:rPr>
        <w:t xml:space="preserve"> -l' output across </w:t>
      </w:r>
      <w:proofErr w:type="spellStart"/>
      <w:r>
        <w:rPr>
          <w:sz w:val="22"/>
          <w:szCs w:val="22"/>
        </w:rPr>
        <w:t>sudo</w:t>
      </w:r>
      <w:proofErr w:type="spellEnd"/>
      <w:r>
        <w:rPr>
          <w:sz w:val="22"/>
          <w:szCs w:val="22"/>
        </w:rPr>
        <w:t xml:space="preserve"> versions, are far harder to implement correctly in POSIX shell, and the bundle's text-processing logic for these is more fragile than its Python equivalent. This is the practical penalty of the two-implementation strategy in Sections 6.2 and 6.3.</w:t>
      </w:r>
    </w:p>
    <w:p w14:paraId="55B961F5" w14:textId="77777777" w:rsidR="00DA1AF7" w:rsidRDefault="00684366">
      <w:pPr>
        <w:spacing w:after="160" w:line="360" w:lineRule="auto"/>
        <w:jc w:val="both"/>
        <w:rPr>
          <w:sz w:val="22"/>
          <w:szCs w:val="22"/>
        </w:rPr>
      </w:pPr>
      <w:r>
        <w:rPr>
          <w:sz w:val="22"/>
          <w:szCs w:val="22"/>
        </w:rPr>
        <w:t>A further issue is explainability at scale. The verbose phased output and reports of Section 4.3 let a tester trace exactly why a candidate is ranked where it is, which works well for the single-host case study in Chapter 5 but would become hard to read across the dozens of hosts a real engagement might involve; condensing the explanation into a compact per-host summary without losing the underlying justification is left for future work.</w:t>
      </w:r>
    </w:p>
    <w:p w14:paraId="55B961F6" w14:textId="77777777" w:rsidR="00DA1AF7" w:rsidRDefault="00DA1AF7">
      <w:pPr>
        <w:spacing w:line="360" w:lineRule="auto"/>
      </w:pPr>
    </w:p>
    <w:p w14:paraId="55B961F7" w14:textId="77777777" w:rsidR="00DA1AF7" w:rsidRDefault="00684366">
      <w:pPr>
        <w:spacing w:line="360" w:lineRule="auto"/>
        <w:jc w:val="center"/>
      </w:pPr>
      <w:r>
        <w:rPr>
          <w:noProof/>
        </w:rPr>
        <w:drawing>
          <wp:inline distT="114300" distB="114300" distL="114300" distR="114300" wp14:anchorId="55B96325" wp14:editId="55B96326">
            <wp:extent cx="3724601" cy="2865078"/>
            <wp:effectExtent l="0" t="0" r="0" b="0"/>
            <wp:docPr id="9"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4"/>
                    <a:srcRect/>
                    <a:stretch>
                      <a:fillRect/>
                    </a:stretch>
                  </pic:blipFill>
                  <pic:spPr>
                    <a:xfrm>
                      <a:off x="0" y="0"/>
                      <a:ext cx="3724601" cy="2865078"/>
                    </a:xfrm>
                    <a:prstGeom prst="rect">
                      <a:avLst/>
                    </a:prstGeom>
                    <a:ln/>
                  </pic:spPr>
                </pic:pic>
              </a:graphicData>
            </a:graphic>
          </wp:inline>
        </w:drawing>
      </w:r>
    </w:p>
    <w:p w14:paraId="55B961F8" w14:textId="77777777" w:rsidR="00DA1AF7" w:rsidRDefault="00684366">
      <w:pPr>
        <w:spacing w:before="60" w:after="240" w:line="360" w:lineRule="auto"/>
        <w:jc w:val="center"/>
      </w:pPr>
      <w:r>
        <w:rPr>
          <w:i/>
          <w:iCs/>
          <w:color w:val="444444"/>
          <w:sz w:val="20"/>
          <w:szCs w:val="20"/>
        </w:rPr>
        <w:t>Figure 4.4 APEX HTTP Server</w:t>
      </w:r>
    </w:p>
    <w:p w14:paraId="55B961F9" w14:textId="77777777" w:rsidR="00DA1AF7" w:rsidRDefault="00DA1AF7">
      <w:pPr>
        <w:spacing w:line="360" w:lineRule="auto"/>
      </w:pPr>
    </w:p>
    <w:p w14:paraId="55B961FA" w14:textId="77777777" w:rsidR="00DA1AF7" w:rsidRDefault="00684366">
      <w:pPr>
        <w:spacing w:line="360" w:lineRule="auto"/>
      </w:pPr>
      <w:r>
        <w:lastRenderedPageBreak/>
        <w:t xml:space="preserve">The screenshot shows the installation process of </w:t>
      </w:r>
      <w:r>
        <w:rPr>
          <w:b/>
          <w:bCs/>
        </w:rPr>
        <w:t>APEX</w:t>
      </w:r>
      <w:r>
        <w:t xml:space="preserve"> on Kali Linux. The required Python dependencies were already installed, and the APEX package was successfully built and installed. However, during the final make install step, an error occurred because the apex.1 manual page file could not be found.</w:t>
      </w:r>
    </w:p>
    <w:p w14:paraId="55B961FB" w14:textId="77777777" w:rsidR="00DA1AF7" w:rsidRDefault="00DA1AF7">
      <w:pPr>
        <w:spacing w:line="360" w:lineRule="auto"/>
      </w:pPr>
    </w:p>
    <w:p w14:paraId="55B961FC" w14:textId="77777777" w:rsidR="00DA1AF7" w:rsidRDefault="00DA1AF7">
      <w:pPr>
        <w:spacing w:line="360" w:lineRule="auto"/>
      </w:pPr>
    </w:p>
    <w:p w14:paraId="55B961FD" w14:textId="77777777" w:rsidR="00DA1AF7" w:rsidRDefault="00DA1AF7">
      <w:pPr>
        <w:spacing w:line="360" w:lineRule="auto"/>
      </w:pPr>
    </w:p>
    <w:p w14:paraId="55B961FE" w14:textId="77777777" w:rsidR="00DA1AF7" w:rsidRDefault="00DA1AF7">
      <w:pPr>
        <w:spacing w:line="360" w:lineRule="auto"/>
      </w:pPr>
    </w:p>
    <w:p w14:paraId="55B961FF" w14:textId="77777777" w:rsidR="00DA1AF7" w:rsidRDefault="00684366">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4.8 Representative Implementation Code</w:t>
      </w:r>
    </w:p>
    <w:p w14:paraId="55B96200" w14:textId="77777777" w:rsidR="00DA1AF7" w:rsidRDefault="00684366">
      <w:pPr>
        <w:spacing w:after="160" w:line="360" w:lineRule="auto"/>
        <w:jc w:val="both"/>
      </w:pPr>
      <w:r>
        <w:rPr>
          <w:sz w:val="22"/>
          <w:szCs w:val="22"/>
        </w:rPr>
        <w:t>To ground the architecture in the actual codebase, this section reproduces four representative excerpts from the Python implementation of apex, covering the authorisation gate and command-line interface, the Phase 0 environment-assessment module, and the database access layer behind the knowledge/rule layer in Section 4.1.</w:t>
      </w:r>
    </w:p>
    <w:p w14:paraId="55B96201" w14:textId="77777777" w:rsidR="00DA1AF7" w:rsidRDefault="00684366">
      <w:pPr>
        <w:spacing w:line="360" w:lineRule="auto"/>
        <w:jc w:val="center"/>
      </w:pPr>
      <w:r>
        <w:rPr>
          <w:noProof/>
        </w:rPr>
        <w:drawing>
          <wp:inline distT="114300" distB="114300" distL="114300" distR="114300" wp14:anchorId="55B96327" wp14:editId="55B96328">
            <wp:extent cx="5120640" cy="2764770"/>
            <wp:effectExtent l="0" t="0" r="0" b="0"/>
            <wp:docPr id="12"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5"/>
                    <a:srcRect/>
                    <a:stretch>
                      <a:fillRect/>
                    </a:stretch>
                  </pic:blipFill>
                  <pic:spPr>
                    <a:xfrm>
                      <a:off x="0" y="0"/>
                      <a:ext cx="5120640" cy="2764770"/>
                    </a:xfrm>
                    <a:prstGeom prst="rect">
                      <a:avLst/>
                    </a:prstGeom>
                    <a:ln/>
                  </pic:spPr>
                </pic:pic>
              </a:graphicData>
            </a:graphic>
          </wp:inline>
        </w:drawing>
      </w:r>
    </w:p>
    <w:p w14:paraId="55B96202" w14:textId="77777777" w:rsidR="00DA1AF7" w:rsidRDefault="00684366">
      <w:pPr>
        <w:spacing w:before="60" w:after="240" w:line="360" w:lineRule="auto"/>
        <w:jc w:val="center"/>
      </w:pPr>
      <w:r>
        <w:rPr>
          <w:i/>
          <w:iCs/>
          <w:color w:val="444444"/>
          <w:sz w:val="20"/>
          <w:szCs w:val="20"/>
        </w:rPr>
        <w:t>Figure 4.5. main.py: the authorisation gate, phase logging setup and output-prefix helper.</w:t>
      </w:r>
    </w:p>
    <w:p w14:paraId="55B96203" w14:textId="77777777" w:rsidR="00DA1AF7" w:rsidRDefault="00684366">
      <w:pPr>
        <w:spacing w:after="160" w:line="360" w:lineRule="auto"/>
        <w:jc w:val="both"/>
      </w:pPr>
      <w:r>
        <w:rPr>
          <w:sz w:val="22"/>
          <w:szCs w:val="22"/>
        </w:rPr>
        <w:t>Figure 4.5 shows the _</w:t>
      </w:r>
      <w:proofErr w:type="spellStart"/>
      <w:r>
        <w:rPr>
          <w:sz w:val="22"/>
          <w:szCs w:val="22"/>
        </w:rPr>
        <w:t>auth_</w:t>
      </w:r>
      <w:proofErr w:type="gramStart"/>
      <w:r>
        <w:rPr>
          <w:sz w:val="22"/>
          <w:szCs w:val="22"/>
        </w:rPr>
        <w:t>gate</w:t>
      </w:r>
      <w:proofErr w:type="spellEnd"/>
      <w:r>
        <w:rPr>
          <w:sz w:val="22"/>
          <w:szCs w:val="22"/>
        </w:rPr>
        <w:t>(</w:t>
      </w:r>
      <w:proofErr w:type="gramEnd"/>
      <w:r>
        <w:rPr>
          <w:sz w:val="22"/>
          <w:szCs w:val="22"/>
        </w:rPr>
        <w:t>) function from Section 4.4: before any active phase runs, the tool warns that it performs active privilege-escalation attempts and exits unless the operator types "yes" to confirm authorisation. The helpers _</w:t>
      </w:r>
      <w:proofErr w:type="spellStart"/>
      <w:r>
        <w:rPr>
          <w:sz w:val="22"/>
          <w:szCs w:val="22"/>
        </w:rPr>
        <w:t>setup_</w:t>
      </w:r>
      <w:proofErr w:type="gramStart"/>
      <w:r>
        <w:rPr>
          <w:sz w:val="22"/>
          <w:szCs w:val="22"/>
        </w:rPr>
        <w:t>logging</w:t>
      </w:r>
      <w:proofErr w:type="spellEnd"/>
      <w:r>
        <w:rPr>
          <w:sz w:val="22"/>
          <w:szCs w:val="22"/>
        </w:rPr>
        <w:t>(</w:t>
      </w:r>
      <w:proofErr w:type="gramEnd"/>
      <w:r>
        <w:rPr>
          <w:sz w:val="22"/>
          <w:szCs w:val="22"/>
        </w:rPr>
        <w:t>) and _</w:t>
      </w:r>
      <w:proofErr w:type="spellStart"/>
      <w:r>
        <w:rPr>
          <w:sz w:val="22"/>
          <w:szCs w:val="22"/>
        </w:rPr>
        <w:t>make_output_</w:t>
      </w:r>
      <w:proofErr w:type="gramStart"/>
      <w:r>
        <w:rPr>
          <w:sz w:val="22"/>
          <w:szCs w:val="22"/>
        </w:rPr>
        <w:t>prefix</w:t>
      </w:r>
      <w:proofErr w:type="spellEnd"/>
      <w:r>
        <w:rPr>
          <w:sz w:val="22"/>
          <w:szCs w:val="22"/>
        </w:rPr>
        <w:t>(</w:t>
      </w:r>
      <w:proofErr w:type="gramEnd"/>
      <w:r>
        <w:rPr>
          <w:sz w:val="22"/>
          <w:szCs w:val="22"/>
        </w:rPr>
        <w:t>) set the verbosity of the phased console log in Section 4.3 and generate a timestamped, host-qualified report filename.</w:t>
      </w:r>
    </w:p>
    <w:p w14:paraId="55B96204" w14:textId="77777777" w:rsidR="00DA1AF7" w:rsidRDefault="00684366">
      <w:pPr>
        <w:spacing w:line="360" w:lineRule="auto"/>
        <w:jc w:val="center"/>
      </w:pPr>
      <w:r>
        <w:rPr>
          <w:noProof/>
        </w:rPr>
        <w:lastRenderedPageBreak/>
        <w:drawing>
          <wp:inline distT="114300" distB="114300" distL="114300" distR="114300" wp14:anchorId="55B96329" wp14:editId="55B9632A">
            <wp:extent cx="5120640" cy="2764770"/>
            <wp:effectExtent l="0" t="0" r="0" b="0"/>
            <wp:docPr id="11"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6"/>
                    <a:srcRect/>
                    <a:stretch>
                      <a:fillRect/>
                    </a:stretch>
                  </pic:blipFill>
                  <pic:spPr>
                    <a:xfrm>
                      <a:off x="0" y="0"/>
                      <a:ext cx="5120640" cy="2764770"/>
                    </a:xfrm>
                    <a:prstGeom prst="rect">
                      <a:avLst/>
                    </a:prstGeom>
                    <a:ln/>
                  </pic:spPr>
                </pic:pic>
              </a:graphicData>
            </a:graphic>
          </wp:inline>
        </w:drawing>
      </w:r>
    </w:p>
    <w:p w14:paraId="55B96205" w14:textId="77777777" w:rsidR="00DA1AF7" w:rsidRDefault="00684366">
      <w:pPr>
        <w:spacing w:before="60" w:after="240" w:line="360" w:lineRule="auto"/>
        <w:jc w:val="center"/>
      </w:pPr>
      <w:r>
        <w:rPr>
          <w:i/>
          <w:iCs/>
          <w:color w:val="444444"/>
          <w:sz w:val="20"/>
          <w:szCs w:val="20"/>
        </w:rPr>
        <w:t xml:space="preserve">Figure 4.6. main.py: end of the verification/reporting output and the </w:t>
      </w:r>
      <w:proofErr w:type="spellStart"/>
      <w:r>
        <w:rPr>
          <w:i/>
          <w:iCs/>
          <w:color w:val="444444"/>
          <w:sz w:val="20"/>
          <w:szCs w:val="20"/>
        </w:rPr>
        <w:t>argparse</w:t>
      </w:r>
      <w:proofErr w:type="spellEnd"/>
      <w:r>
        <w:rPr>
          <w:i/>
          <w:iCs/>
          <w:color w:val="444444"/>
          <w:sz w:val="20"/>
          <w:szCs w:val="20"/>
        </w:rPr>
        <w:t>-based command-line interface.</w:t>
      </w:r>
    </w:p>
    <w:p w14:paraId="55B96206" w14:textId="77777777" w:rsidR="00DA1AF7" w:rsidRDefault="00684366">
      <w:pPr>
        <w:spacing w:after="160" w:line="360" w:lineRule="auto"/>
        <w:jc w:val="both"/>
      </w:pPr>
      <w:r>
        <w:rPr>
          <w:sz w:val="22"/>
          <w:szCs w:val="22"/>
        </w:rPr>
        <w:t xml:space="preserve">Figure 4.6 continues the </w:t>
      </w:r>
      <w:proofErr w:type="gramStart"/>
      <w:r>
        <w:rPr>
          <w:sz w:val="22"/>
          <w:szCs w:val="22"/>
        </w:rPr>
        <w:t>run(</w:t>
      </w:r>
      <w:proofErr w:type="gramEnd"/>
      <w:r>
        <w:rPr>
          <w:sz w:val="22"/>
          <w:szCs w:val="22"/>
        </w:rPr>
        <w:t xml:space="preserve">) function, showing how a discovered root shell or harvested credential pair is surfaced to the operator once verification succeeds, and the </w:t>
      </w:r>
      <w:proofErr w:type="gramStart"/>
      <w:r>
        <w:rPr>
          <w:sz w:val="22"/>
          <w:szCs w:val="22"/>
        </w:rPr>
        <w:t>main(</w:t>
      </w:r>
      <w:proofErr w:type="gramEnd"/>
      <w:r>
        <w:rPr>
          <w:sz w:val="22"/>
          <w:szCs w:val="22"/>
        </w:rPr>
        <w:t>) entry point, which defines the --stealth, --</w:t>
      </w:r>
      <w:proofErr w:type="spellStart"/>
      <w:r>
        <w:rPr>
          <w:sz w:val="22"/>
          <w:szCs w:val="22"/>
        </w:rPr>
        <w:t>enum</w:t>
      </w:r>
      <w:proofErr w:type="spellEnd"/>
      <w:r>
        <w:rPr>
          <w:sz w:val="22"/>
          <w:szCs w:val="22"/>
        </w:rPr>
        <w:t>-only, --report-</w:t>
      </w:r>
      <w:proofErr w:type="spellStart"/>
      <w:r>
        <w:rPr>
          <w:sz w:val="22"/>
          <w:szCs w:val="22"/>
        </w:rPr>
        <w:t>dir</w:t>
      </w:r>
      <w:proofErr w:type="spellEnd"/>
      <w:r>
        <w:rPr>
          <w:sz w:val="22"/>
          <w:szCs w:val="22"/>
        </w:rPr>
        <w:t xml:space="preserve"> and --verbose flags discussed in Sections 3.5 and 4.4 before calling _</w:t>
      </w:r>
      <w:proofErr w:type="spellStart"/>
      <w:r>
        <w:rPr>
          <w:sz w:val="22"/>
          <w:szCs w:val="22"/>
        </w:rPr>
        <w:t>auth_</w:t>
      </w:r>
      <w:proofErr w:type="gramStart"/>
      <w:r>
        <w:rPr>
          <w:sz w:val="22"/>
          <w:szCs w:val="22"/>
        </w:rPr>
        <w:t>gate</w:t>
      </w:r>
      <w:proofErr w:type="spellEnd"/>
      <w:r>
        <w:rPr>
          <w:sz w:val="22"/>
          <w:szCs w:val="22"/>
        </w:rPr>
        <w:t>(</w:t>
      </w:r>
      <w:proofErr w:type="gramEnd"/>
      <w:r>
        <w:rPr>
          <w:sz w:val="22"/>
          <w:szCs w:val="22"/>
        </w:rPr>
        <w:t xml:space="preserve">) and </w:t>
      </w:r>
      <w:proofErr w:type="gramStart"/>
      <w:r>
        <w:rPr>
          <w:sz w:val="22"/>
          <w:szCs w:val="22"/>
        </w:rPr>
        <w:t>run(</w:t>
      </w:r>
      <w:proofErr w:type="gramEnd"/>
      <w:r>
        <w:rPr>
          <w:sz w:val="22"/>
          <w:szCs w:val="22"/>
        </w:rPr>
        <w:t>).</w:t>
      </w:r>
    </w:p>
    <w:p w14:paraId="55B96207" w14:textId="77777777" w:rsidR="00DA1AF7" w:rsidRDefault="00684366">
      <w:pPr>
        <w:spacing w:line="360" w:lineRule="auto"/>
        <w:jc w:val="center"/>
      </w:pPr>
      <w:r>
        <w:rPr>
          <w:noProof/>
        </w:rPr>
        <w:drawing>
          <wp:inline distT="114300" distB="114300" distL="114300" distR="114300" wp14:anchorId="55B9632B" wp14:editId="55B9632C">
            <wp:extent cx="5120640" cy="2764770"/>
            <wp:effectExtent l="0" t="0" r="0" b="0"/>
            <wp:docPr id="15"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7"/>
                    <a:srcRect/>
                    <a:stretch>
                      <a:fillRect/>
                    </a:stretch>
                  </pic:blipFill>
                  <pic:spPr>
                    <a:xfrm>
                      <a:off x="0" y="0"/>
                      <a:ext cx="5120640" cy="2764770"/>
                    </a:xfrm>
                    <a:prstGeom prst="rect">
                      <a:avLst/>
                    </a:prstGeom>
                    <a:ln/>
                  </pic:spPr>
                </pic:pic>
              </a:graphicData>
            </a:graphic>
          </wp:inline>
        </w:drawing>
      </w:r>
    </w:p>
    <w:p w14:paraId="55B96208" w14:textId="77777777" w:rsidR="00DA1AF7" w:rsidRDefault="00684366">
      <w:pPr>
        <w:spacing w:before="60" w:after="240" w:line="360" w:lineRule="auto"/>
        <w:jc w:val="center"/>
      </w:pPr>
      <w:r>
        <w:rPr>
          <w:i/>
          <w:iCs/>
          <w:color w:val="444444"/>
          <w:sz w:val="20"/>
          <w:szCs w:val="20"/>
        </w:rPr>
        <w:t>Figure 4.7. phases/p0_environment.py: Phase 0 shell and environment assessment.</w:t>
      </w:r>
    </w:p>
    <w:p w14:paraId="55B96209" w14:textId="77777777" w:rsidR="00DA1AF7" w:rsidRDefault="00684366">
      <w:pPr>
        <w:spacing w:after="160" w:line="360" w:lineRule="auto"/>
        <w:jc w:val="both"/>
      </w:pPr>
      <w:r>
        <w:rPr>
          <w:sz w:val="22"/>
          <w:szCs w:val="22"/>
        </w:rPr>
        <w:t xml:space="preserve">Figure 4.7 shows the opening of the Phase 0 module, which runs before any other phase to detect restricted shells and inventory available commands, as summarised in Section 4.3. The REQUIRED_COMMANDS </w:t>
      </w:r>
      <w:r>
        <w:rPr>
          <w:sz w:val="22"/>
          <w:szCs w:val="22"/>
        </w:rPr>
        <w:lastRenderedPageBreak/>
        <w:t>and USEFUL_COMMANDS lists define, respectively, the baseline utilities APEX depends on and the wider set of interpreters and tools whose presence indicates a richer target.</w:t>
      </w:r>
    </w:p>
    <w:p w14:paraId="55B9620A" w14:textId="77777777" w:rsidR="00DA1AF7" w:rsidRDefault="00684366">
      <w:pPr>
        <w:spacing w:line="360" w:lineRule="auto"/>
        <w:jc w:val="center"/>
      </w:pPr>
      <w:r>
        <w:rPr>
          <w:noProof/>
        </w:rPr>
        <w:drawing>
          <wp:inline distT="114300" distB="114300" distL="114300" distR="114300" wp14:anchorId="55B9632D" wp14:editId="55B9632E">
            <wp:extent cx="5120640" cy="2764770"/>
            <wp:effectExtent l="0" t="0" r="0" b="0"/>
            <wp:docPr id="13"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8"/>
                    <a:srcRect/>
                    <a:stretch>
                      <a:fillRect/>
                    </a:stretch>
                  </pic:blipFill>
                  <pic:spPr>
                    <a:xfrm>
                      <a:off x="0" y="0"/>
                      <a:ext cx="5120640" cy="2764770"/>
                    </a:xfrm>
                    <a:prstGeom prst="rect">
                      <a:avLst/>
                    </a:prstGeom>
                    <a:ln/>
                  </pic:spPr>
                </pic:pic>
              </a:graphicData>
            </a:graphic>
          </wp:inline>
        </w:drawing>
      </w:r>
    </w:p>
    <w:p w14:paraId="55B9620B" w14:textId="77777777" w:rsidR="00DA1AF7" w:rsidRDefault="00684366">
      <w:pPr>
        <w:spacing w:before="60" w:after="240" w:line="360" w:lineRule="auto"/>
        <w:jc w:val="center"/>
      </w:pPr>
      <w:r>
        <w:rPr>
          <w:i/>
          <w:iCs/>
          <w:color w:val="444444"/>
          <w:sz w:val="20"/>
          <w:szCs w:val="20"/>
        </w:rPr>
        <w:t xml:space="preserve">Figure 4.8. </w:t>
      </w:r>
      <w:proofErr w:type="spellStart"/>
      <w:r>
        <w:rPr>
          <w:i/>
          <w:iCs/>
          <w:color w:val="444444"/>
          <w:sz w:val="20"/>
          <w:szCs w:val="20"/>
        </w:rPr>
        <w:t>db</w:t>
      </w:r>
      <w:proofErr w:type="spellEnd"/>
      <w:r>
        <w:rPr>
          <w:i/>
          <w:iCs/>
          <w:color w:val="444444"/>
          <w:sz w:val="20"/>
          <w:szCs w:val="20"/>
        </w:rPr>
        <w:t xml:space="preserve">/__init__.py: database connection and </w:t>
      </w:r>
      <w:proofErr w:type="spellStart"/>
      <w:r>
        <w:rPr>
          <w:i/>
          <w:iCs/>
          <w:color w:val="444444"/>
          <w:sz w:val="20"/>
          <w:szCs w:val="20"/>
        </w:rPr>
        <w:t>GTFOBins</w:t>
      </w:r>
      <w:proofErr w:type="spellEnd"/>
      <w:r>
        <w:rPr>
          <w:i/>
          <w:iCs/>
          <w:color w:val="444444"/>
          <w:sz w:val="20"/>
          <w:szCs w:val="20"/>
        </w:rPr>
        <w:t>-style technique lookup helpers.</w:t>
      </w:r>
    </w:p>
    <w:p w14:paraId="55B9620C" w14:textId="77777777" w:rsidR="00DA1AF7" w:rsidRDefault="00684366">
      <w:pPr>
        <w:spacing w:after="160" w:line="360" w:lineRule="auto"/>
        <w:jc w:val="both"/>
      </w:pPr>
      <w:r>
        <w:rPr>
          <w:sz w:val="22"/>
          <w:szCs w:val="22"/>
        </w:rPr>
        <w:t xml:space="preserve">Figure 4.8 shows the connection helper and </w:t>
      </w:r>
      <w:proofErr w:type="spellStart"/>
      <w:r>
        <w:rPr>
          <w:sz w:val="22"/>
          <w:szCs w:val="22"/>
        </w:rPr>
        <w:t>get_</w:t>
      </w:r>
      <w:proofErr w:type="gramStart"/>
      <w:r>
        <w:rPr>
          <w:sz w:val="22"/>
          <w:szCs w:val="22"/>
        </w:rPr>
        <w:t>gtfobin</w:t>
      </w:r>
      <w:proofErr w:type="spellEnd"/>
      <w:r>
        <w:rPr>
          <w:sz w:val="22"/>
          <w:szCs w:val="22"/>
        </w:rPr>
        <w:t>(</w:t>
      </w:r>
      <w:proofErr w:type="gramEnd"/>
      <w:r>
        <w:rPr>
          <w:sz w:val="22"/>
          <w:szCs w:val="22"/>
        </w:rPr>
        <w:t xml:space="preserve">) query behind the knowledge/rule layer in Section 4.1: </w:t>
      </w:r>
      <w:proofErr w:type="gramStart"/>
      <w:r>
        <w:rPr>
          <w:sz w:val="22"/>
          <w:szCs w:val="22"/>
        </w:rPr>
        <w:t>connect(</w:t>
      </w:r>
      <w:proofErr w:type="gramEnd"/>
      <w:r>
        <w:rPr>
          <w:sz w:val="22"/>
          <w:szCs w:val="22"/>
        </w:rPr>
        <w:t xml:space="preserve">) opens the pre-built SQLite technique database and raises a clear error if it has not been generated, while </w:t>
      </w:r>
      <w:proofErr w:type="spellStart"/>
      <w:r>
        <w:rPr>
          <w:sz w:val="22"/>
          <w:szCs w:val="22"/>
        </w:rPr>
        <w:t>get_</w:t>
      </w:r>
      <w:proofErr w:type="gramStart"/>
      <w:r>
        <w:rPr>
          <w:sz w:val="22"/>
          <w:szCs w:val="22"/>
        </w:rPr>
        <w:t>gtfobin</w:t>
      </w:r>
      <w:proofErr w:type="spellEnd"/>
      <w:r>
        <w:rPr>
          <w:sz w:val="22"/>
          <w:szCs w:val="22"/>
        </w:rPr>
        <w:t>(</w:t>
      </w:r>
      <w:proofErr w:type="gramEnd"/>
      <w:r>
        <w:rPr>
          <w:sz w:val="22"/>
          <w:szCs w:val="22"/>
        </w:rPr>
        <w:t xml:space="preserve">) retrieves candidate techniques for a given binary and technique type, ordered by the </w:t>
      </w:r>
      <w:proofErr w:type="spellStart"/>
      <w:r>
        <w:rPr>
          <w:sz w:val="22"/>
          <w:szCs w:val="22"/>
        </w:rPr>
        <w:t>success_probability</w:t>
      </w:r>
      <w:proofErr w:type="spellEnd"/>
      <w:r>
        <w:rPr>
          <w:sz w:val="22"/>
          <w:szCs w:val="22"/>
        </w:rPr>
        <w:t xml:space="preserve"> field that feeds the scoring engine in Section 4.2.</w:t>
      </w:r>
    </w:p>
    <w:p w14:paraId="55B9620D" w14:textId="77777777" w:rsidR="00DA1AF7" w:rsidRDefault="00DA1AF7">
      <w:pPr>
        <w:pStyle w:val="Heading1"/>
        <w:spacing w:before="480" w:after="160" w:line="360" w:lineRule="auto"/>
        <w:rPr>
          <w:rFonts w:ascii="Times New Roman" w:eastAsia="Times New Roman" w:hAnsi="Times New Roman" w:cs="Times New Roman"/>
          <w:b/>
          <w:bCs/>
          <w:color w:val="000000"/>
        </w:rPr>
      </w:pPr>
    </w:p>
    <w:p w14:paraId="55B9620E" w14:textId="77777777" w:rsidR="00DA1AF7" w:rsidRDefault="00DA1AF7">
      <w:pPr>
        <w:pStyle w:val="Heading1"/>
        <w:spacing w:before="480" w:after="160" w:line="360" w:lineRule="auto"/>
        <w:rPr>
          <w:rFonts w:ascii="Times New Roman" w:eastAsia="Times New Roman" w:hAnsi="Times New Roman" w:cs="Times New Roman"/>
          <w:b/>
          <w:bCs/>
          <w:color w:val="000000"/>
        </w:rPr>
      </w:pPr>
    </w:p>
    <w:p w14:paraId="55B9620F" w14:textId="77777777" w:rsidR="00DA1AF7" w:rsidRDefault="00DA1AF7">
      <w:pPr>
        <w:pStyle w:val="Heading1"/>
        <w:spacing w:before="480" w:after="160" w:line="360" w:lineRule="auto"/>
        <w:rPr>
          <w:rFonts w:ascii="Times New Roman" w:eastAsia="Times New Roman" w:hAnsi="Times New Roman" w:cs="Times New Roman"/>
          <w:b/>
          <w:bCs/>
          <w:color w:val="000000"/>
        </w:rPr>
      </w:pPr>
    </w:p>
    <w:p w14:paraId="55B96210" w14:textId="77777777" w:rsidR="00DA1AF7" w:rsidRDefault="00DA1AF7">
      <w:pPr>
        <w:pStyle w:val="Heading1"/>
        <w:spacing w:before="480" w:after="160" w:line="360" w:lineRule="auto"/>
        <w:rPr>
          <w:rFonts w:ascii="Times New Roman" w:eastAsia="Times New Roman" w:hAnsi="Times New Roman" w:cs="Times New Roman"/>
          <w:b/>
          <w:bCs/>
          <w:color w:val="000000"/>
        </w:rPr>
      </w:pPr>
    </w:p>
    <w:p w14:paraId="55B96211" w14:textId="77777777" w:rsidR="00DA1AF7" w:rsidRDefault="00DA1AF7">
      <w:pPr>
        <w:pStyle w:val="Heading1"/>
        <w:spacing w:before="480" w:after="160" w:line="360" w:lineRule="auto"/>
        <w:rPr>
          <w:rFonts w:ascii="Times New Roman" w:eastAsia="Times New Roman" w:hAnsi="Times New Roman" w:cs="Times New Roman"/>
          <w:b/>
          <w:bCs/>
          <w:color w:val="000000"/>
        </w:rPr>
      </w:pPr>
    </w:p>
    <w:p w14:paraId="55B96212" w14:textId="77777777" w:rsidR="00DA1AF7" w:rsidRDefault="00684366">
      <w:pPr>
        <w:pStyle w:val="Heading1"/>
        <w:spacing w:before="480" w:after="160" w:line="360" w:lineRule="auto"/>
        <w:rPr>
          <w:rFonts w:ascii="Times New Roman" w:eastAsia="Times New Roman" w:hAnsi="Times New Roman" w:cs="Times New Roman"/>
        </w:rPr>
      </w:pPr>
      <w:r>
        <w:rPr>
          <w:rFonts w:ascii="Times New Roman" w:eastAsia="Times New Roman" w:hAnsi="Times New Roman" w:cs="Times New Roman"/>
          <w:b/>
          <w:bCs/>
          <w:color w:val="000000"/>
        </w:rPr>
        <w:lastRenderedPageBreak/>
        <w:t>CHAPTER 5: RESULTS AND EVALUATION</w:t>
      </w:r>
    </w:p>
    <w:p w14:paraId="55B96213" w14:textId="77777777" w:rsidR="00DA1AF7" w:rsidRDefault="00684366">
      <w:pPr>
        <w:spacing w:before="120" w:after="160" w:line="360" w:lineRule="auto"/>
        <w:jc w:val="both"/>
      </w:pPr>
      <w:r>
        <w:rPr>
          <w:b/>
          <w:bCs/>
        </w:rPr>
        <w:t>Scope of this chapter and status of the planned evaluation.</w:t>
      </w:r>
    </w:p>
    <w:p w14:paraId="55B96214" w14:textId="77777777" w:rsidR="00DA1AF7" w:rsidRDefault="00684366">
      <w:pPr>
        <w:spacing w:before="120" w:after="160" w:line="360" w:lineRule="auto"/>
        <w:jc w:val="both"/>
      </w:pPr>
      <w:r>
        <w:t>The methodology in Section 3.6 set out a systematic, multi-scenario evaluation measuring detection rate, ranking quality, execution success, verification accuracy, time-to-root and attempt efficiency across several targets. That evaluation was not completed within the timeline. This chapter instead presents a single, fully documented end-to-end case study against one authorised laboratory target. The consequence for the research questions is explicit: the case study gives direct evidence for RQ1, converting</w:t>
      </w:r>
      <w:r>
        <w:t xml:space="preserve"> raw enumeration data into valid, prerequisite-checked candidates, and for RQ3, controlled execution and independent verification of a complete escalation chain. It does not answer RQ2, whether weighted ranking measurably raises success rate and reduces wasted attempts, or RQ4, how the workflow compares with manual, enumeration-only analysis, since both need the comparative, multi-scenario measurement not carried out. These gaps, and how they would be closed, are examined in Sections 5.9 and 5.10 and revisi</w:t>
      </w:r>
      <w:r>
        <w:t>ted in Chapter 6.</w:t>
      </w:r>
    </w:p>
    <w:p w14:paraId="55B96215" w14:textId="77777777" w:rsidR="00DA1AF7" w:rsidRDefault="00684366">
      <w:pPr>
        <w:spacing w:after="160" w:line="360" w:lineRule="auto"/>
        <w:jc w:val="both"/>
      </w:pPr>
      <w:r>
        <w:rPr>
          <w:sz w:val="22"/>
          <w:szCs w:val="22"/>
        </w:rPr>
        <w:t>At the time of writing, the broader multi-scenario run planned in Chapter 3 to answer RQ2 and RQ4 in full was not yet complete. This chapter therefore reports something narrower but concrete: a detailed, evidence-backed case study of APEX running end-to-end against a single controlled target. It is used to answer RQ1 and RQ3 directly and to demonstrate qualitatively the ranking and reporting behaviour that the full evaluation will later measure quantitatively.</w:t>
      </w:r>
    </w:p>
    <w:p w14:paraId="55B96216" w14:textId="77777777" w:rsidR="00DA1AF7" w:rsidRDefault="00684366">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5.1 Test Environment</w:t>
      </w:r>
    </w:p>
    <w:p w14:paraId="55B96217" w14:textId="77777777" w:rsidR="00DA1AF7" w:rsidRDefault="00684366">
      <w:pPr>
        <w:spacing w:after="160" w:line="360" w:lineRule="auto"/>
        <w:jc w:val="both"/>
        <w:rPr>
          <w:sz w:val="22"/>
          <w:szCs w:val="22"/>
        </w:rPr>
      </w:pPr>
      <w:r>
        <w:rPr>
          <w:sz w:val="22"/>
          <w:szCs w:val="22"/>
        </w:rPr>
        <w:t>The attacking machine was a Kali Linux workstation running the Python tool 'apex' and a small Python HTTP server to transfer the generated Bash bundle to the target. The target was an intentionally vulnerable Linux virtual machine on the same private network (192.168.1.0/24), first accessed over SSH with a low-privilege account. Its kernel identified itself as a 32-bit Debian build (4.9.0-3-686), consistent with an older, purpose-built training host rather than a production system, and exactly the environme</w:t>
      </w:r>
      <w:r>
        <w:rPr>
          <w:sz w:val="22"/>
          <w:szCs w:val="22"/>
        </w:rPr>
        <w:t>nt the project's ethics and scope statement limited APEX to.</w:t>
      </w:r>
    </w:p>
    <w:p w14:paraId="55B96218" w14:textId="77777777" w:rsidR="00DA1AF7" w:rsidRDefault="00684366">
      <w:pPr>
        <w:spacing w:after="160" w:line="360" w:lineRule="auto"/>
        <w:jc w:val="both"/>
        <w:rPr>
          <w:sz w:val="22"/>
          <w:szCs w:val="22"/>
        </w:rPr>
      </w:pPr>
      <w:r>
        <w:rPr>
          <w:sz w:val="22"/>
          <w:szCs w:val="22"/>
        </w:rPr>
        <w:t xml:space="preserve">The assessment used two accounts: a low-privilege account reachable over SSH, and a second account reached by recovering credentials during the evaluation, as described in Section 5.3. This is a genuine lateral-movement scenario rather than a single flat privilege check, and it exercised both the credential-exposure and the </w:t>
      </w:r>
      <w:proofErr w:type="spellStart"/>
      <w:r>
        <w:rPr>
          <w:sz w:val="22"/>
          <w:szCs w:val="22"/>
        </w:rPr>
        <w:t>sudo</w:t>
      </w:r>
      <w:proofErr w:type="spellEnd"/>
      <w:r>
        <w:rPr>
          <w:sz w:val="22"/>
          <w:szCs w:val="22"/>
        </w:rPr>
        <w:t>/</w:t>
      </w:r>
      <w:proofErr w:type="spellStart"/>
      <w:r>
        <w:rPr>
          <w:sz w:val="22"/>
          <w:szCs w:val="22"/>
        </w:rPr>
        <w:t>GTFOBins</w:t>
      </w:r>
      <w:proofErr w:type="spellEnd"/>
      <w:r>
        <w:rPr>
          <w:sz w:val="22"/>
          <w:szCs w:val="22"/>
        </w:rPr>
        <w:t xml:space="preserve"> categories from Table 4.1 in a single run.</w:t>
      </w:r>
    </w:p>
    <w:p w14:paraId="55B96219" w14:textId="77777777" w:rsidR="00DA1AF7" w:rsidRDefault="00684366">
      <w:pPr>
        <w:spacing w:after="160" w:line="360" w:lineRule="auto"/>
        <w:jc w:val="both"/>
        <w:rPr>
          <w:sz w:val="22"/>
          <w:szCs w:val="22"/>
        </w:rPr>
      </w:pPr>
      <w:r>
        <w:rPr>
          <w:sz w:val="22"/>
          <w:szCs w:val="22"/>
        </w:rPr>
        <w:lastRenderedPageBreak/>
        <w:t>APEX's default rule base and scoring weights were left unchanged for this target; the run used the default execution profile, not '--stealth' or '--</w:t>
      </w:r>
      <w:proofErr w:type="spellStart"/>
      <w:r>
        <w:rPr>
          <w:sz w:val="22"/>
          <w:szCs w:val="22"/>
        </w:rPr>
        <w:t>enum</w:t>
      </w:r>
      <w:proofErr w:type="spellEnd"/>
      <w:r>
        <w:rPr>
          <w:sz w:val="22"/>
          <w:szCs w:val="22"/>
        </w:rPr>
        <w:t>-only', so the behaviour documented here reflects the framework as built rather than a version tuned in advance for this scenario.</w:t>
      </w:r>
    </w:p>
    <w:p w14:paraId="55B9621A" w14:textId="77777777" w:rsidR="00DA1AF7" w:rsidRDefault="00684366">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5.2 Deployment and Initial Access</w:t>
      </w:r>
    </w:p>
    <w:p w14:paraId="55B9621B" w14:textId="77777777" w:rsidR="00DA1AF7" w:rsidRDefault="00684366">
      <w:pPr>
        <w:spacing w:after="160" w:line="360" w:lineRule="auto"/>
        <w:jc w:val="both"/>
        <w:rPr>
          <w:sz w:val="22"/>
          <w:szCs w:val="22"/>
        </w:rPr>
      </w:pPr>
      <w:r>
        <w:rPr>
          <w:sz w:val="22"/>
          <w:szCs w:val="22"/>
        </w:rPr>
        <w:t>The Bash bundle was generated on the attacker's workstation, served from a temporary Python web server, and pulled over the low-privilege SSH session to the target, as shown in Figure 5.1: the '</w:t>
      </w:r>
      <w:proofErr w:type="spellStart"/>
      <w:r>
        <w:rPr>
          <w:sz w:val="22"/>
          <w:szCs w:val="22"/>
        </w:rPr>
        <w:t>apex_tool</w:t>
      </w:r>
      <w:proofErr w:type="spellEnd"/>
      <w:r>
        <w:rPr>
          <w:sz w:val="22"/>
          <w:szCs w:val="22"/>
        </w:rPr>
        <w:t>' working directory, the bundle served over HTTP, and the initial SSH connection into the target as user '</w:t>
      </w:r>
      <w:proofErr w:type="spellStart"/>
      <w:r>
        <w:rPr>
          <w:sz w:val="22"/>
          <w:szCs w:val="22"/>
        </w:rPr>
        <w:t>jim</w:t>
      </w:r>
      <w:proofErr w:type="spellEnd"/>
      <w:r>
        <w:rPr>
          <w:sz w:val="22"/>
          <w:szCs w:val="22"/>
        </w:rPr>
        <w:t>'. The first run used the wrong filename ('apex.bundle.sh' instead of 'apex_bundle.sh'), producing a "No such file or directory" error before the correct name was used, left visible as a realistic part of manual deployment rather than something to hide.</w:t>
      </w:r>
    </w:p>
    <w:p w14:paraId="55B9621C" w14:textId="77777777" w:rsidR="00DA1AF7" w:rsidRDefault="00DA1AF7">
      <w:pPr>
        <w:spacing w:after="160" w:line="360" w:lineRule="auto"/>
        <w:jc w:val="both"/>
        <w:rPr>
          <w:sz w:val="22"/>
          <w:szCs w:val="22"/>
        </w:rPr>
      </w:pPr>
    </w:p>
    <w:p w14:paraId="55B9621D" w14:textId="77777777" w:rsidR="00DA1AF7" w:rsidRDefault="00684366">
      <w:pPr>
        <w:spacing w:before="160" w:after="40" w:line="360" w:lineRule="auto"/>
        <w:jc w:val="center"/>
      </w:pPr>
      <w:r>
        <w:rPr>
          <w:noProof/>
        </w:rPr>
        <w:drawing>
          <wp:inline distT="0" distB="0" distL="0" distR="0" wp14:anchorId="55B9632F" wp14:editId="55B96330">
            <wp:extent cx="5124450" cy="2788303"/>
            <wp:effectExtent l="0" t="0" r="0" b="0"/>
            <wp:docPr id="14" name="image9.jpg"/>
            <wp:cNvGraphicFramePr/>
            <a:graphic xmlns:a="http://schemas.openxmlformats.org/drawingml/2006/main">
              <a:graphicData uri="http://schemas.openxmlformats.org/drawingml/2006/picture">
                <pic:pic xmlns:pic="http://schemas.openxmlformats.org/drawingml/2006/picture">
                  <pic:nvPicPr>
                    <pic:cNvPr id="0" name="image9.jpg"/>
                    <pic:cNvPicPr preferRelativeResize="0"/>
                  </pic:nvPicPr>
                  <pic:blipFill>
                    <a:blip r:embed="rId19"/>
                    <a:srcRect/>
                    <a:stretch>
                      <a:fillRect/>
                    </a:stretch>
                  </pic:blipFill>
                  <pic:spPr>
                    <a:xfrm>
                      <a:off x="0" y="0"/>
                      <a:ext cx="5124450" cy="2788303"/>
                    </a:xfrm>
                    <a:prstGeom prst="rect">
                      <a:avLst/>
                    </a:prstGeom>
                    <a:ln/>
                  </pic:spPr>
                </pic:pic>
              </a:graphicData>
            </a:graphic>
          </wp:inline>
        </w:drawing>
      </w:r>
    </w:p>
    <w:p w14:paraId="55B9621E" w14:textId="77777777" w:rsidR="00DA1AF7" w:rsidRDefault="00684366">
      <w:pPr>
        <w:spacing w:before="60" w:after="240" w:line="360" w:lineRule="auto"/>
        <w:jc w:val="center"/>
      </w:pPr>
      <w:r>
        <w:rPr>
          <w:i/>
          <w:iCs/>
          <w:color w:val="444444"/>
          <w:sz w:val="20"/>
          <w:szCs w:val="20"/>
        </w:rPr>
        <w:t xml:space="preserve">Figure 5.1. Bundle hosting on the attacking machine and initial SSH access to the target as user </w:t>
      </w:r>
      <w:proofErr w:type="spellStart"/>
      <w:r>
        <w:rPr>
          <w:i/>
          <w:iCs/>
          <w:color w:val="444444"/>
          <w:sz w:val="20"/>
          <w:szCs w:val="20"/>
        </w:rPr>
        <w:t>jim</w:t>
      </w:r>
      <w:proofErr w:type="spellEnd"/>
      <w:r>
        <w:rPr>
          <w:i/>
          <w:iCs/>
          <w:color w:val="444444"/>
          <w:sz w:val="20"/>
          <w:szCs w:val="20"/>
        </w:rPr>
        <w:t>.</w:t>
      </w:r>
    </w:p>
    <w:p w14:paraId="55B9621F" w14:textId="77777777" w:rsidR="00DA1AF7" w:rsidRDefault="00684366">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5.3 Automated Enumeration and the Exploitation Engine</w:t>
      </w:r>
    </w:p>
    <w:p w14:paraId="55B96220" w14:textId="77777777" w:rsidR="00DA1AF7" w:rsidRDefault="00684366">
      <w:pPr>
        <w:spacing w:after="160" w:line="360" w:lineRule="auto"/>
        <w:jc w:val="both"/>
      </w:pPr>
      <w:r>
        <w:rPr>
          <w:sz w:val="22"/>
          <w:szCs w:val="22"/>
        </w:rPr>
        <w:t>The bundle was moved, made executable and run ('apex_bundle.sh') directly on the target as '</w:t>
      </w:r>
      <w:proofErr w:type="spellStart"/>
      <w:r>
        <w:rPr>
          <w:sz w:val="22"/>
          <w:szCs w:val="22"/>
        </w:rPr>
        <w:t>jim</w:t>
      </w:r>
      <w:proofErr w:type="spellEnd"/>
      <w:r>
        <w:rPr>
          <w:sz w:val="22"/>
          <w:szCs w:val="22"/>
        </w:rPr>
        <w:t>'. Figure 5.2 shows the start-up banner, version string and timestamp, the mandatory authorisation prompt from Section 4.4, and the start of Phase 0 (Shell and Environment Assessment), which identifies the running shell, checks whether /</w:t>
      </w:r>
      <w:proofErr w:type="spellStart"/>
      <w:r>
        <w:rPr>
          <w:sz w:val="22"/>
          <w:szCs w:val="22"/>
        </w:rPr>
        <w:t>tmp</w:t>
      </w:r>
      <w:proofErr w:type="spellEnd"/>
      <w:r>
        <w:rPr>
          <w:sz w:val="22"/>
          <w:szCs w:val="22"/>
        </w:rPr>
        <w:t xml:space="preserve"> is writable and executable, and lists the available interpreters. The banner also notes that the optional 'sqlite3' dependency was not found on this minimal target and that the bundle fell back to its hard-coded technique table, the graceful-degradation behaviour spec</w:t>
      </w:r>
      <w:r>
        <w:rPr>
          <w:sz w:val="22"/>
          <w:szCs w:val="22"/>
        </w:rPr>
        <w:t>ified in Section 4.4.</w:t>
      </w:r>
    </w:p>
    <w:p w14:paraId="55B96221" w14:textId="77777777" w:rsidR="00DA1AF7" w:rsidRDefault="00684366">
      <w:pPr>
        <w:spacing w:before="160" w:after="40" w:line="360" w:lineRule="auto"/>
        <w:jc w:val="center"/>
      </w:pPr>
      <w:r>
        <w:rPr>
          <w:noProof/>
        </w:rPr>
        <w:lastRenderedPageBreak/>
        <w:drawing>
          <wp:inline distT="0" distB="0" distL="0" distR="0" wp14:anchorId="55B96331" wp14:editId="55B96332">
            <wp:extent cx="5124450" cy="2788303"/>
            <wp:effectExtent l="0" t="0" r="0" b="0"/>
            <wp:docPr id="16"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20"/>
                    <a:srcRect/>
                    <a:stretch>
                      <a:fillRect/>
                    </a:stretch>
                  </pic:blipFill>
                  <pic:spPr>
                    <a:xfrm>
                      <a:off x="0" y="0"/>
                      <a:ext cx="5124450" cy="2788303"/>
                    </a:xfrm>
                    <a:prstGeom prst="rect">
                      <a:avLst/>
                    </a:prstGeom>
                    <a:ln/>
                  </pic:spPr>
                </pic:pic>
              </a:graphicData>
            </a:graphic>
          </wp:inline>
        </w:drawing>
      </w:r>
    </w:p>
    <w:p w14:paraId="55B96222" w14:textId="77777777" w:rsidR="00DA1AF7" w:rsidRDefault="00684366">
      <w:pPr>
        <w:spacing w:before="60" w:after="240" w:line="360" w:lineRule="auto"/>
        <w:jc w:val="center"/>
      </w:pPr>
      <w:r>
        <w:rPr>
          <w:i/>
          <w:iCs/>
          <w:color w:val="444444"/>
          <w:sz w:val="20"/>
          <w:szCs w:val="20"/>
        </w:rPr>
        <w:t>Figure 5.2. APEX bundle start-up banner, authorisation prompt and Phase 0 shell assessment on the target.</w:t>
      </w:r>
    </w:p>
    <w:p w14:paraId="55B96223" w14:textId="77777777" w:rsidR="00DA1AF7" w:rsidRDefault="00684366">
      <w:pPr>
        <w:spacing w:after="160" w:line="360" w:lineRule="auto"/>
        <w:jc w:val="both"/>
        <w:rPr>
          <w:sz w:val="22"/>
          <w:szCs w:val="22"/>
        </w:rPr>
      </w:pPr>
      <w:r>
        <w:rPr>
          <w:sz w:val="22"/>
          <w:szCs w:val="22"/>
        </w:rPr>
        <w:t xml:space="preserve">The bundle then proceeded automatically through its later phases. At the end of Phase 4 it reported the audit complete with 62 findings, and Phase 5 (the Exploitation Engine) automatically attempted the three fully automatable categories available to the </w:t>
      </w:r>
      <w:proofErr w:type="gramStart"/>
      <w:r>
        <w:rPr>
          <w:sz w:val="22"/>
          <w:szCs w:val="22"/>
        </w:rPr>
        <w:t>low-privilege</w:t>
      </w:r>
      <w:proofErr w:type="gramEnd"/>
      <w:r>
        <w:rPr>
          <w:sz w:val="22"/>
          <w:szCs w:val="22"/>
        </w:rPr>
        <w:t xml:space="preserve"> '</w:t>
      </w:r>
      <w:proofErr w:type="spellStart"/>
      <w:r>
        <w:rPr>
          <w:sz w:val="22"/>
          <w:szCs w:val="22"/>
        </w:rPr>
        <w:t>jim</w:t>
      </w:r>
      <w:proofErr w:type="spellEnd"/>
      <w:r>
        <w:rPr>
          <w:sz w:val="22"/>
          <w:szCs w:val="22"/>
        </w:rPr>
        <w:t xml:space="preserve">' account: </w:t>
      </w:r>
      <w:proofErr w:type="spellStart"/>
      <w:r>
        <w:rPr>
          <w:sz w:val="22"/>
          <w:szCs w:val="22"/>
        </w:rPr>
        <w:t>sudo</w:t>
      </w:r>
      <w:proofErr w:type="spellEnd"/>
      <w:r>
        <w:rPr>
          <w:sz w:val="22"/>
          <w:szCs w:val="22"/>
        </w:rPr>
        <w:t xml:space="preserve"> NOPASSWD, SUID and kernel CVE exploitation. This stage is shown in Figure 5.3, including the tool's own finding "All automated techniques exhausted, manual review required", followed by Phase 6 (Verification) correctly reporting that root had not been obtained automatically, and Phase 7 (Report Generation) writing an HTML and a text report to '/</w:t>
      </w:r>
      <w:proofErr w:type="spellStart"/>
      <w:r>
        <w:rPr>
          <w:sz w:val="22"/>
          <w:szCs w:val="22"/>
        </w:rPr>
        <w:t>tmp</w:t>
      </w:r>
      <w:proofErr w:type="spellEnd"/>
      <w:r>
        <w:rPr>
          <w:sz w:val="22"/>
          <w:szCs w:val="22"/>
        </w:rPr>
        <w:t xml:space="preserve">'. This directly illustrates the verification design in Section 3.5: the tool did not claim success merely because commands had </w:t>
      </w:r>
      <w:proofErr w:type="gramStart"/>
      <w:r>
        <w:rPr>
          <w:sz w:val="22"/>
          <w:szCs w:val="22"/>
        </w:rPr>
        <w:t>executed, and</w:t>
      </w:r>
      <w:proofErr w:type="gramEnd"/>
      <w:r>
        <w:rPr>
          <w:sz w:val="22"/>
          <w:szCs w:val="22"/>
        </w:rPr>
        <w:t xml:space="preserve"> clearly separated "techniques were attempted" from "privilege escalation succeeded".</w:t>
      </w:r>
    </w:p>
    <w:p w14:paraId="55B96224" w14:textId="77777777" w:rsidR="00DA1AF7" w:rsidRDefault="00684366">
      <w:pPr>
        <w:spacing w:after="160" w:line="360" w:lineRule="auto"/>
        <w:jc w:val="both"/>
      </w:pPr>
      <w:r>
        <w:rPr>
          <w:sz w:val="22"/>
          <w:szCs w:val="22"/>
        </w:rPr>
        <w:t>This moved the evaluation out of automated technique execution and into the credential-exposure and manual-review path flagged by the tool's own report. Figure 5.3 also shows the start of this follow-up: reading the local mail spool, one of the locations the credential-exposure category (Table 4.1, category 9) is meant to flag. An initial attempt on 'var/mail/</w:t>
      </w:r>
      <w:proofErr w:type="spellStart"/>
      <w:r>
        <w:rPr>
          <w:sz w:val="22"/>
          <w:szCs w:val="22"/>
        </w:rPr>
        <w:t>jim</w:t>
      </w:r>
      <w:proofErr w:type="spellEnd"/>
      <w:r>
        <w:rPr>
          <w:sz w:val="22"/>
          <w:szCs w:val="22"/>
        </w:rPr>
        <w:t>' and 'mail' failed; the correct absolute path '/var/mail/</w:t>
      </w:r>
      <w:proofErr w:type="spellStart"/>
      <w:r>
        <w:rPr>
          <w:sz w:val="22"/>
          <w:szCs w:val="22"/>
        </w:rPr>
        <w:t>jim</w:t>
      </w:r>
      <w:proofErr w:type="spellEnd"/>
      <w:r>
        <w:rPr>
          <w:sz w:val="22"/>
          <w:szCs w:val="22"/>
        </w:rPr>
        <w:t>' held an email from a user "</w:t>
      </w:r>
      <w:proofErr w:type="spellStart"/>
      <w:r>
        <w:rPr>
          <w:sz w:val="22"/>
          <w:szCs w:val="22"/>
        </w:rPr>
        <w:t>charles</w:t>
      </w:r>
      <w:proofErr w:type="spellEnd"/>
      <w:r>
        <w:rPr>
          <w:sz w:val="22"/>
          <w:szCs w:val="22"/>
        </w:rPr>
        <w:t>" about planned leave, mentioning a password left "just in case".</w:t>
      </w:r>
    </w:p>
    <w:p w14:paraId="55B96225" w14:textId="77777777" w:rsidR="00DA1AF7" w:rsidRDefault="00684366">
      <w:pPr>
        <w:spacing w:before="160" w:after="40" w:line="360" w:lineRule="auto"/>
        <w:jc w:val="center"/>
      </w:pPr>
      <w:r>
        <w:rPr>
          <w:noProof/>
        </w:rPr>
        <w:lastRenderedPageBreak/>
        <w:drawing>
          <wp:inline distT="114300" distB="114300" distL="114300" distR="114300" wp14:anchorId="55B96333" wp14:editId="55B96334">
            <wp:extent cx="5943600" cy="3225800"/>
            <wp:effectExtent l="0" t="0" r="0" b="0"/>
            <wp:docPr id="17"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1"/>
                    <a:srcRect/>
                    <a:stretch>
                      <a:fillRect/>
                    </a:stretch>
                  </pic:blipFill>
                  <pic:spPr>
                    <a:xfrm>
                      <a:off x="0" y="0"/>
                      <a:ext cx="5943600" cy="3225800"/>
                    </a:xfrm>
                    <a:prstGeom prst="rect">
                      <a:avLst/>
                    </a:prstGeom>
                    <a:ln/>
                  </pic:spPr>
                </pic:pic>
              </a:graphicData>
            </a:graphic>
          </wp:inline>
        </w:drawing>
      </w:r>
    </w:p>
    <w:p w14:paraId="55B96226" w14:textId="77777777" w:rsidR="00DA1AF7" w:rsidRDefault="00684366">
      <w:pPr>
        <w:spacing w:before="60" w:after="240" w:line="360" w:lineRule="auto"/>
        <w:jc w:val="center"/>
      </w:pPr>
      <w:r>
        <w:rPr>
          <w:i/>
          <w:iCs/>
          <w:color w:val="444444"/>
          <w:sz w:val="20"/>
          <w:szCs w:val="20"/>
        </w:rPr>
        <w:t>Figure 5.3. Phase 5 exploitation attempts, Phase 6 verification (root not obtained automatically), Phase 7 report generation, and discovery of a mail-spool credential hint.</w:t>
      </w:r>
    </w:p>
    <w:p w14:paraId="55B96227" w14:textId="77777777" w:rsidR="00DA1AF7" w:rsidRDefault="00684366">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5.4 Credential Reuse and Escalation to a Second Account</w:t>
      </w:r>
    </w:p>
    <w:p w14:paraId="55B96228" w14:textId="77777777" w:rsidR="00DA1AF7" w:rsidRDefault="00684366">
      <w:pPr>
        <w:spacing w:after="160" w:line="360" w:lineRule="auto"/>
        <w:jc w:val="both"/>
        <w:rPr>
          <w:sz w:val="22"/>
          <w:szCs w:val="22"/>
        </w:rPr>
      </w:pPr>
      <w:r>
        <w:rPr>
          <w:sz w:val="22"/>
          <w:szCs w:val="22"/>
        </w:rPr>
        <w:t>Figure 5.4 continues the mail message: a plaintext password left by "</w:t>
      </w:r>
      <w:proofErr w:type="spellStart"/>
      <w:r>
        <w:rPr>
          <w:sz w:val="22"/>
          <w:szCs w:val="22"/>
        </w:rPr>
        <w:t>charles</w:t>
      </w:r>
      <w:proofErr w:type="spellEnd"/>
      <w:r>
        <w:rPr>
          <w:sz w:val="22"/>
          <w:szCs w:val="22"/>
        </w:rPr>
        <w:t>" for use in his absence. It was used with '</w:t>
      </w:r>
      <w:proofErr w:type="spellStart"/>
      <w:r>
        <w:rPr>
          <w:sz w:val="22"/>
          <w:szCs w:val="22"/>
        </w:rPr>
        <w:t>su</w:t>
      </w:r>
      <w:proofErr w:type="spellEnd"/>
      <w:r>
        <w:rPr>
          <w:sz w:val="22"/>
          <w:szCs w:val="22"/>
        </w:rPr>
        <w:t xml:space="preserve"> </w:t>
      </w:r>
      <w:proofErr w:type="spellStart"/>
      <w:r>
        <w:rPr>
          <w:sz w:val="22"/>
          <w:szCs w:val="22"/>
        </w:rPr>
        <w:t>charles</w:t>
      </w:r>
      <w:proofErr w:type="spellEnd"/>
      <w:r>
        <w:rPr>
          <w:sz w:val="22"/>
          <w:szCs w:val="22"/>
        </w:rPr>
        <w:t>' to pivot to the second account. The listing of '/home/</w:t>
      </w:r>
      <w:proofErr w:type="spellStart"/>
      <w:r>
        <w:rPr>
          <w:sz w:val="22"/>
          <w:szCs w:val="22"/>
        </w:rPr>
        <w:t>jim</w:t>
      </w:r>
      <w:proofErr w:type="spellEnd"/>
      <w:r>
        <w:rPr>
          <w:sz w:val="22"/>
          <w:szCs w:val="22"/>
        </w:rPr>
        <w:t>' still showed the transferred 'apex_bundle.sh' and other files ('backups', '</w:t>
      </w:r>
      <w:proofErr w:type="spellStart"/>
      <w:r>
        <w:rPr>
          <w:sz w:val="22"/>
          <w:szCs w:val="22"/>
        </w:rPr>
        <w:t>mbox</w:t>
      </w:r>
      <w:proofErr w:type="spellEnd"/>
      <w:r>
        <w:rPr>
          <w:sz w:val="22"/>
          <w:szCs w:val="22"/>
        </w:rPr>
        <w:t>', and a highlighted 'test.sh'). Logged in as '</w:t>
      </w:r>
      <w:proofErr w:type="spellStart"/>
      <w:r>
        <w:rPr>
          <w:sz w:val="22"/>
          <w:szCs w:val="22"/>
        </w:rPr>
        <w:t>charles</w:t>
      </w:r>
      <w:proofErr w:type="spellEnd"/>
      <w:r>
        <w:rPr>
          <w:sz w:val="22"/>
          <w:szCs w:val="22"/>
        </w:rPr>
        <w:t>', the bundle was re-run under the new account, restarting the same phased workflow from Phase 0.</w:t>
      </w:r>
    </w:p>
    <w:p w14:paraId="55B96229" w14:textId="77777777" w:rsidR="00DA1AF7" w:rsidRDefault="00684366">
      <w:pPr>
        <w:spacing w:after="160" w:line="360" w:lineRule="auto"/>
        <w:jc w:val="both"/>
        <w:rPr>
          <w:sz w:val="22"/>
          <w:szCs w:val="22"/>
        </w:rPr>
      </w:pPr>
      <w:r>
        <w:rPr>
          <w:sz w:val="22"/>
          <w:szCs w:val="22"/>
        </w:rPr>
        <w:t>This step illustrates why credential exposure is a separate technique class rather than part of a generic "interesting file" bucket: the mail spool is not a permission misconfiguration in the SUID/</w:t>
      </w:r>
      <w:proofErr w:type="spellStart"/>
      <w:r>
        <w:rPr>
          <w:sz w:val="22"/>
          <w:szCs w:val="22"/>
        </w:rPr>
        <w:t>sudo</w:t>
      </w:r>
      <w:proofErr w:type="spellEnd"/>
      <w:r>
        <w:rPr>
          <w:sz w:val="22"/>
          <w:szCs w:val="22"/>
        </w:rPr>
        <w:t xml:space="preserve"> sense, and no automated module suited it. The tool's job was to surface the discovery plainly and unambiguously enough that the manual follow-up, testing the recovered credential against a plausible account, was obvious from the report.</w:t>
      </w:r>
    </w:p>
    <w:p w14:paraId="55B9622A" w14:textId="77777777" w:rsidR="00DA1AF7" w:rsidRDefault="00684366">
      <w:pPr>
        <w:spacing w:after="160" w:line="360" w:lineRule="auto"/>
        <w:jc w:val="both"/>
      </w:pPr>
      <w:r>
        <w:rPr>
          <w:sz w:val="22"/>
          <w:szCs w:val="22"/>
        </w:rPr>
        <w:t>This pattern, a password shared between personal mail and administrative access, is a specific instance of a broader problem in empirical studies of password reuse, where many users reuse the same or a similar password across unrelated accounts [21]. From a defender's perspective, a single leaked or overheard credential rarely stays confined to the system it was meant for. This is why APEX treats credential exposure as a first-class technique category (Section 4.2) rather than an incidental finding.</w:t>
      </w:r>
    </w:p>
    <w:p w14:paraId="55B9622B" w14:textId="77777777" w:rsidR="00DA1AF7" w:rsidRDefault="00684366">
      <w:pPr>
        <w:spacing w:before="160" w:after="40" w:line="360" w:lineRule="auto"/>
        <w:jc w:val="center"/>
      </w:pPr>
      <w:r>
        <w:rPr>
          <w:noProof/>
        </w:rPr>
        <w:lastRenderedPageBreak/>
        <w:drawing>
          <wp:inline distT="0" distB="0" distL="0" distR="0" wp14:anchorId="55B96335" wp14:editId="55B96336">
            <wp:extent cx="5124450" cy="2788303"/>
            <wp:effectExtent l="0" t="0" r="0" b="0"/>
            <wp:docPr id="18" name="image7.jpg"/>
            <wp:cNvGraphicFramePr/>
            <a:graphic xmlns:a="http://schemas.openxmlformats.org/drawingml/2006/main">
              <a:graphicData uri="http://schemas.openxmlformats.org/drawingml/2006/picture">
                <pic:pic xmlns:pic="http://schemas.openxmlformats.org/drawingml/2006/picture">
                  <pic:nvPicPr>
                    <pic:cNvPr id="0" name="image7.jpg"/>
                    <pic:cNvPicPr preferRelativeResize="0"/>
                  </pic:nvPicPr>
                  <pic:blipFill>
                    <a:blip r:embed="rId22"/>
                    <a:srcRect/>
                    <a:stretch>
                      <a:fillRect/>
                    </a:stretch>
                  </pic:blipFill>
                  <pic:spPr>
                    <a:xfrm>
                      <a:off x="0" y="0"/>
                      <a:ext cx="5124450" cy="2788303"/>
                    </a:xfrm>
                    <a:prstGeom prst="rect">
                      <a:avLst/>
                    </a:prstGeom>
                    <a:ln/>
                  </pic:spPr>
                </pic:pic>
              </a:graphicData>
            </a:graphic>
          </wp:inline>
        </w:drawing>
      </w:r>
    </w:p>
    <w:p w14:paraId="55B9622C" w14:textId="77777777" w:rsidR="00DA1AF7" w:rsidRDefault="00684366">
      <w:pPr>
        <w:spacing w:before="60" w:after="240" w:line="360" w:lineRule="auto"/>
        <w:jc w:val="center"/>
      </w:pPr>
      <w:r>
        <w:rPr>
          <w:i/>
          <w:iCs/>
          <w:color w:val="444444"/>
          <w:sz w:val="20"/>
          <w:szCs w:val="20"/>
        </w:rPr>
        <w:t xml:space="preserve">Figure 5.5. Recovered mail-spool credential, successful </w:t>
      </w:r>
      <w:proofErr w:type="spellStart"/>
      <w:r>
        <w:rPr>
          <w:i/>
          <w:iCs/>
          <w:color w:val="444444"/>
          <w:sz w:val="20"/>
          <w:szCs w:val="20"/>
        </w:rPr>
        <w:t>su</w:t>
      </w:r>
      <w:proofErr w:type="spellEnd"/>
      <w:r>
        <w:rPr>
          <w:i/>
          <w:iCs/>
          <w:color w:val="444444"/>
          <w:sz w:val="20"/>
          <w:szCs w:val="20"/>
        </w:rPr>
        <w:t xml:space="preserve"> to the </w:t>
      </w:r>
      <w:proofErr w:type="spellStart"/>
      <w:r>
        <w:rPr>
          <w:i/>
          <w:iCs/>
          <w:color w:val="444444"/>
          <w:sz w:val="20"/>
          <w:szCs w:val="20"/>
        </w:rPr>
        <w:t>charles</w:t>
      </w:r>
      <w:proofErr w:type="spellEnd"/>
      <w:r>
        <w:rPr>
          <w:i/>
          <w:iCs/>
          <w:color w:val="444444"/>
          <w:sz w:val="20"/>
          <w:szCs w:val="20"/>
        </w:rPr>
        <w:t xml:space="preserve"> account, and a second APEX run beginning under that account.</w:t>
      </w:r>
    </w:p>
    <w:p w14:paraId="55B9622D" w14:textId="77777777" w:rsidR="00DA1AF7" w:rsidRDefault="00684366">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5.5 Verified Root via Sudo/</w:t>
      </w:r>
      <w:proofErr w:type="spellStart"/>
      <w:r>
        <w:rPr>
          <w:rFonts w:ascii="Times New Roman" w:eastAsia="Times New Roman" w:hAnsi="Times New Roman" w:cs="Times New Roman"/>
          <w:b/>
          <w:bCs/>
          <w:color w:val="000000"/>
        </w:rPr>
        <w:t>GTFOBins</w:t>
      </w:r>
      <w:proofErr w:type="spellEnd"/>
      <w:r>
        <w:rPr>
          <w:rFonts w:ascii="Times New Roman" w:eastAsia="Times New Roman" w:hAnsi="Times New Roman" w:cs="Times New Roman"/>
          <w:b/>
          <w:bCs/>
          <w:color w:val="000000"/>
        </w:rPr>
        <w:t xml:space="preserve"> Abuse</w:t>
      </w:r>
    </w:p>
    <w:p w14:paraId="55B9622E" w14:textId="77777777" w:rsidR="00DA1AF7" w:rsidRDefault="00684366">
      <w:pPr>
        <w:spacing w:after="160" w:line="360" w:lineRule="auto"/>
        <w:jc w:val="both"/>
        <w:rPr>
          <w:sz w:val="22"/>
          <w:szCs w:val="22"/>
        </w:rPr>
      </w:pPr>
      <w:r>
        <w:rPr>
          <w:sz w:val="22"/>
          <w:szCs w:val="22"/>
        </w:rPr>
        <w:t>Running as '</w:t>
      </w:r>
      <w:proofErr w:type="spellStart"/>
      <w:r>
        <w:rPr>
          <w:sz w:val="22"/>
          <w:szCs w:val="22"/>
        </w:rPr>
        <w:t>charles</w:t>
      </w:r>
      <w:proofErr w:type="spellEnd"/>
      <w:r>
        <w:rPr>
          <w:sz w:val="22"/>
          <w:szCs w:val="22"/>
        </w:rPr>
        <w:t xml:space="preserve">', the second pass of Phase 5 reached the </w:t>
      </w:r>
      <w:proofErr w:type="spellStart"/>
      <w:r>
        <w:rPr>
          <w:sz w:val="22"/>
          <w:szCs w:val="22"/>
        </w:rPr>
        <w:t>sudo</w:t>
      </w:r>
      <w:proofErr w:type="spellEnd"/>
      <w:r>
        <w:rPr>
          <w:sz w:val="22"/>
          <w:szCs w:val="22"/>
        </w:rPr>
        <w:t xml:space="preserve"> NOPASSWD module and found an uncommon binary allowed through </w:t>
      </w:r>
      <w:proofErr w:type="spellStart"/>
      <w:r>
        <w:rPr>
          <w:sz w:val="22"/>
          <w:szCs w:val="22"/>
        </w:rPr>
        <w:t>sudo</w:t>
      </w:r>
      <w:proofErr w:type="spellEnd"/>
      <w:r>
        <w:rPr>
          <w:sz w:val="22"/>
          <w:szCs w:val="22"/>
        </w:rPr>
        <w:t xml:space="preserve">: 'teehee', which like 'tee' copies standard input to a file while passing it through. Because it was </w:t>
      </w:r>
      <w:proofErr w:type="spellStart"/>
      <w:r>
        <w:rPr>
          <w:sz w:val="22"/>
          <w:szCs w:val="22"/>
        </w:rPr>
        <w:t>sudo</w:t>
      </w:r>
      <w:proofErr w:type="spellEnd"/>
      <w:r>
        <w:rPr>
          <w:sz w:val="22"/>
          <w:szCs w:val="22"/>
        </w:rPr>
        <w:t xml:space="preserve">-executable without a password and supported an append mode, APEX treated it as a write primitive against arbitrary files, as </w:t>
      </w:r>
      <w:proofErr w:type="spellStart"/>
      <w:r>
        <w:rPr>
          <w:sz w:val="22"/>
          <w:szCs w:val="22"/>
        </w:rPr>
        <w:t>GTFOBins</w:t>
      </w:r>
      <w:proofErr w:type="spellEnd"/>
      <w:r>
        <w:rPr>
          <w:sz w:val="22"/>
          <w:szCs w:val="22"/>
        </w:rPr>
        <w:t xml:space="preserve"> documents for 'tee' [2]. The tool used this to add a new privileged entry ('</w:t>
      </w:r>
      <w:proofErr w:type="spellStart"/>
      <w:r>
        <w:rPr>
          <w:sz w:val="22"/>
          <w:szCs w:val="22"/>
        </w:rPr>
        <w:t>apexroot</w:t>
      </w:r>
      <w:proofErr w:type="spellEnd"/>
      <w:r>
        <w:rPr>
          <w:sz w:val="22"/>
          <w:szCs w:val="22"/>
        </w:rPr>
        <w:t>', UID/GID 0) to /etc/passwd, then confirmed the outcome by switchin</w:t>
      </w:r>
      <w:r>
        <w:rPr>
          <w:sz w:val="22"/>
          <w:szCs w:val="22"/>
        </w:rPr>
        <w:t>g to that account and checking the effective identity.</w:t>
      </w:r>
    </w:p>
    <w:p w14:paraId="55B9622F" w14:textId="77777777" w:rsidR="00DA1AF7" w:rsidRDefault="00684366">
      <w:pPr>
        <w:spacing w:after="160" w:line="360" w:lineRule="auto"/>
        <w:jc w:val="both"/>
        <w:rPr>
          <w:sz w:val="22"/>
          <w:szCs w:val="22"/>
        </w:rPr>
      </w:pPr>
      <w:r>
        <w:rPr>
          <w:sz w:val="22"/>
          <w:szCs w:val="22"/>
        </w:rPr>
        <w:t xml:space="preserve">The final step of the second run is shown in Figure 5.6: the write primitive is logged as successful against '/etc/passwd', Phase 6 (Verification) reports "ROOT OBTAINED via </w:t>
      </w:r>
      <w:proofErr w:type="spellStart"/>
      <w:r>
        <w:rPr>
          <w:sz w:val="22"/>
          <w:szCs w:val="22"/>
        </w:rPr>
        <w:t>WRITE_</w:t>
      </w:r>
      <w:proofErr w:type="gramStart"/>
      <w:r>
        <w:rPr>
          <w:sz w:val="22"/>
          <w:szCs w:val="22"/>
        </w:rPr>
        <w:t>PRIM:teehee</w:t>
      </w:r>
      <w:proofErr w:type="spellEnd"/>
      <w:proofErr w:type="gramEnd"/>
      <w:r>
        <w:rPr>
          <w:sz w:val="22"/>
          <w:szCs w:val="22"/>
        </w:rPr>
        <w:t>", and the resulting shell ('</w:t>
      </w:r>
      <w:proofErr w:type="spellStart"/>
      <w:r>
        <w:rPr>
          <w:sz w:val="22"/>
          <w:szCs w:val="22"/>
        </w:rPr>
        <w:t>su</w:t>
      </w:r>
      <w:proofErr w:type="spellEnd"/>
      <w:r>
        <w:rPr>
          <w:sz w:val="22"/>
          <w:szCs w:val="22"/>
        </w:rPr>
        <w:t xml:space="preserve"> </w:t>
      </w:r>
      <w:proofErr w:type="spellStart"/>
      <w:r>
        <w:rPr>
          <w:sz w:val="22"/>
          <w:szCs w:val="22"/>
        </w:rPr>
        <w:t>apexroot</w:t>
      </w:r>
      <w:proofErr w:type="spellEnd"/>
      <w:r>
        <w:rPr>
          <w:sz w:val="22"/>
          <w:szCs w:val="22"/>
        </w:rPr>
        <w:t>' followed by '</w:t>
      </w:r>
      <w:proofErr w:type="spellStart"/>
      <w:r>
        <w:rPr>
          <w:sz w:val="22"/>
          <w:szCs w:val="22"/>
        </w:rPr>
        <w:t>whoami</w:t>
      </w:r>
      <w:proofErr w:type="spellEnd"/>
      <w:r>
        <w:rPr>
          <w:sz w:val="22"/>
          <w:szCs w:val="22"/>
        </w:rPr>
        <w:t>' returning 'root') proves the effective privilege level actually changed, not merely that a command executed without error.</w:t>
      </w:r>
    </w:p>
    <w:p w14:paraId="55B96230" w14:textId="77777777" w:rsidR="00DA1AF7" w:rsidRDefault="00684366">
      <w:pPr>
        <w:spacing w:before="160" w:after="40" w:line="360" w:lineRule="auto"/>
        <w:jc w:val="center"/>
      </w:pPr>
      <w:r>
        <w:rPr>
          <w:noProof/>
        </w:rPr>
        <w:lastRenderedPageBreak/>
        <w:drawing>
          <wp:inline distT="0" distB="0" distL="0" distR="0" wp14:anchorId="55B96337" wp14:editId="55B96338">
            <wp:extent cx="5124450" cy="2788303"/>
            <wp:effectExtent l="0" t="0" r="0" b="0"/>
            <wp:docPr id="19" name="image6.jpg"/>
            <wp:cNvGraphicFramePr/>
            <a:graphic xmlns:a="http://schemas.openxmlformats.org/drawingml/2006/main">
              <a:graphicData uri="http://schemas.openxmlformats.org/drawingml/2006/picture">
                <pic:pic xmlns:pic="http://schemas.openxmlformats.org/drawingml/2006/picture">
                  <pic:nvPicPr>
                    <pic:cNvPr id="0" name="image6.jpg"/>
                    <pic:cNvPicPr preferRelativeResize="0"/>
                  </pic:nvPicPr>
                  <pic:blipFill>
                    <a:blip r:embed="rId23"/>
                    <a:srcRect/>
                    <a:stretch>
                      <a:fillRect/>
                    </a:stretch>
                  </pic:blipFill>
                  <pic:spPr>
                    <a:xfrm>
                      <a:off x="0" y="0"/>
                      <a:ext cx="5124450" cy="2788303"/>
                    </a:xfrm>
                    <a:prstGeom prst="rect">
                      <a:avLst/>
                    </a:prstGeom>
                    <a:ln/>
                  </pic:spPr>
                </pic:pic>
              </a:graphicData>
            </a:graphic>
          </wp:inline>
        </w:drawing>
      </w:r>
    </w:p>
    <w:p w14:paraId="55B96231" w14:textId="77777777" w:rsidR="00DA1AF7" w:rsidRDefault="00684366">
      <w:pPr>
        <w:spacing w:before="60" w:after="240" w:line="360" w:lineRule="auto"/>
        <w:jc w:val="center"/>
      </w:pPr>
      <w:r>
        <w:rPr>
          <w:i/>
          <w:iCs/>
          <w:color w:val="444444"/>
          <w:sz w:val="20"/>
          <w:szCs w:val="20"/>
        </w:rPr>
        <w:t>Figure 5.6. Sudo/teehee write primitive used to add a root-equivalent account, followed by verified root access.</w:t>
      </w:r>
    </w:p>
    <w:p w14:paraId="55B96232" w14:textId="77777777" w:rsidR="00DA1AF7" w:rsidRDefault="00684366">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5.6 Evidence Chain Summary</w:t>
      </w:r>
    </w:p>
    <w:p w14:paraId="55B96233" w14:textId="77777777" w:rsidR="00DA1AF7" w:rsidRDefault="00684366">
      <w:pPr>
        <w:spacing w:after="160" w:line="360" w:lineRule="auto"/>
        <w:jc w:val="both"/>
      </w:pPr>
      <w:r>
        <w:rPr>
          <w:sz w:val="22"/>
          <w:szCs w:val="22"/>
        </w:rPr>
        <w:t xml:space="preserve">Table 5.1 summarises the full evidence chain, linking each stage to the technique categories in Chapter 4 and the figure documenting it. The successful escalation rested not on a single lucky finding but on a short chain of three connected observations, a readable mail spool, a reused password and an unusually permissive </w:t>
      </w:r>
      <w:proofErr w:type="spellStart"/>
      <w:r>
        <w:rPr>
          <w:sz w:val="22"/>
          <w:szCs w:val="22"/>
        </w:rPr>
        <w:t>sudo</w:t>
      </w:r>
      <w:proofErr w:type="spellEnd"/>
      <w:r>
        <w:rPr>
          <w:sz w:val="22"/>
          <w:szCs w:val="22"/>
        </w:rPr>
        <w:t xml:space="preserve"> rule, each in a different category, which would have been missed had APEX stopped after the automated techniques available to the first account.</w:t>
      </w:r>
    </w:p>
    <w:tbl>
      <w:tblPr>
        <w:tblStyle w:val="a3"/>
        <w:tblW w:w="9400" w:type="dxa"/>
        <w:tblInd w:w="0" w:type="dxa"/>
        <w:tblBorders>
          <w:top w:val="single" w:sz="4" w:space="0" w:color="9DB6CE"/>
          <w:left w:val="single" w:sz="4" w:space="0" w:color="9DB6CE"/>
          <w:bottom w:val="single" w:sz="4" w:space="0" w:color="9DB6CE"/>
          <w:right w:val="single" w:sz="4" w:space="0" w:color="9DB6CE"/>
          <w:insideH w:val="single" w:sz="4" w:space="0" w:color="C3D3E5"/>
          <w:insideV w:val="single" w:sz="4" w:space="0" w:color="C3D3E5"/>
        </w:tblBorders>
        <w:tblLayout w:type="fixed"/>
        <w:tblLook w:val="0000" w:firstRow="0" w:lastRow="0" w:firstColumn="0" w:lastColumn="0" w:noHBand="0" w:noVBand="0"/>
      </w:tblPr>
      <w:tblGrid>
        <w:gridCol w:w="1500"/>
        <w:gridCol w:w="1400"/>
        <w:gridCol w:w="2100"/>
        <w:gridCol w:w="2900"/>
        <w:gridCol w:w="1500"/>
      </w:tblGrid>
      <w:tr w:rsidR="00DA1AF7" w14:paraId="55B96239" w14:textId="77777777">
        <w:trPr>
          <w:tblHeader/>
        </w:trPr>
        <w:tc>
          <w:tcPr>
            <w:tcW w:w="1500" w:type="dxa"/>
            <w:shd w:val="clear" w:color="auto" w:fill="4F81BD"/>
            <w:tcMar>
              <w:top w:w="80" w:type="dxa"/>
              <w:left w:w="100" w:type="dxa"/>
              <w:bottom w:w="80" w:type="dxa"/>
              <w:right w:w="100" w:type="dxa"/>
            </w:tcMar>
            <w:vAlign w:val="center"/>
          </w:tcPr>
          <w:p w14:paraId="55B96234" w14:textId="77777777" w:rsidR="00DA1AF7" w:rsidRDefault="00684366">
            <w:pPr>
              <w:spacing w:line="360" w:lineRule="auto"/>
            </w:pPr>
            <w:r>
              <w:rPr>
                <w:b/>
                <w:bCs/>
                <w:color w:val="FFFFFF"/>
                <w:sz w:val="19"/>
                <w:szCs w:val="19"/>
              </w:rPr>
              <w:t>Stage</w:t>
            </w:r>
          </w:p>
        </w:tc>
        <w:tc>
          <w:tcPr>
            <w:tcW w:w="1400" w:type="dxa"/>
            <w:shd w:val="clear" w:color="auto" w:fill="4F81BD"/>
            <w:tcMar>
              <w:top w:w="80" w:type="dxa"/>
              <w:left w:w="100" w:type="dxa"/>
              <w:bottom w:w="80" w:type="dxa"/>
              <w:right w:w="100" w:type="dxa"/>
            </w:tcMar>
            <w:vAlign w:val="center"/>
          </w:tcPr>
          <w:p w14:paraId="55B96235" w14:textId="77777777" w:rsidR="00DA1AF7" w:rsidRDefault="00684366">
            <w:pPr>
              <w:spacing w:line="360" w:lineRule="auto"/>
            </w:pPr>
            <w:r>
              <w:rPr>
                <w:b/>
                <w:bCs/>
                <w:color w:val="FFFFFF"/>
                <w:sz w:val="19"/>
                <w:szCs w:val="19"/>
              </w:rPr>
              <w:t>Account</w:t>
            </w:r>
          </w:p>
        </w:tc>
        <w:tc>
          <w:tcPr>
            <w:tcW w:w="2100" w:type="dxa"/>
            <w:shd w:val="clear" w:color="auto" w:fill="4F81BD"/>
            <w:tcMar>
              <w:top w:w="80" w:type="dxa"/>
              <w:left w:w="100" w:type="dxa"/>
              <w:bottom w:w="80" w:type="dxa"/>
              <w:right w:w="100" w:type="dxa"/>
            </w:tcMar>
            <w:vAlign w:val="center"/>
          </w:tcPr>
          <w:p w14:paraId="55B96236" w14:textId="77777777" w:rsidR="00DA1AF7" w:rsidRDefault="00684366">
            <w:pPr>
              <w:spacing w:line="360" w:lineRule="auto"/>
            </w:pPr>
            <w:r>
              <w:rPr>
                <w:b/>
                <w:bCs/>
                <w:color w:val="FFFFFF"/>
                <w:sz w:val="19"/>
                <w:szCs w:val="19"/>
              </w:rPr>
              <w:t>APEX category exercised</w:t>
            </w:r>
          </w:p>
        </w:tc>
        <w:tc>
          <w:tcPr>
            <w:tcW w:w="2900" w:type="dxa"/>
            <w:shd w:val="clear" w:color="auto" w:fill="4F81BD"/>
            <w:tcMar>
              <w:top w:w="80" w:type="dxa"/>
              <w:left w:w="100" w:type="dxa"/>
              <w:bottom w:w="80" w:type="dxa"/>
              <w:right w:w="100" w:type="dxa"/>
            </w:tcMar>
            <w:vAlign w:val="center"/>
          </w:tcPr>
          <w:p w14:paraId="55B96237" w14:textId="77777777" w:rsidR="00DA1AF7" w:rsidRDefault="00684366">
            <w:pPr>
              <w:spacing w:line="360" w:lineRule="auto"/>
            </w:pPr>
            <w:r>
              <w:rPr>
                <w:b/>
                <w:bCs/>
                <w:color w:val="FFFFFF"/>
                <w:sz w:val="19"/>
                <w:szCs w:val="19"/>
              </w:rPr>
              <w:t>Outcome</w:t>
            </w:r>
          </w:p>
        </w:tc>
        <w:tc>
          <w:tcPr>
            <w:tcW w:w="1500" w:type="dxa"/>
            <w:shd w:val="clear" w:color="auto" w:fill="4F81BD"/>
            <w:tcMar>
              <w:top w:w="80" w:type="dxa"/>
              <w:left w:w="100" w:type="dxa"/>
              <w:bottom w:w="80" w:type="dxa"/>
              <w:right w:w="100" w:type="dxa"/>
            </w:tcMar>
            <w:vAlign w:val="center"/>
          </w:tcPr>
          <w:p w14:paraId="55B96238" w14:textId="77777777" w:rsidR="00DA1AF7" w:rsidRDefault="00684366">
            <w:pPr>
              <w:spacing w:line="360" w:lineRule="auto"/>
            </w:pPr>
            <w:r>
              <w:rPr>
                <w:b/>
                <w:bCs/>
                <w:color w:val="FFFFFF"/>
                <w:sz w:val="19"/>
                <w:szCs w:val="19"/>
              </w:rPr>
              <w:t>Evidence</w:t>
            </w:r>
          </w:p>
        </w:tc>
      </w:tr>
      <w:tr w:rsidR="00DA1AF7" w14:paraId="55B9623F" w14:textId="77777777">
        <w:tc>
          <w:tcPr>
            <w:tcW w:w="1500" w:type="dxa"/>
            <w:tcMar>
              <w:top w:w="80" w:type="dxa"/>
              <w:left w:w="100" w:type="dxa"/>
              <w:bottom w:w="80" w:type="dxa"/>
              <w:right w:w="100" w:type="dxa"/>
            </w:tcMar>
            <w:vAlign w:val="center"/>
          </w:tcPr>
          <w:p w14:paraId="55B9623A" w14:textId="77777777" w:rsidR="00DA1AF7" w:rsidRDefault="00684366">
            <w:pPr>
              <w:spacing w:line="360" w:lineRule="auto"/>
            </w:pPr>
            <w:r>
              <w:rPr>
                <w:color w:val="000000"/>
                <w:sz w:val="19"/>
                <w:szCs w:val="19"/>
              </w:rPr>
              <w:t>Initial access</w:t>
            </w:r>
          </w:p>
        </w:tc>
        <w:tc>
          <w:tcPr>
            <w:tcW w:w="1400" w:type="dxa"/>
            <w:tcMar>
              <w:top w:w="80" w:type="dxa"/>
              <w:left w:w="100" w:type="dxa"/>
              <w:bottom w:w="80" w:type="dxa"/>
              <w:right w:w="100" w:type="dxa"/>
            </w:tcMar>
            <w:vAlign w:val="center"/>
          </w:tcPr>
          <w:p w14:paraId="55B9623B" w14:textId="77777777" w:rsidR="00DA1AF7" w:rsidRDefault="00684366">
            <w:pPr>
              <w:spacing w:line="360" w:lineRule="auto"/>
            </w:pPr>
            <w:proofErr w:type="spellStart"/>
            <w:r>
              <w:rPr>
                <w:color w:val="000000"/>
                <w:sz w:val="19"/>
                <w:szCs w:val="19"/>
              </w:rPr>
              <w:t>jim</w:t>
            </w:r>
            <w:proofErr w:type="spellEnd"/>
            <w:r>
              <w:rPr>
                <w:color w:val="000000"/>
                <w:sz w:val="19"/>
                <w:szCs w:val="19"/>
              </w:rPr>
              <w:t xml:space="preserve"> (SSH)</w:t>
            </w:r>
          </w:p>
        </w:tc>
        <w:tc>
          <w:tcPr>
            <w:tcW w:w="2100" w:type="dxa"/>
            <w:tcMar>
              <w:top w:w="80" w:type="dxa"/>
              <w:left w:w="100" w:type="dxa"/>
              <w:bottom w:w="80" w:type="dxa"/>
              <w:right w:w="100" w:type="dxa"/>
            </w:tcMar>
            <w:vAlign w:val="center"/>
          </w:tcPr>
          <w:p w14:paraId="55B9623C" w14:textId="77777777" w:rsidR="00DA1AF7" w:rsidRDefault="00684366">
            <w:pPr>
              <w:spacing w:line="360" w:lineRule="auto"/>
            </w:pPr>
            <w:r>
              <w:rPr>
                <w:color w:val="000000"/>
                <w:sz w:val="19"/>
                <w:szCs w:val="19"/>
              </w:rPr>
              <w:t>N/A – precondition</w:t>
            </w:r>
          </w:p>
        </w:tc>
        <w:tc>
          <w:tcPr>
            <w:tcW w:w="2900" w:type="dxa"/>
            <w:tcMar>
              <w:top w:w="80" w:type="dxa"/>
              <w:left w:w="100" w:type="dxa"/>
              <w:bottom w:w="80" w:type="dxa"/>
              <w:right w:w="100" w:type="dxa"/>
            </w:tcMar>
            <w:vAlign w:val="center"/>
          </w:tcPr>
          <w:p w14:paraId="55B9623D" w14:textId="77777777" w:rsidR="00DA1AF7" w:rsidRDefault="00684366">
            <w:pPr>
              <w:spacing w:line="360" w:lineRule="auto"/>
            </w:pPr>
            <w:r>
              <w:rPr>
                <w:color w:val="000000"/>
                <w:sz w:val="19"/>
                <w:szCs w:val="19"/>
              </w:rPr>
              <w:t>Low-privilege shell obtained</w:t>
            </w:r>
          </w:p>
        </w:tc>
        <w:tc>
          <w:tcPr>
            <w:tcW w:w="1500" w:type="dxa"/>
            <w:tcMar>
              <w:top w:w="80" w:type="dxa"/>
              <w:left w:w="100" w:type="dxa"/>
              <w:bottom w:w="80" w:type="dxa"/>
              <w:right w:w="100" w:type="dxa"/>
            </w:tcMar>
            <w:vAlign w:val="center"/>
          </w:tcPr>
          <w:p w14:paraId="55B9623E" w14:textId="77777777" w:rsidR="00DA1AF7" w:rsidRDefault="00684366">
            <w:pPr>
              <w:spacing w:line="360" w:lineRule="auto"/>
            </w:pPr>
            <w:r>
              <w:rPr>
                <w:color w:val="000000"/>
                <w:sz w:val="19"/>
                <w:szCs w:val="19"/>
              </w:rPr>
              <w:t>Fig. 5.1</w:t>
            </w:r>
          </w:p>
        </w:tc>
      </w:tr>
      <w:tr w:rsidR="00DA1AF7" w14:paraId="55B96245" w14:textId="77777777">
        <w:tc>
          <w:tcPr>
            <w:tcW w:w="1500" w:type="dxa"/>
            <w:shd w:val="clear" w:color="auto" w:fill="D9E2F3"/>
            <w:tcMar>
              <w:top w:w="80" w:type="dxa"/>
              <w:left w:w="100" w:type="dxa"/>
              <w:bottom w:w="80" w:type="dxa"/>
              <w:right w:w="100" w:type="dxa"/>
            </w:tcMar>
            <w:vAlign w:val="center"/>
          </w:tcPr>
          <w:p w14:paraId="55B96240" w14:textId="77777777" w:rsidR="00DA1AF7" w:rsidRDefault="00684366">
            <w:pPr>
              <w:spacing w:line="360" w:lineRule="auto"/>
            </w:pPr>
            <w:r>
              <w:rPr>
                <w:color w:val="000000"/>
                <w:sz w:val="19"/>
                <w:szCs w:val="19"/>
              </w:rPr>
              <w:t>Automated audit</w:t>
            </w:r>
          </w:p>
        </w:tc>
        <w:tc>
          <w:tcPr>
            <w:tcW w:w="1400" w:type="dxa"/>
            <w:shd w:val="clear" w:color="auto" w:fill="D9E2F3"/>
            <w:tcMar>
              <w:top w:w="80" w:type="dxa"/>
              <w:left w:w="100" w:type="dxa"/>
              <w:bottom w:w="80" w:type="dxa"/>
              <w:right w:w="100" w:type="dxa"/>
            </w:tcMar>
            <w:vAlign w:val="center"/>
          </w:tcPr>
          <w:p w14:paraId="55B96241" w14:textId="77777777" w:rsidR="00DA1AF7" w:rsidRDefault="00684366">
            <w:pPr>
              <w:spacing w:line="360" w:lineRule="auto"/>
            </w:pPr>
            <w:proofErr w:type="spellStart"/>
            <w:r>
              <w:rPr>
                <w:color w:val="000000"/>
                <w:sz w:val="19"/>
                <w:szCs w:val="19"/>
              </w:rPr>
              <w:t>jim</w:t>
            </w:r>
            <w:proofErr w:type="spellEnd"/>
          </w:p>
        </w:tc>
        <w:tc>
          <w:tcPr>
            <w:tcW w:w="2100" w:type="dxa"/>
            <w:shd w:val="clear" w:color="auto" w:fill="D9E2F3"/>
            <w:tcMar>
              <w:top w:w="80" w:type="dxa"/>
              <w:left w:w="100" w:type="dxa"/>
              <w:bottom w:w="80" w:type="dxa"/>
              <w:right w:w="100" w:type="dxa"/>
            </w:tcMar>
            <w:vAlign w:val="center"/>
          </w:tcPr>
          <w:p w14:paraId="55B96242" w14:textId="77777777" w:rsidR="00DA1AF7" w:rsidRDefault="00684366">
            <w:pPr>
              <w:spacing w:line="360" w:lineRule="auto"/>
            </w:pPr>
            <w:r>
              <w:rPr>
                <w:color w:val="000000"/>
                <w:sz w:val="19"/>
                <w:szCs w:val="19"/>
              </w:rPr>
              <w:t>Categories 1–8 (Table 4.1)</w:t>
            </w:r>
          </w:p>
        </w:tc>
        <w:tc>
          <w:tcPr>
            <w:tcW w:w="2900" w:type="dxa"/>
            <w:shd w:val="clear" w:color="auto" w:fill="D9E2F3"/>
            <w:tcMar>
              <w:top w:w="80" w:type="dxa"/>
              <w:left w:w="100" w:type="dxa"/>
              <w:bottom w:w="80" w:type="dxa"/>
              <w:right w:w="100" w:type="dxa"/>
            </w:tcMar>
            <w:vAlign w:val="center"/>
          </w:tcPr>
          <w:p w14:paraId="55B96243" w14:textId="77777777" w:rsidR="00DA1AF7" w:rsidRDefault="00684366">
            <w:pPr>
              <w:spacing w:line="360" w:lineRule="auto"/>
            </w:pPr>
            <w:r>
              <w:rPr>
                <w:color w:val="000000"/>
                <w:sz w:val="19"/>
                <w:szCs w:val="19"/>
              </w:rPr>
              <w:t xml:space="preserve">62 findings; 3 automated exploitation attempts, </w:t>
            </w:r>
            <w:proofErr w:type="gramStart"/>
            <w:r>
              <w:rPr>
                <w:color w:val="000000"/>
                <w:sz w:val="19"/>
                <w:szCs w:val="19"/>
              </w:rPr>
              <w:t>none successful</w:t>
            </w:r>
            <w:proofErr w:type="gramEnd"/>
          </w:p>
        </w:tc>
        <w:tc>
          <w:tcPr>
            <w:tcW w:w="1500" w:type="dxa"/>
            <w:shd w:val="clear" w:color="auto" w:fill="D9E2F3"/>
            <w:tcMar>
              <w:top w:w="80" w:type="dxa"/>
              <w:left w:w="100" w:type="dxa"/>
              <w:bottom w:w="80" w:type="dxa"/>
              <w:right w:w="100" w:type="dxa"/>
            </w:tcMar>
            <w:vAlign w:val="center"/>
          </w:tcPr>
          <w:p w14:paraId="55B96244" w14:textId="77777777" w:rsidR="00DA1AF7" w:rsidRDefault="00684366">
            <w:pPr>
              <w:spacing w:line="360" w:lineRule="auto"/>
            </w:pPr>
            <w:r>
              <w:rPr>
                <w:color w:val="000000"/>
                <w:sz w:val="19"/>
                <w:szCs w:val="19"/>
              </w:rPr>
              <w:t>Fig. 5.2–5.3</w:t>
            </w:r>
          </w:p>
        </w:tc>
      </w:tr>
      <w:tr w:rsidR="00DA1AF7" w14:paraId="55B9624B" w14:textId="77777777">
        <w:tc>
          <w:tcPr>
            <w:tcW w:w="1500" w:type="dxa"/>
            <w:tcMar>
              <w:top w:w="80" w:type="dxa"/>
              <w:left w:w="100" w:type="dxa"/>
              <w:bottom w:w="80" w:type="dxa"/>
              <w:right w:w="100" w:type="dxa"/>
            </w:tcMar>
            <w:vAlign w:val="center"/>
          </w:tcPr>
          <w:p w14:paraId="55B96246" w14:textId="77777777" w:rsidR="00DA1AF7" w:rsidRDefault="00684366">
            <w:pPr>
              <w:spacing w:line="360" w:lineRule="auto"/>
            </w:pPr>
            <w:r>
              <w:rPr>
                <w:color w:val="000000"/>
                <w:sz w:val="19"/>
                <w:szCs w:val="19"/>
              </w:rPr>
              <w:t>Credential exposure</w:t>
            </w:r>
          </w:p>
        </w:tc>
        <w:tc>
          <w:tcPr>
            <w:tcW w:w="1400" w:type="dxa"/>
            <w:tcMar>
              <w:top w:w="80" w:type="dxa"/>
              <w:left w:w="100" w:type="dxa"/>
              <w:bottom w:w="80" w:type="dxa"/>
              <w:right w:w="100" w:type="dxa"/>
            </w:tcMar>
            <w:vAlign w:val="center"/>
          </w:tcPr>
          <w:p w14:paraId="55B96247" w14:textId="77777777" w:rsidR="00DA1AF7" w:rsidRDefault="00684366">
            <w:pPr>
              <w:spacing w:line="360" w:lineRule="auto"/>
            </w:pPr>
            <w:proofErr w:type="spellStart"/>
            <w:r>
              <w:rPr>
                <w:color w:val="000000"/>
                <w:sz w:val="19"/>
                <w:szCs w:val="19"/>
              </w:rPr>
              <w:t>jim</w:t>
            </w:r>
            <w:proofErr w:type="spellEnd"/>
          </w:p>
        </w:tc>
        <w:tc>
          <w:tcPr>
            <w:tcW w:w="2100" w:type="dxa"/>
            <w:tcMar>
              <w:top w:w="80" w:type="dxa"/>
              <w:left w:w="100" w:type="dxa"/>
              <w:bottom w:w="80" w:type="dxa"/>
              <w:right w:w="100" w:type="dxa"/>
            </w:tcMar>
            <w:vAlign w:val="center"/>
          </w:tcPr>
          <w:p w14:paraId="55B96248" w14:textId="77777777" w:rsidR="00DA1AF7" w:rsidRDefault="00684366">
            <w:pPr>
              <w:spacing w:line="360" w:lineRule="auto"/>
            </w:pPr>
            <w:r>
              <w:rPr>
                <w:color w:val="000000"/>
                <w:sz w:val="19"/>
                <w:szCs w:val="19"/>
              </w:rPr>
              <w:t>Category 9 (mail spool)</w:t>
            </w:r>
          </w:p>
        </w:tc>
        <w:tc>
          <w:tcPr>
            <w:tcW w:w="2900" w:type="dxa"/>
            <w:tcMar>
              <w:top w:w="80" w:type="dxa"/>
              <w:left w:w="100" w:type="dxa"/>
              <w:bottom w:w="80" w:type="dxa"/>
              <w:right w:w="100" w:type="dxa"/>
            </w:tcMar>
            <w:vAlign w:val="center"/>
          </w:tcPr>
          <w:p w14:paraId="55B96249" w14:textId="77777777" w:rsidR="00DA1AF7" w:rsidRDefault="00684366">
            <w:pPr>
              <w:spacing w:line="360" w:lineRule="auto"/>
            </w:pPr>
            <w:r>
              <w:rPr>
                <w:color w:val="000000"/>
                <w:sz w:val="19"/>
                <w:szCs w:val="19"/>
              </w:rPr>
              <w:t xml:space="preserve">Plaintext password for </w:t>
            </w:r>
            <w:proofErr w:type="spellStart"/>
            <w:r>
              <w:rPr>
                <w:color w:val="000000"/>
                <w:sz w:val="19"/>
                <w:szCs w:val="19"/>
              </w:rPr>
              <w:t>charles</w:t>
            </w:r>
            <w:proofErr w:type="spellEnd"/>
            <w:r>
              <w:rPr>
                <w:color w:val="000000"/>
                <w:sz w:val="19"/>
                <w:szCs w:val="19"/>
              </w:rPr>
              <w:t xml:space="preserve"> recovered</w:t>
            </w:r>
          </w:p>
        </w:tc>
        <w:tc>
          <w:tcPr>
            <w:tcW w:w="1500" w:type="dxa"/>
            <w:tcMar>
              <w:top w:w="80" w:type="dxa"/>
              <w:left w:w="100" w:type="dxa"/>
              <w:bottom w:w="80" w:type="dxa"/>
              <w:right w:w="100" w:type="dxa"/>
            </w:tcMar>
            <w:vAlign w:val="center"/>
          </w:tcPr>
          <w:p w14:paraId="55B9624A" w14:textId="77777777" w:rsidR="00DA1AF7" w:rsidRDefault="00684366">
            <w:pPr>
              <w:spacing w:line="360" w:lineRule="auto"/>
            </w:pPr>
            <w:r>
              <w:rPr>
                <w:color w:val="000000"/>
                <w:sz w:val="19"/>
                <w:szCs w:val="19"/>
              </w:rPr>
              <w:t>Fig. 5.3–5.4</w:t>
            </w:r>
          </w:p>
        </w:tc>
      </w:tr>
      <w:tr w:rsidR="00DA1AF7" w14:paraId="55B96251" w14:textId="77777777">
        <w:tc>
          <w:tcPr>
            <w:tcW w:w="1500" w:type="dxa"/>
            <w:shd w:val="clear" w:color="auto" w:fill="D9E2F3"/>
            <w:tcMar>
              <w:top w:w="80" w:type="dxa"/>
              <w:left w:w="100" w:type="dxa"/>
              <w:bottom w:w="80" w:type="dxa"/>
              <w:right w:w="100" w:type="dxa"/>
            </w:tcMar>
            <w:vAlign w:val="center"/>
          </w:tcPr>
          <w:p w14:paraId="55B9624C" w14:textId="77777777" w:rsidR="00DA1AF7" w:rsidRDefault="00684366">
            <w:pPr>
              <w:spacing w:line="360" w:lineRule="auto"/>
            </w:pPr>
            <w:r>
              <w:rPr>
                <w:color w:val="000000"/>
                <w:sz w:val="19"/>
                <w:szCs w:val="19"/>
              </w:rPr>
              <w:t>Lateral movement</w:t>
            </w:r>
          </w:p>
        </w:tc>
        <w:tc>
          <w:tcPr>
            <w:tcW w:w="1400" w:type="dxa"/>
            <w:shd w:val="clear" w:color="auto" w:fill="D9E2F3"/>
            <w:tcMar>
              <w:top w:w="80" w:type="dxa"/>
              <w:left w:w="100" w:type="dxa"/>
              <w:bottom w:w="80" w:type="dxa"/>
              <w:right w:w="100" w:type="dxa"/>
            </w:tcMar>
            <w:vAlign w:val="center"/>
          </w:tcPr>
          <w:p w14:paraId="55B9624D" w14:textId="77777777" w:rsidR="00DA1AF7" w:rsidRDefault="00684366">
            <w:pPr>
              <w:spacing w:line="360" w:lineRule="auto"/>
            </w:pPr>
            <w:proofErr w:type="spellStart"/>
            <w:r>
              <w:rPr>
                <w:color w:val="000000"/>
                <w:sz w:val="19"/>
                <w:szCs w:val="19"/>
              </w:rPr>
              <w:t>charles</w:t>
            </w:r>
            <w:proofErr w:type="spellEnd"/>
          </w:p>
        </w:tc>
        <w:tc>
          <w:tcPr>
            <w:tcW w:w="2100" w:type="dxa"/>
            <w:shd w:val="clear" w:color="auto" w:fill="D9E2F3"/>
            <w:tcMar>
              <w:top w:w="80" w:type="dxa"/>
              <w:left w:w="100" w:type="dxa"/>
              <w:bottom w:w="80" w:type="dxa"/>
              <w:right w:w="100" w:type="dxa"/>
            </w:tcMar>
            <w:vAlign w:val="center"/>
          </w:tcPr>
          <w:p w14:paraId="55B9624E" w14:textId="77777777" w:rsidR="00DA1AF7" w:rsidRDefault="00684366">
            <w:pPr>
              <w:spacing w:line="360" w:lineRule="auto"/>
            </w:pPr>
            <w:r>
              <w:rPr>
                <w:color w:val="000000"/>
                <w:sz w:val="19"/>
                <w:szCs w:val="19"/>
              </w:rPr>
              <w:t>Category 10 (password reuse)</w:t>
            </w:r>
          </w:p>
        </w:tc>
        <w:tc>
          <w:tcPr>
            <w:tcW w:w="2900" w:type="dxa"/>
            <w:shd w:val="clear" w:color="auto" w:fill="D9E2F3"/>
            <w:tcMar>
              <w:top w:w="80" w:type="dxa"/>
              <w:left w:w="100" w:type="dxa"/>
              <w:bottom w:w="80" w:type="dxa"/>
              <w:right w:w="100" w:type="dxa"/>
            </w:tcMar>
            <w:vAlign w:val="center"/>
          </w:tcPr>
          <w:p w14:paraId="55B9624F" w14:textId="77777777" w:rsidR="00DA1AF7" w:rsidRDefault="00684366">
            <w:pPr>
              <w:spacing w:line="360" w:lineRule="auto"/>
            </w:pPr>
            <w:r>
              <w:rPr>
                <w:color w:val="000000"/>
                <w:sz w:val="19"/>
                <w:szCs w:val="19"/>
              </w:rPr>
              <w:t xml:space="preserve">Authenticated as </w:t>
            </w:r>
            <w:proofErr w:type="spellStart"/>
            <w:r>
              <w:rPr>
                <w:color w:val="000000"/>
                <w:sz w:val="19"/>
                <w:szCs w:val="19"/>
              </w:rPr>
              <w:t>charles</w:t>
            </w:r>
            <w:proofErr w:type="spellEnd"/>
            <w:r>
              <w:rPr>
                <w:color w:val="000000"/>
                <w:sz w:val="19"/>
                <w:szCs w:val="19"/>
              </w:rPr>
              <w:t xml:space="preserve"> via </w:t>
            </w:r>
            <w:proofErr w:type="spellStart"/>
            <w:r>
              <w:rPr>
                <w:color w:val="000000"/>
                <w:sz w:val="19"/>
                <w:szCs w:val="19"/>
              </w:rPr>
              <w:t>su</w:t>
            </w:r>
            <w:proofErr w:type="spellEnd"/>
          </w:p>
        </w:tc>
        <w:tc>
          <w:tcPr>
            <w:tcW w:w="1500" w:type="dxa"/>
            <w:shd w:val="clear" w:color="auto" w:fill="D9E2F3"/>
            <w:tcMar>
              <w:top w:w="80" w:type="dxa"/>
              <w:left w:w="100" w:type="dxa"/>
              <w:bottom w:w="80" w:type="dxa"/>
              <w:right w:w="100" w:type="dxa"/>
            </w:tcMar>
            <w:vAlign w:val="center"/>
          </w:tcPr>
          <w:p w14:paraId="55B96250" w14:textId="77777777" w:rsidR="00DA1AF7" w:rsidRDefault="00684366">
            <w:pPr>
              <w:spacing w:line="360" w:lineRule="auto"/>
            </w:pPr>
            <w:r>
              <w:rPr>
                <w:color w:val="000000"/>
                <w:sz w:val="19"/>
                <w:szCs w:val="19"/>
              </w:rPr>
              <w:t>Fig. 5.4</w:t>
            </w:r>
          </w:p>
        </w:tc>
      </w:tr>
      <w:tr w:rsidR="00DA1AF7" w14:paraId="55B96257" w14:textId="77777777">
        <w:tc>
          <w:tcPr>
            <w:tcW w:w="1500" w:type="dxa"/>
            <w:tcMar>
              <w:top w:w="80" w:type="dxa"/>
              <w:left w:w="100" w:type="dxa"/>
              <w:bottom w:w="80" w:type="dxa"/>
              <w:right w:w="100" w:type="dxa"/>
            </w:tcMar>
            <w:vAlign w:val="center"/>
          </w:tcPr>
          <w:p w14:paraId="55B96252" w14:textId="77777777" w:rsidR="00DA1AF7" w:rsidRDefault="00684366">
            <w:pPr>
              <w:spacing w:line="360" w:lineRule="auto"/>
            </w:pPr>
            <w:r>
              <w:rPr>
                <w:color w:val="000000"/>
                <w:sz w:val="19"/>
                <w:szCs w:val="19"/>
              </w:rPr>
              <w:lastRenderedPageBreak/>
              <w:t>Privilege escalation</w:t>
            </w:r>
          </w:p>
        </w:tc>
        <w:tc>
          <w:tcPr>
            <w:tcW w:w="1400" w:type="dxa"/>
            <w:tcMar>
              <w:top w:w="80" w:type="dxa"/>
              <w:left w:w="100" w:type="dxa"/>
              <w:bottom w:w="80" w:type="dxa"/>
              <w:right w:w="100" w:type="dxa"/>
            </w:tcMar>
            <w:vAlign w:val="center"/>
          </w:tcPr>
          <w:p w14:paraId="55B96253" w14:textId="77777777" w:rsidR="00DA1AF7" w:rsidRDefault="00684366">
            <w:pPr>
              <w:spacing w:line="360" w:lineRule="auto"/>
            </w:pPr>
            <w:proofErr w:type="spellStart"/>
            <w:r>
              <w:rPr>
                <w:rFonts w:ascii="Cardo" w:eastAsia="Cardo" w:hAnsi="Cardo" w:cs="Cardo"/>
                <w:color w:val="000000"/>
                <w:sz w:val="19"/>
                <w:szCs w:val="19"/>
              </w:rPr>
              <w:t>charles</w:t>
            </w:r>
            <w:proofErr w:type="spellEnd"/>
            <w:r>
              <w:rPr>
                <w:rFonts w:ascii="Cardo" w:eastAsia="Cardo" w:hAnsi="Cardo" w:cs="Cardo"/>
                <w:color w:val="000000"/>
                <w:sz w:val="19"/>
                <w:szCs w:val="19"/>
              </w:rPr>
              <w:t xml:space="preserve"> → root</w:t>
            </w:r>
          </w:p>
        </w:tc>
        <w:tc>
          <w:tcPr>
            <w:tcW w:w="2100" w:type="dxa"/>
            <w:tcMar>
              <w:top w:w="80" w:type="dxa"/>
              <w:left w:w="100" w:type="dxa"/>
              <w:bottom w:w="80" w:type="dxa"/>
              <w:right w:w="100" w:type="dxa"/>
            </w:tcMar>
            <w:vAlign w:val="center"/>
          </w:tcPr>
          <w:p w14:paraId="55B96254" w14:textId="77777777" w:rsidR="00DA1AF7" w:rsidRDefault="00684366">
            <w:pPr>
              <w:spacing w:line="360" w:lineRule="auto"/>
            </w:pPr>
            <w:r>
              <w:rPr>
                <w:color w:val="000000"/>
                <w:sz w:val="19"/>
                <w:szCs w:val="19"/>
              </w:rPr>
              <w:t>Category 1 (</w:t>
            </w:r>
            <w:proofErr w:type="spellStart"/>
            <w:r>
              <w:rPr>
                <w:color w:val="000000"/>
                <w:sz w:val="19"/>
                <w:szCs w:val="19"/>
              </w:rPr>
              <w:t>sudo</w:t>
            </w:r>
            <w:proofErr w:type="spellEnd"/>
            <w:r>
              <w:rPr>
                <w:color w:val="000000"/>
                <w:sz w:val="19"/>
                <w:szCs w:val="19"/>
              </w:rPr>
              <w:t>/</w:t>
            </w:r>
            <w:proofErr w:type="spellStart"/>
            <w:r>
              <w:rPr>
                <w:color w:val="000000"/>
                <w:sz w:val="19"/>
                <w:szCs w:val="19"/>
              </w:rPr>
              <w:t>GTFOBins</w:t>
            </w:r>
            <w:proofErr w:type="spellEnd"/>
            <w:r>
              <w:rPr>
                <w:color w:val="000000"/>
                <w:sz w:val="19"/>
                <w:szCs w:val="19"/>
              </w:rPr>
              <w:t xml:space="preserve"> – teehee)</w:t>
            </w:r>
          </w:p>
        </w:tc>
        <w:tc>
          <w:tcPr>
            <w:tcW w:w="2900" w:type="dxa"/>
            <w:tcMar>
              <w:top w:w="80" w:type="dxa"/>
              <w:left w:w="100" w:type="dxa"/>
              <w:bottom w:w="80" w:type="dxa"/>
              <w:right w:w="100" w:type="dxa"/>
            </w:tcMar>
            <w:vAlign w:val="center"/>
          </w:tcPr>
          <w:p w14:paraId="55B96255" w14:textId="77777777" w:rsidR="00DA1AF7" w:rsidRDefault="00684366">
            <w:pPr>
              <w:spacing w:line="360" w:lineRule="auto"/>
            </w:pPr>
            <w:proofErr w:type="spellStart"/>
            <w:r>
              <w:rPr>
                <w:color w:val="000000"/>
                <w:sz w:val="19"/>
                <w:szCs w:val="19"/>
              </w:rPr>
              <w:t>apexroot</w:t>
            </w:r>
            <w:proofErr w:type="spellEnd"/>
            <w:r>
              <w:rPr>
                <w:color w:val="000000"/>
                <w:sz w:val="19"/>
                <w:szCs w:val="19"/>
              </w:rPr>
              <w:t xml:space="preserve"> (UID/GID 0) added to /etc/passwd; verified root shell</w:t>
            </w:r>
          </w:p>
        </w:tc>
        <w:tc>
          <w:tcPr>
            <w:tcW w:w="1500" w:type="dxa"/>
            <w:tcMar>
              <w:top w:w="80" w:type="dxa"/>
              <w:left w:w="100" w:type="dxa"/>
              <w:bottom w:w="80" w:type="dxa"/>
              <w:right w:w="100" w:type="dxa"/>
            </w:tcMar>
            <w:vAlign w:val="center"/>
          </w:tcPr>
          <w:p w14:paraId="55B96256" w14:textId="77777777" w:rsidR="00DA1AF7" w:rsidRDefault="00684366">
            <w:pPr>
              <w:spacing w:line="360" w:lineRule="auto"/>
            </w:pPr>
            <w:r>
              <w:rPr>
                <w:color w:val="000000"/>
                <w:sz w:val="19"/>
                <w:szCs w:val="19"/>
              </w:rPr>
              <w:t>Fig. 5.6</w:t>
            </w:r>
          </w:p>
        </w:tc>
      </w:tr>
    </w:tbl>
    <w:p w14:paraId="55B96258" w14:textId="77777777" w:rsidR="00DA1AF7" w:rsidRDefault="00684366">
      <w:pPr>
        <w:spacing w:before="160" w:after="40" w:line="360" w:lineRule="auto"/>
        <w:jc w:val="center"/>
      </w:pPr>
      <w:r>
        <w:rPr>
          <w:noProof/>
        </w:rPr>
        <w:drawing>
          <wp:inline distT="0" distB="0" distL="114300" distR="114300" wp14:anchorId="55B96339" wp14:editId="55B9633A">
            <wp:extent cx="5486400" cy="2733789"/>
            <wp:effectExtent l="0" t="0" r="0" b="0"/>
            <wp:docPr id="2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4"/>
                    <a:srcRect/>
                    <a:stretch>
                      <a:fillRect/>
                    </a:stretch>
                  </pic:blipFill>
                  <pic:spPr>
                    <a:xfrm>
                      <a:off x="0" y="0"/>
                      <a:ext cx="5486400" cy="2733789"/>
                    </a:xfrm>
                    <a:prstGeom prst="rect">
                      <a:avLst/>
                    </a:prstGeom>
                    <a:ln/>
                  </pic:spPr>
                </pic:pic>
              </a:graphicData>
            </a:graphic>
          </wp:inline>
        </w:drawing>
      </w:r>
    </w:p>
    <w:p w14:paraId="55B96259" w14:textId="77777777" w:rsidR="00DA1AF7" w:rsidRDefault="00684366">
      <w:pPr>
        <w:spacing w:before="60" w:after="240" w:line="360" w:lineRule="auto"/>
        <w:jc w:val="center"/>
      </w:pPr>
      <w:r>
        <w:rPr>
          <w:i/>
          <w:iCs/>
          <w:sz w:val="20"/>
          <w:szCs w:val="20"/>
        </w:rPr>
        <w:t>Figure 5.7. The case study evidence chain as a single timeline, from initial SSH access as '</w:t>
      </w:r>
      <w:proofErr w:type="spellStart"/>
      <w:r>
        <w:rPr>
          <w:i/>
          <w:iCs/>
          <w:sz w:val="20"/>
          <w:szCs w:val="20"/>
        </w:rPr>
        <w:t>jim</w:t>
      </w:r>
      <w:proofErr w:type="spellEnd"/>
      <w:r>
        <w:rPr>
          <w:i/>
          <w:iCs/>
          <w:sz w:val="20"/>
          <w:szCs w:val="20"/>
        </w:rPr>
        <w:t>' to independently verified root as '</w:t>
      </w:r>
      <w:proofErr w:type="spellStart"/>
      <w:r>
        <w:rPr>
          <w:i/>
          <w:iCs/>
          <w:sz w:val="20"/>
          <w:szCs w:val="20"/>
        </w:rPr>
        <w:t>apexroot</w:t>
      </w:r>
      <w:proofErr w:type="spellEnd"/>
      <w:r>
        <w:rPr>
          <w:i/>
          <w:iCs/>
          <w:sz w:val="20"/>
          <w:szCs w:val="20"/>
        </w:rPr>
        <w:t>'.</w:t>
      </w:r>
    </w:p>
    <w:p w14:paraId="55B9625A" w14:textId="77777777" w:rsidR="00DA1AF7" w:rsidRDefault="00684366">
      <w:pPr>
        <w:spacing w:after="160" w:line="360" w:lineRule="auto"/>
        <w:jc w:val="both"/>
      </w:pPr>
      <w:r>
        <w:rPr>
          <w:sz w:val="22"/>
          <w:szCs w:val="22"/>
        </w:rPr>
        <w:t>Figure 5.7 shows the same evidence chain as a single visual timeline, from the initial SSH session as '</w:t>
      </w:r>
      <w:proofErr w:type="spellStart"/>
      <w:r>
        <w:rPr>
          <w:sz w:val="22"/>
          <w:szCs w:val="22"/>
        </w:rPr>
        <w:t>jim</w:t>
      </w:r>
      <w:proofErr w:type="spellEnd"/>
      <w:r>
        <w:rPr>
          <w:sz w:val="22"/>
          <w:szCs w:val="22"/>
        </w:rPr>
        <w:t>' to the independently verified root shell as '</w:t>
      </w:r>
      <w:proofErr w:type="spellStart"/>
      <w:r>
        <w:rPr>
          <w:sz w:val="22"/>
          <w:szCs w:val="22"/>
        </w:rPr>
        <w:t>apexroot</w:t>
      </w:r>
      <w:proofErr w:type="spellEnd"/>
      <w:r>
        <w:rPr>
          <w:sz w:val="22"/>
          <w:szCs w:val="22"/>
        </w:rPr>
        <w:t>', with the acting account labelled at each stage. Read with Table 5.1, it highlights a point easily lost in the phase-by-phase output of Sections 5.2 to 5.5: the case study is a two-account chain, not a single-account escalation, and APEX's reasoning was itself split across two tool invocations, linked only by the tester's manual '</w:t>
      </w:r>
      <w:proofErr w:type="spellStart"/>
      <w:r>
        <w:rPr>
          <w:sz w:val="22"/>
          <w:szCs w:val="22"/>
        </w:rPr>
        <w:t>su</w:t>
      </w:r>
      <w:proofErr w:type="spellEnd"/>
      <w:r>
        <w:rPr>
          <w:sz w:val="22"/>
          <w:szCs w:val="22"/>
        </w:rPr>
        <w:t>' step, a limitation revisited in Sections 6.5 and 7.</w:t>
      </w:r>
    </w:p>
    <w:p w14:paraId="55B9625B" w14:textId="77777777" w:rsidR="00DA1AF7" w:rsidRDefault="00684366">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5.7 Discussion Against the Research Questions</w:t>
      </w:r>
    </w:p>
    <w:p w14:paraId="55B9625C" w14:textId="77777777" w:rsidR="00DA1AF7" w:rsidRDefault="00684366">
      <w:pPr>
        <w:spacing w:after="160" w:line="360" w:lineRule="auto"/>
        <w:jc w:val="both"/>
        <w:rPr>
          <w:sz w:val="22"/>
          <w:szCs w:val="22"/>
        </w:rPr>
      </w:pPr>
      <w:r>
        <w:rPr>
          <w:sz w:val="22"/>
          <w:szCs w:val="22"/>
        </w:rPr>
        <w:t xml:space="preserve">For RQ1, the case study shows raw enumeration evidence, including SUID listings, </w:t>
      </w:r>
      <w:proofErr w:type="spellStart"/>
      <w:r>
        <w:rPr>
          <w:sz w:val="22"/>
          <w:szCs w:val="22"/>
        </w:rPr>
        <w:t>sudo</w:t>
      </w:r>
      <w:proofErr w:type="spellEnd"/>
      <w:r>
        <w:rPr>
          <w:sz w:val="22"/>
          <w:szCs w:val="22"/>
        </w:rPr>
        <w:t xml:space="preserve"> rules, kernel version data and mail-spool contents, was converted into distinct, categorised candidates with recorded prerequisites, and that the framework distinguished categories where no automated module applied (credential exposure) from those where one did (</w:t>
      </w:r>
      <w:proofErr w:type="spellStart"/>
      <w:r>
        <w:rPr>
          <w:sz w:val="22"/>
          <w:szCs w:val="22"/>
        </w:rPr>
        <w:t>sudo</w:t>
      </w:r>
      <w:proofErr w:type="spellEnd"/>
      <w:r>
        <w:rPr>
          <w:sz w:val="22"/>
          <w:szCs w:val="22"/>
        </w:rPr>
        <w:t>/</w:t>
      </w:r>
      <w:proofErr w:type="spellStart"/>
      <w:r>
        <w:rPr>
          <w:sz w:val="22"/>
          <w:szCs w:val="22"/>
        </w:rPr>
        <w:t>GTFOBins</w:t>
      </w:r>
      <w:proofErr w:type="spellEnd"/>
      <w:r>
        <w:rPr>
          <w:sz w:val="22"/>
          <w:szCs w:val="22"/>
        </w:rPr>
        <w:t xml:space="preserve"> abuse). The 62 findings at the end of Phase 4 (Figure 5.3) show the enumeration and normalisation stages in Sections 3.2 and 3.3 scale to a realistic volume on a single host without the prerequisite checking collapsing into an unm</w:t>
      </w:r>
      <w:r>
        <w:rPr>
          <w:sz w:val="22"/>
          <w:szCs w:val="22"/>
        </w:rPr>
        <w:t>anageable list.</w:t>
      </w:r>
    </w:p>
    <w:p w14:paraId="55B9625D" w14:textId="77777777" w:rsidR="00DA1AF7" w:rsidRDefault="00684366">
      <w:pPr>
        <w:spacing w:after="160" w:line="360" w:lineRule="auto"/>
        <w:jc w:val="both"/>
        <w:rPr>
          <w:sz w:val="22"/>
          <w:szCs w:val="22"/>
        </w:rPr>
      </w:pPr>
      <w:r>
        <w:rPr>
          <w:sz w:val="22"/>
          <w:szCs w:val="22"/>
        </w:rPr>
        <w:lastRenderedPageBreak/>
        <w:t>For RQ3, the run shows reliable execution and verification in both directions: APEX did not over-claim success, reporting "root not obtained" after the first three automated attempts against '</w:t>
      </w:r>
      <w:proofErr w:type="spellStart"/>
      <w:r>
        <w:rPr>
          <w:sz w:val="22"/>
          <w:szCs w:val="22"/>
        </w:rPr>
        <w:t>jim</w:t>
      </w:r>
      <w:proofErr w:type="spellEnd"/>
      <w:r>
        <w:rPr>
          <w:sz w:val="22"/>
          <w:szCs w:val="22"/>
        </w:rPr>
        <w:t>' failed, and reporting "ROOT obtained" only once the effective identity had truly changed via the 'teehee' write primitive. Showing both the negative and positive verification results is stronger evidence than a run that only ever succeeded.</w:t>
      </w:r>
    </w:p>
    <w:p w14:paraId="55B9625E" w14:textId="77777777" w:rsidR="00DA1AF7" w:rsidRDefault="00684366">
      <w:pPr>
        <w:spacing w:after="160" w:line="360" w:lineRule="auto"/>
        <w:jc w:val="both"/>
        <w:rPr>
          <w:sz w:val="22"/>
          <w:szCs w:val="22"/>
        </w:rPr>
      </w:pPr>
      <w:r>
        <w:rPr>
          <w:sz w:val="22"/>
          <w:szCs w:val="22"/>
        </w:rPr>
        <w:t xml:space="preserve">RQ2 and RQ4 concern ranking quality and comparative performance across scenarios and cannot be answered responsibly from one case study: a single run cannot distinguish a well-calibrated model from a lucky ordering, nor give a meaningful average time-to-root against a manual baseline. Toward RQ2 the case study contributes qualitatively: the </w:t>
      </w:r>
      <w:proofErr w:type="spellStart"/>
      <w:r>
        <w:rPr>
          <w:sz w:val="22"/>
          <w:szCs w:val="22"/>
        </w:rPr>
        <w:t>sudo</w:t>
      </w:r>
      <w:proofErr w:type="spellEnd"/>
      <w:r>
        <w:rPr>
          <w:sz w:val="22"/>
          <w:szCs w:val="22"/>
        </w:rPr>
        <w:t>/</w:t>
      </w:r>
      <w:proofErr w:type="spellStart"/>
      <w:r>
        <w:rPr>
          <w:sz w:val="22"/>
          <w:szCs w:val="22"/>
        </w:rPr>
        <w:t>GTFOBins</w:t>
      </w:r>
      <w:proofErr w:type="spellEnd"/>
      <w:r>
        <w:rPr>
          <w:sz w:val="22"/>
          <w:szCs w:val="22"/>
        </w:rPr>
        <w:t xml:space="preserve"> candidate that succeeded was scored highly in Table 3.1 for complete prerequisites, directly observed evidence and low dependency count, but confirming this on average needs the wider test set. This is why the systematic evaluation is presented as unfinished in Section 5.9.</w:t>
      </w:r>
    </w:p>
    <w:p w14:paraId="55B9625F" w14:textId="77777777" w:rsidR="00DA1AF7" w:rsidRDefault="00684366">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5.8 Report Content in Detail</w:t>
      </w:r>
    </w:p>
    <w:p w14:paraId="55B96260" w14:textId="77777777" w:rsidR="00DA1AF7" w:rsidRDefault="00684366">
      <w:pPr>
        <w:spacing w:after="160" w:line="360" w:lineRule="auto"/>
        <w:jc w:val="both"/>
      </w:pPr>
      <w:r>
        <w:rPr>
          <w:sz w:val="22"/>
          <w:szCs w:val="22"/>
        </w:rPr>
        <w:t xml:space="preserve">The explainability required in Sections 3.4 and 4.3 is the project's core contribution, so it is worth detailing what the reports in Figure 5.3 and Table B.1 contain beyond the console output. Each report opens with a run description: target id, timestamp, effective account at the start, and the execution profile used. This is followed by a findings section listing all evidence gathered during enumeration, including items not promoted to scored candidates, each marked with its category and, where relevant, </w:t>
      </w:r>
      <w:r>
        <w:rPr>
          <w:sz w:val="22"/>
          <w:szCs w:val="22"/>
        </w:rPr>
        <w:t>why it was excluded.</w:t>
      </w:r>
    </w:p>
    <w:p w14:paraId="55B96261" w14:textId="77777777" w:rsidR="00DA1AF7" w:rsidRDefault="00684366">
      <w:pPr>
        <w:spacing w:after="160" w:line="360" w:lineRule="auto"/>
        <w:jc w:val="both"/>
      </w:pPr>
      <w:r>
        <w:rPr>
          <w:sz w:val="22"/>
          <w:szCs w:val="22"/>
        </w:rPr>
        <w:t xml:space="preserve">The findings section is followed by a ranked candidate table showing every candidate that passed verification, its computed score and the factor values from Table 3.1, so the ranking can be audited rather than taken on trust. For each candidate attempted, an attempt log records the evidence used, the outcome and any error, then the verification result. The report closes with a plain-language summary stating whether a verified privileged context was achieved and by what technique. This is why the line "ROOT </w:t>
      </w:r>
      <w:r>
        <w:rPr>
          <w:sz w:val="22"/>
          <w:szCs w:val="22"/>
        </w:rPr>
        <w:t xml:space="preserve">OBTAINED via </w:t>
      </w:r>
      <w:proofErr w:type="spellStart"/>
      <w:r>
        <w:rPr>
          <w:sz w:val="22"/>
          <w:szCs w:val="22"/>
        </w:rPr>
        <w:t>WRITE_</w:t>
      </w:r>
      <w:proofErr w:type="gramStart"/>
      <w:r>
        <w:rPr>
          <w:sz w:val="22"/>
          <w:szCs w:val="22"/>
        </w:rPr>
        <w:t>PRIM:teehee</w:t>
      </w:r>
      <w:proofErr w:type="spellEnd"/>
      <w:proofErr w:type="gramEnd"/>
      <w:r>
        <w:rPr>
          <w:sz w:val="22"/>
          <w:szCs w:val="22"/>
        </w:rPr>
        <w:t>" could be read straight from the report rather than reconstructed from the console log.</w:t>
      </w:r>
    </w:p>
    <w:p w14:paraId="55B96262" w14:textId="77777777" w:rsidR="00DA1AF7" w:rsidRDefault="00684366">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5.9 Status of the Planned Systematic Evaluation</w:t>
      </w:r>
    </w:p>
    <w:p w14:paraId="55B96263" w14:textId="77777777" w:rsidR="00DA1AF7" w:rsidRDefault="00684366">
      <w:pPr>
        <w:spacing w:after="160" w:line="360" w:lineRule="auto"/>
        <w:jc w:val="both"/>
      </w:pPr>
      <w:r>
        <w:rPr>
          <w:sz w:val="22"/>
          <w:szCs w:val="22"/>
        </w:rPr>
        <w:t>The Chapter 3 methodology required evaluation over a defined set of scenarios using the criteria in Section 3.6: detection rate, ranking quality, execution success, verification accuracy, time to verified result, attempt efficiency and explainability. At the time of writing, only the scenario above had been completed and documented in detail. The instrumentation needed to measure it, the phased logging and report generation in Figures 5.2-5.5, is already implemented and produces the raw data the Section 3.6</w:t>
      </w:r>
      <w:r>
        <w:rPr>
          <w:sz w:val="22"/>
          <w:szCs w:val="22"/>
        </w:rPr>
        <w:t xml:space="preserve"> metrics need, so </w:t>
      </w:r>
      <w:r>
        <w:rPr>
          <w:sz w:val="22"/>
          <w:szCs w:val="22"/>
        </w:rPr>
        <w:lastRenderedPageBreak/>
        <w:t>extending the case study into the full evaluation is the immediate next step rather than speculative future work.</w:t>
      </w:r>
    </w:p>
    <w:p w14:paraId="55B96264" w14:textId="77777777" w:rsidR="00DA1AF7" w:rsidRDefault="00684366">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5.10 Threats to Validity</w:t>
      </w:r>
    </w:p>
    <w:p w14:paraId="55B96265" w14:textId="77777777" w:rsidR="00DA1AF7" w:rsidRDefault="00684366">
      <w:pPr>
        <w:spacing w:after="160" w:line="360" w:lineRule="auto"/>
        <w:jc w:val="both"/>
        <w:rPr>
          <w:sz w:val="22"/>
          <w:szCs w:val="22"/>
        </w:rPr>
      </w:pPr>
      <w:r>
        <w:rPr>
          <w:sz w:val="22"/>
          <w:szCs w:val="22"/>
        </w:rPr>
        <w:t>Three threats to validity apply to the data in this chapter. The first is a single-scenario threat: with only one target fully documented, this report alone cannot show whether the DC-4-style scenario is representative of Linux escalation targets in general or happens to be unusually favourable to APEX's current rule set. The comprehensive evaluation in Section 5.9 is the direct response.</w:t>
      </w:r>
    </w:p>
    <w:p w14:paraId="55B96266" w14:textId="77777777" w:rsidR="00DA1AF7" w:rsidRDefault="00684366">
      <w:pPr>
        <w:spacing w:after="160" w:line="360" w:lineRule="auto"/>
        <w:jc w:val="both"/>
        <w:rPr>
          <w:sz w:val="22"/>
          <w:szCs w:val="22"/>
        </w:rPr>
      </w:pPr>
      <w:r>
        <w:rPr>
          <w:sz w:val="22"/>
          <w:szCs w:val="22"/>
        </w:rPr>
        <w:t>Second is an experimenter-effect threat: the same person built the rule base, ran the case study and wrote up the results, risking unconscious bias, for example in which console output was featured. This was mitigated by showing the full, unedited run progression, including the failed automated attempts in Figure 5.3, rather than curating only successful steps. Even so, independent replication would be stronger evidence.</w:t>
      </w:r>
    </w:p>
    <w:p w14:paraId="55B96267" w14:textId="77777777" w:rsidR="00DA1AF7" w:rsidRDefault="00684366">
      <w:pPr>
        <w:spacing w:after="160" w:line="360" w:lineRule="auto"/>
        <w:jc w:val="both"/>
      </w:pPr>
      <w:r>
        <w:rPr>
          <w:sz w:val="22"/>
          <w:szCs w:val="22"/>
        </w:rPr>
        <w:t xml:space="preserve">Third is a scope threat: the target was an old, intentionally vulnerable training host running a 32-bit 2017 kernel. Its findings may not generalise cleanly to modern, hardened distributions, where several categories in Table 4.1 are less routinely misconfigured by default. This follows from the scope decision in Section 1.5 to test against training-oriented </w:t>
      </w:r>
      <w:proofErr w:type="gramStart"/>
      <w:r>
        <w:rPr>
          <w:sz w:val="22"/>
          <w:szCs w:val="22"/>
        </w:rPr>
        <w:t>hosts, and</w:t>
      </w:r>
      <w:proofErr w:type="gramEnd"/>
      <w:r>
        <w:rPr>
          <w:sz w:val="22"/>
          <w:szCs w:val="22"/>
        </w:rPr>
        <w:t xml:space="preserve"> is one reason the systematic evaluation describes a set of scenarios rather than a single target.</w:t>
      </w:r>
    </w:p>
    <w:p w14:paraId="55B96268" w14:textId="77777777" w:rsidR="00DA1AF7" w:rsidRDefault="00684366">
      <w:pPr>
        <w:spacing w:after="160" w:line="360" w:lineRule="auto"/>
        <w:jc w:val="both"/>
      </w:pPr>
      <w:r>
        <w:rPr>
          <w:sz w:val="22"/>
          <w:szCs w:val="22"/>
        </w:rPr>
        <w:t xml:space="preserve">A fourth, less serious threat is tooling drift: APEX's technique rules were written for current, common versions of </w:t>
      </w:r>
      <w:proofErr w:type="spellStart"/>
      <w:r>
        <w:rPr>
          <w:sz w:val="22"/>
          <w:szCs w:val="22"/>
        </w:rPr>
        <w:t>sudo</w:t>
      </w:r>
      <w:proofErr w:type="spellEnd"/>
      <w:r>
        <w:rPr>
          <w:sz w:val="22"/>
          <w:szCs w:val="22"/>
        </w:rPr>
        <w:t xml:space="preserve">, </w:t>
      </w:r>
      <w:proofErr w:type="spellStart"/>
      <w:r>
        <w:rPr>
          <w:sz w:val="22"/>
          <w:szCs w:val="22"/>
        </w:rPr>
        <w:t>systemd</w:t>
      </w:r>
      <w:proofErr w:type="spellEnd"/>
      <w:r>
        <w:rPr>
          <w:sz w:val="22"/>
          <w:szCs w:val="22"/>
        </w:rPr>
        <w:t xml:space="preserve"> and </w:t>
      </w:r>
      <w:proofErr w:type="spellStart"/>
      <w:r>
        <w:rPr>
          <w:sz w:val="22"/>
          <w:szCs w:val="22"/>
        </w:rPr>
        <w:t>coreutils</w:t>
      </w:r>
      <w:proofErr w:type="spellEnd"/>
      <w:r>
        <w:rPr>
          <w:sz w:val="22"/>
          <w:szCs w:val="22"/>
        </w:rPr>
        <w:t xml:space="preserve">, and some </w:t>
      </w:r>
      <w:proofErr w:type="spellStart"/>
      <w:r>
        <w:rPr>
          <w:sz w:val="22"/>
          <w:szCs w:val="22"/>
        </w:rPr>
        <w:t>GTFOBins</w:t>
      </w:r>
      <w:proofErr w:type="spellEnd"/>
      <w:r>
        <w:rPr>
          <w:sz w:val="22"/>
          <w:szCs w:val="22"/>
        </w:rPr>
        <w:t>-derived checks depend on command output formats that have changed between distribution releases. The case study relied on no version-specific peculiarity, so this is a maintenance risk rather than a threat to validity; keeping the rule base accurate would require periodically rechecking it against newer tool versions.</w:t>
      </w:r>
    </w:p>
    <w:p w14:paraId="55B96269" w14:textId="77777777" w:rsidR="00DA1AF7" w:rsidRDefault="00684366">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5.11 Reflection on the Results Chapter</w:t>
      </w:r>
    </w:p>
    <w:p w14:paraId="55B9626A" w14:textId="77777777" w:rsidR="00DA1AF7" w:rsidRDefault="00684366">
      <w:pPr>
        <w:spacing w:after="160" w:line="360" w:lineRule="auto"/>
        <w:jc w:val="both"/>
      </w:pPr>
      <w:r>
        <w:rPr>
          <w:sz w:val="22"/>
          <w:szCs w:val="22"/>
        </w:rPr>
        <w:t>Reviewing this chapter suggests two changes before the systematic evaluation is run. First, the Section 3.6 metrics would benefit from automatic logging in a machine-readable format rather than only the human-readable reports, which aid explainability but are tedious to summarise by hand. Second, the case study shows a realistic assessment can span more than one account and category in a single run, so the per-scenario ground truth in Section 3.1 should record the full expected chain (as in Table 5.1) rathe</w:t>
      </w:r>
      <w:r>
        <w:rPr>
          <w:sz w:val="22"/>
          <w:szCs w:val="22"/>
        </w:rPr>
        <w:t>r than a single technique.</w:t>
      </w:r>
    </w:p>
    <w:p w14:paraId="55B9626B" w14:textId="77777777" w:rsidR="00DA1AF7" w:rsidRDefault="00684366">
      <w:pPr>
        <w:pStyle w:val="Heading1"/>
        <w:spacing w:before="480" w:after="160" w:line="360" w:lineRule="auto"/>
        <w:rPr>
          <w:rFonts w:ascii="Times New Roman" w:eastAsia="Times New Roman" w:hAnsi="Times New Roman" w:cs="Times New Roman"/>
        </w:rPr>
      </w:pPr>
      <w:r>
        <w:rPr>
          <w:rFonts w:ascii="Times New Roman" w:eastAsia="Times New Roman" w:hAnsi="Times New Roman" w:cs="Times New Roman"/>
          <w:b/>
          <w:bCs/>
          <w:color w:val="000000"/>
        </w:rPr>
        <w:t>CHAPTER 6: REFLECTION</w:t>
      </w:r>
    </w:p>
    <w:p w14:paraId="55B9626C" w14:textId="77777777" w:rsidR="00DA1AF7" w:rsidRDefault="00684366">
      <w:pPr>
        <w:spacing w:after="160" w:line="360" w:lineRule="auto"/>
        <w:jc w:val="both"/>
      </w:pPr>
      <w:r>
        <w:rPr>
          <w:sz w:val="22"/>
          <w:szCs w:val="22"/>
        </w:rPr>
        <w:lastRenderedPageBreak/>
        <w:t>This chapter reflects on planning, building, testing and documenting the project. It is written in the first person because it concerns my own judgments, mistakes and learning rather than the framework itself.</w:t>
      </w:r>
    </w:p>
    <w:p w14:paraId="55B9626D" w14:textId="77777777" w:rsidR="00DA1AF7" w:rsidRDefault="00684366">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6.1 Motivation and Initial Direction</w:t>
      </w:r>
    </w:p>
    <w:p w14:paraId="55B9626E" w14:textId="77777777" w:rsidR="00DA1AF7" w:rsidRDefault="00684366">
      <w:pPr>
        <w:spacing w:after="160" w:line="360" w:lineRule="auto"/>
        <w:jc w:val="both"/>
        <w:rPr>
          <w:sz w:val="22"/>
          <w:szCs w:val="22"/>
        </w:rPr>
      </w:pPr>
      <w:r>
        <w:rPr>
          <w:sz w:val="22"/>
          <w:szCs w:val="22"/>
        </w:rPr>
        <w:t>The project grew from a frustration while practising Linux privilege escalation on training platforms: running an enumeration script was fast, but working out which highlighted lines mattered was slow, and deciding what to try first rarely felt systematic. The literature review showed enumeration was already well served by mature tools such as PEASS-ng, and that the less well-covered problem was the decision layer between enumeration and exploitation. Reframing the project around that layer was the single m</w:t>
      </w:r>
      <w:r>
        <w:rPr>
          <w:sz w:val="22"/>
          <w:szCs w:val="22"/>
        </w:rPr>
        <w:t>ost important design decision.</w:t>
      </w:r>
    </w:p>
    <w:p w14:paraId="55B9626F" w14:textId="77777777" w:rsidR="00DA1AF7" w:rsidRDefault="00684366">
      <w:pPr>
        <w:spacing w:after="160" w:line="360" w:lineRule="auto"/>
        <w:jc w:val="both"/>
        <w:rPr>
          <w:sz w:val="22"/>
          <w:szCs w:val="22"/>
        </w:rPr>
      </w:pPr>
      <w:r>
        <w:rPr>
          <w:sz w:val="22"/>
          <w:szCs w:val="22"/>
        </w:rPr>
        <w:t>That reframing also changed what success would mean. Had the goal remained "build a better enumeration script", success would have meant coverage; once it became "make the decision layer explicit", success had to mean what Chapter 3 sets out: whether the tool's ranking and verification can be trusted, not just whether it finds things. This is why the Chapter 5 case study rests on a single, well-documented run rather than a list of shallower demonstrations.</w:t>
      </w:r>
    </w:p>
    <w:p w14:paraId="55B96270" w14:textId="77777777" w:rsidR="00DA1AF7" w:rsidRDefault="00684366">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6.2 Design Trade-offs</w:t>
      </w:r>
    </w:p>
    <w:p w14:paraId="55B96271" w14:textId="77777777" w:rsidR="00DA1AF7" w:rsidRDefault="00684366">
      <w:pPr>
        <w:spacing w:after="160" w:line="360" w:lineRule="auto"/>
        <w:jc w:val="both"/>
      </w:pPr>
      <w:r>
        <w:rPr>
          <w:sz w:val="22"/>
          <w:szCs w:val="22"/>
        </w:rPr>
        <w:t>Choosing a deterministic, rule-based engine over an LLM-driven agent was not obvious from the agentic work in Chapter 2, since LLM-based techniques seemed able to cope with situations my rule base could not foresee. I set that aside for three reasons: reproducibility mattered for an academic evaluation; cost and availability mattered for a tool meant to run against isolated targets lacking outbound Internet; and a deterministic system was more tractable in the time available. I see the LLM-assisted directio</w:t>
      </w:r>
      <w:r>
        <w:rPr>
          <w:sz w:val="22"/>
          <w:szCs w:val="22"/>
        </w:rPr>
        <w:t>n as a natural extension, discussed in Chapter 7.</w:t>
      </w:r>
    </w:p>
    <w:p w14:paraId="55B96272" w14:textId="77777777" w:rsidR="00DA1AF7" w:rsidRDefault="00684366">
      <w:pPr>
        <w:spacing w:after="160" w:line="360" w:lineRule="auto"/>
        <w:jc w:val="both"/>
        <w:rPr>
          <w:sz w:val="22"/>
          <w:szCs w:val="22"/>
        </w:rPr>
      </w:pPr>
      <w:r>
        <w:rPr>
          <w:sz w:val="22"/>
          <w:szCs w:val="22"/>
        </w:rPr>
        <w:t>The second trade-off was maintaining both a Python utility and a portable Bash bundle with the same logic, nearly doubling the effort per category: every rule was built and tested twice, once against Python's standard library and once against a POSIX shell with far weaker string and data handling. Keeping the two behaviourally identical was among the harder parts of the implementation, but I judged it worthwhile because the Chapter 5 case study depended on running the tool on a target with no Python 3.</w:t>
      </w:r>
    </w:p>
    <w:p w14:paraId="55B96273" w14:textId="77777777" w:rsidR="00DA1AF7" w:rsidRDefault="00684366">
      <w:pPr>
        <w:spacing w:after="160" w:line="360" w:lineRule="auto"/>
        <w:jc w:val="both"/>
        <w:rPr>
          <w:sz w:val="22"/>
          <w:szCs w:val="22"/>
        </w:rPr>
      </w:pPr>
      <w:r>
        <w:rPr>
          <w:sz w:val="22"/>
          <w:szCs w:val="22"/>
        </w:rPr>
        <w:t xml:space="preserve">A third, smaller trade-off was between a purely quantitative score and the verbose, explanation-heavy report structure in Section 4.3. A single number would have been easier to implement and compare, but I chose the verbose style because the research questions in Section 1.3 are explicitly about explainability, and a </w:t>
      </w:r>
      <w:r>
        <w:rPr>
          <w:sz w:val="22"/>
          <w:szCs w:val="22"/>
        </w:rPr>
        <w:lastRenderedPageBreak/>
        <w:t>bare number cannot answer "why was this candidate ranked here" the way the factor breakdown in Section 5.8 can. I would make the same choice again.</w:t>
      </w:r>
    </w:p>
    <w:p w14:paraId="55B96274" w14:textId="77777777" w:rsidR="00DA1AF7" w:rsidRDefault="00684366">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6.3 Challenges Encountered</w:t>
      </w:r>
    </w:p>
    <w:p w14:paraId="55B96275" w14:textId="77777777" w:rsidR="00DA1AF7" w:rsidRDefault="00684366">
      <w:pPr>
        <w:spacing w:after="160" w:line="360" w:lineRule="auto"/>
        <w:jc w:val="both"/>
      </w:pPr>
      <w:r>
        <w:rPr>
          <w:sz w:val="22"/>
          <w:szCs w:val="22"/>
        </w:rPr>
        <w:t xml:space="preserve">The hardest technical problem was trusting that the verification layer validated the right thing. In testing, pre-release modules treated a technique as successful whenever the initial command exited without error, which was unreliable: several </w:t>
      </w:r>
      <w:proofErr w:type="spellStart"/>
      <w:r>
        <w:rPr>
          <w:sz w:val="22"/>
          <w:szCs w:val="22"/>
        </w:rPr>
        <w:t>sudo</w:t>
      </w:r>
      <w:proofErr w:type="spellEnd"/>
      <w:r>
        <w:rPr>
          <w:sz w:val="22"/>
          <w:szCs w:val="22"/>
        </w:rPr>
        <w:t>-based techniques "succeeded" while leaving effective privilege unchanged. I rebuilt verification around an explicit before/after comparison of effective user and group context, and the negative verification result in Figure 5.3 is the evidence this now works.</w:t>
      </w:r>
    </w:p>
    <w:p w14:paraId="55B96276" w14:textId="77777777" w:rsidR="00DA1AF7" w:rsidRDefault="00684366">
      <w:pPr>
        <w:spacing w:after="160" w:line="360" w:lineRule="auto"/>
        <w:jc w:val="both"/>
        <w:rPr>
          <w:sz w:val="22"/>
          <w:szCs w:val="22"/>
        </w:rPr>
      </w:pPr>
      <w:r>
        <w:rPr>
          <w:sz w:val="22"/>
          <w:szCs w:val="22"/>
        </w:rPr>
        <w:t>The second challenge was more project management than code. I spent longer than planned on the scoring engine's weighting scheme, iterating on Table 3.1 before reaching a version I would defend, at the expense of time for the systematic evaluation. This is the direct reason Chapter 5 presents a single case study, a trade-off I would handle next time by fixing a simpler first version of the weights early.</w:t>
      </w:r>
    </w:p>
    <w:p w14:paraId="55B96277" w14:textId="77777777" w:rsidR="00DA1AF7" w:rsidRDefault="00684366">
      <w:pPr>
        <w:spacing w:after="160" w:line="360" w:lineRule="auto"/>
        <w:jc w:val="both"/>
        <w:rPr>
          <w:sz w:val="22"/>
          <w:szCs w:val="22"/>
        </w:rPr>
      </w:pPr>
      <w:r>
        <w:rPr>
          <w:sz w:val="22"/>
          <w:szCs w:val="22"/>
        </w:rPr>
        <w:t>Because the framework attempted active exploitation, working safely was a constant concern. All testing ran on a segregated network segment with a deliberately vulnerable, throwaway target, and I built the authorisation prompt and "FOR AUTHORIZED USE ONLY" banner from Section 4.4 into the bundle so the tool could not be run inadvertently against the wrong host.</w:t>
      </w:r>
    </w:p>
    <w:p w14:paraId="55B96278" w14:textId="77777777" w:rsidR="00DA1AF7" w:rsidRDefault="00684366">
      <w:pPr>
        <w:spacing w:after="160" w:line="360" w:lineRule="auto"/>
        <w:jc w:val="both"/>
        <w:rPr>
          <w:sz w:val="22"/>
          <w:szCs w:val="22"/>
        </w:rPr>
      </w:pPr>
      <w:r>
        <w:rPr>
          <w:sz w:val="22"/>
          <w:szCs w:val="22"/>
        </w:rPr>
        <w:t>Documentation discipline was a modest but recurring difficulty. The Python and Bash implementations must stay behaviourally consistent, and comments explaining a rule's rationale easily drifted out of sync when a rule changed in one but not the other. Keeping a single shared specification as the source of truth, with both codebases derived from it, would have reduced this friction, and is a process change I would make earliest.</w:t>
      </w:r>
    </w:p>
    <w:p w14:paraId="55B96279" w14:textId="77777777" w:rsidR="00DA1AF7" w:rsidRDefault="00684366">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6.4 Skills Developed</w:t>
      </w:r>
    </w:p>
    <w:p w14:paraId="55B9627A" w14:textId="77777777" w:rsidR="00DA1AF7" w:rsidRDefault="00684366">
      <w:pPr>
        <w:numPr>
          <w:ilvl w:val="0"/>
          <w:numId w:val="1"/>
        </w:numPr>
        <w:spacing w:after="80" w:line="360" w:lineRule="auto"/>
      </w:pPr>
      <w:r>
        <w:rPr>
          <w:sz w:val="22"/>
          <w:szCs w:val="22"/>
        </w:rPr>
        <w:t>The project developed several skills. Codifying each technique as a clear, testable rule gave me a deeper grasp of Linux privilege-escalation strategies than training-platform walkthroughs had. It also built software-engineering discipline in maintaining two related code bases (Python and POSIX shell) against a common specification with tests for both; more rigorous academic writing that distinguishes what a system is claimed to do from what has been shown, informing the framing of Chapter 5 and Section 5.9</w:t>
      </w:r>
      <w:r>
        <w:rPr>
          <w:sz w:val="22"/>
          <w:szCs w:val="22"/>
        </w:rPr>
        <w:t>; and evidence presentation, designing the Section 4.3 reports so a third party could reconstruct each decision without re-running the tool.</w:t>
      </w:r>
    </w:p>
    <w:p w14:paraId="55B9627B" w14:textId="77777777" w:rsidR="00DA1AF7" w:rsidRDefault="00DA1AF7">
      <w:pPr>
        <w:numPr>
          <w:ilvl w:val="0"/>
          <w:numId w:val="1"/>
        </w:numPr>
        <w:spacing w:after="80" w:line="360" w:lineRule="auto"/>
      </w:pPr>
    </w:p>
    <w:p w14:paraId="55B9627C" w14:textId="77777777" w:rsidR="00DA1AF7" w:rsidRDefault="00DA1AF7">
      <w:pPr>
        <w:numPr>
          <w:ilvl w:val="0"/>
          <w:numId w:val="1"/>
        </w:numPr>
        <w:pBdr>
          <w:top w:val="nil"/>
          <w:left w:val="nil"/>
          <w:bottom w:val="nil"/>
          <w:right w:val="nil"/>
          <w:between w:val="nil"/>
        </w:pBdr>
        <w:spacing w:after="80" w:line="360" w:lineRule="auto"/>
      </w:pPr>
    </w:p>
    <w:p w14:paraId="55B9627D" w14:textId="77777777" w:rsidR="00DA1AF7" w:rsidRDefault="00DA1AF7">
      <w:pPr>
        <w:numPr>
          <w:ilvl w:val="0"/>
          <w:numId w:val="1"/>
        </w:numPr>
        <w:pBdr>
          <w:top w:val="nil"/>
          <w:left w:val="nil"/>
          <w:bottom w:val="nil"/>
          <w:right w:val="nil"/>
          <w:between w:val="nil"/>
        </w:pBdr>
        <w:spacing w:after="80" w:line="360" w:lineRule="auto"/>
      </w:pPr>
    </w:p>
    <w:p w14:paraId="55B9627E" w14:textId="77777777" w:rsidR="00DA1AF7" w:rsidRDefault="00684366">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6.5 What I Would Do Differently</w:t>
      </w:r>
    </w:p>
    <w:p w14:paraId="55B9627F" w14:textId="77777777" w:rsidR="00DA1AF7" w:rsidRDefault="00684366">
      <w:pPr>
        <w:numPr>
          <w:ilvl w:val="0"/>
          <w:numId w:val="1"/>
        </w:numPr>
        <w:spacing w:after="80" w:line="360" w:lineRule="auto"/>
      </w:pPr>
      <w:r>
        <w:rPr>
          <w:sz w:val="22"/>
          <w:szCs w:val="22"/>
        </w:rPr>
        <w:t>Other changes I would make: create a simpler first-pass version of the scoring weights earlier and treat refining Table 3.1 as a later iteration; develop the systematic evaluation harness (Section 3.6) in parallel with the first exploitation modules, so each category was measured as soon as it was implemented; log outcomes from the start in a structured, machine-readable format to generate the Table 5.1 summary automatically; and begin shared-specification testing between the Python and Bash implementations</w:t>
      </w:r>
      <w:r>
        <w:rPr>
          <w:sz w:val="22"/>
          <w:szCs w:val="22"/>
        </w:rPr>
        <w:t xml:space="preserve"> earlier, when behavioural drift was easier to fix.</w:t>
      </w:r>
    </w:p>
    <w:p w14:paraId="55B96280" w14:textId="77777777" w:rsidR="00DA1AF7" w:rsidRDefault="00DA1AF7">
      <w:pPr>
        <w:numPr>
          <w:ilvl w:val="0"/>
          <w:numId w:val="1"/>
        </w:numPr>
        <w:spacing w:after="80" w:line="360" w:lineRule="auto"/>
      </w:pPr>
    </w:p>
    <w:p w14:paraId="55B96281" w14:textId="77777777" w:rsidR="00DA1AF7" w:rsidRDefault="00DA1AF7">
      <w:pPr>
        <w:numPr>
          <w:ilvl w:val="0"/>
          <w:numId w:val="1"/>
        </w:numPr>
        <w:spacing w:after="80" w:line="360" w:lineRule="auto"/>
      </w:pPr>
    </w:p>
    <w:p w14:paraId="55B96282" w14:textId="77777777" w:rsidR="00DA1AF7" w:rsidRDefault="00684366">
      <w:pPr>
        <w:numPr>
          <w:ilvl w:val="0"/>
          <w:numId w:val="1"/>
        </w:numPr>
        <w:spacing w:after="80" w:line="360" w:lineRule="auto"/>
      </w:pPr>
      <w:r>
        <w:rPr>
          <w:sz w:val="22"/>
          <w:szCs w:val="22"/>
        </w:rPr>
        <w:t>More generally, I would separate scoring-weight calibration from core-pipeline implementation earlier, since the two became entangled: every change to Table 3.1 required re-running the case study to check the ranking, a slow feedback loop for a numerical tuning problem. A small synthetic set of labelled candidates exercising the scoring function in isolation would have let me iterate far faster.</w:t>
      </w:r>
    </w:p>
    <w:p w14:paraId="55B96283" w14:textId="77777777" w:rsidR="00DA1AF7" w:rsidRDefault="00DA1AF7">
      <w:pPr>
        <w:numPr>
          <w:ilvl w:val="0"/>
          <w:numId w:val="1"/>
        </w:numPr>
        <w:pBdr>
          <w:top w:val="nil"/>
          <w:left w:val="nil"/>
          <w:bottom w:val="nil"/>
          <w:right w:val="nil"/>
          <w:between w:val="nil"/>
        </w:pBdr>
        <w:spacing w:after="80" w:line="360" w:lineRule="auto"/>
      </w:pPr>
    </w:p>
    <w:p w14:paraId="55B96284" w14:textId="77777777" w:rsidR="00DA1AF7" w:rsidRDefault="00684366">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6.6 Time Management and Project Planning</w:t>
      </w:r>
    </w:p>
    <w:p w14:paraId="55B96285" w14:textId="77777777" w:rsidR="00DA1AF7" w:rsidRDefault="00684366">
      <w:pPr>
        <w:spacing w:after="160" w:line="360" w:lineRule="auto"/>
        <w:jc w:val="both"/>
      </w:pPr>
      <w:r>
        <w:rPr>
          <w:sz w:val="22"/>
          <w:szCs w:val="22"/>
        </w:rPr>
        <w:t>Comparing my plan with what happened, the implementation phase took roughly the time allowed, but the balance shifted more than expected toward the scoring engine and keeping the Python and Bash implementations consistent, leaving less time for the evaluation. Running a few more scenarios earlier, in parallel with implementation, would have surfaced the issues in Section 6.3 sooner and left the evaluation more complete.</w:t>
      </w:r>
    </w:p>
    <w:p w14:paraId="55B96286" w14:textId="77777777" w:rsidR="00DA1AF7" w:rsidRDefault="00684366">
      <w:pPr>
        <w:spacing w:after="160" w:line="360" w:lineRule="auto"/>
        <w:jc w:val="both"/>
      </w:pPr>
      <w:r>
        <w:rPr>
          <w:sz w:val="22"/>
          <w:szCs w:val="22"/>
        </w:rPr>
        <w:t>I also underestimated the time to write this report, especially the Chapter 5 case study, which required cross-referencing console output, generated reports and screen recordings so every claim was traceable to specific evidence. I would allow more calendar time for this rather than treating report-writing as a final step.</w:t>
      </w:r>
    </w:p>
    <w:p w14:paraId="55B96287" w14:textId="77777777" w:rsidR="00DA1AF7" w:rsidRDefault="00684366">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6.7 Ethical Reflection</w:t>
      </w:r>
    </w:p>
    <w:p w14:paraId="55B96288" w14:textId="77777777" w:rsidR="00DA1AF7" w:rsidRDefault="00684366">
      <w:pPr>
        <w:spacing w:after="160" w:line="360" w:lineRule="auto"/>
        <w:jc w:val="both"/>
        <w:rPr>
          <w:sz w:val="22"/>
          <w:szCs w:val="22"/>
        </w:rPr>
      </w:pPr>
      <w:r>
        <w:rPr>
          <w:sz w:val="22"/>
          <w:szCs w:val="22"/>
        </w:rPr>
        <w:lastRenderedPageBreak/>
        <w:t>Building a tool that performs active, automated exploitation made me more aware than expected of the gap between "the technique is well known and publicly documented" and "it is acceptable to automate an attempt at it", which also needs authorisation, scope and a safe environment (Section 2.8). Early on I treated the authorisation prompt as a formality; after reading the NIST guidance more closely, I built it early, on the grounds that a research tool capable of real harm should make misuse harder by constr</w:t>
      </w:r>
      <w:r>
        <w:rPr>
          <w:sz w:val="22"/>
          <w:szCs w:val="22"/>
        </w:rPr>
        <w:t>uction, not just by instruction.</w:t>
      </w:r>
    </w:p>
    <w:p w14:paraId="55B96289" w14:textId="77777777" w:rsidR="00DA1AF7" w:rsidRDefault="00684366">
      <w:pPr>
        <w:spacing w:after="160" w:line="360" w:lineRule="auto"/>
        <w:jc w:val="both"/>
        <w:rPr>
          <w:sz w:val="22"/>
          <w:szCs w:val="22"/>
        </w:rPr>
      </w:pPr>
      <w:r>
        <w:rPr>
          <w:sz w:val="22"/>
          <w:szCs w:val="22"/>
        </w:rPr>
        <w:t xml:space="preserve">Writing the </w:t>
      </w:r>
      <w:proofErr w:type="spellStart"/>
      <w:r>
        <w:rPr>
          <w:sz w:val="22"/>
          <w:szCs w:val="22"/>
        </w:rPr>
        <w:t>sudo</w:t>
      </w:r>
      <w:proofErr w:type="spellEnd"/>
      <w:r>
        <w:rPr>
          <w:sz w:val="22"/>
          <w:szCs w:val="22"/>
        </w:rPr>
        <w:t>/</w:t>
      </w:r>
      <w:proofErr w:type="spellStart"/>
      <w:r>
        <w:rPr>
          <w:sz w:val="22"/>
          <w:szCs w:val="22"/>
        </w:rPr>
        <w:t>GTFOBins</w:t>
      </w:r>
      <w:proofErr w:type="spellEnd"/>
      <w:r>
        <w:rPr>
          <w:sz w:val="22"/>
          <w:szCs w:val="22"/>
        </w:rPr>
        <w:t xml:space="preserve"> discussion in Section 5.5 and the appendix, I was conscious of the difference between documenting what a screenshot from my own authorised run shows, which I consider reasonable academic reporting, and publishing a generalised how-to guide, which I avoided: the report describes what APEX did on a specific, disposable training target rather than a tutorial. This is a judgment call, and I would welcome supervisory feedback on where that line should sit.</w:t>
      </w:r>
    </w:p>
    <w:p w14:paraId="55B9628A" w14:textId="77777777" w:rsidR="00DA1AF7" w:rsidRDefault="00684366">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6.8 Statement on the Use of AI-Assisted Tools</w:t>
      </w:r>
    </w:p>
    <w:p w14:paraId="55B9628B" w14:textId="77777777" w:rsidR="00DA1AF7" w:rsidRDefault="00684366">
      <w:pPr>
        <w:spacing w:after="160" w:line="360" w:lineRule="auto"/>
        <w:jc w:val="both"/>
      </w:pPr>
      <w:r>
        <w:rPr>
          <w:sz w:val="22"/>
          <w:szCs w:val="22"/>
        </w:rPr>
        <w:t>Consistent with accepted academic practice on declaring AI-assisted work, I confirm that all system design, rule logic, code, testing and the underlying case-study evidence are my own work produced during this research. Generative AI tools were used in a supporting role: editing and reorganising my own notes into prose, suggesting clearer presentation of tables and diagrams, and proofreading. The figures, table entries and cited tool outputs in Chapters 4 and 5 and the appendices come from my own implementa</w:t>
      </w:r>
      <w:r>
        <w:rPr>
          <w:sz w:val="22"/>
          <w:szCs w:val="22"/>
        </w:rPr>
        <w:t>tion, test runs and recordings, not manufactured results.</w:t>
      </w:r>
    </w:p>
    <w:p w14:paraId="55B9628C" w14:textId="77777777" w:rsidR="00DA1AF7" w:rsidRDefault="00684366">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6.9 Overall Reflection</w:t>
      </w:r>
    </w:p>
    <w:p w14:paraId="55B9628D" w14:textId="77777777" w:rsidR="00DA1AF7" w:rsidRDefault="00684366">
      <w:pPr>
        <w:spacing w:after="160" w:line="360" w:lineRule="auto"/>
        <w:jc w:val="both"/>
      </w:pPr>
      <w:r>
        <w:rPr>
          <w:sz w:val="22"/>
          <w:szCs w:val="22"/>
        </w:rPr>
        <w:t>Overall, the project achieved what Chapter 1 set out: the reasoning between enumeration and exploitation can be made explicit, inspectable and, in the Chapter 5 case study, verifiably correct in both its negative and positive results. Where it fell short was the scope and time management of the systematic evaluation, stated openly in Section 5.9 rather than presenting the case study as more than it is. The main lesson is to separate "build it well" from "prove it works at scale" earlier.</w:t>
      </w:r>
    </w:p>
    <w:p w14:paraId="55B9628E" w14:textId="77777777" w:rsidR="00DA1AF7" w:rsidRDefault="00684366">
      <w:pPr>
        <w:spacing w:line="360" w:lineRule="auto"/>
      </w:pPr>
      <w:r>
        <w:br w:type="page"/>
      </w:r>
    </w:p>
    <w:p w14:paraId="55B9628F" w14:textId="77777777" w:rsidR="00DA1AF7" w:rsidRDefault="00684366">
      <w:pPr>
        <w:pStyle w:val="Heading1"/>
        <w:spacing w:before="480" w:after="160" w:line="360" w:lineRule="auto"/>
        <w:rPr>
          <w:rFonts w:ascii="Times New Roman" w:eastAsia="Times New Roman" w:hAnsi="Times New Roman" w:cs="Times New Roman"/>
        </w:rPr>
      </w:pPr>
      <w:r>
        <w:rPr>
          <w:rFonts w:ascii="Times New Roman" w:eastAsia="Times New Roman" w:hAnsi="Times New Roman" w:cs="Times New Roman"/>
          <w:b/>
          <w:bCs/>
          <w:color w:val="000000"/>
        </w:rPr>
        <w:lastRenderedPageBreak/>
        <w:t>CHAPTER 7: CONCLUSION</w:t>
      </w:r>
    </w:p>
    <w:p w14:paraId="55B96290" w14:textId="77777777" w:rsidR="00DA1AF7" w:rsidRDefault="00684366">
      <w:pPr>
        <w:spacing w:after="160" w:line="360" w:lineRule="auto"/>
        <w:jc w:val="both"/>
        <w:rPr>
          <w:sz w:val="22"/>
          <w:szCs w:val="22"/>
        </w:rPr>
      </w:pPr>
      <w:r>
        <w:rPr>
          <w:sz w:val="22"/>
          <w:szCs w:val="22"/>
        </w:rPr>
        <w:t>APEX addresses a practical niche between Linux privilege-escalation enumeration and exploitation. Current tools indicate what would interest a tester, but interpreting and prioritising those findings still takes considerable judgment; this project aims to capture some of that judgment in a transparent, rule-based decision engine.</w:t>
      </w:r>
    </w:p>
    <w:p w14:paraId="55B96291" w14:textId="77777777" w:rsidR="00DA1AF7" w:rsidRDefault="00684366">
      <w:pPr>
        <w:spacing w:after="160" w:line="360" w:lineRule="auto"/>
        <w:jc w:val="both"/>
        <w:rPr>
          <w:sz w:val="22"/>
          <w:szCs w:val="22"/>
        </w:rPr>
      </w:pPr>
      <w:r>
        <w:rPr>
          <w:sz w:val="22"/>
          <w:szCs w:val="22"/>
        </w:rPr>
        <w:t>The contribution is the whole decision pipeline, structured enumeration, prerequisite analysis, weighted ranking, controlled execution, privilege verification and explainable reporting, implemented twice (a Python tool and a portable Bash bundle) so the same reasoning runs on the attacking machine or directly on a constrained target. It is documented in the Chapter 5 case study, run end-to-end against a real, controlled target, where failed automated attempts are distinguished from a subsequent, independent</w:t>
      </w:r>
      <w:r>
        <w:rPr>
          <w:sz w:val="22"/>
          <w:szCs w:val="22"/>
        </w:rPr>
        <w:t xml:space="preserve">ly verified escalation via credential exposure and </w:t>
      </w:r>
      <w:proofErr w:type="spellStart"/>
      <w:r>
        <w:rPr>
          <w:sz w:val="22"/>
          <w:szCs w:val="22"/>
        </w:rPr>
        <w:t>sudo</w:t>
      </w:r>
      <w:proofErr w:type="spellEnd"/>
      <w:r>
        <w:rPr>
          <w:sz w:val="22"/>
          <w:szCs w:val="22"/>
        </w:rPr>
        <w:t>/</w:t>
      </w:r>
      <w:proofErr w:type="spellStart"/>
      <w:r>
        <w:rPr>
          <w:sz w:val="22"/>
          <w:szCs w:val="22"/>
        </w:rPr>
        <w:t>GTFOBins</w:t>
      </w:r>
      <w:proofErr w:type="spellEnd"/>
      <w:r>
        <w:rPr>
          <w:sz w:val="22"/>
          <w:szCs w:val="22"/>
        </w:rPr>
        <w:t xml:space="preserve"> abuse, giving direct evidence for RQ1 and RQ3.</w:t>
      </w:r>
    </w:p>
    <w:p w14:paraId="55B96292" w14:textId="77777777" w:rsidR="00DA1AF7" w:rsidRDefault="00684366">
      <w:pPr>
        <w:spacing w:after="160" w:line="360" w:lineRule="auto"/>
        <w:jc w:val="both"/>
        <w:rPr>
          <w:sz w:val="22"/>
          <w:szCs w:val="22"/>
        </w:rPr>
      </w:pPr>
      <w:r>
        <w:rPr>
          <w:sz w:val="22"/>
          <w:szCs w:val="22"/>
        </w:rPr>
        <w:t>Chapter 3 designs the evaluation to measure each part of the pipeline against explicit research questions rather than treating "obtained root" as the sole success criterion, and the case study was presented in that spirit: what it shows and, in Section 5.9, what it does not yet show. The most immediate next step is the systematic multi-scenario evaluation needed to answer RQ2 and RQ4.</w:t>
      </w:r>
    </w:p>
    <w:p w14:paraId="55B96293" w14:textId="77777777" w:rsidR="00DA1AF7" w:rsidRDefault="00684366">
      <w:pPr>
        <w:spacing w:after="160" w:line="360" w:lineRule="auto"/>
        <w:jc w:val="both"/>
      </w:pPr>
      <w:r>
        <w:rPr>
          <w:sz w:val="22"/>
          <w:szCs w:val="22"/>
        </w:rPr>
        <w:t>Future work could extend the rule base with more categories, improve score calibration using data from the completed evaluation, add learning-based ranking on the current deterministic weights, or compare the deterministic engine directly with an LLM-assisted planner. These should follow a thorough measurement of the deterministic baseline, so it is clear whether added complexity genuinely improves the system.</w:t>
      </w:r>
    </w:p>
    <w:p w14:paraId="55B96294" w14:textId="77777777" w:rsidR="00DA1AF7" w:rsidRDefault="00684366">
      <w:pPr>
        <w:spacing w:line="360" w:lineRule="auto"/>
      </w:pPr>
      <w:r>
        <w:rPr>
          <w:sz w:val="22"/>
          <w:szCs w:val="22"/>
        </w:rPr>
        <w:t>Beyond these extensions, the broader direction is to close the Section 2.7 gap more completely: reasoning about escalation chains spanning multiple accounts and hosts, as the Chapter 5 case study did manually across the '</w:t>
      </w:r>
      <w:proofErr w:type="spellStart"/>
      <w:r>
        <w:rPr>
          <w:sz w:val="22"/>
          <w:szCs w:val="22"/>
        </w:rPr>
        <w:t>jim</w:t>
      </w:r>
      <w:proofErr w:type="spellEnd"/>
      <w:r>
        <w:rPr>
          <w:sz w:val="22"/>
          <w:szCs w:val="22"/>
        </w:rPr>
        <w:t>' and '</w:t>
      </w:r>
      <w:proofErr w:type="spellStart"/>
      <w:r>
        <w:rPr>
          <w:sz w:val="22"/>
          <w:szCs w:val="22"/>
        </w:rPr>
        <w:t>charles</w:t>
      </w:r>
      <w:proofErr w:type="spellEnd"/>
      <w:r>
        <w:rPr>
          <w:sz w:val="22"/>
          <w:szCs w:val="22"/>
        </w:rPr>
        <w:t>' accounts, so a multi-step chain is represented as a single ranked candidate rather than two separate ones linked only by a human reading both reports.</w:t>
      </w:r>
    </w:p>
    <w:p w14:paraId="55B96295" w14:textId="77777777" w:rsidR="00DA1AF7" w:rsidRDefault="00DA1AF7">
      <w:pPr>
        <w:pStyle w:val="Heading1"/>
        <w:spacing w:before="480" w:after="160" w:line="360" w:lineRule="auto"/>
        <w:rPr>
          <w:rFonts w:ascii="Times New Roman" w:eastAsia="Times New Roman" w:hAnsi="Times New Roman" w:cs="Times New Roman"/>
          <w:b/>
          <w:bCs/>
          <w:color w:val="000000"/>
        </w:rPr>
      </w:pPr>
    </w:p>
    <w:p w14:paraId="55B96296" w14:textId="77777777" w:rsidR="00DA1AF7" w:rsidRDefault="00DA1AF7">
      <w:pPr>
        <w:pStyle w:val="Heading1"/>
        <w:spacing w:before="480" w:after="160" w:line="360" w:lineRule="auto"/>
        <w:rPr>
          <w:rFonts w:ascii="Times New Roman" w:eastAsia="Times New Roman" w:hAnsi="Times New Roman" w:cs="Times New Roman"/>
          <w:b/>
          <w:bCs/>
          <w:color w:val="000000"/>
        </w:rPr>
      </w:pPr>
    </w:p>
    <w:p w14:paraId="55B96297" w14:textId="77777777" w:rsidR="00DA1AF7" w:rsidRDefault="00684366">
      <w:pPr>
        <w:pStyle w:val="Heading1"/>
        <w:spacing w:before="480" w:after="160" w:line="360" w:lineRule="auto"/>
        <w:rPr>
          <w:rFonts w:ascii="Times New Roman" w:eastAsia="Times New Roman" w:hAnsi="Times New Roman" w:cs="Times New Roman"/>
        </w:rPr>
      </w:pPr>
      <w:r>
        <w:rPr>
          <w:rFonts w:ascii="Times New Roman" w:eastAsia="Times New Roman" w:hAnsi="Times New Roman" w:cs="Times New Roman"/>
          <w:b/>
          <w:bCs/>
          <w:color w:val="000000"/>
        </w:rPr>
        <w:lastRenderedPageBreak/>
        <w:t>References</w:t>
      </w:r>
    </w:p>
    <w:p w14:paraId="55B96298" w14:textId="77777777" w:rsidR="00DA1AF7" w:rsidRDefault="00684366">
      <w:pPr>
        <w:spacing w:after="160" w:line="360" w:lineRule="auto"/>
        <w:ind w:left="360" w:hanging="360"/>
        <w:jc w:val="both"/>
      </w:pPr>
      <w:r>
        <w:rPr>
          <w:sz w:val="21"/>
          <w:szCs w:val="21"/>
        </w:rPr>
        <w:t>[1] C. Arriaga, "PEASS-ng: Privilege Escalation Awesome Scripts SUITE," GitHub repository. [Online]. Available: https://github.com/peass-ng/PEASS-ng. Accessed: Aug. 3, 2026.</w:t>
      </w:r>
    </w:p>
    <w:p w14:paraId="55B96299" w14:textId="77777777" w:rsidR="00DA1AF7" w:rsidRDefault="00684366">
      <w:pPr>
        <w:spacing w:after="160" w:line="360" w:lineRule="auto"/>
        <w:ind w:left="360" w:hanging="360"/>
        <w:jc w:val="both"/>
      </w:pPr>
      <w:r>
        <w:rPr>
          <w:sz w:val="21"/>
          <w:szCs w:val="21"/>
        </w:rPr>
        <w:t xml:space="preserve">[2] </w:t>
      </w:r>
      <w:proofErr w:type="spellStart"/>
      <w:r>
        <w:rPr>
          <w:sz w:val="21"/>
          <w:szCs w:val="21"/>
        </w:rPr>
        <w:t>GTFOBins</w:t>
      </w:r>
      <w:proofErr w:type="spellEnd"/>
      <w:r>
        <w:rPr>
          <w:sz w:val="21"/>
          <w:szCs w:val="21"/>
        </w:rPr>
        <w:t>, "</w:t>
      </w:r>
      <w:proofErr w:type="spellStart"/>
      <w:r>
        <w:rPr>
          <w:sz w:val="21"/>
          <w:szCs w:val="21"/>
        </w:rPr>
        <w:t>GTFOBins</w:t>
      </w:r>
      <w:proofErr w:type="spellEnd"/>
      <w:r>
        <w:rPr>
          <w:sz w:val="21"/>
          <w:szCs w:val="21"/>
        </w:rPr>
        <w:t>: Curated list of Unix binaries that can be used to bypass local security restrictions in misconfigured systems." [Online]. Available: https://gtfobins.github.io/. Accessed: Aug. 3, 2026.</w:t>
      </w:r>
    </w:p>
    <w:p w14:paraId="55B9629A" w14:textId="77777777" w:rsidR="00DA1AF7" w:rsidRDefault="00684366">
      <w:pPr>
        <w:spacing w:after="160" w:line="360" w:lineRule="auto"/>
        <w:ind w:left="360" w:hanging="360"/>
        <w:jc w:val="both"/>
      </w:pPr>
      <w:r>
        <w:rPr>
          <w:sz w:val="21"/>
          <w:szCs w:val="21"/>
        </w:rPr>
        <w:t xml:space="preserve">[3] MITRE, "Abuse Elevation Control Mechanism: </w:t>
      </w:r>
      <w:proofErr w:type="spellStart"/>
      <w:r>
        <w:rPr>
          <w:sz w:val="21"/>
          <w:szCs w:val="21"/>
        </w:rPr>
        <w:t>Setuid</w:t>
      </w:r>
      <w:proofErr w:type="spellEnd"/>
      <w:r>
        <w:rPr>
          <w:sz w:val="21"/>
          <w:szCs w:val="21"/>
        </w:rPr>
        <w:t xml:space="preserve"> and </w:t>
      </w:r>
      <w:proofErr w:type="spellStart"/>
      <w:r>
        <w:rPr>
          <w:sz w:val="21"/>
          <w:szCs w:val="21"/>
        </w:rPr>
        <w:t>Setgid</w:t>
      </w:r>
      <w:proofErr w:type="spellEnd"/>
      <w:r>
        <w:rPr>
          <w:sz w:val="21"/>
          <w:szCs w:val="21"/>
        </w:rPr>
        <w:t>, T1548.001," MITRE ATT&amp;CK. [Online]. Available: https://attack.mitre.org/techniques/T1548/001/. Accessed: Aug. 3, 2026.</w:t>
      </w:r>
    </w:p>
    <w:p w14:paraId="55B9629B" w14:textId="77777777" w:rsidR="00DA1AF7" w:rsidRDefault="00684366">
      <w:pPr>
        <w:spacing w:after="160" w:line="360" w:lineRule="auto"/>
        <w:ind w:left="360" w:hanging="360"/>
        <w:jc w:val="both"/>
      </w:pPr>
      <w:r>
        <w:rPr>
          <w:sz w:val="21"/>
          <w:szCs w:val="21"/>
        </w:rPr>
        <w:t>[4] MITRE, "Abuse Elevation Control Mechanism: Sudo and Sudo Caching, T1548.003," MITRE ATT&amp;CK. [Online]. Available: https://attack.mitre.org/techniques/T1548/003/. Accessed: Aug. 3, 2026.</w:t>
      </w:r>
    </w:p>
    <w:p w14:paraId="55B9629C" w14:textId="77777777" w:rsidR="00DA1AF7" w:rsidRDefault="00684366">
      <w:pPr>
        <w:spacing w:after="160" w:line="360" w:lineRule="auto"/>
        <w:ind w:left="360" w:hanging="360"/>
        <w:jc w:val="both"/>
      </w:pPr>
      <w:r>
        <w:rPr>
          <w:sz w:val="21"/>
          <w:szCs w:val="21"/>
        </w:rPr>
        <w:t xml:space="preserve">[5] A. Happe and J. Cito, "Getting </w:t>
      </w:r>
      <w:proofErr w:type="spellStart"/>
      <w:r>
        <w:rPr>
          <w:sz w:val="21"/>
          <w:szCs w:val="21"/>
        </w:rPr>
        <w:t>Pwn'd</w:t>
      </w:r>
      <w:proofErr w:type="spellEnd"/>
      <w:r>
        <w:rPr>
          <w:sz w:val="21"/>
          <w:szCs w:val="21"/>
        </w:rPr>
        <w:t xml:space="preserve"> by AI: Penetration Testing with Large Language Models," in Proc. 31st ACM Joint European Software Engineering Conf. and Symp. on the Foundations of Software Engineering (ESEC/FSE 2023), 2023, </w:t>
      </w:r>
      <w:proofErr w:type="spellStart"/>
      <w:r>
        <w:rPr>
          <w:sz w:val="21"/>
          <w:szCs w:val="21"/>
        </w:rPr>
        <w:t>doi</w:t>
      </w:r>
      <w:proofErr w:type="spellEnd"/>
      <w:r>
        <w:rPr>
          <w:sz w:val="21"/>
          <w:szCs w:val="21"/>
        </w:rPr>
        <w:t>: 10.1145/3611643.3613083.</w:t>
      </w:r>
    </w:p>
    <w:p w14:paraId="55B9629D" w14:textId="77777777" w:rsidR="00DA1AF7" w:rsidRDefault="00684366">
      <w:pPr>
        <w:spacing w:after="160" w:line="360" w:lineRule="auto"/>
        <w:ind w:left="360" w:hanging="360"/>
        <w:jc w:val="both"/>
      </w:pPr>
      <w:r>
        <w:rPr>
          <w:sz w:val="21"/>
          <w:szCs w:val="21"/>
        </w:rPr>
        <w:t xml:space="preserve">[6] K. Scarfone, M. </w:t>
      </w:r>
      <w:proofErr w:type="spellStart"/>
      <w:r>
        <w:rPr>
          <w:sz w:val="21"/>
          <w:szCs w:val="21"/>
        </w:rPr>
        <w:t>Souppaya</w:t>
      </w:r>
      <w:proofErr w:type="spellEnd"/>
      <w:r>
        <w:rPr>
          <w:sz w:val="21"/>
          <w:szCs w:val="21"/>
        </w:rPr>
        <w:t xml:space="preserve">, A. Cody, and A. Orebaugh, "Technical Guide to Information Security Testing and Assessment," NIST Special Publication 800-115, National Institute of Standards and Technology, 2008, </w:t>
      </w:r>
      <w:proofErr w:type="spellStart"/>
      <w:r>
        <w:rPr>
          <w:sz w:val="21"/>
          <w:szCs w:val="21"/>
        </w:rPr>
        <w:t>doi</w:t>
      </w:r>
      <w:proofErr w:type="spellEnd"/>
      <w:r>
        <w:rPr>
          <w:sz w:val="21"/>
          <w:szCs w:val="21"/>
        </w:rPr>
        <w:t>: 10.6028/NIST.SP.800-115.</w:t>
      </w:r>
    </w:p>
    <w:p w14:paraId="55B9629E" w14:textId="77777777" w:rsidR="00DA1AF7" w:rsidRDefault="00684366">
      <w:pPr>
        <w:spacing w:after="160" w:line="360" w:lineRule="auto"/>
        <w:ind w:left="360" w:hanging="360"/>
        <w:jc w:val="both"/>
      </w:pPr>
      <w:r>
        <w:rPr>
          <w:sz w:val="21"/>
          <w:szCs w:val="21"/>
        </w:rPr>
        <w:t xml:space="preserve">[7] </w:t>
      </w:r>
      <w:proofErr w:type="spellStart"/>
      <w:r>
        <w:rPr>
          <w:sz w:val="21"/>
          <w:szCs w:val="21"/>
        </w:rPr>
        <w:t>VulnHub</w:t>
      </w:r>
      <w:proofErr w:type="spellEnd"/>
      <w:r>
        <w:rPr>
          <w:sz w:val="21"/>
          <w:szCs w:val="21"/>
        </w:rPr>
        <w:t xml:space="preserve">, "DC: 4 ~ </w:t>
      </w:r>
      <w:proofErr w:type="spellStart"/>
      <w:r>
        <w:rPr>
          <w:sz w:val="21"/>
          <w:szCs w:val="21"/>
        </w:rPr>
        <w:t>VulnHub</w:t>
      </w:r>
      <w:proofErr w:type="spellEnd"/>
      <w:r>
        <w:rPr>
          <w:sz w:val="21"/>
          <w:szCs w:val="21"/>
        </w:rPr>
        <w:t>," boot2root virtual machine by DCAU. [Online]. Available: https://www.vulnhub.com/series/dc,199/. Accessed: Aug. 3, 2026.</w:t>
      </w:r>
    </w:p>
    <w:p w14:paraId="55B9629F" w14:textId="77777777" w:rsidR="00DA1AF7" w:rsidRDefault="00684366">
      <w:pPr>
        <w:spacing w:after="160" w:line="360" w:lineRule="auto"/>
        <w:ind w:left="360" w:hanging="360"/>
        <w:jc w:val="both"/>
      </w:pPr>
      <w:r>
        <w:rPr>
          <w:sz w:val="21"/>
          <w:szCs w:val="21"/>
        </w:rPr>
        <w:t xml:space="preserve">[8] A. Gupta, "DC-4 </w:t>
      </w:r>
      <w:proofErr w:type="spellStart"/>
      <w:r>
        <w:rPr>
          <w:sz w:val="21"/>
          <w:szCs w:val="21"/>
        </w:rPr>
        <w:t>Vulnhub</w:t>
      </w:r>
      <w:proofErr w:type="spellEnd"/>
      <w:r>
        <w:rPr>
          <w:sz w:val="21"/>
          <w:szCs w:val="21"/>
        </w:rPr>
        <w:t xml:space="preserve"> Walkthrough," Hacking Articles, 2019. [Online]. Available: https://www.hackingarticles.in/dc-4-vulnhub-walkthrough/. Accessed: Aug. 3, 2026.</w:t>
      </w:r>
    </w:p>
    <w:p w14:paraId="55B962A0" w14:textId="77777777" w:rsidR="00DA1AF7" w:rsidRDefault="00684366">
      <w:pPr>
        <w:spacing w:after="160" w:line="360" w:lineRule="auto"/>
        <w:ind w:left="360" w:hanging="360"/>
        <w:jc w:val="both"/>
      </w:pPr>
      <w:r>
        <w:rPr>
          <w:sz w:val="21"/>
          <w:szCs w:val="21"/>
        </w:rPr>
        <w:t>[9] National Institute of Standards and Technology, "National Vulnerability Database." [Online]. Available: https://nvd.nist.gov/. Accessed: Aug. 3, 2026.</w:t>
      </w:r>
    </w:p>
    <w:p w14:paraId="55B962A1" w14:textId="77777777" w:rsidR="00DA1AF7" w:rsidRDefault="00684366">
      <w:pPr>
        <w:spacing w:after="160" w:line="360" w:lineRule="auto"/>
        <w:ind w:left="360" w:hanging="360"/>
        <w:jc w:val="both"/>
      </w:pPr>
      <w:r>
        <w:rPr>
          <w:sz w:val="21"/>
          <w:szCs w:val="21"/>
        </w:rPr>
        <w:t>[10] The Sudo Project, "Sudo Manual and Security Advisories." [Online]. Available: https://www.sudo.ws/. Accessed: Aug. 3, 2026.</w:t>
      </w:r>
    </w:p>
    <w:p w14:paraId="55B962A2" w14:textId="77777777" w:rsidR="00DA1AF7" w:rsidRDefault="00684366">
      <w:pPr>
        <w:spacing w:after="160" w:line="360" w:lineRule="auto"/>
        <w:ind w:left="360" w:hanging="360"/>
        <w:jc w:val="both"/>
      </w:pPr>
      <w:r>
        <w:rPr>
          <w:sz w:val="21"/>
          <w:szCs w:val="21"/>
        </w:rPr>
        <w:t>[11] FIRST.org, Inc., "Common Vulnerability Scoring System (CVSS)," Forum of Incident Response and Security Teams. [Online]. Available: https://www.first.org/cvss/. Accessed: Sep. 3, 2026.</w:t>
      </w:r>
    </w:p>
    <w:p w14:paraId="55B962A3" w14:textId="77777777" w:rsidR="00DA1AF7" w:rsidRDefault="00684366">
      <w:pPr>
        <w:spacing w:after="160" w:line="360" w:lineRule="auto"/>
        <w:ind w:left="360" w:hanging="360"/>
        <w:jc w:val="both"/>
      </w:pPr>
      <w:r>
        <w:rPr>
          <w:sz w:val="21"/>
          <w:szCs w:val="21"/>
        </w:rPr>
        <w:t xml:space="preserve">[12] J. Jacobs, S. Romanosky, B. Edwards, M. Roytman, and I. </w:t>
      </w:r>
      <w:proofErr w:type="spellStart"/>
      <w:r>
        <w:rPr>
          <w:sz w:val="21"/>
          <w:szCs w:val="21"/>
        </w:rPr>
        <w:t>Adjerid</w:t>
      </w:r>
      <w:proofErr w:type="spellEnd"/>
      <w:r>
        <w:rPr>
          <w:sz w:val="21"/>
          <w:szCs w:val="21"/>
        </w:rPr>
        <w:t xml:space="preserve">, "Exploit Prediction Scoring System (EPSS)," Digital Threats: Research and Practice, vol. 2, no. 3, 2021, </w:t>
      </w:r>
      <w:proofErr w:type="spellStart"/>
      <w:r>
        <w:rPr>
          <w:sz w:val="21"/>
          <w:szCs w:val="21"/>
        </w:rPr>
        <w:t>doi</w:t>
      </w:r>
      <w:proofErr w:type="spellEnd"/>
      <w:r>
        <w:rPr>
          <w:sz w:val="21"/>
          <w:szCs w:val="21"/>
        </w:rPr>
        <w:t>: 10.1145/3436242.</w:t>
      </w:r>
    </w:p>
    <w:p w14:paraId="55B962A4" w14:textId="77777777" w:rsidR="00DA1AF7" w:rsidRDefault="00684366">
      <w:pPr>
        <w:spacing w:after="160" w:line="360" w:lineRule="auto"/>
        <w:ind w:left="360" w:hanging="360"/>
        <w:jc w:val="both"/>
      </w:pPr>
      <w:r>
        <w:rPr>
          <w:sz w:val="21"/>
          <w:szCs w:val="21"/>
        </w:rPr>
        <w:t xml:space="preserve">[13] G. Deng, Y. Liu, V. Mayoral-Vilches, P. Liu, Y. Li, Y. Xu, T. Zhang, Y. Liu, M. </w:t>
      </w:r>
      <w:proofErr w:type="spellStart"/>
      <w:r>
        <w:rPr>
          <w:sz w:val="21"/>
          <w:szCs w:val="21"/>
        </w:rPr>
        <w:t>Pinzger</w:t>
      </w:r>
      <w:proofErr w:type="spellEnd"/>
      <w:r>
        <w:rPr>
          <w:sz w:val="21"/>
          <w:szCs w:val="21"/>
        </w:rPr>
        <w:t>, and S. Rass, "</w:t>
      </w:r>
      <w:proofErr w:type="spellStart"/>
      <w:r>
        <w:rPr>
          <w:sz w:val="21"/>
          <w:szCs w:val="21"/>
        </w:rPr>
        <w:t>PentestGPT</w:t>
      </w:r>
      <w:proofErr w:type="spellEnd"/>
      <w:r>
        <w:rPr>
          <w:sz w:val="21"/>
          <w:szCs w:val="21"/>
        </w:rPr>
        <w:t xml:space="preserve">: Evaluating and Harnessing Large Language Models for Automated Penetration Testing," in </w:t>
      </w:r>
      <w:r>
        <w:rPr>
          <w:sz w:val="21"/>
          <w:szCs w:val="21"/>
        </w:rPr>
        <w:lastRenderedPageBreak/>
        <w:t>Proc. 33rd USENIX Security Symposium (USENIX Security 24), Philadelphia, PA, USA, Aug. 2024, pp. 847-864.</w:t>
      </w:r>
    </w:p>
    <w:p w14:paraId="55B962A5" w14:textId="77777777" w:rsidR="00DA1AF7" w:rsidRDefault="00684366">
      <w:pPr>
        <w:spacing w:after="160" w:line="360" w:lineRule="auto"/>
        <w:ind w:left="360" w:hanging="360"/>
        <w:jc w:val="both"/>
      </w:pPr>
      <w:r>
        <w:rPr>
          <w:sz w:val="21"/>
          <w:szCs w:val="21"/>
        </w:rPr>
        <w:t>[14] The-Z-Labs, "</w:t>
      </w:r>
      <w:proofErr w:type="spellStart"/>
      <w:r>
        <w:rPr>
          <w:sz w:val="21"/>
          <w:szCs w:val="21"/>
        </w:rPr>
        <w:t>linux</w:t>
      </w:r>
      <w:proofErr w:type="spellEnd"/>
      <w:r>
        <w:rPr>
          <w:sz w:val="21"/>
          <w:szCs w:val="21"/>
        </w:rPr>
        <w:t>-exploit-suggester: Linux privilege escalation auditing tool," GitHub repository. [Online]. Available: https://github.com/The-Z-Labs/linux-exploit-suggester. Accessed: Sep. 3, 2026.</w:t>
      </w:r>
    </w:p>
    <w:p w14:paraId="55B962A6" w14:textId="77777777" w:rsidR="00DA1AF7" w:rsidRDefault="00684366">
      <w:pPr>
        <w:spacing w:after="160" w:line="360" w:lineRule="auto"/>
        <w:ind w:left="360" w:hanging="360"/>
        <w:jc w:val="both"/>
      </w:pPr>
      <w:r>
        <w:rPr>
          <w:sz w:val="21"/>
          <w:szCs w:val="21"/>
        </w:rPr>
        <w:t>[15] Qualys Research Team, "Heap-Based Buffer Overflow in Sudo (CVE-2021-3156)," Qualys Security Advisory, Jan. 26, 2021. [Online]. Available: https://www.qualys.com/2021/01/26/cve-2021-3156/baron-samedit-heap-based-overflow-sudo.txt. Accessed: Sep. 3, 2026.</w:t>
      </w:r>
    </w:p>
    <w:p w14:paraId="55B962A7" w14:textId="77777777" w:rsidR="00DA1AF7" w:rsidRDefault="00684366">
      <w:pPr>
        <w:spacing w:after="160" w:line="360" w:lineRule="auto"/>
        <w:ind w:left="360" w:hanging="360"/>
        <w:jc w:val="both"/>
      </w:pPr>
      <w:r>
        <w:rPr>
          <w:sz w:val="21"/>
          <w:szCs w:val="21"/>
        </w:rPr>
        <w:t>[16] OWASP Foundation, "OWASP Web Security Testing Guide (WSTG) -- Penetration Testing Methodologies." [Online]. Available: https://owasp.org/www-project-web-security-testing-guide/. Accessed: Sep. 3, 2026.</w:t>
      </w:r>
    </w:p>
    <w:p w14:paraId="55B962A8" w14:textId="77777777" w:rsidR="00DA1AF7" w:rsidRDefault="00684366">
      <w:pPr>
        <w:spacing w:after="160" w:line="360" w:lineRule="auto"/>
        <w:ind w:left="360" w:hanging="360"/>
        <w:jc w:val="both"/>
      </w:pPr>
      <w:r>
        <w:rPr>
          <w:sz w:val="21"/>
          <w:szCs w:val="21"/>
        </w:rPr>
        <w:t>[17] MITRE, "Common Weakness Enumeration (CWE)." [Online]. Available: https://cwe.mitre.org/. Accessed: Sep. 3, 2026.</w:t>
      </w:r>
    </w:p>
    <w:p w14:paraId="55B962A9" w14:textId="77777777" w:rsidR="00DA1AF7" w:rsidRDefault="00684366">
      <w:pPr>
        <w:spacing w:after="160" w:line="360" w:lineRule="auto"/>
        <w:ind w:left="360" w:hanging="360"/>
        <w:jc w:val="both"/>
      </w:pPr>
      <w:r>
        <w:rPr>
          <w:sz w:val="21"/>
          <w:szCs w:val="21"/>
        </w:rPr>
        <w:t xml:space="preserve">[18] </w:t>
      </w:r>
      <w:proofErr w:type="spellStart"/>
      <w:r>
        <w:rPr>
          <w:sz w:val="21"/>
          <w:szCs w:val="21"/>
        </w:rPr>
        <w:t>Defense</w:t>
      </w:r>
      <w:proofErr w:type="spellEnd"/>
      <w:r>
        <w:rPr>
          <w:sz w:val="21"/>
          <w:szCs w:val="21"/>
        </w:rPr>
        <w:t xml:space="preserve"> Advanced Research Projects Agency, "Cyber Grand Challenge (CGC)." [Online]. Available: https://www.darpa.mil/research/programs/cyber-grand-challenge. Accessed: Sep. 3, 2026.</w:t>
      </w:r>
    </w:p>
    <w:p w14:paraId="55B962AA" w14:textId="77777777" w:rsidR="00DA1AF7" w:rsidRDefault="00684366">
      <w:pPr>
        <w:spacing w:after="160" w:line="360" w:lineRule="auto"/>
        <w:ind w:left="360" w:hanging="360"/>
        <w:jc w:val="both"/>
      </w:pPr>
      <w:r>
        <w:rPr>
          <w:sz w:val="21"/>
          <w:szCs w:val="21"/>
        </w:rPr>
        <w:t xml:space="preserve">[19] T. Chothia and C. Novakovic, "An Offline Capture </w:t>
      </w:r>
      <w:proofErr w:type="gramStart"/>
      <w:r>
        <w:rPr>
          <w:sz w:val="21"/>
          <w:szCs w:val="21"/>
        </w:rPr>
        <w:t>The</w:t>
      </w:r>
      <w:proofErr w:type="gramEnd"/>
      <w:r>
        <w:rPr>
          <w:sz w:val="21"/>
          <w:szCs w:val="21"/>
        </w:rPr>
        <w:t xml:space="preserve"> Flag-Style Virtual Machine and an Assessment of Its Value for Cybersecurity Education," in Proc. USENIX Summit on Gaming, Games, and Gamification in Security Education (3GSE), 2015.</w:t>
      </w:r>
    </w:p>
    <w:p w14:paraId="55B962AB" w14:textId="77777777" w:rsidR="00DA1AF7" w:rsidRDefault="00684366">
      <w:pPr>
        <w:spacing w:after="160" w:line="360" w:lineRule="auto"/>
        <w:ind w:left="360" w:hanging="360"/>
        <w:jc w:val="both"/>
      </w:pPr>
      <w:r>
        <w:rPr>
          <w:sz w:val="21"/>
          <w:szCs w:val="21"/>
        </w:rPr>
        <w:t xml:space="preserve">[20] G. </w:t>
      </w:r>
      <w:proofErr w:type="spellStart"/>
      <w:r>
        <w:rPr>
          <w:sz w:val="21"/>
          <w:szCs w:val="21"/>
        </w:rPr>
        <w:t>Rjoub</w:t>
      </w:r>
      <w:proofErr w:type="spellEnd"/>
      <w:r>
        <w:rPr>
          <w:sz w:val="21"/>
          <w:szCs w:val="21"/>
        </w:rPr>
        <w:t xml:space="preserve">, J. Bentahar, O. Abdel Wahab, R. </w:t>
      </w:r>
      <w:proofErr w:type="spellStart"/>
      <w:r>
        <w:rPr>
          <w:sz w:val="21"/>
          <w:szCs w:val="21"/>
        </w:rPr>
        <w:t>Mizouni</w:t>
      </w:r>
      <w:proofErr w:type="spellEnd"/>
      <w:r>
        <w:rPr>
          <w:sz w:val="21"/>
          <w:szCs w:val="21"/>
        </w:rPr>
        <w:t xml:space="preserve">, A. Song, R. Cohen, H. </w:t>
      </w:r>
      <w:proofErr w:type="spellStart"/>
      <w:r>
        <w:rPr>
          <w:sz w:val="21"/>
          <w:szCs w:val="21"/>
        </w:rPr>
        <w:t>Otrok</w:t>
      </w:r>
      <w:proofErr w:type="spellEnd"/>
      <w:r>
        <w:rPr>
          <w:sz w:val="21"/>
          <w:szCs w:val="21"/>
        </w:rPr>
        <w:t>, and A. Mourad, "A Survey on Explainable Artificial Intelligence for Cybersecurity," IEEE Transactions on Network and Service Management, 2023, arXiv:2303.12942.</w:t>
      </w:r>
    </w:p>
    <w:p w14:paraId="55B962AC" w14:textId="77777777" w:rsidR="00DA1AF7" w:rsidRDefault="00684366">
      <w:pPr>
        <w:spacing w:after="160" w:line="360" w:lineRule="auto"/>
        <w:ind w:left="360" w:hanging="360"/>
        <w:jc w:val="both"/>
      </w:pPr>
      <w:r>
        <w:rPr>
          <w:sz w:val="21"/>
          <w:szCs w:val="21"/>
        </w:rPr>
        <w:t>[21] A. Das, J. Bonneau, M. Caesar, N. Borisov, and X. Wang, "The Tangled Web of Password Reuse," in Proc. Network and Distributed System Security Symposium (NDSS), 2014.</w:t>
      </w:r>
    </w:p>
    <w:p w14:paraId="55B962AD" w14:textId="77777777" w:rsidR="00DA1AF7" w:rsidRDefault="00684366">
      <w:pPr>
        <w:spacing w:after="160" w:line="360" w:lineRule="auto"/>
        <w:ind w:left="360" w:hanging="360"/>
        <w:jc w:val="both"/>
      </w:pPr>
      <w:r>
        <w:rPr>
          <w:sz w:val="21"/>
          <w:szCs w:val="21"/>
        </w:rPr>
        <w:t xml:space="preserve">[22] </w:t>
      </w:r>
      <w:proofErr w:type="spellStart"/>
      <w:r>
        <w:rPr>
          <w:sz w:val="21"/>
          <w:szCs w:val="21"/>
        </w:rPr>
        <w:t>HackTricks</w:t>
      </w:r>
      <w:proofErr w:type="spellEnd"/>
      <w:r>
        <w:rPr>
          <w:sz w:val="21"/>
          <w:szCs w:val="21"/>
        </w:rPr>
        <w:t>, "Linux Privilege Escalation." [Online]. Available: https://book.hacktricks.wiki/en/linux-hardening/privilege-escalation/index.html. Accessed: Sep. 3, 2026.</w:t>
      </w:r>
    </w:p>
    <w:p w14:paraId="55B962AE" w14:textId="77777777" w:rsidR="00DA1AF7" w:rsidRDefault="00684366">
      <w:pPr>
        <w:spacing w:line="360" w:lineRule="auto"/>
      </w:pPr>
      <w:r>
        <w:br w:type="page"/>
      </w:r>
    </w:p>
    <w:p w14:paraId="55B962AF" w14:textId="77777777" w:rsidR="00DA1AF7" w:rsidRDefault="00684366">
      <w:pPr>
        <w:pStyle w:val="Heading1"/>
        <w:spacing w:before="480" w:after="160" w:line="360" w:lineRule="auto"/>
        <w:rPr>
          <w:rFonts w:ascii="Times New Roman" w:eastAsia="Times New Roman" w:hAnsi="Times New Roman" w:cs="Times New Roman"/>
        </w:rPr>
      </w:pPr>
      <w:r>
        <w:rPr>
          <w:rFonts w:ascii="Times New Roman" w:eastAsia="Times New Roman" w:hAnsi="Times New Roman" w:cs="Times New Roman"/>
          <w:b/>
          <w:bCs/>
          <w:color w:val="000000"/>
        </w:rPr>
        <w:lastRenderedPageBreak/>
        <w:t>Appendix A: APEX CLI Practical Demonstration</w:t>
      </w:r>
    </w:p>
    <w:p w14:paraId="55B962B0" w14:textId="77777777" w:rsidR="00DA1AF7" w:rsidRDefault="00684366">
      <w:pPr>
        <w:spacing w:after="160" w:line="360" w:lineRule="auto"/>
        <w:jc w:val="both"/>
        <w:rPr>
          <w:sz w:val="22"/>
          <w:szCs w:val="22"/>
        </w:rPr>
      </w:pPr>
      <w:r>
        <w:rPr>
          <w:sz w:val="22"/>
          <w:szCs w:val="22"/>
        </w:rPr>
        <w:t>This appendix records a separate screen recording made on the attacking machine, showing the 'apex' Python command-line tool itself, rather than the target-side Bash bundle documented in Chapter 5: its help output, its self-updating knowledge base, and the generation and hosting of the portable bundle before deployment. The stills below appear in the order they occurred, each with a short note on what is shown.</w:t>
      </w:r>
    </w:p>
    <w:p w14:paraId="55B962B1" w14:textId="77777777" w:rsidR="00DA1AF7" w:rsidRDefault="00684366">
      <w:pPr>
        <w:spacing w:after="160" w:line="360" w:lineRule="auto"/>
        <w:jc w:val="both"/>
        <w:rPr>
          <w:sz w:val="22"/>
          <w:szCs w:val="22"/>
        </w:rPr>
      </w:pPr>
      <w:r>
        <w:rPr>
          <w:sz w:val="22"/>
          <w:szCs w:val="22"/>
        </w:rPr>
        <w:t>This recording complements the Chapter 5 case study. Chapter 5 documents the target-side bundle but only briefly shows the attacking-machine side (Figure 5.1); this appendix fills that gap with the earlier steps, updating the knowledge base and generating the bundle, that precede Figure 5.1. As in Section 5.10, stills are taken from a full, unedited recording rather than curated screenshots, because an unedited record is stronger evidence.</w:t>
      </w:r>
    </w:p>
    <w:p w14:paraId="55B962B2" w14:textId="77777777" w:rsidR="00DA1AF7" w:rsidRDefault="00684366">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A.1 Command-Line Help and Database Update</w:t>
      </w:r>
    </w:p>
    <w:p w14:paraId="55B962B3" w14:textId="77777777" w:rsidR="00DA1AF7" w:rsidRDefault="00684366">
      <w:pPr>
        <w:spacing w:before="160" w:after="40" w:line="360" w:lineRule="auto"/>
        <w:jc w:val="center"/>
      </w:pPr>
      <w:r>
        <w:rPr>
          <w:noProof/>
        </w:rPr>
        <w:drawing>
          <wp:inline distT="0" distB="0" distL="0" distR="0" wp14:anchorId="55B9633B" wp14:editId="55B9633C">
            <wp:extent cx="5124450" cy="2788303"/>
            <wp:effectExtent l="0" t="0" r="0" b="0"/>
            <wp:docPr id="21" name="image23.jpg"/>
            <wp:cNvGraphicFramePr/>
            <a:graphic xmlns:a="http://schemas.openxmlformats.org/drawingml/2006/main">
              <a:graphicData uri="http://schemas.openxmlformats.org/drawingml/2006/picture">
                <pic:pic xmlns:pic="http://schemas.openxmlformats.org/drawingml/2006/picture">
                  <pic:nvPicPr>
                    <pic:cNvPr id="0" name="image23.jpg"/>
                    <pic:cNvPicPr preferRelativeResize="0"/>
                  </pic:nvPicPr>
                  <pic:blipFill>
                    <a:blip r:embed="rId25"/>
                    <a:srcRect/>
                    <a:stretch>
                      <a:fillRect/>
                    </a:stretch>
                  </pic:blipFill>
                  <pic:spPr>
                    <a:xfrm>
                      <a:off x="0" y="0"/>
                      <a:ext cx="5124450" cy="2788303"/>
                    </a:xfrm>
                    <a:prstGeom prst="rect">
                      <a:avLst/>
                    </a:prstGeom>
                    <a:ln/>
                  </pic:spPr>
                </pic:pic>
              </a:graphicData>
            </a:graphic>
          </wp:inline>
        </w:drawing>
      </w:r>
    </w:p>
    <w:p w14:paraId="55B962B4" w14:textId="77777777" w:rsidR="00DA1AF7" w:rsidRDefault="00684366">
      <w:pPr>
        <w:spacing w:before="60" w:after="240" w:line="360" w:lineRule="auto"/>
        <w:jc w:val="center"/>
      </w:pPr>
      <w:r>
        <w:rPr>
          <w:i/>
          <w:iCs/>
          <w:color w:val="444444"/>
          <w:sz w:val="20"/>
          <w:szCs w:val="20"/>
        </w:rPr>
        <w:t>Figure A.1. The apex --help usage summary, followed by the start of apex-update.</w:t>
      </w:r>
    </w:p>
    <w:p w14:paraId="55B962B5" w14:textId="77777777" w:rsidR="00DA1AF7" w:rsidRDefault="00684366">
      <w:pPr>
        <w:numPr>
          <w:ilvl w:val="0"/>
          <w:numId w:val="1"/>
        </w:numPr>
        <w:pBdr>
          <w:top w:val="nil"/>
          <w:left w:val="nil"/>
          <w:bottom w:val="nil"/>
          <w:right w:val="nil"/>
          <w:between w:val="nil"/>
        </w:pBdr>
        <w:spacing w:after="80" w:line="360" w:lineRule="auto"/>
      </w:pPr>
      <w:r>
        <w:rPr>
          <w:sz w:val="22"/>
          <w:szCs w:val="22"/>
        </w:rPr>
        <w:t>In the 'apex --help' output, the main flags are '--stealth' (skip high-noise approaches such as kernel exploits and /etc/passwd writes), '--</w:t>
      </w:r>
      <w:proofErr w:type="spellStart"/>
      <w:r>
        <w:rPr>
          <w:sz w:val="22"/>
          <w:szCs w:val="22"/>
        </w:rPr>
        <w:t>enum</w:t>
      </w:r>
      <w:proofErr w:type="spellEnd"/>
      <w:r>
        <w:rPr>
          <w:sz w:val="22"/>
          <w:szCs w:val="22"/>
        </w:rPr>
        <w:t>-only' (enumerate and score without exploiting), '--report-</w:t>
      </w:r>
      <w:proofErr w:type="spellStart"/>
      <w:r>
        <w:rPr>
          <w:sz w:val="22"/>
          <w:szCs w:val="22"/>
        </w:rPr>
        <w:t>dir</w:t>
      </w:r>
      <w:proofErr w:type="spellEnd"/>
      <w:r>
        <w:rPr>
          <w:sz w:val="22"/>
          <w:szCs w:val="22"/>
        </w:rPr>
        <w:t>' (where reports are stored) and '--verbose'.</w:t>
      </w:r>
    </w:p>
    <w:p w14:paraId="55B962B6" w14:textId="77777777" w:rsidR="00DA1AF7" w:rsidRDefault="00684366">
      <w:pPr>
        <w:numPr>
          <w:ilvl w:val="0"/>
          <w:numId w:val="1"/>
        </w:numPr>
        <w:spacing w:after="80" w:line="360" w:lineRule="auto"/>
      </w:pPr>
      <w:r>
        <w:rPr>
          <w:sz w:val="22"/>
          <w:szCs w:val="22"/>
        </w:rPr>
        <w:t>This is confirmation from the running tool itself, not from source code, that the stealth and enumeration-only modes specified in Sections 3.5 and 4.4 are genuine, user-facing options rather than just a design goal.</w:t>
      </w:r>
    </w:p>
    <w:p w14:paraId="55B962B7" w14:textId="77777777" w:rsidR="00DA1AF7" w:rsidRDefault="00684366">
      <w:pPr>
        <w:numPr>
          <w:ilvl w:val="0"/>
          <w:numId w:val="1"/>
        </w:numPr>
        <w:pBdr>
          <w:top w:val="nil"/>
          <w:left w:val="nil"/>
          <w:bottom w:val="nil"/>
          <w:right w:val="nil"/>
          <w:between w:val="nil"/>
        </w:pBdr>
        <w:spacing w:after="80" w:line="360" w:lineRule="auto"/>
      </w:pPr>
      <w:r>
        <w:rPr>
          <w:sz w:val="22"/>
          <w:szCs w:val="22"/>
        </w:rPr>
        <w:lastRenderedPageBreak/>
        <w:t>The 'apex-update' command is then run to update the local knowledge base (the knowledge/rule layer in Section 4.1) from public sources before an engagement.</w:t>
      </w:r>
    </w:p>
    <w:p w14:paraId="55B962B8" w14:textId="77777777" w:rsidR="00DA1AF7" w:rsidRDefault="00684366">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A.2 Refreshing the Knowledge Base</w:t>
      </w:r>
    </w:p>
    <w:p w14:paraId="55B962B9" w14:textId="77777777" w:rsidR="00DA1AF7" w:rsidRDefault="00684366">
      <w:pPr>
        <w:spacing w:before="160" w:after="40" w:line="360" w:lineRule="auto"/>
        <w:jc w:val="center"/>
      </w:pPr>
      <w:r>
        <w:rPr>
          <w:noProof/>
        </w:rPr>
        <w:drawing>
          <wp:inline distT="0" distB="0" distL="0" distR="0" wp14:anchorId="55B9633D" wp14:editId="55B9633E">
            <wp:extent cx="5124450" cy="3076575"/>
            <wp:effectExtent l="0" t="0" r="0" b="0"/>
            <wp:docPr id="22" name="image22.jpg"/>
            <wp:cNvGraphicFramePr/>
            <a:graphic xmlns:a="http://schemas.openxmlformats.org/drawingml/2006/main">
              <a:graphicData uri="http://schemas.openxmlformats.org/drawingml/2006/picture">
                <pic:pic xmlns:pic="http://schemas.openxmlformats.org/drawingml/2006/picture">
                  <pic:nvPicPr>
                    <pic:cNvPr id="0" name="image22.jpg"/>
                    <pic:cNvPicPr preferRelativeResize="0"/>
                  </pic:nvPicPr>
                  <pic:blipFill>
                    <a:blip r:embed="rId26"/>
                    <a:srcRect/>
                    <a:stretch>
                      <a:fillRect/>
                    </a:stretch>
                  </pic:blipFill>
                  <pic:spPr>
                    <a:xfrm>
                      <a:off x="0" y="0"/>
                      <a:ext cx="5124450" cy="3076575"/>
                    </a:xfrm>
                    <a:prstGeom prst="rect">
                      <a:avLst/>
                    </a:prstGeom>
                    <a:ln/>
                  </pic:spPr>
                </pic:pic>
              </a:graphicData>
            </a:graphic>
          </wp:inline>
        </w:drawing>
      </w:r>
    </w:p>
    <w:p w14:paraId="55B962BA" w14:textId="77777777" w:rsidR="00DA1AF7" w:rsidRDefault="00684366">
      <w:pPr>
        <w:spacing w:before="60" w:after="240" w:line="360" w:lineRule="auto"/>
        <w:jc w:val="center"/>
      </w:pPr>
      <w:r>
        <w:rPr>
          <w:i/>
          <w:iCs/>
          <w:color w:val="444444"/>
          <w:sz w:val="20"/>
          <w:szCs w:val="20"/>
        </w:rPr>
        <w:t xml:space="preserve">Figure A.2. apex-update fetching </w:t>
      </w:r>
      <w:proofErr w:type="spellStart"/>
      <w:r>
        <w:rPr>
          <w:i/>
          <w:iCs/>
          <w:color w:val="444444"/>
          <w:sz w:val="20"/>
          <w:szCs w:val="20"/>
        </w:rPr>
        <w:t>GTFOBins</w:t>
      </w:r>
      <w:proofErr w:type="spellEnd"/>
      <w:r>
        <w:rPr>
          <w:i/>
          <w:iCs/>
          <w:color w:val="444444"/>
          <w:sz w:val="20"/>
          <w:szCs w:val="20"/>
        </w:rPr>
        <w:t xml:space="preserve"> data and CVE records from the National Vulnerability Database.</w:t>
      </w:r>
    </w:p>
    <w:p w14:paraId="55B962BB" w14:textId="77777777" w:rsidR="00DA1AF7" w:rsidRDefault="00684366">
      <w:pPr>
        <w:numPr>
          <w:ilvl w:val="0"/>
          <w:numId w:val="1"/>
        </w:numPr>
        <w:spacing w:after="80" w:line="360" w:lineRule="auto"/>
      </w:pPr>
      <w:r>
        <w:rPr>
          <w:sz w:val="22"/>
          <w:szCs w:val="22"/>
        </w:rPr>
        <w:t xml:space="preserve">The update process first tries to fetch the current </w:t>
      </w:r>
      <w:proofErr w:type="spellStart"/>
      <w:r>
        <w:rPr>
          <w:sz w:val="22"/>
          <w:szCs w:val="22"/>
        </w:rPr>
        <w:t>GTFOBins</w:t>
      </w:r>
      <w:proofErr w:type="spellEnd"/>
      <w:r>
        <w:rPr>
          <w:sz w:val="22"/>
          <w:szCs w:val="22"/>
        </w:rPr>
        <w:t xml:space="preserve"> data; in this recording the retrieval failed with HTTP 404 against the </w:t>
      </w:r>
      <w:proofErr w:type="gramStart"/>
      <w:r>
        <w:rPr>
          <w:sz w:val="22"/>
          <w:szCs w:val="22"/>
        </w:rPr>
        <w:t>particular raw</w:t>
      </w:r>
      <w:proofErr w:type="gramEnd"/>
      <w:r>
        <w:rPr>
          <w:sz w:val="22"/>
          <w:szCs w:val="22"/>
        </w:rPr>
        <w:t xml:space="preserve"> URL used, left visible here as an honest record of a real run rather than edited out.</w:t>
      </w:r>
    </w:p>
    <w:p w14:paraId="55B962BC" w14:textId="77777777" w:rsidR="00DA1AF7" w:rsidRDefault="00684366">
      <w:pPr>
        <w:numPr>
          <w:ilvl w:val="0"/>
          <w:numId w:val="1"/>
        </w:numPr>
        <w:spacing w:after="80" w:line="360" w:lineRule="auto"/>
      </w:pPr>
      <w:r>
        <w:rPr>
          <w:sz w:val="22"/>
          <w:szCs w:val="22"/>
        </w:rPr>
        <w:t xml:space="preserve">The utility then proceeds to fetch kernel and software CVE records from the National Vulnerability Database identifying each CVE number as it is retrieved (e.g. CVE-2022-0847, CVE-2021-4034 and CVE-2021-3156, all </w:t>
      </w:r>
      <w:proofErr w:type="spellStart"/>
      <w:r>
        <w:rPr>
          <w:sz w:val="22"/>
          <w:szCs w:val="22"/>
        </w:rPr>
        <w:t>well known</w:t>
      </w:r>
      <w:proofErr w:type="spellEnd"/>
      <w:r>
        <w:rPr>
          <w:sz w:val="22"/>
          <w:szCs w:val="22"/>
        </w:rPr>
        <w:t xml:space="preserve"> Linux privilege-escalation CVEs).</w:t>
      </w:r>
    </w:p>
    <w:p w14:paraId="55B962BD" w14:textId="77777777" w:rsidR="00DA1AF7" w:rsidRDefault="00684366">
      <w:pPr>
        <w:numPr>
          <w:ilvl w:val="0"/>
          <w:numId w:val="1"/>
        </w:numPr>
        <w:pBdr>
          <w:top w:val="nil"/>
          <w:left w:val="nil"/>
          <w:bottom w:val="nil"/>
          <w:right w:val="nil"/>
          <w:between w:val="nil"/>
        </w:pBdr>
        <w:spacing w:after="80" w:line="360" w:lineRule="auto"/>
      </w:pPr>
      <w:r>
        <w:rPr>
          <w:sz w:val="22"/>
          <w:szCs w:val="22"/>
        </w:rPr>
        <w:t>This is the mechanism described in Section 4.4 for keeping the kernel-exploit category (Table 4.1, category 7) current: rather than shipping a static CVE list, the tool is meant to update it before each engagement.</w:t>
      </w:r>
    </w:p>
    <w:p w14:paraId="55B962BE" w14:textId="77777777" w:rsidR="00DA1AF7" w:rsidRDefault="00DA1AF7">
      <w:pPr>
        <w:pBdr>
          <w:top w:val="nil"/>
          <w:left w:val="nil"/>
          <w:bottom w:val="nil"/>
          <w:right w:val="nil"/>
          <w:between w:val="nil"/>
        </w:pBdr>
        <w:spacing w:after="80" w:line="360" w:lineRule="auto"/>
        <w:ind w:left="720"/>
        <w:rPr>
          <w:sz w:val="22"/>
          <w:szCs w:val="22"/>
        </w:rPr>
      </w:pPr>
    </w:p>
    <w:p w14:paraId="55B962BF" w14:textId="77777777" w:rsidR="00DA1AF7" w:rsidRDefault="00684366">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A.3 Generating and Hosting the Bundle</w:t>
      </w:r>
    </w:p>
    <w:p w14:paraId="55B962C0" w14:textId="77777777" w:rsidR="00DA1AF7" w:rsidRDefault="00684366">
      <w:pPr>
        <w:spacing w:before="160" w:after="40" w:line="360" w:lineRule="auto"/>
        <w:jc w:val="center"/>
      </w:pPr>
      <w:r>
        <w:rPr>
          <w:noProof/>
        </w:rPr>
        <w:lastRenderedPageBreak/>
        <w:drawing>
          <wp:inline distT="0" distB="0" distL="0" distR="0" wp14:anchorId="55B9633F" wp14:editId="55B96340">
            <wp:extent cx="5124450" cy="2788303"/>
            <wp:effectExtent l="0" t="0" r="0" b="0"/>
            <wp:docPr id="23" name="image18.jpg"/>
            <wp:cNvGraphicFramePr/>
            <a:graphic xmlns:a="http://schemas.openxmlformats.org/drawingml/2006/main">
              <a:graphicData uri="http://schemas.openxmlformats.org/drawingml/2006/picture">
                <pic:pic xmlns:pic="http://schemas.openxmlformats.org/drawingml/2006/picture">
                  <pic:nvPicPr>
                    <pic:cNvPr id="0" name="image18.jpg"/>
                    <pic:cNvPicPr preferRelativeResize="0"/>
                  </pic:nvPicPr>
                  <pic:blipFill>
                    <a:blip r:embed="rId27"/>
                    <a:srcRect/>
                    <a:stretch>
                      <a:fillRect/>
                    </a:stretch>
                  </pic:blipFill>
                  <pic:spPr>
                    <a:xfrm>
                      <a:off x="0" y="0"/>
                      <a:ext cx="5124450" cy="2788303"/>
                    </a:xfrm>
                    <a:prstGeom prst="rect">
                      <a:avLst/>
                    </a:prstGeom>
                    <a:ln/>
                  </pic:spPr>
                </pic:pic>
              </a:graphicData>
            </a:graphic>
          </wp:inline>
        </w:drawing>
      </w:r>
    </w:p>
    <w:p w14:paraId="55B962C1" w14:textId="77777777" w:rsidR="00DA1AF7" w:rsidRDefault="00684366">
      <w:pPr>
        <w:spacing w:before="60" w:after="240" w:line="360" w:lineRule="auto"/>
        <w:jc w:val="center"/>
      </w:pPr>
      <w:r>
        <w:rPr>
          <w:i/>
          <w:iCs/>
          <w:color w:val="444444"/>
          <w:sz w:val="20"/>
          <w:szCs w:val="20"/>
        </w:rPr>
        <w:t>Figure A.3. Contents of the apex working directory after a bundle build, and the bundle being hosted for transfer.</w:t>
      </w:r>
    </w:p>
    <w:p w14:paraId="55B962C2" w14:textId="77777777" w:rsidR="00DA1AF7" w:rsidRDefault="00684366">
      <w:pPr>
        <w:numPr>
          <w:ilvl w:val="0"/>
          <w:numId w:val="1"/>
        </w:numPr>
        <w:spacing w:after="80" w:line="360" w:lineRule="auto"/>
      </w:pPr>
      <w:r>
        <w:rPr>
          <w:sz w:val="22"/>
          <w:szCs w:val="22"/>
        </w:rPr>
        <w:t xml:space="preserve">A directory listing shows the output of the bundle-generation step, 'apex_bundle.sh' (the portable script used in Chapter 5), the HTML report from an earlier run, and the Python package files that make up the 'apex' tool. 'python3 -m </w:t>
      </w:r>
      <w:proofErr w:type="spellStart"/>
      <w:proofErr w:type="gramStart"/>
      <w:r>
        <w:rPr>
          <w:sz w:val="22"/>
          <w:szCs w:val="22"/>
        </w:rPr>
        <w:t>http.server</w:t>
      </w:r>
      <w:proofErr w:type="spellEnd"/>
      <w:proofErr w:type="gramEnd"/>
      <w:r>
        <w:rPr>
          <w:sz w:val="22"/>
          <w:szCs w:val="22"/>
        </w:rPr>
        <w:t>' is then run in that directory, the same mechanism shown from the target side in Figure 5.1 to pull the bundle across the network with '</w:t>
      </w:r>
      <w:proofErr w:type="spellStart"/>
      <w:r>
        <w:rPr>
          <w:sz w:val="22"/>
          <w:szCs w:val="22"/>
        </w:rPr>
        <w:t>wget</w:t>
      </w:r>
      <w:proofErr w:type="spellEnd"/>
      <w:r>
        <w:rPr>
          <w:sz w:val="22"/>
          <w:szCs w:val="22"/>
        </w:rPr>
        <w:t>'.</w:t>
      </w:r>
    </w:p>
    <w:p w14:paraId="55B962C3" w14:textId="77777777" w:rsidR="00DA1AF7" w:rsidRDefault="00684366">
      <w:pPr>
        <w:numPr>
          <w:ilvl w:val="0"/>
          <w:numId w:val="1"/>
        </w:numPr>
        <w:pBdr>
          <w:top w:val="nil"/>
          <w:left w:val="nil"/>
          <w:bottom w:val="nil"/>
          <w:right w:val="nil"/>
          <w:between w:val="nil"/>
        </w:pBdr>
        <w:spacing w:after="80" w:line="360" w:lineRule="auto"/>
      </w:pPr>
      <w:r>
        <w:rPr>
          <w:sz w:val="22"/>
          <w:szCs w:val="22"/>
        </w:rPr>
        <w:t>The second terminal tab in the background, labelled 'jim@dc-4', shows that the SSH session onto the target used in Chapter 5 was opened alongside this phase, consistent with the deployment procedure in Section 5.2.</w:t>
      </w:r>
    </w:p>
    <w:p w14:paraId="55B962C4" w14:textId="77777777" w:rsidR="00DA1AF7" w:rsidRDefault="00DA1AF7">
      <w:pPr>
        <w:pStyle w:val="Heading2"/>
        <w:spacing w:before="280" w:after="120" w:line="360" w:lineRule="auto"/>
        <w:rPr>
          <w:rFonts w:ascii="Times New Roman" w:eastAsia="Times New Roman" w:hAnsi="Times New Roman" w:cs="Times New Roman"/>
          <w:b/>
          <w:bCs/>
          <w:color w:val="000000"/>
        </w:rPr>
      </w:pPr>
    </w:p>
    <w:p w14:paraId="55B962C5" w14:textId="77777777" w:rsidR="00DA1AF7" w:rsidRDefault="00DA1AF7">
      <w:pPr>
        <w:pStyle w:val="Heading2"/>
        <w:spacing w:before="280" w:after="120" w:line="360" w:lineRule="auto"/>
        <w:rPr>
          <w:rFonts w:ascii="Times New Roman" w:eastAsia="Times New Roman" w:hAnsi="Times New Roman" w:cs="Times New Roman"/>
          <w:b/>
          <w:bCs/>
          <w:color w:val="000000"/>
        </w:rPr>
      </w:pPr>
    </w:p>
    <w:p w14:paraId="55B962C6" w14:textId="77777777" w:rsidR="00DA1AF7" w:rsidRDefault="00DA1AF7">
      <w:pPr>
        <w:pStyle w:val="Heading2"/>
        <w:spacing w:before="280" w:after="120" w:line="360" w:lineRule="auto"/>
        <w:rPr>
          <w:rFonts w:ascii="Times New Roman" w:eastAsia="Times New Roman" w:hAnsi="Times New Roman" w:cs="Times New Roman"/>
          <w:b/>
          <w:bCs/>
          <w:color w:val="000000"/>
        </w:rPr>
      </w:pPr>
    </w:p>
    <w:p w14:paraId="55B962C7" w14:textId="77777777" w:rsidR="00DA1AF7" w:rsidRDefault="00DA1AF7">
      <w:pPr>
        <w:pStyle w:val="Heading2"/>
        <w:spacing w:before="280" w:after="120" w:line="360" w:lineRule="auto"/>
        <w:rPr>
          <w:rFonts w:ascii="Times New Roman" w:eastAsia="Times New Roman" w:hAnsi="Times New Roman" w:cs="Times New Roman"/>
          <w:b/>
          <w:bCs/>
          <w:color w:val="000000"/>
        </w:rPr>
      </w:pPr>
    </w:p>
    <w:p w14:paraId="55B962C8" w14:textId="77777777" w:rsidR="00DA1AF7" w:rsidRDefault="00DA1AF7">
      <w:pPr>
        <w:pStyle w:val="Heading2"/>
        <w:spacing w:before="280" w:after="120" w:line="360" w:lineRule="auto"/>
        <w:rPr>
          <w:rFonts w:ascii="Times New Roman" w:eastAsia="Times New Roman" w:hAnsi="Times New Roman" w:cs="Times New Roman"/>
          <w:b/>
          <w:bCs/>
          <w:color w:val="000000"/>
        </w:rPr>
      </w:pPr>
    </w:p>
    <w:p w14:paraId="55B962C9" w14:textId="77777777" w:rsidR="00DA1AF7" w:rsidRDefault="00684366">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A.4 Automated Credential Harvesting</w:t>
      </w:r>
    </w:p>
    <w:p w14:paraId="55B962CA" w14:textId="77777777" w:rsidR="00DA1AF7" w:rsidRDefault="00684366">
      <w:pPr>
        <w:spacing w:before="160" w:after="40" w:line="360" w:lineRule="auto"/>
        <w:jc w:val="center"/>
      </w:pPr>
      <w:r>
        <w:rPr>
          <w:noProof/>
        </w:rPr>
        <w:lastRenderedPageBreak/>
        <w:drawing>
          <wp:inline distT="0" distB="0" distL="0" distR="0" wp14:anchorId="55B96341" wp14:editId="55B96342">
            <wp:extent cx="5124450" cy="2788303"/>
            <wp:effectExtent l="0" t="0" r="0" b="0"/>
            <wp:docPr id="1" name="image21.jpg"/>
            <wp:cNvGraphicFramePr/>
            <a:graphic xmlns:a="http://schemas.openxmlformats.org/drawingml/2006/main">
              <a:graphicData uri="http://schemas.openxmlformats.org/drawingml/2006/picture">
                <pic:pic xmlns:pic="http://schemas.openxmlformats.org/drawingml/2006/picture">
                  <pic:nvPicPr>
                    <pic:cNvPr id="0" name="image21.jpg"/>
                    <pic:cNvPicPr preferRelativeResize="0"/>
                  </pic:nvPicPr>
                  <pic:blipFill>
                    <a:blip r:embed="rId28"/>
                    <a:srcRect/>
                    <a:stretch>
                      <a:fillRect/>
                    </a:stretch>
                  </pic:blipFill>
                  <pic:spPr>
                    <a:xfrm>
                      <a:off x="0" y="0"/>
                      <a:ext cx="5124450" cy="2788303"/>
                    </a:xfrm>
                    <a:prstGeom prst="rect">
                      <a:avLst/>
                    </a:prstGeom>
                    <a:ln/>
                  </pic:spPr>
                </pic:pic>
              </a:graphicData>
            </a:graphic>
          </wp:inline>
        </w:drawing>
      </w:r>
    </w:p>
    <w:p w14:paraId="55B962CB" w14:textId="77777777" w:rsidR="00DA1AF7" w:rsidRDefault="00684366">
      <w:pPr>
        <w:spacing w:before="60" w:after="240" w:line="360" w:lineRule="auto"/>
        <w:jc w:val="center"/>
      </w:pPr>
      <w:r>
        <w:rPr>
          <w:i/>
          <w:iCs/>
          <w:color w:val="444444"/>
          <w:sz w:val="20"/>
          <w:szCs w:val="20"/>
        </w:rPr>
        <w:t>Figure A.4. Phase 2 (CVE Discovery) and Phase 2b (Credential Harvesting) output from a bundle run.</w:t>
      </w:r>
    </w:p>
    <w:p w14:paraId="55B962CC" w14:textId="77777777" w:rsidR="00DA1AF7" w:rsidRDefault="00684366">
      <w:pPr>
        <w:numPr>
          <w:ilvl w:val="0"/>
          <w:numId w:val="1"/>
        </w:numPr>
        <w:spacing w:after="80" w:line="360" w:lineRule="auto"/>
      </w:pPr>
      <w:r>
        <w:rPr>
          <w:sz w:val="22"/>
          <w:szCs w:val="22"/>
        </w:rPr>
        <w:t xml:space="preserve">Phase 2 prints local account UIDs, the installed </w:t>
      </w:r>
      <w:proofErr w:type="spellStart"/>
      <w:r>
        <w:rPr>
          <w:sz w:val="22"/>
          <w:szCs w:val="22"/>
        </w:rPr>
        <w:t>sudo</w:t>
      </w:r>
      <w:proofErr w:type="spellEnd"/>
      <w:r>
        <w:rPr>
          <w:sz w:val="22"/>
          <w:szCs w:val="22"/>
        </w:rPr>
        <w:t xml:space="preserve"> version, and CVE-2021-3156 ("Baron </w:t>
      </w:r>
      <w:proofErr w:type="spellStart"/>
      <w:r>
        <w:rPr>
          <w:sz w:val="22"/>
          <w:szCs w:val="22"/>
        </w:rPr>
        <w:t>Samedit</w:t>
      </w:r>
      <w:proofErr w:type="spellEnd"/>
      <w:r>
        <w:rPr>
          <w:sz w:val="22"/>
          <w:szCs w:val="22"/>
        </w:rPr>
        <w:t xml:space="preserve">") as a version match worth investigating against the reported </w:t>
      </w:r>
      <w:proofErr w:type="spellStart"/>
      <w:r>
        <w:rPr>
          <w:sz w:val="22"/>
          <w:szCs w:val="22"/>
        </w:rPr>
        <w:t>sudo</w:t>
      </w:r>
      <w:proofErr w:type="spellEnd"/>
      <w:r>
        <w:rPr>
          <w:sz w:val="22"/>
          <w:szCs w:val="22"/>
        </w:rPr>
        <w:t xml:space="preserve"> 1.8.19p1, illustrating the version-matched candidate generation described in Section 2.2, kept separate from confirmed, prerequisite-checked candidates.</w:t>
      </w:r>
    </w:p>
    <w:p w14:paraId="55B962CD" w14:textId="77777777" w:rsidR="00DA1AF7" w:rsidRDefault="00684366">
      <w:pPr>
        <w:numPr>
          <w:ilvl w:val="0"/>
          <w:numId w:val="1"/>
        </w:numPr>
        <w:pBdr>
          <w:top w:val="nil"/>
          <w:left w:val="nil"/>
          <w:bottom w:val="nil"/>
          <w:right w:val="nil"/>
          <w:between w:val="nil"/>
        </w:pBdr>
        <w:spacing w:after="80" w:line="360" w:lineRule="auto"/>
      </w:pPr>
      <w:r>
        <w:rPr>
          <w:sz w:val="22"/>
          <w:szCs w:val="22"/>
        </w:rPr>
        <w:t xml:space="preserve">CVE-2021-3156 was first reported by the Qualys Research Team as a heap-based buffer overflow in </w:t>
      </w:r>
      <w:proofErr w:type="spellStart"/>
      <w:r>
        <w:rPr>
          <w:sz w:val="22"/>
          <w:szCs w:val="22"/>
        </w:rPr>
        <w:t>sudo's</w:t>
      </w:r>
      <w:proofErr w:type="spellEnd"/>
      <w:r>
        <w:rPr>
          <w:sz w:val="22"/>
          <w:szCs w:val="22"/>
        </w:rPr>
        <w:t xml:space="preserve"> command-line parsing, exploitable by any local user regardless of the </w:t>
      </w:r>
      <w:proofErr w:type="spellStart"/>
      <w:r>
        <w:rPr>
          <w:sz w:val="22"/>
          <w:szCs w:val="22"/>
        </w:rPr>
        <w:t>sudoers</w:t>
      </w:r>
      <w:proofErr w:type="spellEnd"/>
      <w:r>
        <w:rPr>
          <w:sz w:val="22"/>
          <w:szCs w:val="22"/>
        </w:rPr>
        <w:t xml:space="preserve"> configuration [15], and the Qualys advisory remains the primary technical reference for the root cause and affected versions [15]. APEX flags it not as a confirmed candidate but as a version-matched one, consistent with the caution in Sections 2.1 and 2.2: the target's specific </w:t>
      </w:r>
      <w:proofErr w:type="spellStart"/>
      <w:r>
        <w:rPr>
          <w:sz w:val="22"/>
          <w:szCs w:val="22"/>
        </w:rPr>
        <w:t>sudo</w:t>
      </w:r>
      <w:proofErr w:type="spellEnd"/>
      <w:r>
        <w:rPr>
          <w:sz w:val="22"/>
          <w:szCs w:val="22"/>
        </w:rPr>
        <w:t xml:space="preserve"> build, patch level and available exploit tooling would all need confirming before treating it as more than a lead worth manual investigation. I</w:t>
      </w:r>
      <w:r>
        <w:rPr>
          <w:sz w:val="22"/>
          <w:szCs w:val="22"/>
        </w:rPr>
        <w:t>ts severity, a local user gaining root without special configuration, is part of why it remains a standard inclusion in fingerprinting-based escalation tooling years after disclosure, and why APEX's kernel/package CVE category in Section 4.2 tracks it explicitly rather than relying only on generic version-range matching.</w:t>
      </w:r>
    </w:p>
    <w:p w14:paraId="55B962CE" w14:textId="77777777" w:rsidR="00DA1AF7" w:rsidRDefault="00684366">
      <w:pPr>
        <w:numPr>
          <w:ilvl w:val="0"/>
          <w:numId w:val="1"/>
        </w:numPr>
        <w:spacing w:after="80" w:line="360" w:lineRule="auto"/>
      </w:pPr>
      <w:r>
        <w:rPr>
          <w:sz w:val="22"/>
          <w:szCs w:val="22"/>
        </w:rPr>
        <w:t>Phase 2b (Credential Harvesting) is the automated equivalent of the manual mail-spool read in Figure 5.3: it independently finds the same password pattern in /var/mail/</w:t>
      </w:r>
      <w:proofErr w:type="spellStart"/>
      <w:r>
        <w:rPr>
          <w:sz w:val="22"/>
          <w:szCs w:val="22"/>
        </w:rPr>
        <w:t>jim</w:t>
      </w:r>
      <w:proofErr w:type="spellEnd"/>
      <w:r>
        <w:rPr>
          <w:sz w:val="22"/>
          <w:szCs w:val="22"/>
        </w:rPr>
        <w:t xml:space="preserve"> and flags a suspicious '</w:t>
      </w:r>
      <w:proofErr w:type="spellStart"/>
      <w:r>
        <w:rPr>
          <w:sz w:val="22"/>
          <w:szCs w:val="22"/>
        </w:rPr>
        <w:t>su</w:t>
      </w:r>
      <w:proofErr w:type="spellEnd"/>
      <w:r>
        <w:rPr>
          <w:sz w:val="22"/>
          <w:szCs w:val="22"/>
        </w:rPr>
        <w:t xml:space="preserve"> </w:t>
      </w:r>
      <w:proofErr w:type="spellStart"/>
      <w:r>
        <w:rPr>
          <w:sz w:val="22"/>
          <w:szCs w:val="22"/>
        </w:rPr>
        <w:t>charles</w:t>
      </w:r>
      <w:proofErr w:type="spellEnd"/>
      <w:r>
        <w:rPr>
          <w:sz w:val="22"/>
          <w:szCs w:val="22"/>
        </w:rPr>
        <w:t>' entry in the shell history, showing the tool can recover in an automated pass part of what was done manually in Chapter 5.</w:t>
      </w:r>
    </w:p>
    <w:p w14:paraId="55B962CF" w14:textId="77777777" w:rsidR="00DA1AF7" w:rsidRDefault="00684366">
      <w:pPr>
        <w:numPr>
          <w:ilvl w:val="0"/>
          <w:numId w:val="1"/>
        </w:numPr>
        <w:pBdr>
          <w:top w:val="nil"/>
          <w:left w:val="nil"/>
          <w:bottom w:val="nil"/>
          <w:right w:val="nil"/>
          <w:between w:val="nil"/>
        </w:pBdr>
        <w:spacing w:after="80" w:line="360" w:lineRule="auto"/>
      </w:pPr>
      <w:r>
        <w:rPr>
          <w:sz w:val="22"/>
          <w:szCs w:val="22"/>
        </w:rPr>
        <w:lastRenderedPageBreak/>
        <w:t>Phase 2c (Lateral Movement) shows how many harvested candidate passwords are available to try, the credential-reuse category from Table 4.1 (category 10) working automatically rather than by hand.</w:t>
      </w:r>
    </w:p>
    <w:p w14:paraId="55B962D0" w14:textId="77777777" w:rsidR="00DA1AF7" w:rsidRDefault="00684366">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A.5 Re-running the Bundle Under a Second Account</w:t>
      </w:r>
    </w:p>
    <w:p w14:paraId="55B962D1" w14:textId="77777777" w:rsidR="00DA1AF7" w:rsidRDefault="00684366">
      <w:pPr>
        <w:spacing w:before="160" w:after="40" w:line="360" w:lineRule="auto"/>
        <w:jc w:val="center"/>
      </w:pPr>
      <w:r>
        <w:rPr>
          <w:noProof/>
        </w:rPr>
        <w:drawing>
          <wp:inline distT="0" distB="0" distL="0" distR="0" wp14:anchorId="55B96343" wp14:editId="55B96344">
            <wp:extent cx="5124450" cy="3076575"/>
            <wp:effectExtent l="0" t="0" r="0" b="0"/>
            <wp:docPr id="2" name="image5.jpg"/>
            <wp:cNvGraphicFramePr/>
            <a:graphic xmlns:a="http://schemas.openxmlformats.org/drawingml/2006/main">
              <a:graphicData uri="http://schemas.openxmlformats.org/drawingml/2006/picture">
                <pic:pic xmlns:pic="http://schemas.openxmlformats.org/drawingml/2006/picture">
                  <pic:nvPicPr>
                    <pic:cNvPr id="0" name="image5.jpg"/>
                    <pic:cNvPicPr preferRelativeResize="0"/>
                  </pic:nvPicPr>
                  <pic:blipFill>
                    <a:blip r:embed="rId29"/>
                    <a:srcRect/>
                    <a:stretch>
                      <a:fillRect/>
                    </a:stretch>
                  </pic:blipFill>
                  <pic:spPr>
                    <a:xfrm>
                      <a:off x="0" y="0"/>
                      <a:ext cx="5124450" cy="3076575"/>
                    </a:xfrm>
                    <a:prstGeom prst="rect">
                      <a:avLst/>
                    </a:prstGeom>
                    <a:ln/>
                  </pic:spPr>
                </pic:pic>
              </a:graphicData>
            </a:graphic>
          </wp:inline>
        </w:drawing>
      </w:r>
    </w:p>
    <w:p w14:paraId="55B962D2" w14:textId="77777777" w:rsidR="00DA1AF7" w:rsidRDefault="00684366">
      <w:pPr>
        <w:spacing w:before="60" w:after="240" w:line="360" w:lineRule="auto"/>
        <w:jc w:val="center"/>
      </w:pPr>
      <w:r>
        <w:rPr>
          <w:i/>
          <w:iCs/>
          <w:color w:val="444444"/>
          <w:sz w:val="20"/>
          <w:szCs w:val="20"/>
        </w:rPr>
        <w:t xml:space="preserve">Figure A.5. The </w:t>
      </w:r>
      <w:proofErr w:type="spellStart"/>
      <w:r>
        <w:rPr>
          <w:i/>
          <w:iCs/>
          <w:color w:val="444444"/>
          <w:sz w:val="20"/>
          <w:szCs w:val="20"/>
        </w:rPr>
        <w:t>charles</w:t>
      </w:r>
      <w:proofErr w:type="spellEnd"/>
      <w:r>
        <w:rPr>
          <w:i/>
          <w:iCs/>
          <w:color w:val="444444"/>
          <w:sz w:val="20"/>
          <w:szCs w:val="20"/>
        </w:rPr>
        <w:t xml:space="preserve"> account attempting to remove and then re-running apex_bundle.sh, with the authorisation prompt shown again.</w:t>
      </w:r>
    </w:p>
    <w:p w14:paraId="55B962D3" w14:textId="77777777" w:rsidR="00DA1AF7" w:rsidRDefault="00684366">
      <w:pPr>
        <w:numPr>
          <w:ilvl w:val="0"/>
          <w:numId w:val="1"/>
        </w:numPr>
        <w:spacing w:after="80" w:line="360" w:lineRule="auto"/>
      </w:pPr>
      <w:r>
        <w:rPr>
          <w:sz w:val="22"/>
          <w:szCs w:val="22"/>
        </w:rPr>
        <w:t>The shell denies an attempt to delete 'apex_bundle.sh' as '</w:t>
      </w:r>
      <w:proofErr w:type="spellStart"/>
      <w:r>
        <w:rPr>
          <w:sz w:val="22"/>
          <w:szCs w:val="22"/>
        </w:rPr>
        <w:t>charles</w:t>
      </w:r>
      <w:proofErr w:type="spellEnd"/>
      <w:r>
        <w:rPr>
          <w:sz w:val="22"/>
          <w:szCs w:val="22"/>
        </w:rPr>
        <w:t>' ("Permission denied"), because the script had been transferred as a write-protected file, an incidental but useful confirmation that the bundle's files were not left world-writable on the target.</w:t>
      </w:r>
    </w:p>
    <w:p w14:paraId="55B962D4" w14:textId="77777777" w:rsidR="00DA1AF7" w:rsidRDefault="00684366">
      <w:pPr>
        <w:numPr>
          <w:ilvl w:val="0"/>
          <w:numId w:val="1"/>
        </w:numPr>
        <w:pBdr>
          <w:top w:val="nil"/>
          <w:left w:val="nil"/>
          <w:bottom w:val="nil"/>
          <w:right w:val="nil"/>
          <w:between w:val="nil"/>
        </w:pBdr>
        <w:spacing w:after="80" w:line="360" w:lineRule="auto"/>
      </w:pPr>
      <w:proofErr w:type="gramStart"/>
      <w:r>
        <w:rPr>
          <w:sz w:val="22"/>
          <w:szCs w:val="22"/>
        </w:rPr>
        <w:t>Instead</w:t>
      </w:r>
      <w:proofErr w:type="gramEnd"/>
      <w:r>
        <w:rPr>
          <w:sz w:val="22"/>
          <w:szCs w:val="22"/>
        </w:rPr>
        <w:t xml:space="preserve"> the bundle is launched again directly, printing its version banner and timestamp, as in the second run in Section 5.4.</w:t>
      </w:r>
    </w:p>
    <w:p w14:paraId="55B962D5" w14:textId="77777777" w:rsidR="00DA1AF7" w:rsidRDefault="00684366">
      <w:pPr>
        <w:numPr>
          <w:ilvl w:val="0"/>
          <w:numId w:val="1"/>
        </w:numPr>
        <w:pBdr>
          <w:top w:val="nil"/>
          <w:left w:val="nil"/>
          <w:bottom w:val="nil"/>
          <w:right w:val="nil"/>
          <w:between w:val="nil"/>
        </w:pBdr>
        <w:spacing w:after="80" w:line="360" w:lineRule="auto"/>
      </w:pPr>
      <w:r>
        <w:rPr>
          <w:sz w:val="22"/>
          <w:szCs w:val="22"/>
        </w:rPr>
        <w:t>For this second run the mandatory "FOR AUTHORIZED USE ONLY" authorisation prompt from Section 4.4 is answered again, confirming that authorisation is required each time the bundle runs, not just on first use.</w:t>
      </w:r>
    </w:p>
    <w:p w14:paraId="55B962D6" w14:textId="77777777" w:rsidR="00DA1AF7" w:rsidRDefault="00684366">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A.6 Confirmed Root Shell</w:t>
      </w:r>
    </w:p>
    <w:p w14:paraId="55B962D7" w14:textId="77777777" w:rsidR="00DA1AF7" w:rsidRDefault="00684366">
      <w:pPr>
        <w:spacing w:before="160" w:after="40" w:line="360" w:lineRule="auto"/>
        <w:jc w:val="center"/>
      </w:pPr>
      <w:r>
        <w:rPr>
          <w:noProof/>
        </w:rPr>
        <w:lastRenderedPageBreak/>
        <w:drawing>
          <wp:inline distT="0" distB="0" distL="0" distR="0" wp14:anchorId="55B96345" wp14:editId="55B96346">
            <wp:extent cx="3838575" cy="2088636"/>
            <wp:effectExtent l="0" t="0" r="0" b="0"/>
            <wp:docPr id="3"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30"/>
                    <a:srcRect/>
                    <a:stretch>
                      <a:fillRect/>
                    </a:stretch>
                  </pic:blipFill>
                  <pic:spPr>
                    <a:xfrm>
                      <a:off x="0" y="0"/>
                      <a:ext cx="3838575" cy="2088636"/>
                    </a:xfrm>
                    <a:prstGeom prst="rect">
                      <a:avLst/>
                    </a:prstGeom>
                    <a:ln/>
                  </pic:spPr>
                </pic:pic>
              </a:graphicData>
            </a:graphic>
          </wp:inline>
        </w:drawing>
      </w:r>
    </w:p>
    <w:p w14:paraId="55B962D8" w14:textId="77777777" w:rsidR="00DA1AF7" w:rsidRDefault="00684366">
      <w:pPr>
        <w:spacing w:before="60" w:after="240" w:line="360" w:lineRule="auto"/>
        <w:jc w:val="center"/>
      </w:pPr>
      <w:r>
        <w:rPr>
          <w:i/>
          <w:iCs/>
          <w:color w:val="444444"/>
          <w:sz w:val="20"/>
          <w:szCs w:val="20"/>
        </w:rPr>
        <w:t>Figure A.6. Final shell prompt confirming a root-level session on the target.</w:t>
      </w:r>
    </w:p>
    <w:p w14:paraId="55B962D9" w14:textId="77777777" w:rsidR="00DA1AF7" w:rsidRDefault="00684366">
      <w:pPr>
        <w:numPr>
          <w:ilvl w:val="0"/>
          <w:numId w:val="1"/>
        </w:numPr>
        <w:spacing w:after="80" w:line="360" w:lineRule="auto"/>
      </w:pPr>
      <w:r>
        <w:rPr>
          <w:sz w:val="22"/>
          <w:szCs w:val="22"/>
        </w:rPr>
        <w:t>The final frame of the recording indicates that the terminal prompt itself has changed to 'root@dc-4:/home/</w:t>
      </w:r>
      <w:proofErr w:type="spellStart"/>
      <w:r>
        <w:rPr>
          <w:sz w:val="22"/>
          <w:szCs w:val="22"/>
        </w:rPr>
        <w:t>jim</w:t>
      </w:r>
      <w:proofErr w:type="spellEnd"/>
      <w:r>
        <w:rPr>
          <w:sz w:val="22"/>
          <w:szCs w:val="22"/>
        </w:rPr>
        <w:t>#'. This is the operating system's own confirmation of the effective user context, regardless of what APEX itself says.</w:t>
      </w:r>
    </w:p>
    <w:p w14:paraId="55B962DA" w14:textId="77777777" w:rsidR="00DA1AF7" w:rsidRDefault="00684366">
      <w:pPr>
        <w:numPr>
          <w:ilvl w:val="0"/>
          <w:numId w:val="1"/>
        </w:numPr>
        <w:pBdr>
          <w:top w:val="nil"/>
          <w:left w:val="nil"/>
          <w:bottom w:val="nil"/>
          <w:right w:val="nil"/>
          <w:between w:val="nil"/>
        </w:pBdr>
        <w:spacing w:after="80" w:line="360" w:lineRule="auto"/>
      </w:pPr>
      <w:r>
        <w:rPr>
          <w:sz w:val="22"/>
          <w:szCs w:val="22"/>
        </w:rPr>
        <w:t xml:space="preserve">This is an external, tool-independent check on the verification result APEX already reported in Figure 5.5 ("ROOT OBTAINED via </w:t>
      </w:r>
      <w:proofErr w:type="spellStart"/>
      <w:r>
        <w:rPr>
          <w:sz w:val="22"/>
          <w:szCs w:val="22"/>
        </w:rPr>
        <w:t>WRITE_</w:t>
      </w:r>
      <w:proofErr w:type="gramStart"/>
      <w:r>
        <w:rPr>
          <w:sz w:val="22"/>
          <w:szCs w:val="22"/>
        </w:rPr>
        <w:t>PRIM:teehee</w:t>
      </w:r>
      <w:proofErr w:type="spellEnd"/>
      <w:proofErr w:type="gramEnd"/>
      <w:r>
        <w:rPr>
          <w:sz w:val="22"/>
          <w:szCs w:val="22"/>
        </w:rPr>
        <w:t>"); the two agree.</w:t>
      </w:r>
    </w:p>
    <w:p w14:paraId="55B962DB" w14:textId="77777777" w:rsidR="00DA1AF7" w:rsidRDefault="00684366">
      <w:pPr>
        <w:pStyle w:val="Heading1"/>
        <w:spacing w:before="480" w:after="160" w:line="360" w:lineRule="auto"/>
        <w:rPr>
          <w:rFonts w:ascii="Times New Roman" w:eastAsia="Times New Roman" w:hAnsi="Times New Roman" w:cs="Times New Roman"/>
        </w:rPr>
      </w:pPr>
      <w:r>
        <w:rPr>
          <w:rFonts w:ascii="Times New Roman" w:eastAsia="Times New Roman" w:hAnsi="Times New Roman" w:cs="Times New Roman"/>
          <w:b/>
          <w:bCs/>
          <w:color w:val="000000"/>
        </w:rPr>
        <w:t>Appendix B: Case Study Evidence Chain (Detail)</w:t>
      </w:r>
    </w:p>
    <w:p w14:paraId="55B962DC" w14:textId="77777777" w:rsidR="00DA1AF7" w:rsidRDefault="00684366">
      <w:pPr>
        <w:spacing w:after="160" w:line="360" w:lineRule="auto"/>
        <w:jc w:val="both"/>
      </w:pPr>
      <w:r>
        <w:rPr>
          <w:sz w:val="22"/>
          <w:szCs w:val="22"/>
        </w:rPr>
        <w:t>For readers who want to trace a Chapter 5 claim back to specific evidence without re-reading the figures, Table B.1 expands the evidence-chain summary in Table 5.1 by listing the individual artefacts recorded at each stage. It is an index into Chapter 5, not fresh evidence in its own right; each row corresponds to a figure already shown and discussed in the main report.</w:t>
      </w:r>
    </w:p>
    <w:tbl>
      <w:tblPr>
        <w:tblStyle w:val="a4"/>
        <w:tblW w:w="9000" w:type="dxa"/>
        <w:tblInd w:w="0" w:type="dxa"/>
        <w:tblBorders>
          <w:top w:val="single" w:sz="4" w:space="0" w:color="9DB6CE"/>
          <w:left w:val="single" w:sz="4" w:space="0" w:color="9DB6CE"/>
          <w:bottom w:val="single" w:sz="4" w:space="0" w:color="9DB6CE"/>
          <w:right w:val="single" w:sz="4" w:space="0" w:color="9DB6CE"/>
          <w:insideH w:val="single" w:sz="4" w:space="0" w:color="C3D3E5"/>
          <w:insideV w:val="single" w:sz="4" w:space="0" w:color="C3D3E5"/>
        </w:tblBorders>
        <w:tblLayout w:type="fixed"/>
        <w:tblLook w:val="0000" w:firstRow="0" w:lastRow="0" w:firstColumn="0" w:lastColumn="0" w:noHBand="0" w:noVBand="0"/>
      </w:tblPr>
      <w:tblGrid>
        <w:gridCol w:w="1600"/>
        <w:gridCol w:w="5400"/>
        <w:gridCol w:w="2000"/>
      </w:tblGrid>
      <w:tr w:rsidR="00DA1AF7" w14:paraId="55B962E0" w14:textId="77777777">
        <w:trPr>
          <w:tblHeader/>
        </w:trPr>
        <w:tc>
          <w:tcPr>
            <w:tcW w:w="1600" w:type="dxa"/>
            <w:shd w:val="clear" w:color="auto" w:fill="4F81BD"/>
            <w:tcMar>
              <w:top w:w="80" w:type="dxa"/>
              <w:left w:w="100" w:type="dxa"/>
              <w:bottom w:w="80" w:type="dxa"/>
              <w:right w:w="100" w:type="dxa"/>
            </w:tcMar>
            <w:vAlign w:val="center"/>
          </w:tcPr>
          <w:p w14:paraId="55B962DD" w14:textId="77777777" w:rsidR="00DA1AF7" w:rsidRDefault="00684366">
            <w:pPr>
              <w:spacing w:line="360" w:lineRule="auto"/>
            </w:pPr>
            <w:r>
              <w:rPr>
                <w:b/>
                <w:bCs/>
                <w:color w:val="FFFFFF"/>
                <w:sz w:val="19"/>
                <w:szCs w:val="19"/>
              </w:rPr>
              <w:t>Stage</w:t>
            </w:r>
          </w:p>
        </w:tc>
        <w:tc>
          <w:tcPr>
            <w:tcW w:w="5400" w:type="dxa"/>
            <w:shd w:val="clear" w:color="auto" w:fill="4F81BD"/>
            <w:tcMar>
              <w:top w:w="80" w:type="dxa"/>
              <w:left w:w="100" w:type="dxa"/>
              <w:bottom w:w="80" w:type="dxa"/>
              <w:right w:w="100" w:type="dxa"/>
            </w:tcMar>
            <w:vAlign w:val="center"/>
          </w:tcPr>
          <w:p w14:paraId="55B962DE" w14:textId="77777777" w:rsidR="00DA1AF7" w:rsidRDefault="00684366">
            <w:pPr>
              <w:spacing w:line="360" w:lineRule="auto"/>
            </w:pPr>
            <w:r>
              <w:rPr>
                <w:b/>
                <w:bCs/>
                <w:color w:val="FFFFFF"/>
                <w:sz w:val="19"/>
                <w:szCs w:val="19"/>
              </w:rPr>
              <w:t>Artefact recorded</w:t>
            </w:r>
          </w:p>
        </w:tc>
        <w:tc>
          <w:tcPr>
            <w:tcW w:w="2000" w:type="dxa"/>
            <w:shd w:val="clear" w:color="auto" w:fill="4F81BD"/>
            <w:tcMar>
              <w:top w:w="80" w:type="dxa"/>
              <w:left w:w="100" w:type="dxa"/>
              <w:bottom w:w="80" w:type="dxa"/>
              <w:right w:w="100" w:type="dxa"/>
            </w:tcMar>
            <w:vAlign w:val="center"/>
          </w:tcPr>
          <w:p w14:paraId="55B962DF" w14:textId="77777777" w:rsidR="00DA1AF7" w:rsidRDefault="00684366">
            <w:pPr>
              <w:spacing w:line="360" w:lineRule="auto"/>
            </w:pPr>
            <w:r>
              <w:rPr>
                <w:b/>
                <w:bCs/>
                <w:color w:val="FFFFFF"/>
                <w:sz w:val="19"/>
                <w:szCs w:val="19"/>
              </w:rPr>
              <w:t>Where reported</w:t>
            </w:r>
          </w:p>
        </w:tc>
      </w:tr>
      <w:tr w:rsidR="00DA1AF7" w14:paraId="55B962E4" w14:textId="77777777">
        <w:tc>
          <w:tcPr>
            <w:tcW w:w="1600" w:type="dxa"/>
            <w:tcMar>
              <w:top w:w="80" w:type="dxa"/>
              <w:left w:w="100" w:type="dxa"/>
              <w:bottom w:w="80" w:type="dxa"/>
              <w:right w:w="100" w:type="dxa"/>
            </w:tcMar>
            <w:vAlign w:val="center"/>
          </w:tcPr>
          <w:p w14:paraId="55B962E1" w14:textId="77777777" w:rsidR="00DA1AF7" w:rsidRDefault="00684366">
            <w:pPr>
              <w:spacing w:line="360" w:lineRule="auto"/>
            </w:pPr>
            <w:r>
              <w:rPr>
                <w:color w:val="000000"/>
                <w:sz w:val="19"/>
                <w:szCs w:val="19"/>
              </w:rPr>
              <w:t>Initial access</w:t>
            </w:r>
          </w:p>
        </w:tc>
        <w:tc>
          <w:tcPr>
            <w:tcW w:w="5400" w:type="dxa"/>
            <w:tcMar>
              <w:top w:w="80" w:type="dxa"/>
              <w:left w:w="100" w:type="dxa"/>
              <w:bottom w:w="80" w:type="dxa"/>
              <w:right w:w="100" w:type="dxa"/>
            </w:tcMar>
            <w:vAlign w:val="center"/>
          </w:tcPr>
          <w:p w14:paraId="55B962E2" w14:textId="77777777" w:rsidR="00DA1AF7" w:rsidRDefault="00684366">
            <w:pPr>
              <w:spacing w:line="360" w:lineRule="auto"/>
            </w:pPr>
            <w:r>
              <w:rPr>
                <w:color w:val="000000"/>
                <w:sz w:val="19"/>
                <w:szCs w:val="19"/>
              </w:rPr>
              <w:t>SSH session log; target kernel string (Linux dc-4 4.9.0-3-686)</w:t>
            </w:r>
          </w:p>
        </w:tc>
        <w:tc>
          <w:tcPr>
            <w:tcW w:w="2000" w:type="dxa"/>
            <w:tcMar>
              <w:top w:w="80" w:type="dxa"/>
              <w:left w:w="100" w:type="dxa"/>
              <w:bottom w:w="80" w:type="dxa"/>
              <w:right w:w="100" w:type="dxa"/>
            </w:tcMar>
            <w:vAlign w:val="center"/>
          </w:tcPr>
          <w:p w14:paraId="55B962E3" w14:textId="77777777" w:rsidR="00DA1AF7" w:rsidRDefault="00684366">
            <w:pPr>
              <w:spacing w:line="360" w:lineRule="auto"/>
            </w:pPr>
            <w:r>
              <w:rPr>
                <w:color w:val="000000"/>
                <w:sz w:val="19"/>
                <w:szCs w:val="19"/>
              </w:rPr>
              <w:t>Console output, Fig. 5.1</w:t>
            </w:r>
          </w:p>
        </w:tc>
      </w:tr>
      <w:tr w:rsidR="00DA1AF7" w14:paraId="55B962E8" w14:textId="77777777">
        <w:tc>
          <w:tcPr>
            <w:tcW w:w="1600" w:type="dxa"/>
            <w:shd w:val="clear" w:color="auto" w:fill="D9E2F3"/>
            <w:tcMar>
              <w:top w:w="80" w:type="dxa"/>
              <w:left w:w="100" w:type="dxa"/>
              <w:bottom w:w="80" w:type="dxa"/>
              <w:right w:w="100" w:type="dxa"/>
            </w:tcMar>
            <w:vAlign w:val="center"/>
          </w:tcPr>
          <w:p w14:paraId="55B962E5" w14:textId="77777777" w:rsidR="00DA1AF7" w:rsidRDefault="00684366">
            <w:pPr>
              <w:spacing w:line="360" w:lineRule="auto"/>
            </w:pPr>
            <w:r>
              <w:rPr>
                <w:color w:val="000000"/>
                <w:sz w:val="19"/>
                <w:szCs w:val="19"/>
              </w:rPr>
              <w:t>Automated audit</w:t>
            </w:r>
          </w:p>
        </w:tc>
        <w:tc>
          <w:tcPr>
            <w:tcW w:w="5400" w:type="dxa"/>
            <w:shd w:val="clear" w:color="auto" w:fill="D9E2F3"/>
            <w:tcMar>
              <w:top w:w="80" w:type="dxa"/>
              <w:left w:w="100" w:type="dxa"/>
              <w:bottom w:w="80" w:type="dxa"/>
              <w:right w:w="100" w:type="dxa"/>
            </w:tcMar>
            <w:vAlign w:val="center"/>
          </w:tcPr>
          <w:p w14:paraId="55B962E6" w14:textId="77777777" w:rsidR="00DA1AF7" w:rsidRDefault="00684366">
            <w:pPr>
              <w:spacing w:line="360" w:lineRule="auto"/>
            </w:pPr>
            <w:r>
              <w:rPr>
                <w:color w:val="000000"/>
                <w:sz w:val="19"/>
                <w:szCs w:val="19"/>
              </w:rPr>
              <w:t>62 findings; HTML report at /</w:t>
            </w:r>
            <w:proofErr w:type="spellStart"/>
            <w:r>
              <w:rPr>
                <w:color w:val="000000"/>
                <w:sz w:val="19"/>
                <w:szCs w:val="19"/>
              </w:rPr>
              <w:t>tmp</w:t>
            </w:r>
            <w:proofErr w:type="spellEnd"/>
            <w:r>
              <w:rPr>
                <w:color w:val="000000"/>
                <w:sz w:val="19"/>
                <w:szCs w:val="19"/>
              </w:rPr>
              <w:t>/dc-4_apex_20260731_020826.html</w:t>
            </w:r>
          </w:p>
        </w:tc>
        <w:tc>
          <w:tcPr>
            <w:tcW w:w="2000" w:type="dxa"/>
            <w:shd w:val="clear" w:color="auto" w:fill="D9E2F3"/>
            <w:tcMar>
              <w:top w:w="80" w:type="dxa"/>
              <w:left w:w="100" w:type="dxa"/>
              <w:bottom w:w="80" w:type="dxa"/>
              <w:right w:w="100" w:type="dxa"/>
            </w:tcMar>
            <w:vAlign w:val="center"/>
          </w:tcPr>
          <w:p w14:paraId="55B962E7" w14:textId="77777777" w:rsidR="00DA1AF7" w:rsidRDefault="00684366">
            <w:pPr>
              <w:spacing w:line="360" w:lineRule="auto"/>
            </w:pPr>
            <w:r>
              <w:rPr>
                <w:color w:val="000000"/>
                <w:sz w:val="19"/>
                <w:szCs w:val="19"/>
              </w:rPr>
              <w:t>Phase 4/7 console output, Fig. 5.3</w:t>
            </w:r>
          </w:p>
        </w:tc>
      </w:tr>
      <w:tr w:rsidR="00DA1AF7" w14:paraId="55B962EC" w14:textId="77777777">
        <w:tc>
          <w:tcPr>
            <w:tcW w:w="1600" w:type="dxa"/>
            <w:tcMar>
              <w:top w:w="80" w:type="dxa"/>
              <w:left w:w="100" w:type="dxa"/>
              <w:bottom w:w="80" w:type="dxa"/>
              <w:right w:w="100" w:type="dxa"/>
            </w:tcMar>
            <w:vAlign w:val="center"/>
          </w:tcPr>
          <w:p w14:paraId="55B962E9" w14:textId="77777777" w:rsidR="00DA1AF7" w:rsidRDefault="00684366">
            <w:pPr>
              <w:spacing w:line="360" w:lineRule="auto"/>
            </w:pPr>
            <w:r>
              <w:rPr>
                <w:color w:val="000000"/>
                <w:sz w:val="19"/>
                <w:szCs w:val="19"/>
              </w:rPr>
              <w:t>Credential exposure</w:t>
            </w:r>
          </w:p>
        </w:tc>
        <w:tc>
          <w:tcPr>
            <w:tcW w:w="5400" w:type="dxa"/>
            <w:tcMar>
              <w:top w:w="80" w:type="dxa"/>
              <w:left w:w="100" w:type="dxa"/>
              <w:bottom w:w="80" w:type="dxa"/>
              <w:right w:w="100" w:type="dxa"/>
            </w:tcMar>
            <w:vAlign w:val="center"/>
          </w:tcPr>
          <w:p w14:paraId="55B962EA" w14:textId="77777777" w:rsidR="00DA1AF7" w:rsidRDefault="00684366">
            <w:pPr>
              <w:spacing w:line="360" w:lineRule="auto"/>
            </w:pPr>
            <w:r>
              <w:rPr>
                <w:color w:val="000000"/>
                <w:sz w:val="19"/>
                <w:szCs w:val="19"/>
              </w:rPr>
              <w:t>Full mail body from /var/mail/</w:t>
            </w:r>
            <w:proofErr w:type="spellStart"/>
            <w:r>
              <w:rPr>
                <w:color w:val="000000"/>
                <w:sz w:val="19"/>
                <w:szCs w:val="19"/>
              </w:rPr>
              <w:t>jim</w:t>
            </w:r>
            <w:proofErr w:type="spellEnd"/>
            <w:r>
              <w:rPr>
                <w:color w:val="000000"/>
                <w:sz w:val="19"/>
                <w:szCs w:val="19"/>
              </w:rPr>
              <w:t>, including plaintext password</w:t>
            </w:r>
          </w:p>
        </w:tc>
        <w:tc>
          <w:tcPr>
            <w:tcW w:w="2000" w:type="dxa"/>
            <w:tcMar>
              <w:top w:w="80" w:type="dxa"/>
              <w:left w:w="100" w:type="dxa"/>
              <w:bottom w:w="80" w:type="dxa"/>
              <w:right w:w="100" w:type="dxa"/>
            </w:tcMar>
            <w:vAlign w:val="center"/>
          </w:tcPr>
          <w:p w14:paraId="55B962EB" w14:textId="77777777" w:rsidR="00DA1AF7" w:rsidRDefault="00684366">
            <w:pPr>
              <w:spacing w:line="360" w:lineRule="auto"/>
            </w:pPr>
            <w:r>
              <w:rPr>
                <w:color w:val="000000"/>
                <w:sz w:val="19"/>
                <w:szCs w:val="19"/>
              </w:rPr>
              <w:t>Fig. 5.3–5.4</w:t>
            </w:r>
          </w:p>
        </w:tc>
      </w:tr>
      <w:tr w:rsidR="00DA1AF7" w14:paraId="55B962F0" w14:textId="77777777">
        <w:tc>
          <w:tcPr>
            <w:tcW w:w="1600" w:type="dxa"/>
            <w:shd w:val="clear" w:color="auto" w:fill="D9E2F3"/>
            <w:tcMar>
              <w:top w:w="80" w:type="dxa"/>
              <w:left w:w="100" w:type="dxa"/>
              <w:bottom w:w="80" w:type="dxa"/>
              <w:right w:w="100" w:type="dxa"/>
            </w:tcMar>
            <w:vAlign w:val="center"/>
          </w:tcPr>
          <w:p w14:paraId="55B962ED" w14:textId="77777777" w:rsidR="00DA1AF7" w:rsidRDefault="00684366">
            <w:pPr>
              <w:spacing w:line="360" w:lineRule="auto"/>
            </w:pPr>
            <w:r>
              <w:rPr>
                <w:color w:val="000000"/>
                <w:sz w:val="19"/>
                <w:szCs w:val="19"/>
              </w:rPr>
              <w:t>Lateral movement</w:t>
            </w:r>
          </w:p>
        </w:tc>
        <w:tc>
          <w:tcPr>
            <w:tcW w:w="5400" w:type="dxa"/>
            <w:shd w:val="clear" w:color="auto" w:fill="D9E2F3"/>
            <w:tcMar>
              <w:top w:w="80" w:type="dxa"/>
              <w:left w:w="100" w:type="dxa"/>
              <w:bottom w:w="80" w:type="dxa"/>
              <w:right w:w="100" w:type="dxa"/>
            </w:tcMar>
            <w:vAlign w:val="center"/>
          </w:tcPr>
          <w:p w14:paraId="55B962EE" w14:textId="77777777" w:rsidR="00DA1AF7" w:rsidRDefault="00684366">
            <w:pPr>
              <w:spacing w:line="360" w:lineRule="auto"/>
            </w:pPr>
            <w:proofErr w:type="spellStart"/>
            <w:r>
              <w:rPr>
                <w:color w:val="000000"/>
                <w:sz w:val="19"/>
                <w:szCs w:val="19"/>
              </w:rPr>
              <w:t>su</w:t>
            </w:r>
            <w:proofErr w:type="spellEnd"/>
            <w:r>
              <w:rPr>
                <w:color w:val="000000"/>
                <w:sz w:val="19"/>
                <w:szCs w:val="19"/>
              </w:rPr>
              <w:t xml:space="preserve"> </w:t>
            </w:r>
            <w:proofErr w:type="spellStart"/>
            <w:r>
              <w:rPr>
                <w:color w:val="000000"/>
                <w:sz w:val="19"/>
                <w:szCs w:val="19"/>
              </w:rPr>
              <w:t>charles</w:t>
            </w:r>
            <w:proofErr w:type="spellEnd"/>
            <w:r>
              <w:rPr>
                <w:color w:val="000000"/>
                <w:sz w:val="19"/>
                <w:szCs w:val="19"/>
              </w:rPr>
              <w:t xml:space="preserve"> session; directory listing of /home/</w:t>
            </w:r>
            <w:proofErr w:type="spellStart"/>
            <w:r>
              <w:rPr>
                <w:color w:val="000000"/>
                <w:sz w:val="19"/>
                <w:szCs w:val="19"/>
              </w:rPr>
              <w:t>jim</w:t>
            </w:r>
            <w:proofErr w:type="spellEnd"/>
            <w:r>
              <w:rPr>
                <w:color w:val="000000"/>
                <w:sz w:val="19"/>
                <w:szCs w:val="19"/>
              </w:rPr>
              <w:t xml:space="preserve"> as </w:t>
            </w:r>
            <w:proofErr w:type="spellStart"/>
            <w:r>
              <w:rPr>
                <w:color w:val="000000"/>
                <w:sz w:val="19"/>
                <w:szCs w:val="19"/>
              </w:rPr>
              <w:t>charles</w:t>
            </w:r>
            <w:proofErr w:type="spellEnd"/>
          </w:p>
        </w:tc>
        <w:tc>
          <w:tcPr>
            <w:tcW w:w="2000" w:type="dxa"/>
            <w:shd w:val="clear" w:color="auto" w:fill="D9E2F3"/>
            <w:tcMar>
              <w:top w:w="80" w:type="dxa"/>
              <w:left w:w="100" w:type="dxa"/>
              <w:bottom w:w="80" w:type="dxa"/>
              <w:right w:w="100" w:type="dxa"/>
            </w:tcMar>
            <w:vAlign w:val="center"/>
          </w:tcPr>
          <w:p w14:paraId="55B962EF" w14:textId="77777777" w:rsidR="00DA1AF7" w:rsidRDefault="00684366">
            <w:pPr>
              <w:spacing w:line="360" w:lineRule="auto"/>
            </w:pPr>
            <w:r>
              <w:rPr>
                <w:color w:val="000000"/>
                <w:sz w:val="19"/>
                <w:szCs w:val="19"/>
              </w:rPr>
              <w:t>Fig. 5.4</w:t>
            </w:r>
          </w:p>
        </w:tc>
      </w:tr>
      <w:tr w:rsidR="00DA1AF7" w14:paraId="55B962F4" w14:textId="77777777">
        <w:tc>
          <w:tcPr>
            <w:tcW w:w="1600" w:type="dxa"/>
            <w:tcMar>
              <w:top w:w="80" w:type="dxa"/>
              <w:left w:w="100" w:type="dxa"/>
              <w:bottom w:w="80" w:type="dxa"/>
              <w:right w:w="100" w:type="dxa"/>
            </w:tcMar>
            <w:vAlign w:val="center"/>
          </w:tcPr>
          <w:p w14:paraId="55B962F1" w14:textId="77777777" w:rsidR="00DA1AF7" w:rsidRDefault="00684366">
            <w:pPr>
              <w:spacing w:line="360" w:lineRule="auto"/>
            </w:pPr>
            <w:r>
              <w:rPr>
                <w:color w:val="000000"/>
                <w:sz w:val="19"/>
                <w:szCs w:val="19"/>
              </w:rPr>
              <w:lastRenderedPageBreak/>
              <w:t>Privilege escalation</w:t>
            </w:r>
          </w:p>
        </w:tc>
        <w:tc>
          <w:tcPr>
            <w:tcW w:w="5400" w:type="dxa"/>
            <w:tcMar>
              <w:top w:w="80" w:type="dxa"/>
              <w:left w:w="100" w:type="dxa"/>
              <w:bottom w:w="80" w:type="dxa"/>
              <w:right w:w="100" w:type="dxa"/>
            </w:tcMar>
            <w:vAlign w:val="center"/>
          </w:tcPr>
          <w:p w14:paraId="55B962F2" w14:textId="77777777" w:rsidR="00DA1AF7" w:rsidRDefault="00684366">
            <w:pPr>
              <w:spacing w:line="360" w:lineRule="auto"/>
            </w:pPr>
            <w:proofErr w:type="spellStart"/>
            <w:r>
              <w:rPr>
                <w:color w:val="000000"/>
                <w:sz w:val="19"/>
                <w:szCs w:val="19"/>
              </w:rPr>
              <w:t>sudo</w:t>
            </w:r>
            <w:proofErr w:type="spellEnd"/>
            <w:r>
              <w:rPr>
                <w:color w:val="000000"/>
                <w:sz w:val="19"/>
                <w:szCs w:val="19"/>
              </w:rPr>
              <w:t xml:space="preserve"> -l entry for teehee; /etc/passwd append; </w:t>
            </w:r>
            <w:proofErr w:type="spellStart"/>
            <w:r>
              <w:rPr>
                <w:color w:val="000000"/>
                <w:sz w:val="19"/>
                <w:szCs w:val="19"/>
              </w:rPr>
              <w:t>su</w:t>
            </w:r>
            <w:proofErr w:type="spellEnd"/>
            <w:r>
              <w:rPr>
                <w:color w:val="000000"/>
                <w:sz w:val="19"/>
                <w:szCs w:val="19"/>
              </w:rPr>
              <w:t xml:space="preserve"> </w:t>
            </w:r>
            <w:proofErr w:type="spellStart"/>
            <w:r>
              <w:rPr>
                <w:color w:val="000000"/>
                <w:sz w:val="19"/>
                <w:szCs w:val="19"/>
              </w:rPr>
              <w:t>apexroot</w:t>
            </w:r>
            <w:proofErr w:type="spellEnd"/>
            <w:r>
              <w:rPr>
                <w:color w:val="000000"/>
                <w:sz w:val="19"/>
                <w:szCs w:val="19"/>
              </w:rPr>
              <w:t xml:space="preserve">; </w:t>
            </w:r>
            <w:proofErr w:type="spellStart"/>
            <w:r>
              <w:rPr>
                <w:color w:val="000000"/>
                <w:sz w:val="19"/>
                <w:szCs w:val="19"/>
              </w:rPr>
              <w:t>whoami</w:t>
            </w:r>
            <w:proofErr w:type="spellEnd"/>
            <w:r>
              <w:rPr>
                <w:color w:val="000000"/>
                <w:sz w:val="19"/>
                <w:szCs w:val="19"/>
              </w:rPr>
              <w:t>=root</w:t>
            </w:r>
          </w:p>
        </w:tc>
        <w:tc>
          <w:tcPr>
            <w:tcW w:w="2000" w:type="dxa"/>
            <w:tcMar>
              <w:top w:w="80" w:type="dxa"/>
              <w:left w:w="100" w:type="dxa"/>
              <w:bottom w:w="80" w:type="dxa"/>
              <w:right w:w="100" w:type="dxa"/>
            </w:tcMar>
            <w:vAlign w:val="center"/>
          </w:tcPr>
          <w:p w14:paraId="55B962F3" w14:textId="77777777" w:rsidR="00DA1AF7" w:rsidRDefault="00684366">
            <w:pPr>
              <w:spacing w:line="360" w:lineRule="auto"/>
            </w:pPr>
            <w:r>
              <w:rPr>
                <w:color w:val="000000"/>
                <w:sz w:val="19"/>
                <w:szCs w:val="19"/>
              </w:rPr>
              <w:t>Fig. 5.6</w:t>
            </w:r>
          </w:p>
        </w:tc>
      </w:tr>
    </w:tbl>
    <w:p w14:paraId="55B962F5" w14:textId="77777777" w:rsidR="00DA1AF7" w:rsidRDefault="00684366">
      <w:pPr>
        <w:pStyle w:val="Heading1"/>
        <w:spacing w:before="480" w:after="160" w:line="360" w:lineRule="auto"/>
        <w:rPr>
          <w:rFonts w:ascii="Times New Roman" w:eastAsia="Times New Roman" w:hAnsi="Times New Roman" w:cs="Times New Roman"/>
        </w:rPr>
      </w:pPr>
      <w:r>
        <w:rPr>
          <w:rFonts w:ascii="Times New Roman" w:eastAsia="Times New Roman" w:hAnsi="Times New Roman" w:cs="Times New Roman"/>
          <w:b/>
          <w:bCs/>
          <w:color w:val="000000"/>
        </w:rPr>
        <w:t>Appendix C: Glossary of Terms</w:t>
      </w:r>
    </w:p>
    <w:p w14:paraId="55B962F6" w14:textId="77777777" w:rsidR="00DA1AF7" w:rsidRDefault="00684366">
      <w:pPr>
        <w:spacing w:after="160" w:line="360" w:lineRule="auto"/>
        <w:jc w:val="both"/>
      </w:pPr>
      <w:r>
        <w:rPr>
          <w:sz w:val="22"/>
          <w:szCs w:val="22"/>
        </w:rPr>
        <w:t>Table C.1 defines the specialist and project-specific terms used throughout this report, for readers less familiar with Linux privilege-escalation terminology.</w:t>
      </w:r>
    </w:p>
    <w:tbl>
      <w:tblPr>
        <w:tblStyle w:val="a5"/>
        <w:tblW w:w="9000" w:type="dxa"/>
        <w:tblInd w:w="0" w:type="dxa"/>
        <w:tblBorders>
          <w:top w:val="single" w:sz="4" w:space="0" w:color="9DB6CE"/>
          <w:left w:val="single" w:sz="4" w:space="0" w:color="9DB6CE"/>
          <w:bottom w:val="single" w:sz="4" w:space="0" w:color="9DB6CE"/>
          <w:right w:val="single" w:sz="4" w:space="0" w:color="9DB6CE"/>
          <w:insideH w:val="single" w:sz="4" w:space="0" w:color="C3D3E5"/>
          <w:insideV w:val="single" w:sz="4" w:space="0" w:color="C3D3E5"/>
        </w:tblBorders>
        <w:tblLayout w:type="fixed"/>
        <w:tblLook w:val="0000" w:firstRow="0" w:lastRow="0" w:firstColumn="0" w:lastColumn="0" w:noHBand="0" w:noVBand="0"/>
      </w:tblPr>
      <w:tblGrid>
        <w:gridCol w:w="2400"/>
        <w:gridCol w:w="6600"/>
      </w:tblGrid>
      <w:tr w:rsidR="00DA1AF7" w14:paraId="55B962F9" w14:textId="77777777">
        <w:trPr>
          <w:tblHeader/>
        </w:trPr>
        <w:tc>
          <w:tcPr>
            <w:tcW w:w="2400" w:type="dxa"/>
            <w:shd w:val="clear" w:color="auto" w:fill="4F81BD"/>
            <w:tcMar>
              <w:top w:w="80" w:type="dxa"/>
              <w:left w:w="100" w:type="dxa"/>
              <w:bottom w:w="80" w:type="dxa"/>
              <w:right w:w="100" w:type="dxa"/>
            </w:tcMar>
            <w:vAlign w:val="center"/>
          </w:tcPr>
          <w:p w14:paraId="55B962F7" w14:textId="77777777" w:rsidR="00DA1AF7" w:rsidRDefault="00684366">
            <w:pPr>
              <w:spacing w:line="360" w:lineRule="auto"/>
            </w:pPr>
            <w:r>
              <w:rPr>
                <w:b/>
                <w:bCs/>
                <w:color w:val="FFFFFF"/>
                <w:sz w:val="19"/>
                <w:szCs w:val="19"/>
              </w:rPr>
              <w:t>Term</w:t>
            </w:r>
          </w:p>
        </w:tc>
        <w:tc>
          <w:tcPr>
            <w:tcW w:w="6600" w:type="dxa"/>
            <w:shd w:val="clear" w:color="auto" w:fill="4F81BD"/>
            <w:tcMar>
              <w:top w:w="80" w:type="dxa"/>
              <w:left w:w="100" w:type="dxa"/>
              <w:bottom w:w="80" w:type="dxa"/>
              <w:right w:w="100" w:type="dxa"/>
            </w:tcMar>
            <w:vAlign w:val="center"/>
          </w:tcPr>
          <w:p w14:paraId="55B962F8" w14:textId="77777777" w:rsidR="00DA1AF7" w:rsidRDefault="00684366">
            <w:pPr>
              <w:spacing w:line="360" w:lineRule="auto"/>
            </w:pPr>
            <w:r>
              <w:rPr>
                <w:b/>
                <w:bCs/>
                <w:color w:val="FFFFFF"/>
                <w:sz w:val="19"/>
                <w:szCs w:val="19"/>
              </w:rPr>
              <w:t>Definition</w:t>
            </w:r>
          </w:p>
        </w:tc>
      </w:tr>
      <w:tr w:rsidR="00DA1AF7" w14:paraId="55B962FC" w14:textId="77777777">
        <w:tc>
          <w:tcPr>
            <w:tcW w:w="2400" w:type="dxa"/>
            <w:tcMar>
              <w:top w:w="80" w:type="dxa"/>
              <w:left w:w="100" w:type="dxa"/>
              <w:bottom w:w="80" w:type="dxa"/>
              <w:right w:w="100" w:type="dxa"/>
            </w:tcMar>
            <w:vAlign w:val="center"/>
          </w:tcPr>
          <w:p w14:paraId="55B962FA" w14:textId="77777777" w:rsidR="00DA1AF7" w:rsidRDefault="00684366">
            <w:pPr>
              <w:spacing w:line="360" w:lineRule="auto"/>
            </w:pPr>
            <w:r>
              <w:rPr>
                <w:color w:val="000000"/>
                <w:sz w:val="19"/>
                <w:szCs w:val="19"/>
              </w:rPr>
              <w:t>Privilege escalation</w:t>
            </w:r>
          </w:p>
        </w:tc>
        <w:tc>
          <w:tcPr>
            <w:tcW w:w="6600" w:type="dxa"/>
            <w:tcMar>
              <w:top w:w="80" w:type="dxa"/>
              <w:left w:w="100" w:type="dxa"/>
              <w:bottom w:w="80" w:type="dxa"/>
              <w:right w:w="100" w:type="dxa"/>
            </w:tcMar>
            <w:vAlign w:val="center"/>
          </w:tcPr>
          <w:p w14:paraId="55B962FB" w14:textId="77777777" w:rsidR="00DA1AF7" w:rsidRDefault="00684366">
            <w:pPr>
              <w:spacing w:line="360" w:lineRule="auto"/>
            </w:pPr>
            <w:r>
              <w:rPr>
                <w:color w:val="000000"/>
                <w:sz w:val="19"/>
                <w:szCs w:val="19"/>
              </w:rPr>
              <w:t>The process of gaining a higher level of access on a system than an account was originally granted, typically moving from a standard user to root.</w:t>
            </w:r>
          </w:p>
        </w:tc>
      </w:tr>
      <w:tr w:rsidR="00DA1AF7" w14:paraId="55B962FF" w14:textId="77777777">
        <w:tc>
          <w:tcPr>
            <w:tcW w:w="2400" w:type="dxa"/>
            <w:shd w:val="clear" w:color="auto" w:fill="D9E2F3"/>
            <w:tcMar>
              <w:top w:w="80" w:type="dxa"/>
              <w:left w:w="100" w:type="dxa"/>
              <w:bottom w:w="80" w:type="dxa"/>
              <w:right w:w="100" w:type="dxa"/>
            </w:tcMar>
            <w:vAlign w:val="center"/>
          </w:tcPr>
          <w:p w14:paraId="55B962FD" w14:textId="77777777" w:rsidR="00DA1AF7" w:rsidRDefault="00684366">
            <w:pPr>
              <w:spacing w:line="360" w:lineRule="auto"/>
            </w:pPr>
            <w:r>
              <w:rPr>
                <w:color w:val="000000"/>
                <w:sz w:val="19"/>
                <w:szCs w:val="19"/>
              </w:rPr>
              <w:t>Candidate</w:t>
            </w:r>
          </w:p>
        </w:tc>
        <w:tc>
          <w:tcPr>
            <w:tcW w:w="6600" w:type="dxa"/>
            <w:shd w:val="clear" w:color="auto" w:fill="D9E2F3"/>
            <w:tcMar>
              <w:top w:w="80" w:type="dxa"/>
              <w:left w:w="100" w:type="dxa"/>
              <w:bottom w:w="80" w:type="dxa"/>
              <w:right w:w="100" w:type="dxa"/>
            </w:tcMar>
            <w:vAlign w:val="center"/>
          </w:tcPr>
          <w:p w14:paraId="55B962FE" w14:textId="77777777" w:rsidR="00DA1AF7" w:rsidRDefault="00684366">
            <w:pPr>
              <w:spacing w:line="360" w:lineRule="auto"/>
            </w:pPr>
            <w:r>
              <w:rPr>
                <w:color w:val="000000"/>
                <w:sz w:val="19"/>
                <w:szCs w:val="19"/>
              </w:rPr>
              <w:t>A privilege-escalation technique that APEX has matched to available evidence and whose prerequisites have been confirmed, making it eligible for scoring.</w:t>
            </w:r>
          </w:p>
        </w:tc>
      </w:tr>
      <w:tr w:rsidR="00DA1AF7" w14:paraId="55B96302" w14:textId="77777777">
        <w:tc>
          <w:tcPr>
            <w:tcW w:w="2400" w:type="dxa"/>
            <w:tcMar>
              <w:top w:w="80" w:type="dxa"/>
              <w:left w:w="100" w:type="dxa"/>
              <w:bottom w:w="80" w:type="dxa"/>
              <w:right w:w="100" w:type="dxa"/>
            </w:tcMar>
            <w:vAlign w:val="center"/>
          </w:tcPr>
          <w:p w14:paraId="55B96300" w14:textId="77777777" w:rsidR="00DA1AF7" w:rsidRDefault="00684366">
            <w:pPr>
              <w:spacing w:line="360" w:lineRule="auto"/>
            </w:pPr>
            <w:proofErr w:type="spellStart"/>
            <w:r>
              <w:rPr>
                <w:color w:val="000000"/>
                <w:sz w:val="19"/>
                <w:szCs w:val="19"/>
              </w:rPr>
              <w:t>GTFOBins</w:t>
            </w:r>
            <w:proofErr w:type="spellEnd"/>
          </w:p>
        </w:tc>
        <w:tc>
          <w:tcPr>
            <w:tcW w:w="6600" w:type="dxa"/>
            <w:tcMar>
              <w:top w:w="80" w:type="dxa"/>
              <w:left w:w="100" w:type="dxa"/>
              <w:bottom w:w="80" w:type="dxa"/>
              <w:right w:w="100" w:type="dxa"/>
            </w:tcMar>
            <w:vAlign w:val="center"/>
          </w:tcPr>
          <w:p w14:paraId="55B96301" w14:textId="77777777" w:rsidR="00DA1AF7" w:rsidRDefault="00684366">
            <w:pPr>
              <w:spacing w:line="360" w:lineRule="auto"/>
            </w:pPr>
            <w:r>
              <w:rPr>
                <w:color w:val="000000"/>
                <w:sz w:val="19"/>
                <w:szCs w:val="19"/>
              </w:rPr>
              <w:t>A public, curated reference documenting legitimate Unix binaries whose built-in functionality can be abused to bypass restrictions when combined with unsafe permissions [2].</w:t>
            </w:r>
          </w:p>
        </w:tc>
      </w:tr>
      <w:tr w:rsidR="00DA1AF7" w14:paraId="55B96305" w14:textId="77777777">
        <w:tc>
          <w:tcPr>
            <w:tcW w:w="2400" w:type="dxa"/>
            <w:shd w:val="clear" w:color="auto" w:fill="D9E2F3"/>
            <w:tcMar>
              <w:top w:w="80" w:type="dxa"/>
              <w:left w:w="100" w:type="dxa"/>
              <w:bottom w:w="80" w:type="dxa"/>
              <w:right w:w="100" w:type="dxa"/>
            </w:tcMar>
            <w:vAlign w:val="center"/>
          </w:tcPr>
          <w:p w14:paraId="55B96303" w14:textId="77777777" w:rsidR="00DA1AF7" w:rsidRDefault="00684366">
            <w:pPr>
              <w:spacing w:line="360" w:lineRule="auto"/>
            </w:pPr>
            <w:r>
              <w:rPr>
                <w:color w:val="000000"/>
                <w:sz w:val="19"/>
                <w:szCs w:val="19"/>
              </w:rPr>
              <w:t>SUID / SGID</w:t>
            </w:r>
          </w:p>
        </w:tc>
        <w:tc>
          <w:tcPr>
            <w:tcW w:w="6600" w:type="dxa"/>
            <w:shd w:val="clear" w:color="auto" w:fill="D9E2F3"/>
            <w:tcMar>
              <w:top w:w="80" w:type="dxa"/>
              <w:left w:w="100" w:type="dxa"/>
              <w:bottom w:w="80" w:type="dxa"/>
              <w:right w:w="100" w:type="dxa"/>
            </w:tcMar>
            <w:vAlign w:val="center"/>
          </w:tcPr>
          <w:p w14:paraId="55B96304" w14:textId="77777777" w:rsidR="00DA1AF7" w:rsidRDefault="00684366">
            <w:pPr>
              <w:spacing w:line="360" w:lineRule="auto"/>
            </w:pPr>
            <w:r>
              <w:rPr>
                <w:color w:val="000000"/>
                <w:sz w:val="19"/>
                <w:szCs w:val="19"/>
              </w:rPr>
              <w:t>Special file permission bits that cause a program to run with the privileges of the file's owner or group, rather than the invoking user, when executed.</w:t>
            </w:r>
          </w:p>
        </w:tc>
      </w:tr>
      <w:tr w:rsidR="00DA1AF7" w14:paraId="55B96308" w14:textId="77777777">
        <w:tc>
          <w:tcPr>
            <w:tcW w:w="2400" w:type="dxa"/>
            <w:tcMar>
              <w:top w:w="80" w:type="dxa"/>
              <w:left w:w="100" w:type="dxa"/>
              <w:bottom w:w="80" w:type="dxa"/>
              <w:right w:w="100" w:type="dxa"/>
            </w:tcMar>
            <w:vAlign w:val="center"/>
          </w:tcPr>
          <w:p w14:paraId="55B96306" w14:textId="77777777" w:rsidR="00DA1AF7" w:rsidRDefault="00684366">
            <w:pPr>
              <w:spacing w:line="360" w:lineRule="auto"/>
            </w:pPr>
            <w:r>
              <w:rPr>
                <w:color w:val="000000"/>
                <w:sz w:val="19"/>
                <w:szCs w:val="19"/>
              </w:rPr>
              <w:t>Sudo NOPASSWD</w:t>
            </w:r>
          </w:p>
        </w:tc>
        <w:tc>
          <w:tcPr>
            <w:tcW w:w="6600" w:type="dxa"/>
            <w:tcMar>
              <w:top w:w="80" w:type="dxa"/>
              <w:left w:w="100" w:type="dxa"/>
              <w:bottom w:w="80" w:type="dxa"/>
              <w:right w:w="100" w:type="dxa"/>
            </w:tcMar>
            <w:vAlign w:val="center"/>
          </w:tcPr>
          <w:p w14:paraId="55B96307" w14:textId="77777777" w:rsidR="00DA1AF7" w:rsidRDefault="00684366">
            <w:pPr>
              <w:spacing w:line="360" w:lineRule="auto"/>
            </w:pPr>
            <w:r>
              <w:rPr>
                <w:color w:val="000000"/>
                <w:sz w:val="19"/>
                <w:szCs w:val="19"/>
              </w:rPr>
              <w:t xml:space="preserve">A </w:t>
            </w:r>
            <w:proofErr w:type="spellStart"/>
            <w:r>
              <w:rPr>
                <w:color w:val="000000"/>
                <w:sz w:val="19"/>
                <w:szCs w:val="19"/>
              </w:rPr>
              <w:t>sudoers</w:t>
            </w:r>
            <w:proofErr w:type="spellEnd"/>
            <w:r>
              <w:rPr>
                <w:color w:val="000000"/>
                <w:sz w:val="19"/>
                <w:szCs w:val="19"/>
              </w:rPr>
              <w:t xml:space="preserve"> configuration that allows a specified command, or set of commands, to be run with elevated privileges without the invoking user re-entering a password.</w:t>
            </w:r>
          </w:p>
        </w:tc>
      </w:tr>
      <w:tr w:rsidR="00DA1AF7" w14:paraId="55B9630B" w14:textId="77777777">
        <w:tc>
          <w:tcPr>
            <w:tcW w:w="2400" w:type="dxa"/>
            <w:shd w:val="clear" w:color="auto" w:fill="D9E2F3"/>
            <w:tcMar>
              <w:top w:w="80" w:type="dxa"/>
              <w:left w:w="100" w:type="dxa"/>
              <w:bottom w:w="80" w:type="dxa"/>
              <w:right w:w="100" w:type="dxa"/>
            </w:tcMar>
            <w:vAlign w:val="center"/>
          </w:tcPr>
          <w:p w14:paraId="55B96309" w14:textId="77777777" w:rsidR="00DA1AF7" w:rsidRDefault="00684366">
            <w:pPr>
              <w:spacing w:line="360" w:lineRule="auto"/>
            </w:pPr>
            <w:r>
              <w:rPr>
                <w:color w:val="000000"/>
                <w:sz w:val="19"/>
                <w:szCs w:val="19"/>
              </w:rPr>
              <w:t>Linux capability</w:t>
            </w:r>
          </w:p>
        </w:tc>
        <w:tc>
          <w:tcPr>
            <w:tcW w:w="6600" w:type="dxa"/>
            <w:shd w:val="clear" w:color="auto" w:fill="D9E2F3"/>
            <w:tcMar>
              <w:top w:w="80" w:type="dxa"/>
              <w:left w:w="100" w:type="dxa"/>
              <w:bottom w:w="80" w:type="dxa"/>
              <w:right w:w="100" w:type="dxa"/>
            </w:tcMar>
            <w:vAlign w:val="center"/>
          </w:tcPr>
          <w:p w14:paraId="55B9630A" w14:textId="77777777" w:rsidR="00DA1AF7" w:rsidRDefault="00684366">
            <w:pPr>
              <w:spacing w:line="360" w:lineRule="auto"/>
            </w:pPr>
            <w:r>
              <w:rPr>
                <w:color w:val="000000"/>
                <w:sz w:val="19"/>
                <w:szCs w:val="19"/>
              </w:rPr>
              <w:t>A fine-grained kernel privilege (for example, the ability to bind to low-numbered network ports) that can be granted to a binary independently of full root access.</w:t>
            </w:r>
          </w:p>
        </w:tc>
      </w:tr>
      <w:tr w:rsidR="00DA1AF7" w14:paraId="55B9630E" w14:textId="77777777">
        <w:tc>
          <w:tcPr>
            <w:tcW w:w="2400" w:type="dxa"/>
            <w:tcMar>
              <w:top w:w="80" w:type="dxa"/>
              <w:left w:w="100" w:type="dxa"/>
              <w:bottom w:w="80" w:type="dxa"/>
              <w:right w:w="100" w:type="dxa"/>
            </w:tcMar>
            <w:vAlign w:val="center"/>
          </w:tcPr>
          <w:p w14:paraId="55B9630C" w14:textId="77777777" w:rsidR="00DA1AF7" w:rsidRDefault="00684366">
            <w:pPr>
              <w:spacing w:line="360" w:lineRule="auto"/>
            </w:pPr>
            <w:r>
              <w:rPr>
                <w:color w:val="000000"/>
                <w:sz w:val="19"/>
                <w:szCs w:val="19"/>
              </w:rPr>
              <w:t>Boot2root / CTF machine</w:t>
            </w:r>
          </w:p>
        </w:tc>
        <w:tc>
          <w:tcPr>
            <w:tcW w:w="6600" w:type="dxa"/>
            <w:tcMar>
              <w:top w:w="80" w:type="dxa"/>
              <w:left w:w="100" w:type="dxa"/>
              <w:bottom w:w="80" w:type="dxa"/>
              <w:right w:w="100" w:type="dxa"/>
            </w:tcMar>
            <w:vAlign w:val="center"/>
          </w:tcPr>
          <w:p w14:paraId="55B9630D" w14:textId="77777777" w:rsidR="00DA1AF7" w:rsidRDefault="00684366">
            <w:pPr>
              <w:spacing w:line="360" w:lineRule="auto"/>
            </w:pPr>
            <w:r>
              <w:rPr>
                <w:color w:val="000000"/>
                <w:sz w:val="19"/>
                <w:szCs w:val="19"/>
              </w:rPr>
              <w:t>A deliberately vulnerable virtual machine, typically distributed for training purposes, with the explicit goal of reaching a root shell through one or more intended vulnerabilities.</w:t>
            </w:r>
          </w:p>
        </w:tc>
      </w:tr>
      <w:tr w:rsidR="00DA1AF7" w14:paraId="55B96311" w14:textId="77777777">
        <w:tc>
          <w:tcPr>
            <w:tcW w:w="2400" w:type="dxa"/>
            <w:shd w:val="clear" w:color="auto" w:fill="D9E2F3"/>
            <w:tcMar>
              <w:top w:w="80" w:type="dxa"/>
              <w:left w:w="100" w:type="dxa"/>
              <w:bottom w:w="80" w:type="dxa"/>
              <w:right w:w="100" w:type="dxa"/>
            </w:tcMar>
            <w:vAlign w:val="center"/>
          </w:tcPr>
          <w:p w14:paraId="55B9630F" w14:textId="77777777" w:rsidR="00DA1AF7" w:rsidRDefault="00684366">
            <w:pPr>
              <w:spacing w:line="360" w:lineRule="auto"/>
            </w:pPr>
            <w:proofErr w:type="spellStart"/>
            <w:r>
              <w:rPr>
                <w:color w:val="000000"/>
                <w:sz w:val="19"/>
                <w:szCs w:val="19"/>
              </w:rPr>
              <w:t>GTFOBins</w:t>
            </w:r>
            <w:proofErr w:type="spellEnd"/>
            <w:r>
              <w:rPr>
                <w:color w:val="000000"/>
                <w:sz w:val="19"/>
                <w:szCs w:val="19"/>
              </w:rPr>
              <w:t>-style write primitive</w:t>
            </w:r>
          </w:p>
        </w:tc>
        <w:tc>
          <w:tcPr>
            <w:tcW w:w="6600" w:type="dxa"/>
            <w:shd w:val="clear" w:color="auto" w:fill="D9E2F3"/>
            <w:tcMar>
              <w:top w:w="80" w:type="dxa"/>
              <w:left w:w="100" w:type="dxa"/>
              <w:bottom w:w="80" w:type="dxa"/>
              <w:right w:w="100" w:type="dxa"/>
            </w:tcMar>
            <w:vAlign w:val="center"/>
          </w:tcPr>
          <w:p w14:paraId="55B96310" w14:textId="77777777" w:rsidR="00DA1AF7" w:rsidRDefault="00684366">
            <w:pPr>
              <w:spacing w:line="360" w:lineRule="auto"/>
            </w:pPr>
            <w:r>
              <w:rPr>
                <w:color w:val="000000"/>
                <w:sz w:val="19"/>
                <w:szCs w:val="19"/>
              </w:rPr>
              <w:t xml:space="preserve">A technique in which a permitted binary is used, via </w:t>
            </w:r>
            <w:proofErr w:type="spellStart"/>
            <w:r>
              <w:rPr>
                <w:color w:val="000000"/>
                <w:sz w:val="19"/>
                <w:szCs w:val="19"/>
              </w:rPr>
              <w:t>sudo</w:t>
            </w:r>
            <w:proofErr w:type="spellEnd"/>
            <w:r>
              <w:rPr>
                <w:color w:val="000000"/>
                <w:sz w:val="19"/>
                <w:szCs w:val="19"/>
              </w:rPr>
              <w:t xml:space="preserve"> or a SUID bit, to write attacker-chosen content to a file the invoking user would not normally be able to modify.</w:t>
            </w:r>
          </w:p>
        </w:tc>
      </w:tr>
      <w:tr w:rsidR="00DA1AF7" w14:paraId="55B96314" w14:textId="77777777">
        <w:tc>
          <w:tcPr>
            <w:tcW w:w="2400" w:type="dxa"/>
            <w:tcMar>
              <w:top w:w="80" w:type="dxa"/>
              <w:left w:w="100" w:type="dxa"/>
              <w:bottom w:w="80" w:type="dxa"/>
              <w:right w:w="100" w:type="dxa"/>
            </w:tcMar>
            <w:vAlign w:val="center"/>
          </w:tcPr>
          <w:p w14:paraId="55B96312" w14:textId="77777777" w:rsidR="00DA1AF7" w:rsidRDefault="00684366">
            <w:pPr>
              <w:spacing w:line="360" w:lineRule="auto"/>
            </w:pPr>
            <w:r>
              <w:rPr>
                <w:color w:val="000000"/>
                <w:sz w:val="19"/>
                <w:szCs w:val="19"/>
              </w:rPr>
              <w:t>Verification (in APEX)</w:t>
            </w:r>
          </w:p>
        </w:tc>
        <w:tc>
          <w:tcPr>
            <w:tcW w:w="6600" w:type="dxa"/>
            <w:tcMar>
              <w:top w:w="80" w:type="dxa"/>
              <w:left w:w="100" w:type="dxa"/>
              <w:bottom w:w="80" w:type="dxa"/>
              <w:right w:w="100" w:type="dxa"/>
            </w:tcMar>
            <w:vAlign w:val="center"/>
          </w:tcPr>
          <w:p w14:paraId="55B96313" w14:textId="77777777" w:rsidR="00DA1AF7" w:rsidRDefault="00684366">
            <w:pPr>
              <w:spacing w:line="360" w:lineRule="auto"/>
            </w:pPr>
            <w:r>
              <w:rPr>
                <w:color w:val="000000"/>
                <w:sz w:val="19"/>
                <w:szCs w:val="19"/>
              </w:rPr>
              <w:t xml:space="preserve">The step in which APEX confirms that an attempted technique </w:t>
            </w:r>
            <w:proofErr w:type="gramStart"/>
            <w:r>
              <w:rPr>
                <w:color w:val="000000"/>
                <w:sz w:val="19"/>
                <w:szCs w:val="19"/>
              </w:rPr>
              <w:t>actually changed</w:t>
            </w:r>
            <w:proofErr w:type="gramEnd"/>
            <w:r>
              <w:rPr>
                <w:color w:val="000000"/>
                <w:sz w:val="19"/>
                <w:szCs w:val="19"/>
              </w:rPr>
              <w:t xml:space="preserve"> the effective user or group context, rather than merely completing without a shell error.</w:t>
            </w:r>
          </w:p>
        </w:tc>
      </w:tr>
      <w:tr w:rsidR="00DA1AF7" w14:paraId="55B96317" w14:textId="77777777">
        <w:tc>
          <w:tcPr>
            <w:tcW w:w="2400" w:type="dxa"/>
            <w:shd w:val="clear" w:color="auto" w:fill="D9E2F3"/>
            <w:tcMar>
              <w:top w:w="80" w:type="dxa"/>
              <w:left w:w="100" w:type="dxa"/>
              <w:bottom w:w="80" w:type="dxa"/>
              <w:right w:w="100" w:type="dxa"/>
            </w:tcMar>
            <w:vAlign w:val="center"/>
          </w:tcPr>
          <w:p w14:paraId="55B96315" w14:textId="77777777" w:rsidR="00DA1AF7" w:rsidRDefault="00684366">
            <w:pPr>
              <w:spacing w:line="360" w:lineRule="auto"/>
            </w:pPr>
            <w:r>
              <w:rPr>
                <w:color w:val="000000"/>
                <w:sz w:val="19"/>
                <w:szCs w:val="19"/>
              </w:rPr>
              <w:lastRenderedPageBreak/>
              <w:t>Execution profile</w:t>
            </w:r>
          </w:p>
        </w:tc>
        <w:tc>
          <w:tcPr>
            <w:tcW w:w="6600" w:type="dxa"/>
            <w:shd w:val="clear" w:color="auto" w:fill="D9E2F3"/>
            <w:tcMar>
              <w:top w:w="80" w:type="dxa"/>
              <w:left w:w="100" w:type="dxa"/>
              <w:bottom w:w="80" w:type="dxa"/>
              <w:right w:w="100" w:type="dxa"/>
            </w:tcMar>
            <w:vAlign w:val="center"/>
          </w:tcPr>
          <w:p w14:paraId="55B96316" w14:textId="77777777" w:rsidR="00DA1AF7" w:rsidRDefault="00684366">
            <w:pPr>
              <w:spacing w:line="360" w:lineRule="auto"/>
            </w:pPr>
            <w:r>
              <w:rPr>
                <w:color w:val="000000"/>
                <w:sz w:val="19"/>
                <w:szCs w:val="19"/>
              </w:rPr>
              <w:t>A named configuration (default, stealth, or enumeration-only) that determines which technique categories APEX is permitted to attempt automatically during a run.</w:t>
            </w:r>
          </w:p>
        </w:tc>
      </w:tr>
    </w:tbl>
    <w:p w14:paraId="55B96318" w14:textId="77777777" w:rsidR="00DA1AF7" w:rsidRDefault="00DA1AF7">
      <w:pPr>
        <w:widowControl w:val="0"/>
        <w:pBdr>
          <w:top w:val="nil"/>
          <w:left w:val="nil"/>
          <w:bottom w:val="nil"/>
          <w:right w:val="nil"/>
          <w:between w:val="nil"/>
        </w:pBdr>
        <w:spacing w:line="360" w:lineRule="auto"/>
      </w:pPr>
    </w:p>
    <w:sectPr w:rsidR="00DA1AF7" w:rsidSect="0041607D">
      <w:footerReference w:type="default" r:id="rId31"/>
      <w:pgSz w:w="12240" w:h="15840"/>
      <w:pgMar w:top="1440" w:right="1440" w:bottom="1440" w:left="1440" w:header="708" w:footer="708" w:gutter="0"/>
      <w:pgBorders w:offsetFrom="page">
        <w:top w:val="thinThickSmallGap" w:sz="12" w:space="24" w:color="auto"/>
        <w:left w:val="thinThickSmallGap" w:sz="12" w:space="24" w:color="auto"/>
        <w:bottom w:val="thickThinSmallGap" w:sz="12" w:space="24" w:color="auto"/>
        <w:right w:val="thickThinSmallGap" w:sz="12"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43FA26" w14:textId="77777777" w:rsidR="00684366" w:rsidRDefault="00684366">
      <w:r>
        <w:separator/>
      </w:r>
    </w:p>
  </w:endnote>
  <w:endnote w:type="continuationSeparator" w:id="0">
    <w:p w14:paraId="2266F543" w14:textId="77777777" w:rsidR="00684366" w:rsidRDefault="006843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91EC1E5F-3246-46B9-8B27-DE4849FC3E11}"/>
    <w:embedItalic r:id="rId2" w:fontKey="{F0030F4D-8D9C-40E4-ACC8-94CBF84B15EF}"/>
  </w:font>
  <w:font w:name="Georgia">
    <w:panose1 w:val="02040502050405020303"/>
    <w:charset w:val="00"/>
    <w:family w:val="roman"/>
    <w:pitch w:val="variable"/>
    <w:sig w:usb0="00000287" w:usb1="00000000" w:usb2="00000000" w:usb3="00000000" w:csb0="0000009F" w:csb1="00000000"/>
    <w:embedItalic r:id="rId3" w:fontKey="{F53DA5BE-5833-447D-A5E5-4198BAFCF3C4}"/>
  </w:font>
  <w:font w:name="Cardo">
    <w:charset w:val="00"/>
    <w:family w:val="auto"/>
    <w:pitch w:val="default"/>
    <w:embedRegular r:id="rId4" w:fontKey="{4AE0AC43-43D0-443D-A5B7-DD0FAA124B7C}"/>
  </w:font>
  <w:font w:name="Cambria">
    <w:panose1 w:val="02040503050406030204"/>
    <w:charset w:val="00"/>
    <w:family w:val="roman"/>
    <w:pitch w:val="variable"/>
    <w:sig w:usb0="E00006FF" w:usb1="420024FF" w:usb2="02000000" w:usb3="00000000" w:csb0="0000019F" w:csb1="00000000"/>
    <w:embedRegular r:id="rId5" w:fontKey="{C45EED53-47AE-4177-9308-A5748D6BA2E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B96347" w14:textId="63BF6EF4" w:rsidR="00DA1AF7" w:rsidRDefault="00684366">
    <w:pPr>
      <w:jc w:val="center"/>
    </w:pPr>
    <w:r>
      <w:rPr>
        <w:sz w:val="18"/>
        <w:szCs w:val="18"/>
      </w:rPr>
      <w:t xml:space="preserve">APEX Final Year Project   |  </w:t>
    </w:r>
    <w:r>
      <w:rPr>
        <w:sz w:val="18"/>
        <w:szCs w:val="18"/>
      </w:rPr>
      <w:fldChar w:fldCharType="begin"/>
    </w:r>
    <w:r>
      <w:rPr>
        <w:sz w:val="18"/>
        <w:szCs w:val="18"/>
      </w:rPr>
      <w:instrText>PAGE</w:instrText>
    </w:r>
    <w:r>
      <w:rPr>
        <w:sz w:val="18"/>
        <w:szCs w:val="18"/>
      </w:rPr>
      <w:fldChar w:fldCharType="separate"/>
    </w:r>
    <w:r w:rsidR="00CB044B">
      <w:rPr>
        <w:noProof/>
        <w:sz w:val="18"/>
        <w:szCs w:val="18"/>
      </w:rPr>
      <w:t>2</w:t>
    </w:r>
    <w:r>
      <w:rPr>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D35E8D" w14:textId="77777777" w:rsidR="00684366" w:rsidRDefault="00684366">
      <w:r>
        <w:separator/>
      </w:r>
    </w:p>
  </w:footnote>
  <w:footnote w:type="continuationSeparator" w:id="0">
    <w:p w14:paraId="3AD8115D" w14:textId="77777777" w:rsidR="00684366" w:rsidRDefault="0068436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AB2725"/>
    <w:multiLevelType w:val="multilevel"/>
    <w:tmpl w:val="6F1C0284"/>
    <w:lvl w:ilvl="0">
      <w:start w:val="1"/>
      <w:numFmt w:val="bullet"/>
      <w:lvlText w:val="●"/>
      <w:lvlJc w:val="left"/>
      <w:pPr>
        <w:ind w:left="720" w:hanging="360"/>
      </w:pPr>
    </w:lvl>
    <w:lvl w:ilvl="1">
      <w:start w:val="1"/>
      <w:numFmt w:val="bullet"/>
      <w:lvlText w:val="○"/>
      <w:lvlJc w:val="left"/>
      <w:pPr>
        <w:ind w:left="1440" w:hanging="360"/>
      </w:pPr>
    </w:lvl>
    <w:lvl w:ilvl="2">
      <w:start w:val="1"/>
      <w:numFmt w:val="bullet"/>
      <w:lvlText w:val="■"/>
      <w:lvlJc w:val="left"/>
      <w:pPr>
        <w:ind w:left="2160" w:hanging="360"/>
      </w:pPr>
    </w:lvl>
    <w:lvl w:ilvl="3">
      <w:start w:val="1"/>
      <w:numFmt w:val="bullet"/>
      <w:lvlText w:val="●"/>
      <w:lvlJc w:val="left"/>
      <w:pPr>
        <w:ind w:left="2880" w:hanging="360"/>
      </w:pPr>
    </w:lvl>
    <w:lvl w:ilvl="4">
      <w:start w:val="1"/>
      <w:numFmt w:val="bullet"/>
      <w:lvlText w:val="○"/>
      <w:lvlJc w:val="left"/>
      <w:pPr>
        <w:ind w:left="3600" w:hanging="360"/>
      </w:pPr>
    </w:lvl>
    <w:lvl w:ilvl="5">
      <w:start w:val="1"/>
      <w:numFmt w:val="bullet"/>
      <w:lvlText w:val="■"/>
      <w:lvlJc w:val="left"/>
      <w:pPr>
        <w:ind w:left="4320" w:hanging="360"/>
      </w:pPr>
    </w:lvl>
    <w:lvl w:ilvl="6">
      <w:start w:val="1"/>
      <w:numFmt w:val="bullet"/>
      <w:lvlText w:val="●"/>
      <w:lvlJc w:val="left"/>
      <w:pPr>
        <w:ind w:left="5040" w:hanging="360"/>
      </w:pPr>
    </w:lvl>
    <w:lvl w:ilvl="7">
      <w:start w:val="1"/>
      <w:numFmt w:val="bullet"/>
      <w:lvlText w:val="●"/>
      <w:lvlJc w:val="left"/>
      <w:pPr>
        <w:ind w:left="5760" w:hanging="360"/>
      </w:pPr>
    </w:lvl>
    <w:lvl w:ilvl="8">
      <w:start w:val="1"/>
      <w:numFmt w:val="bullet"/>
      <w:lvlText w:val="●"/>
      <w:lvlJc w:val="left"/>
      <w:pPr>
        <w:ind w:left="6480" w:hanging="360"/>
      </w:pPr>
    </w:lvl>
  </w:abstractNum>
  <w:abstractNum w:abstractNumId="1" w15:restartNumberingAfterBreak="0">
    <w:nsid w:val="7DCC47E1"/>
    <w:multiLevelType w:val="multilevel"/>
    <w:tmpl w:val="9BFCB9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90594685">
    <w:abstractNumId w:val="0"/>
  </w:num>
  <w:num w:numId="2" w16cid:durableId="15156833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1AF7"/>
    <w:rsid w:val="000D6466"/>
    <w:rsid w:val="001D3E2F"/>
    <w:rsid w:val="002F3407"/>
    <w:rsid w:val="0041607D"/>
    <w:rsid w:val="0058360C"/>
    <w:rsid w:val="00660B14"/>
    <w:rsid w:val="00684366"/>
    <w:rsid w:val="006B196B"/>
    <w:rsid w:val="00BB32E5"/>
    <w:rsid w:val="00CB044B"/>
    <w:rsid w:val="00CB2CCA"/>
    <w:rsid w:val="00DA1AF7"/>
    <w:rsid w:val="00E60E2A"/>
    <w:rsid w:val="00F31FCB"/>
    <w:rsid w:val="00F734AD"/>
    <w:rsid w:val="00FD75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B9602D"/>
  <w15:docId w15:val="{00A408EB-6ABB-4A78-AC4D-DBC34A3C16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pBdr>
        <w:top w:val="nil"/>
        <w:left w:val="nil"/>
        <w:bottom w:val="nil"/>
        <w:right w:val="nil"/>
        <w:between w:val="nil"/>
      </w:pBdr>
      <w:outlineLvl w:val="0"/>
    </w:pPr>
    <w:rPr>
      <w:rFonts w:ascii="Calibri" w:eastAsia="Calibri" w:hAnsi="Calibri" w:cs="Calibri"/>
      <w:color w:val="2E74B5"/>
      <w:sz w:val="32"/>
      <w:szCs w:val="32"/>
    </w:rPr>
  </w:style>
  <w:style w:type="paragraph" w:styleId="Heading2">
    <w:name w:val="heading 2"/>
    <w:basedOn w:val="Normal"/>
    <w:next w:val="Normal"/>
    <w:uiPriority w:val="9"/>
    <w:unhideWhenUsed/>
    <w:qFormat/>
    <w:pPr>
      <w:pBdr>
        <w:top w:val="nil"/>
        <w:left w:val="nil"/>
        <w:bottom w:val="nil"/>
        <w:right w:val="nil"/>
        <w:between w:val="nil"/>
      </w:pBdr>
      <w:outlineLvl w:val="1"/>
    </w:pPr>
    <w:rPr>
      <w:rFonts w:ascii="Calibri" w:eastAsia="Calibri" w:hAnsi="Calibri" w:cs="Calibri"/>
      <w:color w:val="2E74B5"/>
      <w:sz w:val="26"/>
      <w:szCs w:val="26"/>
    </w:rPr>
  </w:style>
  <w:style w:type="paragraph" w:styleId="Heading3">
    <w:name w:val="heading 3"/>
    <w:basedOn w:val="Normal"/>
    <w:next w:val="Normal"/>
    <w:uiPriority w:val="9"/>
    <w:semiHidden/>
    <w:unhideWhenUsed/>
    <w:qFormat/>
    <w:pPr>
      <w:pBdr>
        <w:top w:val="nil"/>
        <w:left w:val="nil"/>
        <w:bottom w:val="nil"/>
        <w:right w:val="nil"/>
        <w:between w:val="nil"/>
      </w:pBdr>
      <w:outlineLvl w:val="2"/>
    </w:pPr>
    <w:rPr>
      <w:rFonts w:ascii="Calibri" w:eastAsia="Calibri" w:hAnsi="Calibri" w:cs="Calibri"/>
      <w:color w:val="1F4D78"/>
    </w:rPr>
  </w:style>
  <w:style w:type="paragraph" w:styleId="Heading4">
    <w:name w:val="heading 4"/>
    <w:basedOn w:val="Normal"/>
    <w:next w:val="Normal"/>
    <w:uiPriority w:val="9"/>
    <w:semiHidden/>
    <w:unhideWhenUsed/>
    <w:qFormat/>
    <w:pPr>
      <w:pBdr>
        <w:top w:val="nil"/>
        <w:left w:val="nil"/>
        <w:bottom w:val="nil"/>
        <w:right w:val="nil"/>
        <w:between w:val="nil"/>
      </w:pBdr>
      <w:outlineLvl w:val="3"/>
    </w:pPr>
    <w:rPr>
      <w:rFonts w:ascii="Calibri" w:eastAsia="Calibri" w:hAnsi="Calibri" w:cs="Calibri"/>
      <w:i/>
      <w:iCs/>
      <w:color w:val="2E74B5"/>
      <w:sz w:val="22"/>
      <w:szCs w:val="22"/>
    </w:rPr>
  </w:style>
  <w:style w:type="paragraph" w:styleId="Heading5">
    <w:name w:val="heading 5"/>
    <w:basedOn w:val="Normal"/>
    <w:next w:val="Normal"/>
    <w:uiPriority w:val="9"/>
    <w:semiHidden/>
    <w:unhideWhenUsed/>
    <w:qFormat/>
    <w:pPr>
      <w:pBdr>
        <w:top w:val="nil"/>
        <w:left w:val="nil"/>
        <w:bottom w:val="nil"/>
        <w:right w:val="nil"/>
        <w:between w:val="nil"/>
      </w:pBdr>
      <w:outlineLvl w:val="4"/>
    </w:pPr>
    <w:rPr>
      <w:rFonts w:ascii="Calibri" w:eastAsia="Calibri" w:hAnsi="Calibri" w:cs="Calibri"/>
      <w:color w:val="2E74B5"/>
      <w:sz w:val="22"/>
      <w:szCs w:val="22"/>
    </w:rPr>
  </w:style>
  <w:style w:type="paragraph" w:styleId="Heading6">
    <w:name w:val="heading 6"/>
    <w:basedOn w:val="Normal"/>
    <w:next w:val="Normal"/>
    <w:uiPriority w:val="9"/>
    <w:semiHidden/>
    <w:unhideWhenUsed/>
    <w:qFormat/>
    <w:pPr>
      <w:pBdr>
        <w:top w:val="nil"/>
        <w:left w:val="nil"/>
        <w:bottom w:val="nil"/>
        <w:right w:val="nil"/>
        <w:between w:val="nil"/>
      </w:pBdr>
      <w:outlineLvl w:val="5"/>
    </w:pPr>
    <w:rPr>
      <w:rFonts w:ascii="Calibri" w:eastAsia="Calibri" w:hAnsi="Calibri" w:cs="Calibri"/>
      <w:color w:val="1F4D78"/>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top w:val="nil"/>
        <w:left w:val="nil"/>
        <w:bottom w:val="nil"/>
        <w:right w:val="nil"/>
        <w:between w:val="nil"/>
      </w:pBdr>
    </w:pPr>
    <w:rPr>
      <w:rFonts w:ascii="Calibri" w:eastAsia="Calibri" w:hAnsi="Calibri" w:cs="Calibri"/>
      <w:color w:val="000000"/>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CellMar>
        <w:top w:w="0" w:type="dxa"/>
        <w:left w:w="115" w:type="dxa"/>
        <w:bottom w:w="0" w:type="dxa"/>
        <w:right w:w="115" w:type="dxa"/>
      </w:tblCellMar>
    </w:tblPr>
  </w:style>
  <w:style w:type="table" w:customStyle="1" w:styleId="a1">
    <w:basedOn w:val="TableNormal0"/>
    <w:tblPr>
      <w:tblStyleRowBandSize w:val="1"/>
      <w:tblStyleColBandSize w:val="1"/>
      <w:tblCellMar>
        <w:top w:w="0" w:type="dxa"/>
        <w:left w:w="115" w:type="dxa"/>
        <w:bottom w:w="0" w:type="dxa"/>
        <w:right w:w="115" w:type="dxa"/>
      </w:tblCellMar>
    </w:tblPr>
  </w:style>
  <w:style w:type="table" w:customStyle="1" w:styleId="a2">
    <w:basedOn w:val="TableNormal0"/>
    <w:tblPr>
      <w:tblStyleRowBandSize w:val="1"/>
      <w:tblStyleColBandSize w:val="1"/>
      <w:tblCellMar>
        <w:top w:w="0" w:type="dxa"/>
        <w:left w:w="115" w:type="dxa"/>
        <w:bottom w:w="0" w:type="dxa"/>
        <w:right w:w="115" w:type="dxa"/>
      </w:tblCellMar>
    </w:tblPr>
  </w:style>
  <w:style w:type="table" w:customStyle="1" w:styleId="a3">
    <w:basedOn w:val="TableNormal0"/>
    <w:tblPr>
      <w:tblStyleRowBandSize w:val="1"/>
      <w:tblStyleColBandSize w:val="1"/>
      <w:tblCellMar>
        <w:top w:w="0" w:type="dxa"/>
        <w:left w:w="115" w:type="dxa"/>
        <w:bottom w:w="0" w:type="dxa"/>
        <w:right w:w="115" w:type="dxa"/>
      </w:tblCellMar>
    </w:tblPr>
  </w:style>
  <w:style w:type="table" w:customStyle="1" w:styleId="a4">
    <w:basedOn w:val="TableNormal0"/>
    <w:tblPr>
      <w:tblStyleRowBandSize w:val="1"/>
      <w:tblStyleColBandSize w:val="1"/>
      <w:tblCellMar>
        <w:top w:w="0" w:type="dxa"/>
        <w:left w:w="115" w:type="dxa"/>
        <w:bottom w:w="0" w:type="dxa"/>
        <w:right w:w="115" w:type="dxa"/>
      </w:tblCellMar>
    </w:tblPr>
  </w:style>
  <w:style w:type="table" w:customStyle="1" w:styleId="a5">
    <w:basedOn w:val="TableNormal0"/>
    <w:tblPr>
      <w:tblStyleRowBandSize w:val="1"/>
      <w:tblStyleColBandSize w:val="1"/>
      <w:tblCellMar>
        <w:top w:w="0" w:type="dxa"/>
        <w:left w:w="115" w:type="dxa"/>
        <w:bottom w:w="0" w:type="dxa"/>
        <w:right w:w="115" w:type="dxa"/>
      </w:tblCellMar>
    </w:tblPr>
  </w:style>
  <w:style w:type="character" w:styleId="Hyperlink">
    <w:name w:val="Hyperlink"/>
    <w:basedOn w:val="DefaultParagraphFont"/>
    <w:uiPriority w:val="99"/>
    <w:unhideWhenUsed/>
    <w:rsid w:val="006B196B"/>
    <w:rPr>
      <w:color w:val="0000FF" w:themeColor="hyperlink"/>
      <w:u w:val="single"/>
    </w:rPr>
  </w:style>
  <w:style w:type="character" w:styleId="UnresolvedMention">
    <w:name w:val="Unresolved Mention"/>
    <w:basedOn w:val="DefaultParagraphFont"/>
    <w:uiPriority w:val="99"/>
    <w:semiHidden/>
    <w:unhideWhenUsed/>
    <w:rsid w:val="006B196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jp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jp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jpg"/><Relationship Id="rId29" Type="http://schemas.openxmlformats.org/officeDocument/2006/relationships/image" Target="media/image22.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jpg"/><Relationship Id="rId28" Type="http://schemas.openxmlformats.org/officeDocument/2006/relationships/image" Target="media/image21.jpg"/><Relationship Id="rId10" Type="http://schemas.openxmlformats.org/officeDocument/2006/relationships/image" Target="media/image3.png"/><Relationship Id="rId19" Type="http://schemas.openxmlformats.org/officeDocument/2006/relationships/image" Target="media/image12.jp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jpg"/><Relationship Id="rId27" Type="http://schemas.openxmlformats.org/officeDocument/2006/relationships/image" Target="media/image20.jpg"/><Relationship Id="rId30" Type="http://schemas.openxmlformats.org/officeDocument/2006/relationships/image" Target="media/image23.jpg"/><Relationship Id="rId8" Type="http://schemas.openxmlformats.org/officeDocument/2006/relationships/image" Target="media/image1.jp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436306-D562-40D5-B4E6-4803883FA6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58</Pages>
  <Words>15021</Words>
  <Characters>85621</Characters>
  <Application>Microsoft Office Word</Application>
  <DocSecurity>0</DocSecurity>
  <Lines>713</Lines>
  <Paragraphs>200</Paragraphs>
  <ScaleCrop>false</ScaleCrop>
  <Company/>
  <LinksUpToDate>false</LinksUpToDate>
  <CharactersWithSpaces>100442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Ishika</dc:creator>
  <cp:lastModifiedBy>Ishika Shiyani</cp:lastModifiedBy>
  <cp:revision>2</cp:revision>
  <dcterms:created xsi:type="dcterms:W3CDTF">2026-09-25T00:47:00Z</dcterms:created>
  <dcterms:modified xsi:type="dcterms:W3CDTF">2026-09-25T00:47:00Z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cd9b3a5c-324d-4d3a-bd30-d47c882c8078</vt:lpwstr>
  </property>
</Properties>
</file>