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98B87" w14:textId="73A25619" w:rsidR="00554E5E" w:rsidRDefault="00227FFD" w:rsidP="00227FFD">
      <w:pPr>
        <w:jc w:val="center"/>
        <w:rPr>
          <w:sz w:val="32"/>
          <w:szCs w:val="32"/>
        </w:rPr>
      </w:pPr>
      <w:r w:rsidRPr="00227FFD">
        <w:rPr>
          <w:sz w:val="32"/>
          <w:szCs w:val="32"/>
        </w:rPr>
        <w:t>Module: Community Engagement</w:t>
      </w:r>
    </w:p>
    <w:p w14:paraId="20DAE7A1" w14:textId="443AC6D6" w:rsidR="00227FFD" w:rsidRDefault="00227FFD" w:rsidP="00227FFD">
      <w:pPr>
        <w:jc w:val="center"/>
        <w:rPr>
          <w:sz w:val="32"/>
          <w:szCs w:val="32"/>
        </w:rPr>
      </w:pPr>
      <w:r>
        <w:rPr>
          <w:sz w:val="32"/>
          <w:szCs w:val="32"/>
        </w:rPr>
        <w:t>Module Code:</w:t>
      </w:r>
      <w:r w:rsidRPr="00227FFD">
        <w:t xml:space="preserve"> </w:t>
      </w:r>
      <w:r w:rsidRPr="00227FFD">
        <w:rPr>
          <w:sz w:val="32"/>
          <w:szCs w:val="32"/>
        </w:rPr>
        <w:t>LCBB4011</w:t>
      </w:r>
    </w:p>
    <w:p w14:paraId="52E9BA7C" w14:textId="33680BB4" w:rsidR="007A23C8" w:rsidRDefault="00227FFD" w:rsidP="00227FFD">
      <w:pPr>
        <w:jc w:val="center"/>
        <w:rPr>
          <w:sz w:val="32"/>
          <w:szCs w:val="32"/>
        </w:rPr>
      </w:pPr>
      <w:r>
        <w:rPr>
          <w:sz w:val="32"/>
          <w:szCs w:val="32"/>
        </w:rPr>
        <w:t>Student ID:</w:t>
      </w:r>
      <w:r w:rsidR="005612EC">
        <w:rPr>
          <w:sz w:val="32"/>
          <w:szCs w:val="32"/>
        </w:rPr>
        <w:t xml:space="preserve"> 2020362</w:t>
      </w:r>
    </w:p>
    <w:p w14:paraId="1CD6C7DC" w14:textId="4FDD84F5" w:rsidR="005612EC" w:rsidRDefault="005612EC" w:rsidP="00227FFD">
      <w:pPr>
        <w:jc w:val="center"/>
        <w:rPr>
          <w:sz w:val="32"/>
          <w:szCs w:val="32"/>
        </w:rPr>
      </w:pPr>
      <w:r>
        <w:rPr>
          <w:sz w:val="32"/>
          <w:szCs w:val="32"/>
        </w:rPr>
        <w:t>Student Name: Alex-Andrei Perca</w:t>
      </w:r>
    </w:p>
    <w:p w14:paraId="11D570D1" w14:textId="74208F05" w:rsidR="005612EC" w:rsidRDefault="005612EC" w:rsidP="00227FFD">
      <w:pPr>
        <w:jc w:val="center"/>
        <w:rPr>
          <w:sz w:val="32"/>
          <w:szCs w:val="32"/>
        </w:rPr>
      </w:pPr>
      <w:r>
        <w:rPr>
          <w:sz w:val="32"/>
          <w:szCs w:val="32"/>
        </w:rPr>
        <w:t>Lecturer: Ibrahim Rufai</w:t>
      </w:r>
    </w:p>
    <w:p w14:paraId="5F63E568" w14:textId="77777777" w:rsidR="007A23C8" w:rsidRDefault="007A23C8">
      <w:pPr>
        <w:spacing w:before="0" w:after="160" w:line="259" w:lineRule="auto"/>
        <w:jc w:val="left"/>
        <w:rPr>
          <w:sz w:val="32"/>
          <w:szCs w:val="32"/>
        </w:rPr>
      </w:pPr>
      <w:r>
        <w:rPr>
          <w:sz w:val="32"/>
          <w:szCs w:val="32"/>
        </w:rPr>
        <w:br w:type="page"/>
      </w:r>
    </w:p>
    <w:sdt>
      <w:sdtPr>
        <w:rPr>
          <w:rFonts w:ascii="Times New Roman" w:eastAsiaTheme="minorHAnsi" w:hAnsi="Times New Roman" w:cstheme="minorBidi"/>
          <w:color w:val="000000" w:themeColor="text1"/>
          <w:kern w:val="2"/>
          <w:sz w:val="24"/>
          <w:szCs w:val="22"/>
          <w14:ligatures w14:val="standardContextual"/>
        </w:rPr>
        <w:id w:val="-648514066"/>
        <w:docPartObj>
          <w:docPartGallery w:val="Table of Contents"/>
          <w:docPartUnique/>
        </w:docPartObj>
      </w:sdtPr>
      <w:sdtEndPr>
        <w:rPr>
          <w:b/>
          <w:bCs/>
          <w:noProof/>
        </w:rPr>
      </w:sdtEndPr>
      <w:sdtContent>
        <w:p w14:paraId="0AEA7836" w14:textId="3C6424FB" w:rsidR="007A23C8" w:rsidRDefault="007A23C8">
          <w:pPr>
            <w:pStyle w:val="TOCHeading"/>
          </w:pPr>
          <w:r>
            <w:t>Contents</w:t>
          </w:r>
        </w:p>
        <w:p w14:paraId="4526161A" w14:textId="04A4F41D" w:rsidR="007A23C8" w:rsidRDefault="007A23C8">
          <w:pPr>
            <w:pStyle w:val="TOC1"/>
            <w:tabs>
              <w:tab w:val="right" w:leader="dot" w:pos="9350"/>
            </w:tabs>
            <w:rPr>
              <w:noProof/>
            </w:rPr>
          </w:pPr>
          <w:r>
            <w:fldChar w:fldCharType="begin"/>
          </w:r>
          <w:r>
            <w:instrText xml:space="preserve"> TOC \o "1-3" \h \z \u </w:instrText>
          </w:r>
          <w:r>
            <w:fldChar w:fldCharType="separate"/>
          </w:r>
          <w:hyperlink w:anchor="_Toc167650980" w:history="1">
            <w:r w:rsidRPr="00EF077D">
              <w:rPr>
                <w:rStyle w:val="Hyperlink"/>
                <w:noProof/>
              </w:rPr>
              <w:t>Introduction</w:t>
            </w:r>
            <w:r>
              <w:rPr>
                <w:noProof/>
                <w:webHidden/>
              </w:rPr>
              <w:tab/>
            </w:r>
            <w:r>
              <w:rPr>
                <w:noProof/>
                <w:webHidden/>
              </w:rPr>
              <w:fldChar w:fldCharType="begin"/>
            </w:r>
            <w:r>
              <w:rPr>
                <w:noProof/>
                <w:webHidden/>
              </w:rPr>
              <w:instrText xml:space="preserve"> PAGEREF _Toc167650980 \h </w:instrText>
            </w:r>
            <w:r>
              <w:rPr>
                <w:noProof/>
                <w:webHidden/>
              </w:rPr>
            </w:r>
            <w:r>
              <w:rPr>
                <w:noProof/>
                <w:webHidden/>
              </w:rPr>
              <w:fldChar w:fldCharType="separate"/>
            </w:r>
            <w:r>
              <w:rPr>
                <w:noProof/>
                <w:webHidden/>
              </w:rPr>
              <w:t>3</w:t>
            </w:r>
            <w:r>
              <w:rPr>
                <w:noProof/>
                <w:webHidden/>
              </w:rPr>
              <w:fldChar w:fldCharType="end"/>
            </w:r>
          </w:hyperlink>
        </w:p>
        <w:p w14:paraId="612AAB3A" w14:textId="7DED47A3" w:rsidR="007A23C8" w:rsidRDefault="00000000">
          <w:pPr>
            <w:pStyle w:val="TOC1"/>
            <w:tabs>
              <w:tab w:val="right" w:leader="dot" w:pos="9350"/>
            </w:tabs>
            <w:rPr>
              <w:noProof/>
            </w:rPr>
          </w:pPr>
          <w:hyperlink w:anchor="_Toc167650981" w:history="1">
            <w:r w:rsidR="007A23C8" w:rsidRPr="00EF077D">
              <w:rPr>
                <w:rStyle w:val="Hyperlink"/>
                <w:noProof/>
              </w:rPr>
              <w:t>Community Engagement Principles</w:t>
            </w:r>
            <w:r w:rsidR="007A23C8">
              <w:rPr>
                <w:noProof/>
                <w:webHidden/>
              </w:rPr>
              <w:tab/>
            </w:r>
            <w:r w:rsidR="007A23C8">
              <w:rPr>
                <w:noProof/>
                <w:webHidden/>
              </w:rPr>
              <w:fldChar w:fldCharType="begin"/>
            </w:r>
            <w:r w:rsidR="007A23C8">
              <w:rPr>
                <w:noProof/>
                <w:webHidden/>
              </w:rPr>
              <w:instrText xml:space="preserve"> PAGEREF _Toc167650981 \h </w:instrText>
            </w:r>
            <w:r w:rsidR="007A23C8">
              <w:rPr>
                <w:noProof/>
                <w:webHidden/>
              </w:rPr>
            </w:r>
            <w:r w:rsidR="007A23C8">
              <w:rPr>
                <w:noProof/>
                <w:webHidden/>
              </w:rPr>
              <w:fldChar w:fldCharType="separate"/>
            </w:r>
            <w:r w:rsidR="007A23C8">
              <w:rPr>
                <w:noProof/>
                <w:webHidden/>
              </w:rPr>
              <w:t>4</w:t>
            </w:r>
            <w:r w:rsidR="007A23C8">
              <w:rPr>
                <w:noProof/>
                <w:webHidden/>
              </w:rPr>
              <w:fldChar w:fldCharType="end"/>
            </w:r>
          </w:hyperlink>
        </w:p>
        <w:p w14:paraId="3CF7AA5C" w14:textId="1E8DD3A4" w:rsidR="007A23C8" w:rsidRDefault="00000000">
          <w:pPr>
            <w:pStyle w:val="TOC1"/>
            <w:tabs>
              <w:tab w:val="right" w:leader="dot" w:pos="9350"/>
            </w:tabs>
            <w:rPr>
              <w:noProof/>
            </w:rPr>
          </w:pPr>
          <w:hyperlink w:anchor="_Toc167650982" w:history="1">
            <w:r w:rsidR="007A23C8" w:rsidRPr="00EF077D">
              <w:rPr>
                <w:rStyle w:val="Hyperlink"/>
                <w:noProof/>
              </w:rPr>
              <w:t>Planning and Design</w:t>
            </w:r>
            <w:r w:rsidR="007A23C8">
              <w:rPr>
                <w:noProof/>
                <w:webHidden/>
              </w:rPr>
              <w:tab/>
            </w:r>
            <w:r w:rsidR="007A23C8">
              <w:rPr>
                <w:noProof/>
                <w:webHidden/>
              </w:rPr>
              <w:fldChar w:fldCharType="begin"/>
            </w:r>
            <w:r w:rsidR="007A23C8">
              <w:rPr>
                <w:noProof/>
                <w:webHidden/>
              </w:rPr>
              <w:instrText xml:space="preserve"> PAGEREF _Toc167650982 \h </w:instrText>
            </w:r>
            <w:r w:rsidR="007A23C8">
              <w:rPr>
                <w:noProof/>
                <w:webHidden/>
              </w:rPr>
            </w:r>
            <w:r w:rsidR="007A23C8">
              <w:rPr>
                <w:noProof/>
                <w:webHidden/>
              </w:rPr>
              <w:fldChar w:fldCharType="separate"/>
            </w:r>
            <w:r w:rsidR="007A23C8">
              <w:rPr>
                <w:noProof/>
                <w:webHidden/>
              </w:rPr>
              <w:t>6</w:t>
            </w:r>
            <w:r w:rsidR="007A23C8">
              <w:rPr>
                <w:noProof/>
                <w:webHidden/>
              </w:rPr>
              <w:fldChar w:fldCharType="end"/>
            </w:r>
          </w:hyperlink>
        </w:p>
        <w:p w14:paraId="044F608B" w14:textId="0E13B238" w:rsidR="007A23C8" w:rsidRDefault="00000000">
          <w:pPr>
            <w:pStyle w:val="TOC1"/>
            <w:tabs>
              <w:tab w:val="right" w:leader="dot" w:pos="9350"/>
            </w:tabs>
            <w:rPr>
              <w:noProof/>
            </w:rPr>
          </w:pPr>
          <w:hyperlink w:anchor="_Toc167650983" w:history="1">
            <w:r w:rsidR="007A23C8" w:rsidRPr="00EF077D">
              <w:rPr>
                <w:rStyle w:val="Hyperlink"/>
                <w:noProof/>
              </w:rPr>
              <w:t>Standards</w:t>
            </w:r>
            <w:r w:rsidR="007A23C8">
              <w:rPr>
                <w:noProof/>
                <w:webHidden/>
              </w:rPr>
              <w:tab/>
            </w:r>
            <w:r w:rsidR="007A23C8">
              <w:rPr>
                <w:noProof/>
                <w:webHidden/>
              </w:rPr>
              <w:fldChar w:fldCharType="begin"/>
            </w:r>
            <w:r w:rsidR="007A23C8">
              <w:rPr>
                <w:noProof/>
                <w:webHidden/>
              </w:rPr>
              <w:instrText xml:space="preserve"> PAGEREF _Toc167650983 \h </w:instrText>
            </w:r>
            <w:r w:rsidR="007A23C8">
              <w:rPr>
                <w:noProof/>
                <w:webHidden/>
              </w:rPr>
            </w:r>
            <w:r w:rsidR="007A23C8">
              <w:rPr>
                <w:noProof/>
                <w:webHidden/>
              </w:rPr>
              <w:fldChar w:fldCharType="separate"/>
            </w:r>
            <w:r w:rsidR="007A23C8">
              <w:rPr>
                <w:noProof/>
                <w:webHidden/>
              </w:rPr>
              <w:t>8</w:t>
            </w:r>
            <w:r w:rsidR="007A23C8">
              <w:rPr>
                <w:noProof/>
                <w:webHidden/>
              </w:rPr>
              <w:fldChar w:fldCharType="end"/>
            </w:r>
          </w:hyperlink>
        </w:p>
        <w:p w14:paraId="74377528" w14:textId="0DF25F72" w:rsidR="007A23C8" w:rsidRDefault="00000000">
          <w:pPr>
            <w:pStyle w:val="TOC1"/>
            <w:tabs>
              <w:tab w:val="right" w:leader="dot" w:pos="9350"/>
            </w:tabs>
            <w:rPr>
              <w:noProof/>
            </w:rPr>
          </w:pPr>
          <w:hyperlink w:anchor="_Toc167650984" w:history="1">
            <w:r w:rsidR="007A23C8" w:rsidRPr="00EF077D">
              <w:rPr>
                <w:rStyle w:val="Hyperlink"/>
                <w:noProof/>
              </w:rPr>
              <w:t>Evaluation and Impact</w:t>
            </w:r>
            <w:r w:rsidR="007A23C8">
              <w:rPr>
                <w:noProof/>
                <w:webHidden/>
              </w:rPr>
              <w:tab/>
            </w:r>
            <w:r w:rsidR="007A23C8">
              <w:rPr>
                <w:noProof/>
                <w:webHidden/>
              </w:rPr>
              <w:fldChar w:fldCharType="begin"/>
            </w:r>
            <w:r w:rsidR="007A23C8">
              <w:rPr>
                <w:noProof/>
                <w:webHidden/>
              </w:rPr>
              <w:instrText xml:space="preserve"> PAGEREF _Toc167650984 \h </w:instrText>
            </w:r>
            <w:r w:rsidR="007A23C8">
              <w:rPr>
                <w:noProof/>
                <w:webHidden/>
              </w:rPr>
            </w:r>
            <w:r w:rsidR="007A23C8">
              <w:rPr>
                <w:noProof/>
                <w:webHidden/>
              </w:rPr>
              <w:fldChar w:fldCharType="separate"/>
            </w:r>
            <w:r w:rsidR="007A23C8">
              <w:rPr>
                <w:noProof/>
                <w:webHidden/>
              </w:rPr>
              <w:t>10</w:t>
            </w:r>
            <w:r w:rsidR="007A23C8">
              <w:rPr>
                <w:noProof/>
                <w:webHidden/>
              </w:rPr>
              <w:fldChar w:fldCharType="end"/>
            </w:r>
          </w:hyperlink>
        </w:p>
        <w:p w14:paraId="0E96765F" w14:textId="23B00733" w:rsidR="007A23C8" w:rsidRDefault="00000000">
          <w:pPr>
            <w:pStyle w:val="TOC1"/>
            <w:tabs>
              <w:tab w:val="right" w:leader="dot" w:pos="9350"/>
            </w:tabs>
            <w:rPr>
              <w:noProof/>
            </w:rPr>
          </w:pPr>
          <w:hyperlink w:anchor="_Toc167650985" w:history="1">
            <w:r w:rsidR="007A23C8" w:rsidRPr="00EF077D">
              <w:rPr>
                <w:rStyle w:val="Hyperlink"/>
                <w:noProof/>
              </w:rPr>
              <w:t>Links to Personal Skills</w:t>
            </w:r>
            <w:r w:rsidR="007A23C8">
              <w:rPr>
                <w:noProof/>
                <w:webHidden/>
              </w:rPr>
              <w:tab/>
            </w:r>
            <w:r w:rsidR="007A23C8">
              <w:rPr>
                <w:noProof/>
                <w:webHidden/>
              </w:rPr>
              <w:fldChar w:fldCharType="begin"/>
            </w:r>
            <w:r w:rsidR="007A23C8">
              <w:rPr>
                <w:noProof/>
                <w:webHidden/>
              </w:rPr>
              <w:instrText xml:space="preserve"> PAGEREF _Toc167650985 \h </w:instrText>
            </w:r>
            <w:r w:rsidR="007A23C8">
              <w:rPr>
                <w:noProof/>
                <w:webHidden/>
              </w:rPr>
            </w:r>
            <w:r w:rsidR="007A23C8">
              <w:rPr>
                <w:noProof/>
                <w:webHidden/>
              </w:rPr>
              <w:fldChar w:fldCharType="separate"/>
            </w:r>
            <w:r w:rsidR="007A23C8">
              <w:rPr>
                <w:noProof/>
                <w:webHidden/>
              </w:rPr>
              <w:t>11</w:t>
            </w:r>
            <w:r w:rsidR="007A23C8">
              <w:rPr>
                <w:noProof/>
                <w:webHidden/>
              </w:rPr>
              <w:fldChar w:fldCharType="end"/>
            </w:r>
          </w:hyperlink>
        </w:p>
        <w:p w14:paraId="3D47D149" w14:textId="6CEDCA31" w:rsidR="007A23C8" w:rsidRDefault="00000000">
          <w:pPr>
            <w:pStyle w:val="TOC1"/>
            <w:tabs>
              <w:tab w:val="right" w:leader="dot" w:pos="9350"/>
            </w:tabs>
            <w:rPr>
              <w:noProof/>
            </w:rPr>
          </w:pPr>
          <w:hyperlink w:anchor="_Toc167650986" w:history="1">
            <w:r w:rsidR="007A23C8" w:rsidRPr="00EF077D">
              <w:rPr>
                <w:rStyle w:val="Hyperlink"/>
                <w:noProof/>
              </w:rPr>
              <w:t>Conclusion</w:t>
            </w:r>
            <w:r w:rsidR="007A23C8">
              <w:rPr>
                <w:noProof/>
                <w:webHidden/>
              </w:rPr>
              <w:tab/>
            </w:r>
            <w:r w:rsidR="007A23C8">
              <w:rPr>
                <w:noProof/>
                <w:webHidden/>
              </w:rPr>
              <w:fldChar w:fldCharType="begin"/>
            </w:r>
            <w:r w:rsidR="007A23C8">
              <w:rPr>
                <w:noProof/>
                <w:webHidden/>
              </w:rPr>
              <w:instrText xml:space="preserve"> PAGEREF _Toc167650986 \h </w:instrText>
            </w:r>
            <w:r w:rsidR="007A23C8">
              <w:rPr>
                <w:noProof/>
                <w:webHidden/>
              </w:rPr>
            </w:r>
            <w:r w:rsidR="007A23C8">
              <w:rPr>
                <w:noProof/>
                <w:webHidden/>
              </w:rPr>
              <w:fldChar w:fldCharType="separate"/>
            </w:r>
            <w:r w:rsidR="007A23C8">
              <w:rPr>
                <w:noProof/>
                <w:webHidden/>
              </w:rPr>
              <w:t>13</w:t>
            </w:r>
            <w:r w:rsidR="007A23C8">
              <w:rPr>
                <w:noProof/>
                <w:webHidden/>
              </w:rPr>
              <w:fldChar w:fldCharType="end"/>
            </w:r>
          </w:hyperlink>
        </w:p>
        <w:p w14:paraId="0734AEE5" w14:textId="61B98620" w:rsidR="007A23C8" w:rsidRDefault="00000000">
          <w:pPr>
            <w:pStyle w:val="TOC1"/>
            <w:tabs>
              <w:tab w:val="right" w:leader="dot" w:pos="9350"/>
            </w:tabs>
            <w:rPr>
              <w:noProof/>
            </w:rPr>
          </w:pPr>
          <w:hyperlink w:anchor="_Toc167650987" w:history="1">
            <w:r w:rsidR="007A23C8" w:rsidRPr="00EF077D">
              <w:rPr>
                <w:rStyle w:val="Hyperlink"/>
                <w:noProof/>
              </w:rPr>
              <w:t>References</w:t>
            </w:r>
            <w:r w:rsidR="007A23C8">
              <w:rPr>
                <w:noProof/>
                <w:webHidden/>
              </w:rPr>
              <w:tab/>
            </w:r>
            <w:r w:rsidR="007A23C8">
              <w:rPr>
                <w:noProof/>
                <w:webHidden/>
              </w:rPr>
              <w:fldChar w:fldCharType="begin"/>
            </w:r>
            <w:r w:rsidR="007A23C8">
              <w:rPr>
                <w:noProof/>
                <w:webHidden/>
              </w:rPr>
              <w:instrText xml:space="preserve"> PAGEREF _Toc167650987 \h </w:instrText>
            </w:r>
            <w:r w:rsidR="007A23C8">
              <w:rPr>
                <w:noProof/>
                <w:webHidden/>
              </w:rPr>
            </w:r>
            <w:r w:rsidR="007A23C8">
              <w:rPr>
                <w:noProof/>
                <w:webHidden/>
              </w:rPr>
              <w:fldChar w:fldCharType="separate"/>
            </w:r>
            <w:r w:rsidR="007A23C8">
              <w:rPr>
                <w:noProof/>
                <w:webHidden/>
              </w:rPr>
              <w:t>14</w:t>
            </w:r>
            <w:r w:rsidR="007A23C8">
              <w:rPr>
                <w:noProof/>
                <w:webHidden/>
              </w:rPr>
              <w:fldChar w:fldCharType="end"/>
            </w:r>
          </w:hyperlink>
        </w:p>
        <w:p w14:paraId="60125FB8" w14:textId="255B58A3" w:rsidR="007A23C8" w:rsidRDefault="007A23C8">
          <w:r>
            <w:rPr>
              <w:b/>
              <w:bCs/>
              <w:noProof/>
            </w:rPr>
            <w:fldChar w:fldCharType="end"/>
          </w:r>
        </w:p>
      </w:sdtContent>
    </w:sdt>
    <w:p w14:paraId="68BB8574" w14:textId="77777777" w:rsidR="00227FFD" w:rsidRDefault="00227FFD" w:rsidP="00227FFD">
      <w:pPr>
        <w:jc w:val="center"/>
        <w:rPr>
          <w:sz w:val="32"/>
          <w:szCs w:val="32"/>
        </w:rPr>
      </w:pPr>
    </w:p>
    <w:p w14:paraId="7D20091E" w14:textId="0C1F9E22" w:rsidR="00227FFD" w:rsidRDefault="00227FFD" w:rsidP="00227FFD">
      <w:pPr>
        <w:jc w:val="center"/>
        <w:rPr>
          <w:sz w:val="32"/>
          <w:szCs w:val="32"/>
        </w:rPr>
      </w:pPr>
    </w:p>
    <w:p w14:paraId="34023354" w14:textId="77777777" w:rsidR="00227FFD" w:rsidRDefault="00227FFD">
      <w:pPr>
        <w:spacing w:before="0" w:after="160" w:line="259" w:lineRule="auto"/>
        <w:jc w:val="left"/>
        <w:rPr>
          <w:sz w:val="32"/>
          <w:szCs w:val="32"/>
        </w:rPr>
      </w:pPr>
      <w:r>
        <w:rPr>
          <w:sz w:val="32"/>
          <w:szCs w:val="32"/>
        </w:rPr>
        <w:br w:type="page"/>
      </w:r>
    </w:p>
    <w:p w14:paraId="2596253F" w14:textId="7CDC219A" w:rsidR="00227FFD" w:rsidRDefault="002929B3" w:rsidP="002929B3">
      <w:pPr>
        <w:pStyle w:val="Heading1"/>
      </w:pPr>
      <w:bookmarkStart w:id="0" w:name="_Toc167650980"/>
      <w:r>
        <w:lastRenderedPageBreak/>
        <w:t>Introduction</w:t>
      </w:r>
      <w:bookmarkEnd w:id="0"/>
    </w:p>
    <w:p w14:paraId="50D2619E" w14:textId="6D0159DA" w:rsidR="002929B3" w:rsidRDefault="006A144C" w:rsidP="006A144C">
      <w:r>
        <w:t xml:space="preserve">Community engagement is an important consideration for the formation and maintenance of integrated societies. It also involves the people in the community in the </w:t>
      </w:r>
      <w:r w:rsidR="00FB24EA">
        <w:t>decision-making</w:t>
      </w:r>
      <w:r>
        <w:t xml:space="preserve"> hence creating awareness of their rights and entitlements. It enhances understanding, coordination, and other key factors that can have a positive impact on any community development project. The following is a comparison of the community engagement that would be required to launch a community gardening project in a local urban area in </w:t>
      </w:r>
      <w:r w:rsidR="00FB24EA">
        <w:t xml:space="preserve">the </w:t>
      </w:r>
      <w:r>
        <w:t>United Kingdom</w:t>
      </w:r>
      <w:r w:rsidR="0097710C" w:rsidRPr="0097710C">
        <w:t xml:space="preserve"> (Aguilar-Gaxiola et al., 2022)</w:t>
      </w:r>
      <w:r>
        <w:t xml:space="preserve">. The objective of undertaking this project is to respond to social needs, </w:t>
      </w:r>
      <w:r w:rsidR="00FB24EA">
        <w:t xml:space="preserve">and </w:t>
      </w:r>
      <w:r>
        <w:t xml:space="preserve">environmental conservation and to educate the congregation on sustainable living through the provision of a green call. Therefore, through the transformation of an unused area in the tissue of the city into </w:t>
      </w:r>
      <w:r w:rsidR="00FB24EA">
        <w:t xml:space="preserve">an </w:t>
      </w:r>
      <w:r>
        <w:t xml:space="preserve">urban garden, they want to find out how to bring more people into a community, extend </w:t>
      </w:r>
      <w:r w:rsidR="00FB24EA">
        <w:t xml:space="preserve">the </w:t>
      </w:r>
      <w:r>
        <w:t xml:space="preserve">density and productivity of plant and animal populations, and provide locally grown foods to the inhabitants of the city. The present report includes several important sections, which can be enumerated as follows. First, it will define the strategies that would support the community involvement process, including inclusion, openness, and long-term orientation. Following that, a discussion on the planning and design of the project will be discussed, and the procedures </w:t>
      </w:r>
      <w:r w:rsidR="00FB24EA">
        <w:t>for</w:t>
      </w:r>
      <w:r>
        <w:t xml:space="preserve"> assessing the needs of the community and the stakeholders will be outlined</w:t>
      </w:r>
      <w:r w:rsidR="00FE124B" w:rsidRPr="00FE124B">
        <w:t xml:space="preserve"> (Anthony Jr, 2023)</w:t>
      </w:r>
      <w:r>
        <w:t>. Next, the ethical issues and local regulations related to the whole project will be explained, plus the ways of communication and instruments. Following this, the ways and means of assessing the project and its worth in improving the quality of the community shall be explained. Lastly; the report will make correlations of these aspects with my skill set, demonstrating why I am well suited to begin as well as finish this project.</w:t>
      </w:r>
      <w:r w:rsidR="002929B3">
        <w:br w:type="page"/>
      </w:r>
    </w:p>
    <w:p w14:paraId="2200766B" w14:textId="4ECCE945" w:rsidR="002929B3" w:rsidRDefault="00DA7EB0" w:rsidP="00DA7EB0">
      <w:pPr>
        <w:pStyle w:val="Heading1"/>
      </w:pPr>
      <w:bookmarkStart w:id="1" w:name="_Toc167650981"/>
      <w:r w:rsidRPr="00DA7EB0">
        <w:lastRenderedPageBreak/>
        <w:t>Community Engagement Principles</w:t>
      </w:r>
      <w:bookmarkEnd w:id="1"/>
    </w:p>
    <w:p w14:paraId="6A7748C6" w14:textId="158B83C7" w:rsidR="0010357F" w:rsidRPr="0010357F" w:rsidRDefault="0010357F" w:rsidP="0010357F">
      <w:r w:rsidRPr="0010357F">
        <w:t xml:space="preserve">Engagement principles are basic fundamental policies that have to be put in place for proper implementation and sustenance of communities. </w:t>
      </w:r>
      <w:r w:rsidR="00FB24EA">
        <w:t>About</w:t>
      </w:r>
      <w:r w:rsidRPr="0010357F">
        <w:t xml:space="preserve"> the proposed community garden project, the following guiding tenets will be followed to the letter: community, openness, partnership, and stewardship. These principles will apply to all phases of the process including planning, design, implementation, and evaluation.</w:t>
      </w:r>
    </w:p>
    <w:p w14:paraId="1A1DB979" w14:textId="77777777" w:rsidR="0010357F" w:rsidRDefault="0010357F" w:rsidP="0010357F">
      <w:pPr>
        <w:rPr>
          <w:b/>
          <w:bCs/>
        </w:rPr>
      </w:pPr>
      <w:r w:rsidRPr="0010357F">
        <w:rPr>
          <w:b/>
          <w:bCs/>
        </w:rPr>
        <w:t>Identification of Principles</w:t>
      </w:r>
      <w:r>
        <w:rPr>
          <w:b/>
          <w:bCs/>
        </w:rPr>
        <w:t xml:space="preserve"> </w:t>
      </w:r>
    </w:p>
    <w:p w14:paraId="036BF367" w14:textId="7138E34B" w:rsidR="0010357F" w:rsidRPr="0010357F" w:rsidRDefault="0010357F" w:rsidP="0010357F">
      <w:r w:rsidRPr="0010357F">
        <w:t xml:space="preserve">Diversity allows for all members of the community of all ages, genders, income levels, and </w:t>
      </w:r>
      <w:r w:rsidR="00FB24EA">
        <w:t>ethnicities</w:t>
      </w:r>
      <w:r w:rsidRPr="0010357F">
        <w:t xml:space="preserve"> to be allowed to participate in the community garden project. In this regard, the project focuses on the principles of inclusion and seeks to foster a culture that accepts all individuals without discriminating against them</w:t>
      </w:r>
      <w:r w:rsidR="00FE124B" w:rsidRPr="00FE124B">
        <w:t xml:space="preserve"> (Aripin</w:t>
      </w:r>
      <w:r w:rsidR="00FE124B">
        <w:t xml:space="preserve"> et al.</w:t>
      </w:r>
      <w:r w:rsidR="00FE124B" w:rsidRPr="00FE124B">
        <w:t>, Mulyani and Haryaman, 2023)</w:t>
      </w:r>
      <w:r w:rsidRPr="0010357F">
        <w:t>. This principle is very important as it helps to ensure that all the participants feel welcome and interested in the project and its results.</w:t>
      </w:r>
    </w:p>
    <w:p w14:paraId="3C05C4D7" w14:textId="386679CC" w:rsidR="00FA1F80" w:rsidRDefault="00FA1F80" w:rsidP="00FA1F80">
      <w:r>
        <w:t xml:space="preserve">Another principle that the community garden will be based on is transparency. Transparency means being honest, frank, and candid about the goal of the project as well as how it will be done and what it will yield. In this way, the project will get recognition from the people </w:t>
      </w:r>
      <w:r w:rsidR="00D96C18">
        <w:t>so that</w:t>
      </w:r>
      <w:r>
        <w:t xml:space="preserve"> everybody will know what is going on in the certain project and everybody will be able to challenge someone if he or she has done something wrong.</w:t>
      </w:r>
    </w:p>
    <w:p w14:paraId="445D4771" w14:textId="709494F2" w:rsidR="00FA1F80" w:rsidRDefault="00FA1F80" w:rsidP="00FA1F80">
      <w:r>
        <w:t xml:space="preserve">It is therefore important for the community to be willing to work together so that the garden project can work. It entails engaging with various stakeholders, which include individuals, groups, and </w:t>
      </w:r>
      <w:r w:rsidR="00D96C18">
        <w:t>organizations</w:t>
      </w:r>
      <w:r>
        <w:t xml:space="preserve"> within the community as well as other government departments (Barnes &amp; Schmitz, 2016). Teaming is the capacity to bring together different resources, know-how</w:t>
      </w:r>
      <w:r w:rsidR="00D96C18">
        <w:t>,</w:t>
      </w:r>
      <w:r>
        <w:t xml:space="preserve"> and experience, which in return improves </w:t>
      </w:r>
      <w:r w:rsidR="00D96C18">
        <w:t>problem-solving</w:t>
      </w:r>
      <w:r>
        <w:t xml:space="preserve"> skills as well as increases creativity. It also plays a part in building rapport and connections that may be useful for the undertaking in the future.</w:t>
      </w:r>
    </w:p>
    <w:p w14:paraId="3E591612" w14:textId="24994953" w:rsidR="0010357F" w:rsidRPr="0010357F" w:rsidRDefault="00FA1F80" w:rsidP="00FA1F80">
      <w:r>
        <w:t>Sustainability is another key concept used in the community garden project that seeks to produce more sustainable environmental, social</w:t>
      </w:r>
      <w:r w:rsidR="00D96C18">
        <w:t>,</w:t>
      </w:r>
      <w:r>
        <w:t xml:space="preserve"> and economical benefits in the long run. They assist in ensuring that the project is relevant to society and the generation of people in the future</w:t>
      </w:r>
      <w:r w:rsidR="00D96C18">
        <w:t>.</w:t>
      </w:r>
      <w:r w:rsidR="0010357F" w:rsidRPr="0010357F">
        <w:t xml:space="preserve"> Eco-</w:t>
      </w:r>
      <w:r w:rsidR="0010357F" w:rsidRPr="0010357F">
        <w:lastRenderedPageBreak/>
        <w:t>friendly activities like organic gardening and watering, reduced and recycled usage, and other strategies will be implemented into the stakes to reduce the environmental impact of the project</w:t>
      </w:r>
      <w:r w:rsidR="002A4AD9" w:rsidRPr="002A4AD9">
        <w:t xml:space="preserve"> (Benneworth, 2018)</w:t>
      </w:r>
      <w:r w:rsidR="0010357F" w:rsidRPr="0010357F">
        <w:t>.</w:t>
      </w:r>
    </w:p>
    <w:p w14:paraId="6393C792" w14:textId="77777777" w:rsidR="0010357F" w:rsidRPr="0010357F" w:rsidRDefault="0010357F" w:rsidP="0010357F">
      <w:pPr>
        <w:rPr>
          <w:b/>
          <w:bCs/>
        </w:rPr>
      </w:pPr>
      <w:r w:rsidRPr="0010357F">
        <w:rPr>
          <w:b/>
          <w:bCs/>
        </w:rPr>
        <w:t>Suitability of Principles</w:t>
      </w:r>
    </w:p>
    <w:p w14:paraId="61E148D2" w14:textId="279D619A" w:rsidR="0010357F" w:rsidRPr="0010357F" w:rsidRDefault="0010357F" w:rsidP="0010357F">
      <w:r w:rsidRPr="0010357F">
        <w:t>All these principles are ideal for the objectives of the community garden project. Mainstreaming refers to the process of ensuring that all individuals within a given community can have equal access to take part in any given activity. This way, people will feel that indeed they own the project, thus fostering the spirit of inclusion among the workers</w:t>
      </w:r>
      <w:r w:rsidR="00A75835" w:rsidRPr="00A75835">
        <w:t xml:space="preserve"> (Bracic, 2018)</w:t>
      </w:r>
      <w:r w:rsidRPr="0010357F">
        <w:t>.</w:t>
      </w:r>
    </w:p>
    <w:p w14:paraId="748EBC91" w14:textId="0421B0DB" w:rsidR="0010357F" w:rsidRPr="0010357F" w:rsidRDefault="0010357F" w:rsidP="0010357F">
      <w:r w:rsidRPr="0010357F">
        <w:t xml:space="preserve">As was mentioned, transparency is very important </w:t>
      </w:r>
      <w:r w:rsidR="00FB24EA">
        <w:t>to</w:t>
      </w:r>
      <w:r w:rsidRPr="0010357F">
        <w:t xml:space="preserve"> trust and be accountable. This is because stakeholders can be informed of the current status of the project, the problems being faced or the achievements made, hence promoting ownership of the project among all the project stakeholders. It can also contribute to the involvement of more support and resources from the community and external associates.</w:t>
      </w:r>
    </w:p>
    <w:p w14:paraId="22BFB3A3" w14:textId="4E1A7DB9" w:rsidR="0010357F" w:rsidRPr="0010357F" w:rsidRDefault="0010357F" w:rsidP="0010357F">
      <w:r w:rsidRPr="0010357F">
        <w:t>Integration is especially important when seeking to tap into different viewpoints and capabilities. When engaging stakeholders, the project is likely to harness appreciable skills, knowledge, and networks, which are essential to the success of the project</w:t>
      </w:r>
      <w:r w:rsidR="00A75835" w:rsidRPr="00A75835">
        <w:t xml:space="preserve"> (Chau et al., 2024)</w:t>
      </w:r>
      <w:r w:rsidRPr="0010357F">
        <w:t>. This (shared governance) can result in greater creativity and also improve the ability of the project to respond to challenges and risks.</w:t>
      </w:r>
    </w:p>
    <w:p w14:paraId="2F5B4391" w14:textId="77777777" w:rsidR="0010357F" w:rsidRPr="0010357F" w:rsidRDefault="0010357F" w:rsidP="0010357F">
      <w:pPr>
        <w:rPr>
          <w:b/>
          <w:bCs/>
        </w:rPr>
      </w:pPr>
      <w:r w:rsidRPr="0010357F">
        <w:rPr>
          <w:b/>
          <w:bCs/>
        </w:rPr>
        <w:t>Communication of Principles</w:t>
      </w:r>
    </w:p>
    <w:p w14:paraId="2115432D" w14:textId="789B97F6" w:rsidR="0010357F" w:rsidRPr="0010357F" w:rsidRDefault="0010357F" w:rsidP="0010357F">
      <w:r w:rsidRPr="0010357F">
        <w:t>However, understanding these principles by the community and stakeholders is essential to their application. These principles will be disseminated through formal and informal community discussions, social media, community newsletters, and media channels</w:t>
      </w:r>
      <w:r w:rsidR="009A7530" w:rsidRPr="009A7530">
        <w:t xml:space="preserve"> (Brunton et al., 2017)</w:t>
      </w:r>
      <w:r w:rsidRPr="0010357F">
        <w:t xml:space="preserve">. Community meetings will offer a vehicle for personal communication so that people </w:t>
      </w:r>
      <w:r w:rsidR="00FB24EA">
        <w:t>can</w:t>
      </w:r>
      <w:r w:rsidRPr="0010357F">
        <w:t xml:space="preserve"> discuss the problems in </w:t>
      </w:r>
      <w:r w:rsidR="00FB24EA">
        <w:t>detail</w:t>
      </w:r>
      <w:r w:rsidRPr="0010357F">
        <w:t xml:space="preserve">. The audience can be expanded by using social media networks and </w:t>
      </w:r>
      <w:r w:rsidR="00FB24EA">
        <w:t>informing</w:t>
      </w:r>
      <w:r w:rsidRPr="0010357F">
        <w:t xml:space="preserve"> the community about the implementation of the project and various events. A newsletter can be used to deliver routine information and keep the focus on stories and accomplishments concerning the project.</w:t>
      </w:r>
    </w:p>
    <w:p w14:paraId="7F10E277" w14:textId="77777777" w:rsidR="0010357F" w:rsidRPr="0010357F" w:rsidRDefault="0010357F" w:rsidP="0010357F">
      <w:pPr>
        <w:rPr>
          <w:b/>
          <w:bCs/>
        </w:rPr>
      </w:pPr>
      <w:r w:rsidRPr="0010357F">
        <w:rPr>
          <w:b/>
          <w:bCs/>
        </w:rPr>
        <w:lastRenderedPageBreak/>
        <w:t>Tools and Platforms</w:t>
      </w:r>
    </w:p>
    <w:p w14:paraId="1EEFD351" w14:textId="34378CD4" w:rsidR="0010357F" w:rsidRDefault="0010357F" w:rsidP="0010357F">
      <w:pPr>
        <w:rPr>
          <w:b/>
        </w:rPr>
      </w:pPr>
      <w:r w:rsidRPr="0010357F">
        <w:t>There are several communication and engagement tools and platforms that will be adopted as follows;</w:t>
      </w:r>
      <w:r w:rsidR="00FB24EA">
        <w:t xml:space="preserve"> </w:t>
      </w:r>
      <w:r w:rsidRPr="0010357F">
        <w:t xml:space="preserve">Discussion boards, both virtual and live, will serve as the platforms where participants’ ideas will meet. </w:t>
      </w:r>
      <w:r w:rsidR="00CD79B9" w:rsidRPr="00CD79B9">
        <w:t xml:space="preserve">In addition to questionnaires, polls may be used to seek opinions and viewpoints from the members of a particular community. Other internet sites such as </w:t>
      </w:r>
      <w:r w:rsidR="00927467">
        <w:t>Facebook</w:t>
      </w:r>
      <w:r w:rsidR="00CD79B9" w:rsidRPr="00CD79B9">
        <w:t xml:space="preserve">, </w:t>
      </w:r>
      <w:r w:rsidR="00927467">
        <w:t>Instagram,</w:t>
      </w:r>
      <w:r w:rsidR="00CD79B9" w:rsidRPr="00CD79B9">
        <w:t xml:space="preserve"> and </w:t>
      </w:r>
      <w:r w:rsidR="00927467">
        <w:t>Twitter</w:t>
      </w:r>
      <w:r w:rsidR="00CD79B9" w:rsidRPr="00CD79B9">
        <w:t xml:space="preserve"> post important announcements, </w:t>
      </w:r>
      <w:r w:rsidR="00927467">
        <w:t xml:space="preserve">and </w:t>
      </w:r>
      <w:r w:rsidR="00CD79B9" w:rsidRPr="00CD79B9">
        <w:t>events among others</w:t>
      </w:r>
      <w:r w:rsidR="00927467">
        <w:t>,</w:t>
      </w:r>
      <w:r w:rsidR="00CD79B9" w:rsidRPr="00CD79B9">
        <w:t xml:space="preserve"> and even go </w:t>
      </w:r>
      <w:r w:rsidR="00927467">
        <w:t>around</w:t>
      </w:r>
      <w:r w:rsidR="00CD79B9" w:rsidRPr="00CD79B9">
        <w:t xml:space="preserve"> reaching out to people (Cyril et al., 2015). Moreover, the workspace, such as the project website, may also contain information, materials, or other news concerning the community gardening activity.</w:t>
      </w:r>
    </w:p>
    <w:p w14:paraId="427D09CF" w14:textId="0AF452D9" w:rsidR="00D33422" w:rsidRDefault="00D33422" w:rsidP="0010357F">
      <w:pPr>
        <w:pStyle w:val="Heading1"/>
      </w:pPr>
      <w:bookmarkStart w:id="2" w:name="_Toc167650982"/>
      <w:r w:rsidRPr="00D33422">
        <w:t>Planning and Design</w:t>
      </w:r>
      <w:bookmarkEnd w:id="2"/>
    </w:p>
    <w:p w14:paraId="130A0DE1" w14:textId="77777777" w:rsidR="005C4085" w:rsidRDefault="00FB24EA" w:rsidP="00FB24EA">
      <w:pPr>
        <w:rPr>
          <w:b/>
          <w:bCs/>
        </w:rPr>
      </w:pPr>
      <w:r w:rsidRPr="00FB24EA">
        <w:rPr>
          <w:b/>
          <w:bCs/>
        </w:rPr>
        <w:t>Initial Research</w:t>
      </w:r>
    </w:p>
    <w:p w14:paraId="57396BA6" w14:textId="6344AF01" w:rsidR="00FB24EA" w:rsidRDefault="002345D7" w:rsidP="00FB24EA">
      <w:r w:rsidRPr="002345D7">
        <w:t xml:space="preserve">The first one is an assessment of the appropriateness of the current setting for the introduction of the community garden project. This </w:t>
      </w:r>
      <w:r>
        <w:t>includes</w:t>
      </w:r>
      <w:r w:rsidRPr="002345D7">
        <w:t xml:space="preserve"> reviewing current efforts and research on community garden best practices and concerns. In addition, data on demographics, prospects for developing a garden in the community, and potential locations for the garden will be collected during the study (De Weger et al., 2018). The following research methods will be useful in this phase: questionnaires, interviews, and focus group discussions involving members of this community.</w:t>
      </w:r>
    </w:p>
    <w:p w14:paraId="6B5C3B0D" w14:textId="77777777" w:rsidR="005C4085" w:rsidRDefault="00FB24EA" w:rsidP="00FB24EA">
      <w:r w:rsidRPr="00FB24EA">
        <w:rPr>
          <w:b/>
          <w:bCs/>
        </w:rPr>
        <w:t>Stakeholder Analysis</w:t>
      </w:r>
      <w:r>
        <w:t xml:space="preserve"> </w:t>
      </w:r>
    </w:p>
    <w:p w14:paraId="4AD23FEF" w14:textId="7FCD73D7" w:rsidR="00FB24EA" w:rsidRDefault="00F32B09" w:rsidP="00FB24EA">
      <w:r w:rsidRPr="00F32B09">
        <w:t xml:space="preserve">Identification and analysis of </w:t>
      </w:r>
      <w:r>
        <w:t>stakeholders</w:t>
      </w:r>
      <w:r w:rsidRPr="00F32B09">
        <w:t xml:space="preserve"> is crucial in the planning process. Other stakeholders include the residents of the local community, the organizations in the community, schools in the area, local businesses, and the people within the various governmental departments. Regarding the specific stakeholders and their involvement and power, the stakeholder map will be developed. It helps to identify needs, interests</w:t>
      </w:r>
      <w:r>
        <w:t>,</w:t>
      </w:r>
      <w:r w:rsidRPr="00F32B09">
        <w:t xml:space="preserve"> and possible support from each of the </w:t>
      </w:r>
      <w:r>
        <w:t>stakeholders</w:t>
      </w:r>
      <w:r w:rsidRPr="00F32B09">
        <w:t>, which is particularly important when the goal is to gain their support (Deng and Chiu, 2023).</w:t>
      </w:r>
    </w:p>
    <w:p w14:paraId="305D1B8B" w14:textId="77777777" w:rsidR="005C4085" w:rsidRDefault="00FB24EA" w:rsidP="00FB24EA">
      <w:pPr>
        <w:rPr>
          <w:b/>
          <w:bCs/>
        </w:rPr>
      </w:pPr>
      <w:r w:rsidRPr="00FB24EA">
        <w:rPr>
          <w:b/>
          <w:bCs/>
        </w:rPr>
        <w:t>Resource Allocation</w:t>
      </w:r>
    </w:p>
    <w:p w14:paraId="22E97F7E" w14:textId="1108B211" w:rsidR="00657ECA" w:rsidRDefault="00657ECA" w:rsidP="00FB24EA">
      <w:r w:rsidRPr="00657ECA">
        <w:t xml:space="preserve">Resource management also </w:t>
      </w:r>
      <w:r>
        <w:t>aids</w:t>
      </w:r>
      <w:r w:rsidRPr="00657ECA">
        <w:t xml:space="preserve"> in procuring the right type and quality of resources in as much as the materials, money</w:t>
      </w:r>
      <w:r>
        <w:t>,</w:t>
      </w:r>
      <w:r w:rsidRPr="00657ECA">
        <w:t xml:space="preserve"> and people for the project. During this stage, </w:t>
      </w:r>
      <w:r>
        <w:t xml:space="preserve">the </w:t>
      </w:r>
      <w:r w:rsidRPr="00657ECA">
        <w:t xml:space="preserve">development of financial </w:t>
      </w:r>
      <w:r w:rsidRPr="00657ECA">
        <w:lastRenderedPageBreak/>
        <w:t xml:space="preserve">and fundraising plans and estimates of available in-kind resources </w:t>
      </w:r>
      <w:r>
        <w:t>takes</w:t>
      </w:r>
      <w:r w:rsidRPr="00657ECA">
        <w:t xml:space="preserve"> place. Sources for funding may include grants, sponsorships</w:t>
      </w:r>
      <w:r>
        <w:t>,</w:t>
      </w:r>
      <w:r w:rsidRPr="00657ECA">
        <w:t xml:space="preserve"> and community </w:t>
      </w:r>
      <w:r>
        <w:t>fundraising</w:t>
      </w:r>
      <w:r w:rsidRPr="00657ECA">
        <w:t xml:space="preserve"> activities. Volunteer recruitment is also an issue in this regard as the project demands a lot of </w:t>
      </w:r>
      <w:r>
        <w:t>labor</w:t>
      </w:r>
      <w:r w:rsidRPr="00657ECA">
        <w:t xml:space="preserve"> and maintenance from the volunteers (Eden et al., Chisom and Adeniyi, 2024).</w:t>
      </w:r>
    </w:p>
    <w:p w14:paraId="726D13C8" w14:textId="4F3798B0" w:rsidR="00FB24EA" w:rsidRPr="00FB24EA" w:rsidRDefault="00FB24EA" w:rsidP="00FB24EA">
      <w:pPr>
        <w:rPr>
          <w:b/>
          <w:bCs/>
        </w:rPr>
      </w:pPr>
      <w:r w:rsidRPr="00FB24EA">
        <w:rPr>
          <w:b/>
          <w:bCs/>
        </w:rPr>
        <w:t>Design Process</w:t>
      </w:r>
    </w:p>
    <w:p w14:paraId="6C6AAF00" w14:textId="38A3BCF6" w:rsidR="00FB24EA" w:rsidRDefault="005C4085" w:rsidP="00FB24EA">
      <w:r>
        <w:rPr>
          <w:b/>
          <w:bCs/>
        </w:rPr>
        <w:t xml:space="preserve">1. </w:t>
      </w:r>
      <w:r w:rsidR="00FB24EA" w:rsidRPr="00FB24EA">
        <w:rPr>
          <w:b/>
          <w:bCs/>
        </w:rPr>
        <w:t>Concept Development:</w:t>
      </w:r>
      <w:r w:rsidR="00FB24EA">
        <w:t xml:space="preserve"> </w:t>
      </w:r>
      <w:r w:rsidR="00F472DF" w:rsidRPr="00F472DF">
        <w:t xml:space="preserve">This analysis shall be conducted </w:t>
      </w:r>
      <w:r w:rsidR="00C53772">
        <w:t>on</w:t>
      </w:r>
      <w:r w:rsidR="00F472DF" w:rsidRPr="00F472DF">
        <w:t xml:space="preserve"> the initial findings of </w:t>
      </w:r>
      <w:r w:rsidR="00C53772">
        <w:t xml:space="preserve">the </w:t>
      </w:r>
      <w:r w:rsidR="00F472DF" w:rsidRPr="00F472DF">
        <w:t xml:space="preserve">research and the data collected from the key stakeholders. This involves making decisions </w:t>
      </w:r>
      <w:r w:rsidR="00C53772">
        <w:t>about</w:t>
      </w:r>
      <w:r w:rsidR="00F472DF" w:rsidRPr="00F472DF">
        <w:t xml:space="preserve"> the location of benches, </w:t>
      </w:r>
      <w:r w:rsidR="00C53772">
        <w:t xml:space="preserve">the </w:t>
      </w:r>
      <w:r w:rsidR="00F472DF" w:rsidRPr="00F472DF">
        <w:t xml:space="preserve">type of landscape, </w:t>
      </w:r>
      <w:r w:rsidR="00C53772">
        <w:t xml:space="preserve">the </w:t>
      </w:r>
      <w:r w:rsidR="00F472DF" w:rsidRPr="00F472DF">
        <w:t>plants to be planted</w:t>
      </w:r>
      <w:r w:rsidR="00C53772">
        <w:t>,</w:t>
      </w:r>
      <w:r w:rsidR="00F472DF" w:rsidRPr="00F472DF">
        <w:t xml:space="preserve"> and even the paths or teaching stations</w:t>
      </w:r>
      <w:r w:rsidR="00FB24EA">
        <w:t>.</w:t>
      </w:r>
    </w:p>
    <w:p w14:paraId="53C89380" w14:textId="62DAA441" w:rsidR="00FB24EA" w:rsidRDefault="005C4085" w:rsidP="00FB24EA">
      <w:r>
        <w:rPr>
          <w:b/>
          <w:bCs/>
        </w:rPr>
        <w:t xml:space="preserve">2. </w:t>
      </w:r>
      <w:r w:rsidR="00FB24EA" w:rsidRPr="00FB24EA">
        <w:rPr>
          <w:b/>
          <w:bCs/>
        </w:rPr>
        <w:t>Site Assessment:</w:t>
      </w:r>
      <w:r w:rsidR="00FB24EA">
        <w:t xml:space="preserve"> </w:t>
      </w:r>
      <w:r w:rsidR="00B156D8" w:rsidRPr="00B156D8">
        <w:t xml:space="preserve">The evaluation of the selected site will entail aspects that will include land quality: ground type, availability of light and water: </w:t>
      </w:r>
      <w:r w:rsidR="00B156D8">
        <w:t xml:space="preserve">and </w:t>
      </w:r>
      <w:r w:rsidR="00B156D8" w:rsidRPr="00B156D8">
        <w:t>impact on the environment</w:t>
      </w:r>
      <w:r w:rsidR="00FB24EA">
        <w:t>. In this stage, soil tests and environmental analysis will be conducted</w:t>
      </w:r>
      <w:r w:rsidR="00D679A2" w:rsidRPr="00D679A2">
        <w:t xml:space="preserve"> (Gilmore et al., 2020)</w:t>
      </w:r>
      <w:r w:rsidR="00FB24EA">
        <w:t>.</w:t>
      </w:r>
    </w:p>
    <w:p w14:paraId="50CF831F" w14:textId="38753A80" w:rsidR="00FB24EA" w:rsidRDefault="005C4085" w:rsidP="00FB24EA">
      <w:r>
        <w:rPr>
          <w:b/>
          <w:bCs/>
        </w:rPr>
        <w:t xml:space="preserve">3. </w:t>
      </w:r>
      <w:r w:rsidR="00FB24EA" w:rsidRPr="00FB24EA">
        <w:rPr>
          <w:b/>
          <w:bCs/>
        </w:rPr>
        <w:t>Design Drafting:</w:t>
      </w:r>
      <w:r w:rsidR="00FB24EA">
        <w:t xml:space="preserve"> Everyone with professional skills will prepare elaborate and detailed working drawings and specifications. Some recommendations that will be incorporated into these plans include the provision of rainwater harvesting tanks and composting pits.</w:t>
      </w:r>
    </w:p>
    <w:p w14:paraId="43E60C23" w14:textId="13E7F629" w:rsidR="00FB24EA" w:rsidRDefault="005C4085" w:rsidP="00FB24EA">
      <w:r>
        <w:rPr>
          <w:b/>
          <w:bCs/>
        </w:rPr>
        <w:t xml:space="preserve">4. </w:t>
      </w:r>
      <w:r w:rsidR="00FB24EA" w:rsidRPr="00FB24EA">
        <w:rPr>
          <w:b/>
          <w:bCs/>
        </w:rPr>
        <w:t>Review and Feedback:</w:t>
      </w:r>
      <w:r w:rsidR="00FB24EA">
        <w:t xml:space="preserve"> Some of the draft designs will be made available to the stakeholders. Namely, the plans will be changed if needed, and the ideas and recommendations of the communities will be gathered during the meetings and via the Internet.</w:t>
      </w:r>
    </w:p>
    <w:p w14:paraId="6B6C6651" w14:textId="2766DD20" w:rsidR="00FB24EA" w:rsidRDefault="005C4085" w:rsidP="00FB24EA">
      <w:r>
        <w:rPr>
          <w:b/>
          <w:bCs/>
        </w:rPr>
        <w:t xml:space="preserve">5. </w:t>
      </w:r>
      <w:r w:rsidR="00FB24EA" w:rsidRPr="00FB24EA">
        <w:rPr>
          <w:b/>
          <w:bCs/>
        </w:rPr>
        <w:t>Final Design:</w:t>
      </w:r>
      <w:r w:rsidR="00FB24EA">
        <w:t xml:space="preserve"> </w:t>
      </w:r>
      <w:r w:rsidR="00A37383">
        <w:t>Considering</w:t>
      </w:r>
      <w:r w:rsidR="00FB24EA">
        <w:t xml:space="preserve"> the feedback, the final design will be developed to be implemented</w:t>
      </w:r>
      <w:r w:rsidR="001316B0" w:rsidRPr="001316B0">
        <w:t xml:space="preserve"> (Holzer</w:t>
      </w:r>
      <w:r w:rsidR="001316B0">
        <w:t xml:space="preserve"> et al.</w:t>
      </w:r>
      <w:r w:rsidR="001316B0" w:rsidRPr="001316B0">
        <w:t>, Ellis and Merritt, 2014)</w:t>
      </w:r>
      <w:r w:rsidR="00FB24EA">
        <w:t>.</w:t>
      </w:r>
    </w:p>
    <w:p w14:paraId="769F1A55" w14:textId="77777777" w:rsidR="005C4085" w:rsidRDefault="00FB24EA" w:rsidP="00FB24EA">
      <w:r w:rsidRPr="00FB24EA">
        <w:rPr>
          <w:b/>
          <w:bCs/>
        </w:rPr>
        <w:t>Methods for Assessing and Addressing Community Needs</w:t>
      </w:r>
      <w:r>
        <w:t xml:space="preserve"> </w:t>
      </w:r>
    </w:p>
    <w:p w14:paraId="23B84F24" w14:textId="6781B8E5" w:rsidR="00FB24EA" w:rsidRDefault="00FB24EA" w:rsidP="00FB24EA">
      <w:r>
        <w:t>The needs of the community are to be assessed frequently through questionnaires, interviews, and consultations. This makes it possible for the garden to remain relevant and relevant. Also, needs assessment will include preferences for the types of plants, their characteristics, and educational activities. To meet these needs, it will be necessary to implement the input from the community into the design and operations of the garden.</w:t>
      </w:r>
    </w:p>
    <w:p w14:paraId="3424C085" w14:textId="29FAAFA2" w:rsidR="00FB24EA" w:rsidRPr="00FB24EA" w:rsidRDefault="00FB24EA" w:rsidP="00FB24EA">
      <w:pPr>
        <w:rPr>
          <w:b/>
          <w:bCs/>
        </w:rPr>
      </w:pPr>
      <w:r w:rsidRPr="00FB24EA">
        <w:rPr>
          <w:b/>
          <w:bCs/>
        </w:rPr>
        <w:t>Stakeholder Engagement</w:t>
      </w:r>
    </w:p>
    <w:p w14:paraId="24800CA3" w14:textId="39038581" w:rsidR="00FB24EA" w:rsidRDefault="00FB24EA" w:rsidP="00FB24EA">
      <w:r>
        <w:lastRenderedPageBreak/>
        <w:t>From this stage, stakeholders identified during the analysis stage will participate in the project. This includes the people of the area, the community, the schools, and even the government</w:t>
      </w:r>
      <w:r w:rsidR="001316B0" w:rsidRPr="001316B0">
        <w:t xml:space="preserve"> (Jiang</w:t>
      </w:r>
      <w:r w:rsidR="001316B0">
        <w:t xml:space="preserve"> et al.</w:t>
      </w:r>
      <w:r w:rsidR="001316B0" w:rsidRPr="001316B0">
        <w:t>, Chiu and Chan, 2023)</w:t>
      </w:r>
      <w:r>
        <w:t>. Its role is to ensure that numerous functions are met and that many people are behind the creation of the garden.</w:t>
      </w:r>
    </w:p>
    <w:p w14:paraId="0D840003" w14:textId="42C8FB42" w:rsidR="00FB24EA" w:rsidRDefault="005C4085" w:rsidP="00FB24EA">
      <w:r>
        <w:rPr>
          <w:b/>
          <w:bCs/>
        </w:rPr>
        <w:t xml:space="preserve">1. </w:t>
      </w:r>
      <w:r w:rsidR="00FB24EA" w:rsidRPr="00FB24EA">
        <w:rPr>
          <w:b/>
          <w:bCs/>
        </w:rPr>
        <w:t>Regular Communication:</w:t>
      </w:r>
      <w:r w:rsidR="00FB24EA">
        <w:t xml:space="preserve"> One can use newsletters, social media updates, and community meetings to create awareness and trust among the stakeholders.</w:t>
      </w:r>
    </w:p>
    <w:p w14:paraId="64932519" w14:textId="15107AE7" w:rsidR="00FB24EA" w:rsidRDefault="005C4085" w:rsidP="00FB24EA">
      <w:r>
        <w:rPr>
          <w:b/>
          <w:bCs/>
        </w:rPr>
        <w:t xml:space="preserve">2. </w:t>
      </w:r>
      <w:r w:rsidR="00FB24EA" w:rsidRPr="00FB24EA">
        <w:rPr>
          <w:b/>
          <w:bCs/>
        </w:rPr>
        <w:t>Inclusive Decision-Making:</w:t>
      </w:r>
      <w:r w:rsidR="00FB24EA">
        <w:t xml:space="preserve"> When stakeholders are involved in significant decisions such as design and operation decisions, it is evident that they are considered.</w:t>
      </w:r>
    </w:p>
    <w:p w14:paraId="7C031E00" w14:textId="3DD6DB57" w:rsidR="00FB24EA" w:rsidRDefault="005C4085" w:rsidP="00FB24EA">
      <w:r>
        <w:rPr>
          <w:b/>
          <w:bCs/>
        </w:rPr>
        <w:t xml:space="preserve">3. </w:t>
      </w:r>
      <w:r w:rsidR="00FB24EA" w:rsidRPr="00FB24EA">
        <w:rPr>
          <w:b/>
          <w:bCs/>
        </w:rPr>
        <w:t>Volunteer Opportunities:</w:t>
      </w:r>
      <w:r w:rsidR="00FB24EA">
        <w:t xml:space="preserve"> This means that there should be provision of more opportunities through which the stakeholders should volunteer in this aspect of garden development and management</w:t>
      </w:r>
      <w:r w:rsidR="00FF038D" w:rsidRPr="00FF038D">
        <w:t xml:space="preserve"> (Jones and Lee, 2017)</w:t>
      </w:r>
      <w:r w:rsidR="00FB24EA">
        <w:t>.</w:t>
      </w:r>
    </w:p>
    <w:p w14:paraId="1EA2D1C0" w14:textId="3B9A41D5" w:rsidR="00FB24EA" w:rsidRDefault="005C4085" w:rsidP="00FB24EA">
      <w:r>
        <w:rPr>
          <w:b/>
          <w:bCs/>
        </w:rPr>
        <w:t xml:space="preserve">4. </w:t>
      </w:r>
      <w:r w:rsidR="00FB24EA" w:rsidRPr="00FB24EA">
        <w:rPr>
          <w:b/>
          <w:bCs/>
        </w:rPr>
        <w:t>Events and Workshops:</w:t>
      </w:r>
      <w:r w:rsidR="00FB24EA">
        <w:t xml:space="preserve"> Experience days, events, and workshops in the garden will provide real-life experience and social inclusion.</w:t>
      </w:r>
    </w:p>
    <w:p w14:paraId="51EDF582" w14:textId="6ED0FEB4" w:rsidR="005C4085" w:rsidRDefault="005C4085" w:rsidP="005C4085">
      <w:pPr>
        <w:pStyle w:val="Heading1"/>
      </w:pPr>
      <w:bookmarkStart w:id="3" w:name="_Toc167650983"/>
      <w:r>
        <w:t>Standards</w:t>
      </w:r>
      <w:bookmarkEnd w:id="3"/>
    </w:p>
    <w:p w14:paraId="7F40BB18" w14:textId="0455FF89" w:rsidR="005C4085" w:rsidRDefault="005C4085" w:rsidP="005C4085">
      <w:r>
        <w:t>Compliance with these standards is the key to successful implementation and sustainability of the community garden project. These standards help the project to run legally, ethically, and efficiently for the benefit of the community and stakeholders.</w:t>
      </w:r>
    </w:p>
    <w:p w14:paraId="731D1D3A" w14:textId="77777777" w:rsidR="005C4085" w:rsidRDefault="005C4085" w:rsidP="005C4085">
      <w:pPr>
        <w:rPr>
          <w:b/>
          <w:bCs/>
        </w:rPr>
      </w:pPr>
      <w:r w:rsidRPr="005C4085">
        <w:rPr>
          <w:b/>
          <w:bCs/>
        </w:rPr>
        <w:t>Applicable Standards</w:t>
      </w:r>
    </w:p>
    <w:p w14:paraId="65E7F45F" w14:textId="3032D33A" w:rsidR="005C4085" w:rsidRPr="005C4085" w:rsidRDefault="005C4085" w:rsidP="005C4085">
      <w:pPr>
        <w:rPr>
          <w:b/>
          <w:bCs/>
        </w:rPr>
      </w:pPr>
      <w:r>
        <w:t xml:space="preserve">The following ethical standards, local regulations, and best practice guidelines will guide the implementation of the community garden project. Ethical considerations involve the protection of the rights and dignity of all individuals engaged in the project and fairness in the undertaking of the project. </w:t>
      </w:r>
      <w:r w:rsidR="00B17B3C" w:rsidRPr="00B17B3C">
        <w:t>Local restrictions are the zoning laws, health/safety codes, and environmental protection codes (MacQueen et al., 2015). Both the American Community Gardening Association and local agricultural extension services also provide information on how to structure the projects to address such factors as sustainability and membership.</w:t>
      </w:r>
    </w:p>
    <w:p w14:paraId="2E7FA820" w14:textId="77777777" w:rsidR="005C4085" w:rsidRDefault="005C4085" w:rsidP="005C4085">
      <w:pPr>
        <w:rPr>
          <w:b/>
          <w:bCs/>
        </w:rPr>
      </w:pPr>
      <w:r w:rsidRPr="005C4085">
        <w:rPr>
          <w:b/>
          <w:bCs/>
        </w:rPr>
        <w:t>Standard Suitability and Communication</w:t>
      </w:r>
    </w:p>
    <w:p w14:paraId="10228B0A" w14:textId="044AE70D" w:rsidR="00DB7A42" w:rsidRDefault="00DB7A42" w:rsidP="005C4085">
      <w:r w:rsidRPr="00DB7A42">
        <w:lastRenderedPageBreak/>
        <w:t xml:space="preserve">The significance of these standards to the project cannot be overemphasized. </w:t>
      </w:r>
      <w:r w:rsidR="00E819DE">
        <w:t>Ethical</w:t>
      </w:r>
      <w:r w:rsidRPr="00DB7A42">
        <w:t xml:space="preserve"> considerations are vital for building harmonious relations with the community and for preventing participants from being offended. Legalization is needed for the garden to be legal and to not encounter legal issues that may harm the project. Various measures are put in place to ensure that garden maintenance is sustainable both in the natural and organizational </w:t>
      </w:r>
      <w:r w:rsidR="00E819DE">
        <w:t>settings</w:t>
      </w:r>
      <w:r w:rsidRPr="00DB7A42">
        <w:t xml:space="preserve">. They also need to ensure that these standards are communicated well to the right people, </w:t>
      </w:r>
      <w:r w:rsidR="00E819DE">
        <w:t>to</w:t>
      </w:r>
      <w:r w:rsidRPr="00DB7A42">
        <w:t xml:space="preserve"> keep the company open and in compliance. Communication helps many stakeholders be informed </w:t>
      </w:r>
      <w:r w:rsidR="00E819DE">
        <w:t>about</w:t>
      </w:r>
      <w:r w:rsidRPr="00DB7A42">
        <w:t xml:space="preserve"> the importance of these standards and their roles in ensuring compliance (Marston et al., Renedo and Miles, 2020).</w:t>
      </w:r>
    </w:p>
    <w:p w14:paraId="23917C8A" w14:textId="3D1CACEB" w:rsidR="005C4085" w:rsidRPr="005C4085" w:rsidRDefault="005C4085" w:rsidP="005C4085">
      <w:pPr>
        <w:rPr>
          <w:b/>
          <w:bCs/>
        </w:rPr>
      </w:pPr>
      <w:r w:rsidRPr="005C4085">
        <w:rPr>
          <w:b/>
          <w:bCs/>
        </w:rPr>
        <w:t>Methods of Communicating Standards</w:t>
      </w:r>
    </w:p>
    <w:p w14:paraId="52D9682A" w14:textId="7C649A26" w:rsidR="005C4085" w:rsidRDefault="005C4085" w:rsidP="005C4085">
      <w:r w:rsidRPr="005C4085">
        <w:rPr>
          <w:b/>
          <w:bCs/>
        </w:rPr>
        <w:t>1. Documentation:</w:t>
      </w:r>
      <w:r>
        <w:t xml:space="preserve"> </w:t>
      </w:r>
      <w:r w:rsidR="00260482" w:rsidRPr="00260482">
        <w:t xml:space="preserve">The standards together with </w:t>
      </w:r>
      <w:r w:rsidR="00E762C5">
        <w:t>their</w:t>
      </w:r>
      <w:r w:rsidR="00260482" w:rsidRPr="00260482">
        <w:t xml:space="preserve"> relevance to the project will be made available to all the stakeholders. These documents shall include </w:t>
      </w:r>
      <w:r w:rsidR="00E762C5">
        <w:t xml:space="preserve">a </w:t>
      </w:r>
      <w:r w:rsidR="00260482" w:rsidRPr="00260482">
        <w:t>code of conduct, safety measures, and environmental policies among others</w:t>
      </w:r>
      <w:r>
        <w:t>.</w:t>
      </w:r>
    </w:p>
    <w:p w14:paraId="6DB5F87F" w14:textId="63F98ECA" w:rsidR="005C4085" w:rsidRDefault="005C4085" w:rsidP="005C4085">
      <w:r w:rsidRPr="005C4085">
        <w:rPr>
          <w:b/>
          <w:bCs/>
        </w:rPr>
        <w:t>2. Meetings and Workshops:</w:t>
      </w:r>
      <w:r>
        <w:t xml:space="preserve"> </w:t>
      </w:r>
      <w:r w:rsidR="00B209D1" w:rsidRPr="00B209D1">
        <w:t>The goal of providing standards will be accomplished through planned meetings and workshops to be held periodically (Moore et al., 2016). By doing so within these sessions, it will be possible to practically address the particular norms provide answers</w:t>
      </w:r>
      <w:r w:rsidR="00E762C5">
        <w:t>,</w:t>
      </w:r>
      <w:r w:rsidR="00B209D1" w:rsidRPr="00B209D1">
        <w:t xml:space="preserve"> and explain any concerns </w:t>
      </w:r>
      <w:r w:rsidR="00E762C5">
        <w:t>about</w:t>
      </w:r>
      <w:r w:rsidR="00B209D1" w:rsidRPr="00B209D1">
        <w:t xml:space="preserve"> these standards.</w:t>
      </w:r>
    </w:p>
    <w:p w14:paraId="367DAE0D" w14:textId="119880EE" w:rsidR="005C4085" w:rsidRDefault="005C4085" w:rsidP="005C4085">
      <w:r w:rsidRPr="005C4085">
        <w:rPr>
          <w:b/>
          <w:bCs/>
        </w:rPr>
        <w:t>3. Online Platforms:</w:t>
      </w:r>
      <w:r>
        <w:t xml:space="preserve"> </w:t>
      </w:r>
      <w:r w:rsidR="006E23A3" w:rsidRPr="006E23A3">
        <w:t>Project information about the standards will be posted on the website of the project and its social media pages. These can also facilitate access to the documents and updates on compliance and best practices.</w:t>
      </w:r>
    </w:p>
    <w:p w14:paraId="75867F8E" w14:textId="72DE2DEB" w:rsidR="004C27BE" w:rsidRDefault="005C4085" w:rsidP="005C4085">
      <w:pPr>
        <w:rPr>
          <w:b/>
          <w:bCs/>
        </w:rPr>
      </w:pPr>
      <w:r w:rsidRPr="005C4085">
        <w:rPr>
          <w:b/>
          <w:bCs/>
        </w:rPr>
        <w:t>Tools for Communication</w:t>
      </w:r>
    </w:p>
    <w:p w14:paraId="6142DA47" w14:textId="6C2CB698" w:rsidR="005C4085" w:rsidRPr="004C27BE" w:rsidRDefault="005C4085" w:rsidP="005C4085">
      <w:pPr>
        <w:rPr>
          <w:b/>
          <w:bCs/>
        </w:rPr>
      </w:pPr>
      <w:r w:rsidRPr="005C4085">
        <w:rPr>
          <w:b/>
          <w:bCs/>
        </w:rPr>
        <w:t>1. Compliance Software:</w:t>
      </w:r>
      <w:r>
        <w:t xml:space="preserve"> </w:t>
      </w:r>
      <w:r w:rsidR="00783C8D" w:rsidRPr="00783C8D">
        <w:t xml:space="preserve">Compliance software can also be useful in monitoring compliance with local laws and standards (Nusair et al., 2024). This software is useful in tracking compliance work, case </w:t>
      </w:r>
      <w:r w:rsidR="00E762C5">
        <w:t>reviews</w:t>
      </w:r>
      <w:r w:rsidR="00783C8D" w:rsidRPr="00783C8D">
        <w:t xml:space="preserve"> in areas of non-compliance, and regulatory compliance date </w:t>
      </w:r>
      <w:r w:rsidR="00E762C5">
        <w:t>reminders</w:t>
      </w:r>
      <w:r w:rsidR="00783C8D" w:rsidRPr="00783C8D">
        <w:t>.</w:t>
      </w:r>
    </w:p>
    <w:p w14:paraId="571D7944" w14:textId="00A3C30E" w:rsidR="005C4085" w:rsidRDefault="005C4085" w:rsidP="005C4085">
      <w:r w:rsidRPr="005C4085">
        <w:rPr>
          <w:b/>
          <w:bCs/>
        </w:rPr>
        <w:t>2. Training Sessions:</w:t>
      </w:r>
      <w:r>
        <w:t xml:space="preserve"> </w:t>
      </w:r>
      <w:r w:rsidR="000E5237" w:rsidRPr="000E5237">
        <w:t xml:space="preserve">There are safety measures, ethical conduct, and environmentally friendly gardening instruction </w:t>
      </w:r>
      <w:r w:rsidR="00E762C5">
        <w:t>for</w:t>
      </w:r>
      <w:r w:rsidR="000E5237" w:rsidRPr="000E5237">
        <w:t xml:space="preserve"> the volunteers and participants</w:t>
      </w:r>
      <w:r>
        <w:t>. These sessions will help members to have a better understanding of the standards and their implementation.</w:t>
      </w:r>
    </w:p>
    <w:p w14:paraId="5C543B04" w14:textId="08BC51F3" w:rsidR="005C4085" w:rsidRDefault="005C4085" w:rsidP="005C4085">
      <w:r w:rsidRPr="005C4085">
        <w:rPr>
          <w:b/>
          <w:bCs/>
        </w:rPr>
        <w:lastRenderedPageBreak/>
        <w:t>3. Feedback Mechanisms:</w:t>
      </w:r>
      <w:r>
        <w:t xml:space="preserve"> It will be necessary to introduce feedback channels, including suggestion boxes and Web-based questionnaires so that the stakeholders would be able to express their concerns and recommendations about the standards</w:t>
      </w:r>
      <w:r w:rsidR="007E043F" w:rsidRPr="007E043F">
        <w:t xml:space="preserve"> (O’Mara-Eves et al., 2015)</w:t>
      </w:r>
      <w:r>
        <w:t xml:space="preserve">. </w:t>
      </w:r>
    </w:p>
    <w:p w14:paraId="39657569" w14:textId="67720CC4" w:rsidR="005C4085" w:rsidRDefault="00A37383" w:rsidP="00A37383">
      <w:pPr>
        <w:pStyle w:val="Heading1"/>
      </w:pPr>
      <w:bookmarkStart w:id="4" w:name="_Toc167650984"/>
      <w:r w:rsidRPr="00A37383">
        <w:t>Evaluation and Impact</w:t>
      </w:r>
      <w:bookmarkEnd w:id="4"/>
    </w:p>
    <w:p w14:paraId="3F0AC664" w14:textId="46E81223" w:rsidR="00A37383" w:rsidRPr="00A37383" w:rsidRDefault="00A37383" w:rsidP="00A37383">
      <w:pPr>
        <w:rPr>
          <w:b/>
          <w:bCs/>
        </w:rPr>
      </w:pPr>
      <w:r w:rsidRPr="00A37383">
        <w:rPr>
          <w:b/>
          <w:bCs/>
        </w:rPr>
        <w:t>Evaluation Methods</w:t>
      </w:r>
    </w:p>
    <w:p w14:paraId="1320BF14" w14:textId="518359D8" w:rsidR="00A37383" w:rsidRDefault="00A37383" w:rsidP="00A37383">
      <w:r>
        <w:t>In assessing the level of effectiveness of the community garden project, it is important to use both quantitative and qualitative approaches. Some quantitative techniques are personal and group questionnaires and feedback forms administered to the participants and other members of the community to get their firsthand account and perception of the study questions. In-depth information that involves the use of volunteers, residents of the community, and leaders will be gathered through interviews and focus group discussions that will allow personal narratives that capture the essence and the impact of the project</w:t>
      </w:r>
      <w:r w:rsidR="007E043F" w:rsidRPr="007E043F">
        <w:t xml:space="preserve"> (Taffere et al., 2024)</w:t>
      </w:r>
      <w:r>
        <w:t>.</w:t>
      </w:r>
    </w:p>
    <w:p w14:paraId="7912D3E5" w14:textId="3CE9B468" w:rsidR="00A37383" w:rsidRDefault="00A37383" w:rsidP="00A37383">
      <w:r>
        <w:t>Quantitative approaches therefore entail evaluating factors such as the enrollment of individuals, the production rates for crops, and the occurrence of gardening and related functions and programs. Sign-in sheets will be used to monitor the level of engagement in the community by tracking the participation in the workshops, meetings as well as garden activities. Environmental indicators will be required to evaluate increases in local biological diversity, ground conditions, and water consumption via routine environmental audits</w:t>
      </w:r>
      <w:r w:rsidR="00C41D3E" w:rsidRPr="00C41D3E">
        <w:t xml:space="preserve"> (Talò, 2018)</w:t>
      </w:r>
      <w:r>
        <w:t>.</w:t>
      </w:r>
    </w:p>
    <w:p w14:paraId="6528BDB1" w14:textId="36DDEE6F" w:rsidR="00A37383" w:rsidRPr="00A37383" w:rsidRDefault="00A37383" w:rsidP="00A37383">
      <w:pPr>
        <w:rPr>
          <w:b/>
          <w:bCs/>
        </w:rPr>
      </w:pPr>
      <w:r w:rsidRPr="00A37383">
        <w:rPr>
          <w:b/>
          <w:bCs/>
        </w:rPr>
        <w:t>Impact Assessment</w:t>
      </w:r>
    </w:p>
    <w:p w14:paraId="59751E94" w14:textId="5A27E32A" w:rsidR="00A37383" w:rsidRDefault="00A37383" w:rsidP="00A37383">
      <w:r>
        <w:t>Undoubtedly, the anticipated outcome of the community garden on the entire community entails social, environmental, and economic advantages. In the social aspect, it proposes to encourage togetherness in the community, act as a teaching aid, and encouragement towards healthier living. In the environmental aspect, it aims to enhance the local flora and fauna, the quality of the soil, and the overall involvement of sustainable systems</w:t>
      </w:r>
      <w:r w:rsidR="00023A03" w:rsidRPr="00023A03">
        <w:t xml:space="preserve"> (Tan et al., 2022)</w:t>
      </w:r>
      <w:r>
        <w:t xml:space="preserve">. </w:t>
      </w:r>
      <w:r w:rsidR="00C41D3E">
        <w:t>Regarding</w:t>
      </w:r>
      <w:r>
        <w:t xml:space="preserve"> the economy, the garden can help participants save money on food as well as make money through selling the produced food.</w:t>
      </w:r>
    </w:p>
    <w:p w14:paraId="4107B936" w14:textId="30E6AA50" w:rsidR="00A37383" w:rsidRDefault="00A37383" w:rsidP="00A37383">
      <w:r>
        <w:lastRenderedPageBreak/>
        <w:t>To measure such effects, the participants will be required to complete community surveys regularly to establish their views on the utility of the garden, or their levels of social engagement and general health. The environmental assessment will be left in the hands of local environmental organizations or university bodies which will assess changes in the soil's nutrient content, species richness, and water-saving measures. Economic rationality will consider the financial profitability of participation in terms of a reduction in the costs of purchasing food and any possible earnings from the sale of excess agricultural products</w:t>
      </w:r>
      <w:r w:rsidR="00023A03" w:rsidRPr="00023A03">
        <w:t xml:space="preserve"> (Aguilar-Gaxiola et al., 2022)</w:t>
      </w:r>
      <w:r>
        <w:t>.</w:t>
      </w:r>
    </w:p>
    <w:p w14:paraId="586159F3" w14:textId="4C379310" w:rsidR="00A37383" w:rsidRPr="00A37383" w:rsidRDefault="00A37383" w:rsidP="00A37383">
      <w:pPr>
        <w:rPr>
          <w:b/>
          <w:bCs/>
        </w:rPr>
      </w:pPr>
      <w:r w:rsidRPr="00A37383">
        <w:rPr>
          <w:b/>
          <w:bCs/>
        </w:rPr>
        <w:t>Communication of Results</w:t>
      </w:r>
    </w:p>
    <w:p w14:paraId="772FDA30" w14:textId="54613905" w:rsidR="00A37383" w:rsidRDefault="00A37383" w:rsidP="00A37383">
      <w:r>
        <w:t>To maintain this accountability, as well as the support of stakeholders, it’s crucial to effectively communicate the findings, and their overall impact. Survey and interview results, comparable with key performance indicators, will be presented in detailed reports</w:t>
      </w:r>
      <w:r w:rsidR="00023A03">
        <w:t>. The</w:t>
      </w:r>
      <w:r>
        <w:t xml:space="preserve"> findings will be disseminated with the use of community meetings, printed materials, and electronic copies. The newly launched social media pages and newsletters will help share the news with the community, such as success stories, data from the project, and upcoming events</w:t>
      </w:r>
      <w:r w:rsidR="006A2DC3" w:rsidRPr="006A2DC3">
        <w:t xml:space="preserve"> (Anthony Jr, 2023)</w:t>
      </w:r>
      <w:r>
        <w:t xml:space="preserve">. This </w:t>
      </w:r>
      <w:r w:rsidR="00023A03">
        <w:t>opens</w:t>
      </w:r>
      <w:r>
        <w:t xml:space="preserve"> the possibility of hosting public events like open days and workshops, where the actual work of the project team may be </w:t>
      </w:r>
      <w:r w:rsidR="00023A03">
        <w:t>demonstrated,</w:t>
      </w:r>
      <w:r>
        <w:t xml:space="preserve"> and the members of the community may gain a direct experience of the benefits that the project can offer.</w:t>
      </w:r>
    </w:p>
    <w:p w14:paraId="102F7C32" w14:textId="77777777" w:rsidR="00C90DA6" w:rsidRDefault="00C90DA6" w:rsidP="00A37383">
      <w:pPr>
        <w:pStyle w:val="Heading1"/>
      </w:pPr>
    </w:p>
    <w:p w14:paraId="1566712D" w14:textId="11A8B4DF" w:rsidR="00A37383" w:rsidRDefault="00A37383" w:rsidP="00A37383">
      <w:pPr>
        <w:pStyle w:val="Heading1"/>
      </w:pPr>
      <w:bookmarkStart w:id="5" w:name="_Toc167650985"/>
      <w:r w:rsidRPr="00A37383">
        <w:t>Links to Personal Skills</w:t>
      </w:r>
      <w:bookmarkEnd w:id="5"/>
    </w:p>
    <w:p w14:paraId="190AD546" w14:textId="77777777" w:rsidR="00A37383" w:rsidRDefault="00A37383" w:rsidP="00A37383">
      <w:pPr>
        <w:rPr>
          <w:b/>
          <w:bCs/>
        </w:rPr>
      </w:pPr>
      <w:r w:rsidRPr="00A37383">
        <w:rPr>
          <w:b/>
          <w:bCs/>
        </w:rPr>
        <w:t>Skills Outline</w:t>
      </w:r>
    </w:p>
    <w:p w14:paraId="63B442E7" w14:textId="53FA074A" w:rsidR="00A37383" w:rsidRPr="00A37383" w:rsidRDefault="00A37383" w:rsidP="00A37383">
      <w:pPr>
        <w:rPr>
          <w:b/>
          <w:bCs/>
        </w:rPr>
      </w:pPr>
      <w:r>
        <w:t>Based on the information recorded in my CPD log, it is apparent that transferable skills including project management, communication, and problem-solving will be highly beneficial to the community garden project. They are useful in ensuring proper planning, implementation</w:t>
      </w:r>
      <w:r w:rsidR="00E916EC">
        <w:t>,</w:t>
      </w:r>
      <w:r>
        <w:t xml:space="preserve"> and sustainability of the project</w:t>
      </w:r>
      <w:r w:rsidR="006A2DC3" w:rsidRPr="006A2DC3">
        <w:t xml:space="preserve"> (Barnes and Schmitz, 2016)</w:t>
      </w:r>
      <w:r>
        <w:t xml:space="preserve">. Proper coordination and monitoring of the various stages of project implementation will enable me </w:t>
      </w:r>
      <w:r w:rsidR="00E916EC">
        <w:t xml:space="preserve">to </w:t>
      </w:r>
      <w:r>
        <w:t xml:space="preserve">plan and execute the project in a timely and efficient manner. Communication skills are essential in stakeholder management, </w:t>
      </w:r>
      <w:r>
        <w:lastRenderedPageBreak/>
        <w:t>meeting management, and information sharing. Project management skills will help in handling any challenges that may arise during the project.</w:t>
      </w:r>
    </w:p>
    <w:p w14:paraId="25BAE9F7" w14:textId="455A0F91" w:rsidR="00A37383" w:rsidRPr="00A37383" w:rsidRDefault="00A37383" w:rsidP="00A37383">
      <w:pPr>
        <w:rPr>
          <w:b/>
          <w:bCs/>
        </w:rPr>
      </w:pPr>
      <w:r w:rsidRPr="00A37383">
        <w:rPr>
          <w:b/>
          <w:bCs/>
        </w:rPr>
        <w:t>Application of Skills</w:t>
      </w:r>
    </w:p>
    <w:p w14:paraId="549AF1D4" w14:textId="27FF0794" w:rsidR="00A37383" w:rsidRDefault="00A37383" w:rsidP="00A37383">
      <w:r>
        <w:t xml:space="preserve">Different facets of the community garden project will entail effective management and hence the need for project management competencies. They include aspects such as how they are to allocate the resources and how they are to complete the set work within given </w:t>
      </w:r>
      <w:r w:rsidR="00E916EC">
        <w:t>periods</w:t>
      </w:r>
      <w:r w:rsidR="0069758E" w:rsidRPr="0069758E">
        <w:t xml:space="preserve"> (Benneworth, 2018)</w:t>
      </w:r>
      <w:r>
        <w:t xml:space="preserve">. </w:t>
      </w:r>
      <w:r w:rsidR="00E916EC">
        <w:t>Because</w:t>
      </w:r>
      <w:r>
        <w:t xml:space="preserve"> I have adequate experience in detailed planning, tracking, and </w:t>
      </w:r>
      <w:r w:rsidR="00E916EC">
        <w:t>follow-through</w:t>
      </w:r>
      <w:r>
        <w:t>, the project should be right on schedule. Risk analysis and control will also be a part of good project management as it will assist in the identification of potential risks and how they will be handled.</w:t>
      </w:r>
    </w:p>
    <w:p w14:paraId="43650C05" w14:textId="46895EAE" w:rsidR="00A37383" w:rsidRDefault="00A37383" w:rsidP="00A37383">
      <w:r>
        <w:t>These skills shall assist me in addressing any challenge that would arise during the project. This includes issues like resource distribution, volunteer management, and the environment. In this regard, creativity and critical analysis will enable me to formulate tangible strategies to sustain the advancement of the project</w:t>
      </w:r>
      <w:r w:rsidR="0069758E" w:rsidRPr="0069758E">
        <w:t xml:space="preserve"> (Bracic, 2018)</w:t>
      </w:r>
      <w:r>
        <w:t xml:space="preserve">. This flexibility will help in addressing some of the challenges and ensure that </w:t>
      </w:r>
      <w:r w:rsidR="00E916EC">
        <w:t xml:space="preserve">the </w:t>
      </w:r>
      <w:r>
        <w:t>sustainability of the project is achieved.</w:t>
      </w:r>
    </w:p>
    <w:p w14:paraId="6CF91473" w14:textId="6C0D64CF" w:rsidR="00A37383" w:rsidRPr="00A37383" w:rsidRDefault="00A37383" w:rsidP="00A37383">
      <w:pPr>
        <w:rPr>
          <w:b/>
          <w:bCs/>
        </w:rPr>
      </w:pPr>
      <w:r w:rsidRPr="00A37383">
        <w:rPr>
          <w:b/>
          <w:bCs/>
        </w:rPr>
        <w:t>Future Applications</w:t>
      </w:r>
    </w:p>
    <w:p w14:paraId="46233863" w14:textId="37474C83" w:rsidR="00A37383" w:rsidRDefault="00A37383" w:rsidP="00A37383">
      <w:r>
        <w:t xml:space="preserve">From the experience of implementing the community garden project the knowledge and </w:t>
      </w:r>
      <w:r w:rsidR="00E916EC">
        <w:t>exposure</w:t>
      </w:r>
      <w:r>
        <w:t xml:space="preserve"> will be useful in any other related community project. The project will help students develop managerial, communicative, and problem-solving skills in an environment as close to </w:t>
      </w:r>
      <w:r w:rsidR="00E916EC">
        <w:t>real life</w:t>
      </w:r>
      <w:r>
        <w:t xml:space="preserve"> as possible. Most of these skills are transferable skills </w:t>
      </w:r>
      <w:r w:rsidR="00E916EC">
        <w:t>that</w:t>
      </w:r>
      <w:r>
        <w:t xml:space="preserve"> will enable me in </w:t>
      </w:r>
      <w:r w:rsidR="00E916EC">
        <w:t xml:space="preserve">the </w:t>
      </w:r>
      <w:r>
        <w:t>future to lead other similar processes</w:t>
      </w:r>
      <w:r w:rsidR="00DD7C74" w:rsidRPr="00DD7C74">
        <w:t xml:space="preserve"> (Brunton et al., 2017)</w:t>
      </w:r>
      <w:r>
        <w:t xml:space="preserve">. In addition to that, the relationships and this connection developed while working on this project will provide a foundation for future projects. It will also give me a chance to reflect and analyze best practices and gaps to enhance myself and contribute meaningfully </w:t>
      </w:r>
      <w:r w:rsidR="00E916EC">
        <w:t>to</w:t>
      </w:r>
      <w:r>
        <w:t xml:space="preserve"> community engagement initiatives.</w:t>
      </w:r>
    </w:p>
    <w:p w14:paraId="53C5E910" w14:textId="5AD92731" w:rsidR="00E916EC" w:rsidRDefault="00E916EC">
      <w:pPr>
        <w:spacing w:before="0" w:after="160" w:line="259" w:lineRule="auto"/>
        <w:jc w:val="left"/>
        <w:rPr>
          <w:rFonts w:eastAsiaTheme="majorEastAsia" w:cstheme="majorBidi"/>
          <w:b/>
          <w:sz w:val="32"/>
          <w:szCs w:val="32"/>
        </w:rPr>
      </w:pPr>
      <w:r>
        <w:br w:type="page"/>
      </w:r>
    </w:p>
    <w:p w14:paraId="57C179DC" w14:textId="19EC8B02" w:rsidR="00A37383" w:rsidRDefault="00E916EC" w:rsidP="00E916EC">
      <w:pPr>
        <w:pStyle w:val="Heading1"/>
      </w:pPr>
      <w:bookmarkStart w:id="6" w:name="_Toc167650986"/>
      <w:r>
        <w:lastRenderedPageBreak/>
        <w:t>Conclusion</w:t>
      </w:r>
      <w:bookmarkEnd w:id="6"/>
    </w:p>
    <w:p w14:paraId="121C9D6C" w14:textId="0DB9876E" w:rsidR="00EA4D49" w:rsidRDefault="00E916EC" w:rsidP="00E916EC">
      <w:r>
        <w:t>Key aspects of the community garden project have been highlighted in this report in terms of the community engagement process, planning and designing of the project, standards to be followed, and assessment techniques. The intention is to deliver a local, long-term development solution that is socially, ecologically, and economically beneficial</w:t>
      </w:r>
      <w:r w:rsidR="00DD7C74" w:rsidRPr="00DD7C74">
        <w:t xml:space="preserve"> (Chau et al., 2024)</w:t>
      </w:r>
      <w:r>
        <w:t>. Implementation of the project requires proper communication and management of stakeholders to encourage engagement and commitment. Using my own experience in project management, communication, and problem solving I will be able to manage the project and handle any issues that may arise. Therefore, one can conclude that the community garden project not only addresses the current requirements of the people in the area but also develops sustainable practices and fosters people’s welfare in the future. Through proper adherence to the best practices and proper evaluation, the project can be a role model for future community engagement. This will be very useful in sharpening the skills and experience I will need to lead other projects of this nature in the future</w:t>
      </w:r>
      <w:r w:rsidR="00C90DA6" w:rsidRPr="00C90DA6">
        <w:t xml:space="preserve"> (Deng and Chiu, 2023)</w:t>
      </w:r>
      <w:r>
        <w:t>.</w:t>
      </w:r>
    </w:p>
    <w:p w14:paraId="0FFAC445" w14:textId="77777777" w:rsidR="00EA4D49" w:rsidRDefault="00EA4D49">
      <w:pPr>
        <w:spacing w:before="0" w:after="160" w:line="259" w:lineRule="auto"/>
        <w:jc w:val="left"/>
      </w:pPr>
      <w:r>
        <w:br w:type="page"/>
      </w:r>
    </w:p>
    <w:p w14:paraId="5A38B00A" w14:textId="18935406" w:rsidR="00E916EC" w:rsidRDefault="00EA4D49" w:rsidP="00EA4D49">
      <w:pPr>
        <w:pStyle w:val="Heading1"/>
      </w:pPr>
      <w:bookmarkStart w:id="7" w:name="_Toc167650987"/>
      <w:r>
        <w:lastRenderedPageBreak/>
        <w:t>References</w:t>
      </w:r>
      <w:bookmarkEnd w:id="7"/>
    </w:p>
    <w:p w14:paraId="27BAD3DB" w14:textId="77777777" w:rsidR="00B300EB" w:rsidRDefault="00B300EB" w:rsidP="00EA4D49">
      <w:r w:rsidRPr="00D94CF4">
        <w:t>Aguilar-Gaxiola, S., Ahmed, S.M., Anise, A., Azzahir, A., Baker, K.E., Cupito, A., Eder, M., Everette, T.D., Erwin, K., Felzien, M. and Freeman, E., 2022. Assessing meaningful community engagement: a conceptual model to advance health equity through transformed systems for health: organizing committee for assessing meaningful community engagement in health &amp; health care programs &amp; policies. </w:t>
      </w:r>
      <w:r w:rsidRPr="00D94CF4">
        <w:rPr>
          <w:i/>
          <w:iCs/>
        </w:rPr>
        <w:t>NAM perspectives</w:t>
      </w:r>
      <w:r w:rsidRPr="00D94CF4">
        <w:t>, </w:t>
      </w:r>
      <w:r w:rsidRPr="00D94CF4">
        <w:rPr>
          <w:i/>
          <w:iCs/>
        </w:rPr>
        <w:t>2022</w:t>
      </w:r>
      <w:r w:rsidRPr="00D94CF4">
        <w:t>.</w:t>
      </w:r>
    </w:p>
    <w:p w14:paraId="455E303B" w14:textId="77777777" w:rsidR="00B300EB" w:rsidRDefault="00B300EB" w:rsidP="00EA4D49">
      <w:r w:rsidRPr="008119B4">
        <w:t>Anthony Jr, B., 2023. The role of community engagement in urban innovation towards the co-creation of smart sustainable cities. </w:t>
      </w:r>
      <w:r w:rsidRPr="008119B4">
        <w:rPr>
          <w:i/>
          <w:iCs/>
        </w:rPr>
        <w:t>Journal of the Knowledge Economy</w:t>
      </w:r>
      <w:r w:rsidRPr="008119B4">
        <w:t>, pp.1-33.</w:t>
      </w:r>
    </w:p>
    <w:p w14:paraId="496D1FB3" w14:textId="77777777" w:rsidR="00B300EB" w:rsidRDefault="00B300EB" w:rsidP="00EA4D49">
      <w:r w:rsidRPr="008119B4">
        <w:t>Aripin, Z., Mulyani, S.R. and Haryaman, A., 2023. MARKETING STRATEGY IN PROJECT SUSTAINABILITY MANAGEMENT EFFORTS IN EXTRACTIVE INDUSTRIES: BUILDING A RECIPROCITY FRAMEWORK FOR COMMUNITY ENGAGEMENT. </w:t>
      </w:r>
      <w:r w:rsidRPr="008119B4">
        <w:rPr>
          <w:i/>
          <w:iCs/>
        </w:rPr>
        <w:t>KRIEZ ACADEMY: Journal of development and community service</w:t>
      </w:r>
      <w:r w:rsidRPr="008119B4">
        <w:t>, </w:t>
      </w:r>
      <w:r w:rsidRPr="008119B4">
        <w:rPr>
          <w:i/>
          <w:iCs/>
        </w:rPr>
        <w:t>1</w:t>
      </w:r>
      <w:r w:rsidRPr="008119B4">
        <w:t>(1), pp.25-38.</w:t>
      </w:r>
    </w:p>
    <w:p w14:paraId="7A65EED0" w14:textId="77777777" w:rsidR="00B300EB" w:rsidRDefault="00B300EB" w:rsidP="00EA4D49">
      <w:r w:rsidRPr="0025340A">
        <w:t>Barnes, M. and Schmitz, P., 2016. Community engagement matters (now more than ever). </w:t>
      </w:r>
      <w:r w:rsidRPr="0025340A">
        <w:rPr>
          <w:i/>
          <w:iCs/>
        </w:rPr>
        <w:t>Stanford Social Innovation Review</w:t>
      </w:r>
      <w:r w:rsidRPr="0025340A">
        <w:t>, </w:t>
      </w:r>
      <w:r w:rsidRPr="0025340A">
        <w:rPr>
          <w:i/>
          <w:iCs/>
        </w:rPr>
        <w:t>14</w:t>
      </w:r>
      <w:r w:rsidRPr="0025340A">
        <w:t>(2), pp.32-39.</w:t>
      </w:r>
    </w:p>
    <w:p w14:paraId="3387AB22" w14:textId="77777777" w:rsidR="00B300EB" w:rsidRDefault="00B300EB" w:rsidP="00EA4D49">
      <w:r w:rsidRPr="00AC3544">
        <w:t>Benneworth, P., 2018. Definitions, approaches and challenges to community engagement. </w:t>
      </w:r>
      <w:r w:rsidRPr="00AC3544">
        <w:rPr>
          <w:i/>
          <w:iCs/>
        </w:rPr>
        <w:t>Mapping and Critical Synthesis of Current State-of-the-Art on</w:t>
      </w:r>
      <w:r w:rsidRPr="00AC3544">
        <w:t>, </w:t>
      </w:r>
      <w:r w:rsidRPr="00AC3544">
        <w:rPr>
          <w:i/>
          <w:iCs/>
        </w:rPr>
        <w:t>39</w:t>
      </w:r>
      <w:r w:rsidRPr="00AC3544">
        <w:t>, p.16.</w:t>
      </w:r>
    </w:p>
    <w:p w14:paraId="76BCFDB5" w14:textId="77777777" w:rsidR="00B300EB" w:rsidRDefault="00B300EB" w:rsidP="00EA4D49">
      <w:r w:rsidRPr="005E7607">
        <w:t>Bracic, A., 2018. For better science: The benefits of community engagement in research. </w:t>
      </w:r>
      <w:r w:rsidRPr="005E7607">
        <w:rPr>
          <w:i/>
          <w:iCs/>
        </w:rPr>
        <w:t>PS: Political Science &amp; Politics</w:t>
      </w:r>
      <w:r w:rsidRPr="005E7607">
        <w:t>, </w:t>
      </w:r>
      <w:r w:rsidRPr="005E7607">
        <w:rPr>
          <w:i/>
          <w:iCs/>
        </w:rPr>
        <w:t>51</w:t>
      </w:r>
      <w:r w:rsidRPr="005E7607">
        <w:t>(3), pp.550-553.</w:t>
      </w:r>
    </w:p>
    <w:p w14:paraId="4B5DF819" w14:textId="77777777" w:rsidR="00B300EB" w:rsidRDefault="00B300EB" w:rsidP="00EA4D49">
      <w:r w:rsidRPr="00EE1EA3">
        <w:t>Brunton, G., Thomas, J., O’Mara-Eves, A., Jamal, F., Oliver, S. and Kavanagh, J., 2017. Narratives of community engagement: a systematic review-derived conceptual framework for public health interventions. </w:t>
      </w:r>
      <w:r w:rsidRPr="00EE1EA3">
        <w:rPr>
          <w:i/>
          <w:iCs/>
        </w:rPr>
        <w:t>BMC Public Health</w:t>
      </w:r>
      <w:r w:rsidRPr="00EE1EA3">
        <w:t>, </w:t>
      </w:r>
      <w:r w:rsidRPr="00EE1EA3">
        <w:rPr>
          <w:i/>
          <w:iCs/>
        </w:rPr>
        <w:t>17</w:t>
      </w:r>
      <w:r w:rsidRPr="00EE1EA3">
        <w:t>, pp.1-15.</w:t>
      </w:r>
    </w:p>
    <w:p w14:paraId="6F03ADEC" w14:textId="77777777" w:rsidR="00B300EB" w:rsidRDefault="00B300EB" w:rsidP="00EA4D49">
      <w:r w:rsidRPr="00EA4D49">
        <w:t>Chau, D., Parra, J., Santos, M.G., Bastías, M.J., Kim, R. and Handley, M.A., 2024. Community engagement in the development of health-related data visualizations: a scoping review. </w:t>
      </w:r>
      <w:r w:rsidRPr="00EA4D49">
        <w:rPr>
          <w:i/>
          <w:iCs/>
        </w:rPr>
        <w:t>Journal of the American Medical Informatics Association</w:t>
      </w:r>
      <w:r w:rsidRPr="00EA4D49">
        <w:t>, </w:t>
      </w:r>
      <w:r w:rsidRPr="00EA4D49">
        <w:rPr>
          <w:i/>
          <w:iCs/>
        </w:rPr>
        <w:t>31</w:t>
      </w:r>
      <w:r w:rsidRPr="00EA4D49">
        <w:t>(2), pp.479-487.</w:t>
      </w:r>
    </w:p>
    <w:p w14:paraId="7B342493" w14:textId="77777777" w:rsidR="00B300EB" w:rsidRDefault="00B300EB" w:rsidP="00EA4D49">
      <w:r w:rsidRPr="00256256">
        <w:lastRenderedPageBreak/>
        <w:t>Cyril, S., Smith, B.J., Possamai-Inesedy, A. and Renzaho, A.M., 2015. Exploring the role of community engagement in improving the health of disadvantaged populations: a systematic review. </w:t>
      </w:r>
      <w:r w:rsidRPr="00256256">
        <w:rPr>
          <w:i/>
          <w:iCs/>
        </w:rPr>
        <w:t>Global health action</w:t>
      </w:r>
      <w:r w:rsidRPr="00256256">
        <w:t>, </w:t>
      </w:r>
      <w:r w:rsidRPr="00256256">
        <w:rPr>
          <w:i/>
          <w:iCs/>
        </w:rPr>
        <w:t>8</w:t>
      </w:r>
      <w:r w:rsidRPr="00256256">
        <w:t>(1), p.29842.</w:t>
      </w:r>
    </w:p>
    <w:p w14:paraId="1A6C26B2" w14:textId="77777777" w:rsidR="00B300EB" w:rsidRDefault="00B300EB" w:rsidP="00EA4D49">
      <w:r w:rsidRPr="00E233A1">
        <w:t>De Weger, E., Van Vooren, N., Luijkx, K.G., Baan, C.A. and Drewes, H.W., 2018. Achieving successful community engagement: a rapid realist review. </w:t>
      </w:r>
      <w:r w:rsidRPr="00E233A1">
        <w:rPr>
          <w:i/>
          <w:iCs/>
        </w:rPr>
        <w:t>BMC health services research</w:t>
      </w:r>
      <w:r w:rsidRPr="00E233A1">
        <w:t>, </w:t>
      </w:r>
      <w:r w:rsidRPr="00E233A1">
        <w:rPr>
          <w:i/>
          <w:iCs/>
        </w:rPr>
        <w:t>18</w:t>
      </w:r>
      <w:r w:rsidRPr="00E233A1">
        <w:t>, pp.1-18.</w:t>
      </w:r>
    </w:p>
    <w:p w14:paraId="421547EA" w14:textId="77777777" w:rsidR="00B300EB" w:rsidRDefault="00B300EB" w:rsidP="00EA4D49">
      <w:r w:rsidRPr="00414153">
        <w:t>Deng, S. and Chiu, D.K., 2023. Analyzing the Hong Kong Philharmonic Orchestra's Facebook Community Engagement With the Honeycomb Model. In </w:t>
      </w:r>
      <w:r w:rsidRPr="00414153">
        <w:rPr>
          <w:i/>
          <w:iCs/>
        </w:rPr>
        <w:t>Community engagement in the online space</w:t>
      </w:r>
      <w:r w:rsidRPr="00414153">
        <w:t> (pp. 31-47). IGI Global.</w:t>
      </w:r>
    </w:p>
    <w:p w14:paraId="4574C043" w14:textId="77777777" w:rsidR="00B300EB" w:rsidRDefault="00B300EB" w:rsidP="00EA4D49">
      <w:r w:rsidRPr="004D4B7B">
        <w:t>Eden, C.A., Chisom, O.N. and Adeniyi, I.S., 2024. Parent and community involvement in education: strengthening partnerships for social improvement. </w:t>
      </w:r>
      <w:r w:rsidRPr="004D4B7B">
        <w:rPr>
          <w:i/>
          <w:iCs/>
        </w:rPr>
        <w:t>International Journal of Applied Research in Social Sciences</w:t>
      </w:r>
      <w:r w:rsidRPr="004D4B7B">
        <w:t>, </w:t>
      </w:r>
      <w:r w:rsidRPr="004D4B7B">
        <w:rPr>
          <w:i/>
          <w:iCs/>
        </w:rPr>
        <w:t>6</w:t>
      </w:r>
      <w:r w:rsidRPr="004D4B7B">
        <w:t>(3), pp.372-382.</w:t>
      </w:r>
    </w:p>
    <w:p w14:paraId="2B00A587" w14:textId="77777777" w:rsidR="00B300EB" w:rsidRDefault="00B300EB" w:rsidP="00EA4D49">
      <w:r w:rsidRPr="00CC4718">
        <w:t>Gilmore, B., Ndejjo, R., Tchetchia, A., de Claro, V., Mago, E., Lopes, C. and Bhattacharyya, S., 2020. Community engagement for COVID-19 prevention and control: a rapid evidence synthesis. </w:t>
      </w:r>
      <w:r w:rsidRPr="00CC4718">
        <w:rPr>
          <w:i/>
          <w:iCs/>
        </w:rPr>
        <w:t>BMJ global health</w:t>
      </w:r>
      <w:r w:rsidRPr="00CC4718">
        <w:t>, </w:t>
      </w:r>
      <w:r w:rsidRPr="00CC4718">
        <w:rPr>
          <w:i/>
          <w:iCs/>
        </w:rPr>
        <w:t>5</w:t>
      </w:r>
      <w:r w:rsidRPr="00CC4718">
        <w:t>(10), p.e003188.</w:t>
      </w:r>
    </w:p>
    <w:p w14:paraId="52DB080E" w14:textId="77777777" w:rsidR="00B300EB" w:rsidRDefault="00B300EB" w:rsidP="00EA4D49">
      <w:r w:rsidRPr="00256256">
        <w:t>Holzer, J.K., Ellis, L. and Merritt, M.W., 2014. Why we need community engagement in medical research. </w:t>
      </w:r>
      <w:r w:rsidRPr="00256256">
        <w:rPr>
          <w:i/>
          <w:iCs/>
        </w:rPr>
        <w:t>Journal of Investigative Medicine</w:t>
      </w:r>
      <w:r w:rsidRPr="00256256">
        <w:t>, </w:t>
      </w:r>
      <w:r w:rsidRPr="00256256">
        <w:rPr>
          <w:i/>
          <w:iCs/>
        </w:rPr>
        <w:t>62</w:t>
      </w:r>
      <w:r w:rsidRPr="00256256">
        <w:t>(6), pp.851-855.</w:t>
      </w:r>
    </w:p>
    <w:p w14:paraId="37D0DD06" w14:textId="77777777" w:rsidR="00B300EB" w:rsidRDefault="00B300EB" w:rsidP="00EA4D49">
      <w:r w:rsidRPr="008119B4">
        <w:t>Jiang, X., Chiu, D.K. and Chan, C.T., 2023. Application of the AIDA model in social media promotion and community engagement for small cultural organizations: A case study of the Choi Chang Sau Qin Society. In </w:t>
      </w:r>
      <w:r w:rsidRPr="008119B4">
        <w:rPr>
          <w:i/>
          <w:iCs/>
        </w:rPr>
        <w:t>Community engagement in the online space</w:t>
      </w:r>
      <w:r w:rsidRPr="008119B4">
        <w:t> (pp. 48-70). IGI Global.</w:t>
      </w:r>
    </w:p>
    <w:p w14:paraId="62BC0426" w14:textId="77777777" w:rsidR="00B300EB" w:rsidRDefault="00B300EB" w:rsidP="00EA4D49">
      <w:r w:rsidRPr="0025340A">
        <w:t>Jones, D.O. and Lee, J., 2017. A decade of community engagement literature: Exploring past trends and future implications. </w:t>
      </w:r>
      <w:r w:rsidRPr="0025340A">
        <w:rPr>
          <w:i/>
          <w:iCs/>
        </w:rPr>
        <w:t>Journal of Higher Education Outreach and Engagement</w:t>
      </w:r>
      <w:r w:rsidRPr="0025340A">
        <w:t>, </w:t>
      </w:r>
      <w:r w:rsidRPr="0025340A">
        <w:rPr>
          <w:i/>
          <w:iCs/>
        </w:rPr>
        <w:t>21</w:t>
      </w:r>
      <w:r w:rsidRPr="0025340A">
        <w:t>(3), pp.165-180.</w:t>
      </w:r>
    </w:p>
    <w:p w14:paraId="61F7FEE5" w14:textId="77777777" w:rsidR="00B300EB" w:rsidRPr="00EA4D49" w:rsidRDefault="00B300EB" w:rsidP="00EA4D49">
      <w:r w:rsidRPr="00B300EB">
        <w:t>MacQueen, K.M., Bhan, A., Frohlich, J., Holzer, J., Sugarman, J. and Ethics Working Group of the HIV Prevention Trials Network, 2015. Evaluating community engagement in global health research: the need for metrics. </w:t>
      </w:r>
      <w:r w:rsidRPr="00B300EB">
        <w:rPr>
          <w:i/>
          <w:iCs/>
        </w:rPr>
        <w:t>BMC Medical Ethics</w:t>
      </w:r>
      <w:r w:rsidRPr="00B300EB">
        <w:t>, </w:t>
      </w:r>
      <w:r w:rsidRPr="00B300EB">
        <w:rPr>
          <w:i/>
          <w:iCs/>
        </w:rPr>
        <w:t>16</w:t>
      </w:r>
      <w:r w:rsidRPr="00B300EB">
        <w:t>, pp.1-9.</w:t>
      </w:r>
    </w:p>
    <w:p w14:paraId="01FA6FE9" w14:textId="77777777" w:rsidR="00B300EB" w:rsidRDefault="00B300EB" w:rsidP="00EA4D49">
      <w:r w:rsidRPr="00D94CF4">
        <w:lastRenderedPageBreak/>
        <w:t>Marston, C., Renedo, A. and Miles, S., 2020. Community participation is crucial in a pandemic. </w:t>
      </w:r>
      <w:r w:rsidRPr="00D94CF4">
        <w:rPr>
          <w:i/>
          <w:iCs/>
        </w:rPr>
        <w:t>The Lancet</w:t>
      </w:r>
      <w:r w:rsidRPr="00D94CF4">
        <w:t>, </w:t>
      </w:r>
      <w:r w:rsidRPr="00D94CF4">
        <w:rPr>
          <w:i/>
          <w:iCs/>
        </w:rPr>
        <w:t>395</w:t>
      </w:r>
      <w:r w:rsidRPr="00D94CF4">
        <w:t>(10238), pp.1676-1678.</w:t>
      </w:r>
    </w:p>
    <w:p w14:paraId="7FA3F384" w14:textId="77777777" w:rsidR="00B300EB" w:rsidRDefault="00B300EB" w:rsidP="00EA4D49">
      <w:r w:rsidRPr="0025340A">
        <w:t>Moore, T., McDonald, M., McHugh-Dillon, H. and West, S., 2016. Community engagement. </w:t>
      </w:r>
      <w:r w:rsidRPr="0025340A">
        <w:rPr>
          <w:i/>
          <w:iCs/>
        </w:rPr>
        <w:t>Aust Inst Family Studies</w:t>
      </w:r>
      <w:r w:rsidRPr="0025340A">
        <w:t>, </w:t>
      </w:r>
      <w:r w:rsidRPr="0025340A">
        <w:rPr>
          <w:i/>
          <w:iCs/>
        </w:rPr>
        <w:t>2016</w:t>
      </w:r>
      <w:r w:rsidRPr="0025340A">
        <w:t>, pp.1-25.</w:t>
      </w:r>
    </w:p>
    <w:p w14:paraId="4FC1FFCC" w14:textId="77777777" w:rsidR="00B300EB" w:rsidRDefault="00B300EB" w:rsidP="00EA4D49">
      <w:r w:rsidRPr="004D4B7B">
        <w:t>Nusair, K., Karatepe, O.M., Okumus, F., Alfarhan, U.F. and Shi, F., 2024. Exploring the pivotal role of community engagement on tourists’ behaviors in social media: A cross-national study. </w:t>
      </w:r>
      <w:r w:rsidRPr="004D4B7B">
        <w:rPr>
          <w:i/>
          <w:iCs/>
        </w:rPr>
        <w:t>International Journal of Information Management</w:t>
      </w:r>
      <w:r w:rsidRPr="004D4B7B">
        <w:t>, </w:t>
      </w:r>
      <w:r w:rsidRPr="004D4B7B">
        <w:rPr>
          <w:i/>
          <w:iCs/>
        </w:rPr>
        <w:t>74</w:t>
      </w:r>
      <w:r w:rsidRPr="004D4B7B">
        <w:t>, p.102701.</w:t>
      </w:r>
    </w:p>
    <w:p w14:paraId="607F14CB" w14:textId="77777777" w:rsidR="00B300EB" w:rsidRDefault="00B300EB" w:rsidP="00EA4D49">
      <w:r w:rsidRPr="00B300EB">
        <w:t>O’Mara-Eves, A., Brunton, G., Oliver, S., Kavanagh, J., Jamal, F. and Thomas, J., 2015. The effectiveness of community engagement in public health interventions for disadvantaged groups: a meta-analysis. </w:t>
      </w:r>
      <w:r w:rsidRPr="00B300EB">
        <w:rPr>
          <w:i/>
          <w:iCs/>
        </w:rPr>
        <w:t>BMC public health</w:t>
      </w:r>
      <w:r w:rsidRPr="00B300EB">
        <w:t>, </w:t>
      </w:r>
      <w:r w:rsidRPr="00B300EB">
        <w:rPr>
          <w:i/>
          <w:iCs/>
        </w:rPr>
        <w:t>15</w:t>
      </w:r>
      <w:r w:rsidRPr="00B300EB">
        <w:t>, pp.1-23.</w:t>
      </w:r>
    </w:p>
    <w:p w14:paraId="064D87DE" w14:textId="77777777" w:rsidR="00B300EB" w:rsidRDefault="00B300EB" w:rsidP="00EA4D49">
      <w:r w:rsidRPr="00414153">
        <w:t>Taffere, G.R., Abebe, H.T., Zerihun, Z., Mallen, C., Price, H.P. and Mulugeta, A., 2024. Systematic review of community engagement approach in research: describing partnership approaches, challenges and benefits. </w:t>
      </w:r>
      <w:r w:rsidRPr="00414153">
        <w:rPr>
          <w:i/>
          <w:iCs/>
        </w:rPr>
        <w:t>Journal of Public Health</w:t>
      </w:r>
      <w:r w:rsidRPr="00414153">
        <w:t>, </w:t>
      </w:r>
      <w:r w:rsidRPr="00414153">
        <w:rPr>
          <w:i/>
          <w:iCs/>
        </w:rPr>
        <w:t>32</w:t>
      </w:r>
      <w:r w:rsidRPr="00414153">
        <w:t>(2), pp.185-205.</w:t>
      </w:r>
    </w:p>
    <w:p w14:paraId="6761F423" w14:textId="77777777" w:rsidR="00B300EB" w:rsidRDefault="00B300EB" w:rsidP="00EA4D49">
      <w:r w:rsidRPr="00E233A1">
        <w:t>Talò, C., 2018. Community-based determinants of community engagement: A meta-analysis research. </w:t>
      </w:r>
      <w:r w:rsidRPr="00E233A1">
        <w:rPr>
          <w:i/>
          <w:iCs/>
        </w:rPr>
        <w:t>Social Indicators Research</w:t>
      </w:r>
      <w:r w:rsidRPr="00E233A1">
        <w:t>, </w:t>
      </w:r>
      <w:r w:rsidRPr="00E233A1">
        <w:rPr>
          <w:i/>
          <w:iCs/>
        </w:rPr>
        <w:t>140</w:t>
      </w:r>
      <w:r w:rsidRPr="00E233A1">
        <w:t>(2), pp.571-596.</w:t>
      </w:r>
    </w:p>
    <w:p w14:paraId="33DFCE2A" w14:textId="77777777" w:rsidR="00B300EB" w:rsidRDefault="00B300EB" w:rsidP="00EA4D49">
      <w:r w:rsidRPr="00CC4718">
        <w:t>Tan, R.K., Wu, D., Day, S., Zhao, Y., Larson, H.J., Sylvia, S., Tang, W. and Tucker, J.D., 2022. Digital approaches to enhancing community engagement in clinical trials. </w:t>
      </w:r>
      <w:r w:rsidRPr="00CC4718">
        <w:rPr>
          <w:i/>
          <w:iCs/>
        </w:rPr>
        <w:t>NPJ digital medicine</w:t>
      </w:r>
      <w:r w:rsidRPr="00CC4718">
        <w:t>, </w:t>
      </w:r>
      <w:r w:rsidRPr="00CC4718">
        <w:rPr>
          <w:i/>
          <w:iCs/>
        </w:rPr>
        <w:t>5</w:t>
      </w:r>
      <w:r w:rsidRPr="00CC4718">
        <w:t>(1), p.37.</w:t>
      </w:r>
    </w:p>
    <w:sectPr w:rsidR="00B300E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2B705D" w14:textId="77777777" w:rsidR="007C55F6" w:rsidRDefault="007C55F6" w:rsidP="007A23C8">
      <w:pPr>
        <w:spacing w:before="0" w:after="0" w:line="240" w:lineRule="auto"/>
      </w:pPr>
      <w:r>
        <w:separator/>
      </w:r>
    </w:p>
  </w:endnote>
  <w:endnote w:type="continuationSeparator" w:id="0">
    <w:p w14:paraId="2655CE40" w14:textId="77777777" w:rsidR="007C55F6" w:rsidRDefault="007C55F6" w:rsidP="007A23C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9144156"/>
      <w:docPartObj>
        <w:docPartGallery w:val="Page Numbers (Bottom of Page)"/>
        <w:docPartUnique/>
      </w:docPartObj>
    </w:sdtPr>
    <w:sdtContent>
      <w:sdt>
        <w:sdtPr>
          <w:id w:val="1728636285"/>
          <w:docPartObj>
            <w:docPartGallery w:val="Page Numbers (Top of Page)"/>
            <w:docPartUnique/>
          </w:docPartObj>
        </w:sdtPr>
        <w:sdtContent>
          <w:p w14:paraId="1AE5AF11" w14:textId="75D513DA" w:rsidR="007A23C8" w:rsidRDefault="007A23C8">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2918A94" w14:textId="77777777" w:rsidR="007A23C8" w:rsidRDefault="007A2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DC37C" w14:textId="77777777" w:rsidR="007C55F6" w:rsidRDefault="007C55F6" w:rsidP="007A23C8">
      <w:pPr>
        <w:spacing w:before="0" w:after="0" w:line="240" w:lineRule="auto"/>
      </w:pPr>
      <w:r>
        <w:separator/>
      </w:r>
    </w:p>
  </w:footnote>
  <w:footnote w:type="continuationSeparator" w:id="0">
    <w:p w14:paraId="544FF0A3" w14:textId="77777777" w:rsidR="007C55F6" w:rsidRDefault="007C55F6" w:rsidP="007A23C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FFD"/>
    <w:rsid w:val="00023A03"/>
    <w:rsid w:val="000E5237"/>
    <w:rsid w:val="0010357F"/>
    <w:rsid w:val="001316B0"/>
    <w:rsid w:val="0018261E"/>
    <w:rsid w:val="001902E3"/>
    <w:rsid w:val="001C0395"/>
    <w:rsid w:val="00227FFD"/>
    <w:rsid w:val="002345D7"/>
    <w:rsid w:val="0025340A"/>
    <w:rsid w:val="00256256"/>
    <w:rsid w:val="00260482"/>
    <w:rsid w:val="002929B3"/>
    <w:rsid w:val="002A4AD9"/>
    <w:rsid w:val="00407E7E"/>
    <w:rsid w:val="00414153"/>
    <w:rsid w:val="004C27BE"/>
    <w:rsid w:val="004D4B7B"/>
    <w:rsid w:val="00513052"/>
    <w:rsid w:val="00554E5E"/>
    <w:rsid w:val="005612EC"/>
    <w:rsid w:val="005C4085"/>
    <w:rsid w:val="005E7607"/>
    <w:rsid w:val="00657ECA"/>
    <w:rsid w:val="0069758E"/>
    <w:rsid w:val="006A144C"/>
    <w:rsid w:val="006A2DC3"/>
    <w:rsid w:val="006E23A3"/>
    <w:rsid w:val="00702026"/>
    <w:rsid w:val="007349B7"/>
    <w:rsid w:val="00783C8D"/>
    <w:rsid w:val="007A23C8"/>
    <w:rsid w:val="007B4C84"/>
    <w:rsid w:val="007C55F6"/>
    <w:rsid w:val="007E043F"/>
    <w:rsid w:val="008119B4"/>
    <w:rsid w:val="008D2960"/>
    <w:rsid w:val="00927467"/>
    <w:rsid w:val="00932401"/>
    <w:rsid w:val="009405E9"/>
    <w:rsid w:val="0097710C"/>
    <w:rsid w:val="009A7530"/>
    <w:rsid w:val="00A37383"/>
    <w:rsid w:val="00A75835"/>
    <w:rsid w:val="00AC3544"/>
    <w:rsid w:val="00B156D8"/>
    <w:rsid w:val="00B17B3C"/>
    <w:rsid w:val="00B209D1"/>
    <w:rsid w:val="00B300EB"/>
    <w:rsid w:val="00C41D3E"/>
    <w:rsid w:val="00C53772"/>
    <w:rsid w:val="00C90DA6"/>
    <w:rsid w:val="00CA6EE6"/>
    <w:rsid w:val="00CC4718"/>
    <w:rsid w:val="00CD79B9"/>
    <w:rsid w:val="00CE7EA8"/>
    <w:rsid w:val="00D33422"/>
    <w:rsid w:val="00D679A2"/>
    <w:rsid w:val="00D94CF4"/>
    <w:rsid w:val="00D96C18"/>
    <w:rsid w:val="00DA7EB0"/>
    <w:rsid w:val="00DB7A42"/>
    <w:rsid w:val="00DD7C74"/>
    <w:rsid w:val="00E233A1"/>
    <w:rsid w:val="00E762C5"/>
    <w:rsid w:val="00E819DE"/>
    <w:rsid w:val="00E916EC"/>
    <w:rsid w:val="00EA4D49"/>
    <w:rsid w:val="00EE1EA3"/>
    <w:rsid w:val="00F16586"/>
    <w:rsid w:val="00F204EE"/>
    <w:rsid w:val="00F32B09"/>
    <w:rsid w:val="00F472DF"/>
    <w:rsid w:val="00FA1F80"/>
    <w:rsid w:val="00FB24EA"/>
    <w:rsid w:val="00FB5B4F"/>
    <w:rsid w:val="00FE124B"/>
    <w:rsid w:val="00FF038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2C5389"/>
  <w15:chartTrackingRefBased/>
  <w15:docId w15:val="{845D4188-B2C2-46BA-A84B-93ED54D7A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4EE"/>
    <w:pPr>
      <w:spacing w:before="12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204EE"/>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F204EE"/>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227FF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7FF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27FF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27FF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27FF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27FFD"/>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27FFD"/>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4E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F204EE"/>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227F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7FFD"/>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227FFD"/>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227FFD"/>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27FFD"/>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27FFD"/>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27FFD"/>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227FFD"/>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227F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FF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F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FF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27FFD"/>
    <w:rPr>
      <w:rFonts w:ascii="Times New Roman" w:hAnsi="Times New Roman"/>
      <w:i/>
      <w:iCs/>
      <w:color w:val="404040" w:themeColor="text1" w:themeTint="BF"/>
      <w:sz w:val="24"/>
    </w:rPr>
  </w:style>
  <w:style w:type="paragraph" w:styleId="ListParagraph">
    <w:name w:val="List Paragraph"/>
    <w:basedOn w:val="Normal"/>
    <w:uiPriority w:val="34"/>
    <w:qFormat/>
    <w:rsid w:val="00227FFD"/>
    <w:pPr>
      <w:ind w:left="720"/>
      <w:contextualSpacing/>
    </w:pPr>
  </w:style>
  <w:style w:type="character" w:styleId="IntenseEmphasis">
    <w:name w:val="Intense Emphasis"/>
    <w:basedOn w:val="DefaultParagraphFont"/>
    <w:uiPriority w:val="21"/>
    <w:qFormat/>
    <w:rsid w:val="00227FFD"/>
    <w:rPr>
      <w:i/>
      <w:iCs/>
      <w:color w:val="0F4761" w:themeColor="accent1" w:themeShade="BF"/>
    </w:rPr>
  </w:style>
  <w:style w:type="paragraph" w:styleId="IntenseQuote">
    <w:name w:val="Intense Quote"/>
    <w:basedOn w:val="Normal"/>
    <w:next w:val="Normal"/>
    <w:link w:val="IntenseQuoteChar"/>
    <w:uiPriority w:val="30"/>
    <w:qFormat/>
    <w:rsid w:val="00227F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7FFD"/>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227FFD"/>
    <w:rPr>
      <w:b/>
      <w:bCs/>
      <w:smallCaps/>
      <w:color w:val="0F4761" w:themeColor="accent1" w:themeShade="BF"/>
      <w:spacing w:val="5"/>
    </w:rPr>
  </w:style>
  <w:style w:type="paragraph" w:styleId="NoSpacing">
    <w:name w:val="No Spacing"/>
    <w:uiPriority w:val="1"/>
    <w:qFormat/>
    <w:rsid w:val="00CE7EA8"/>
    <w:pPr>
      <w:spacing w:after="0" w:line="240" w:lineRule="auto"/>
      <w:jc w:val="both"/>
    </w:pPr>
    <w:rPr>
      <w:rFonts w:ascii="Times New Roman" w:hAnsi="Times New Roman"/>
      <w:color w:val="000000" w:themeColor="text1"/>
      <w:sz w:val="24"/>
    </w:rPr>
  </w:style>
  <w:style w:type="paragraph" w:styleId="TOCHeading">
    <w:name w:val="TOC Heading"/>
    <w:basedOn w:val="Heading1"/>
    <w:next w:val="Normal"/>
    <w:uiPriority w:val="39"/>
    <w:unhideWhenUsed/>
    <w:qFormat/>
    <w:rsid w:val="007A23C8"/>
    <w:pPr>
      <w:spacing w:before="240" w:after="0" w:line="259" w:lineRule="auto"/>
      <w:jc w:val="left"/>
      <w:outlineLvl w:val="9"/>
    </w:pPr>
    <w:rPr>
      <w:rFonts w:asciiTheme="majorHAnsi" w:hAnsiTheme="majorHAnsi"/>
      <w:b w:val="0"/>
      <w:color w:val="0F4761" w:themeColor="accent1" w:themeShade="BF"/>
      <w:kern w:val="0"/>
      <w14:ligatures w14:val="none"/>
    </w:rPr>
  </w:style>
  <w:style w:type="paragraph" w:styleId="TOC1">
    <w:name w:val="toc 1"/>
    <w:basedOn w:val="Normal"/>
    <w:next w:val="Normal"/>
    <w:autoRedefine/>
    <w:uiPriority w:val="39"/>
    <w:unhideWhenUsed/>
    <w:rsid w:val="007A23C8"/>
    <w:pPr>
      <w:spacing w:after="100"/>
    </w:pPr>
  </w:style>
  <w:style w:type="character" w:styleId="Hyperlink">
    <w:name w:val="Hyperlink"/>
    <w:basedOn w:val="DefaultParagraphFont"/>
    <w:uiPriority w:val="99"/>
    <w:unhideWhenUsed/>
    <w:rsid w:val="007A23C8"/>
    <w:rPr>
      <w:color w:val="467886" w:themeColor="hyperlink"/>
      <w:u w:val="single"/>
    </w:rPr>
  </w:style>
  <w:style w:type="paragraph" w:styleId="Header">
    <w:name w:val="header"/>
    <w:basedOn w:val="Normal"/>
    <w:link w:val="HeaderChar"/>
    <w:uiPriority w:val="99"/>
    <w:unhideWhenUsed/>
    <w:rsid w:val="007A23C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A23C8"/>
    <w:rPr>
      <w:rFonts w:ascii="Times New Roman" w:hAnsi="Times New Roman"/>
      <w:color w:val="000000" w:themeColor="text1"/>
      <w:sz w:val="24"/>
    </w:rPr>
  </w:style>
  <w:style w:type="paragraph" w:styleId="Footer">
    <w:name w:val="footer"/>
    <w:basedOn w:val="Normal"/>
    <w:link w:val="FooterChar"/>
    <w:uiPriority w:val="99"/>
    <w:unhideWhenUsed/>
    <w:rsid w:val="007A23C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A23C8"/>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754B1D-2D84-4633-BC66-74B3CAD5E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4178</Words>
  <Characters>23821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Nabila Sultana</dc:creator>
  <cp:keywords/>
  <dc:description/>
  <cp:lastModifiedBy>Alex Andrei</cp:lastModifiedBy>
  <cp:revision>4</cp:revision>
  <dcterms:created xsi:type="dcterms:W3CDTF">2024-05-26T15:27:00Z</dcterms:created>
  <dcterms:modified xsi:type="dcterms:W3CDTF">2024-07-06T15:35:00Z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17170692-6e16-4c9a-84bb-8d6e359195c1</vt:lpwstr>
  </property>
</Properties>
</file>