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7463774"/>
        <w:docPartObj>
          <w:docPartGallery w:val="Cover Pages"/>
          <w:docPartUnique/>
        </w:docPartObj>
      </w:sdtPr>
      <w:sdtEndPr>
        <w:rPr>
          <w:rFonts w:ascii="Arial" w:hAnsi="Arial" w:cs="Arial"/>
        </w:rPr>
      </w:sdtEndPr>
      <w:sdtContent>
        <w:p w14:paraId="0AE7200A" w14:textId="2394FE66" w:rsidR="00CC2B2B" w:rsidRPr="00CC2B2B" w:rsidRDefault="00CC2B2B" w:rsidP="00CC2B2B">
          <w:pPr>
            <w:rPr>
              <w:rFonts w:ascii="Arial Black" w:hAnsi="Arial Black"/>
            </w:rPr>
          </w:pPr>
          <w:r w:rsidRPr="00CC2B2B">
            <w:rPr>
              <w:rFonts w:ascii="Arial Black" w:hAnsi="Arial Black"/>
            </w:rPr>
            <w:t xml:space="preserve">Group name </w:t>
          </w:r>
        </w:p>
        <w:p w14:paraId="118ABB29" w14:textId="6528348E" w:rsidR="00CC2B2B" w:rsidRPr="00CC2B2B" w:rsidRDefault="00CC2B2B" w:rsidP="00CC2B2B">
          <w:pPr>
            <w:pStyle w:val="ListParagraph"/>
            <w:numPr>
              <w:ilvl w:val="0"/>
              <w:numId w:val="1"/>
            </w:numPr>
            <w:rPr>
              <w:rFonts w:ascii="Arial Black" w:hAnsi="Arial Black"/>
            </w:rPr>
          </w:pPr>
          <w:r w:rsidRPr="00CC2B2B">
            <w:rPr>
              <w:rFonts w:ascii="Arial Black" w:hAnsi="Arial Black"/>
            </w:rPr>
            <w:t xml:space="preserve">Roponica Clemansa </w:t>
          </w:r>
        </w:p>
        <w:p w14:paraId="705AC160" w14:textId="368E44B4" w:rsidR="00CC2B2B" w:rsidRPr="00CC2B2B" w:rsidRDefault="00CC2B2B" w:rsidP="00CC2B2B">
          <w:pPr>
            <w:pStyle w:val="ListParagraph"/>
            <w:numPr>
              <w:ilvl w:val="0"/>
              <w:numId w:val="1"/>
            </w:numPr>
            <w:rPr>
              <w:rFonts w:ascii="Arial Black" w:hAnsi="Arial Black"/>
            </w:rPr>
          </w:pPr>
          <w:r w:rsidRPr="00CC2B2B">
            <w:rPr>
              <w:rFonts w:ascii="Arial Black" w:hAnsi="Arial Black"/>
            </w:rPr>
            <w:t xml:space="preserve">Ionel Zamfir </w:t>
          </w:r>
        </w:p>
        <w:p w14:paraId="31913214" w14:textId="40E16BDE" w:rsidR="00CC2B2B" w:rsidRPr="00CC2B2B" w:rsidRDefault="00CC2B2B" w:rsidP="00CC2B2B">
          <w:pPr>
            <w:pStyle w:val="ListParagraph"/>
            <w:numPr>
              <w:ilvl w:val="0"/>
              <w:numId w:val="1"/>
            </w:numPr>
            <w:rPr>
              <w:rFonts w:ascii="Arial Black" w:hAnsi="Arial Black"/>
            </w:rPr>
          </w:pPr>
          <w:r w:rsidRPr="00CC2B2B">
            <w:rPr>
              <w:rFonts w:ascii="Arial Black" w:hAnsi="Arial Black"/>
            </w:rPr>
            <w:t xml:space="preserve">Vanessa Andreea Eftimie </w:t>
          </w:r>
        </w:p>
        <w:p w14:paraId="07250101" w14:textId="669C82E6" w:rsidR="00CC2B2B" w:rsidRPr="00CC2B2B" w:rsidRDefault="00CC2B2B" w:rsidP="00CC2B2B">
          <w:pPr>
            <w:pStyle w:val="ListParagraph"/>
            <w:numPr>
              <w:ilvl w:val="0"/>
              <w:numId w:val="1"/>
            </w:numPr>
            <w:rPr>
              <w:rFonts w:ascii="Arial Black" w:hAnsi="Arial Black"/>
            </w:rPr>
          </w:pPr>
          <w:r w:rsidRPr="00CC2B2B">
            <w:rPr>
              <w:rFonts w:ascii="Arial Black" w:hAnsi="Arial Black"/>
            </w:rPr>
            <w:t xml:space="preserve">Fanica Raducan </w:t>
          </w:r>
        </w:p>
        <w:tbl>
          <w:tblPr>
            <w:tblpPr w:leftFromText="187" w:rightFromText="187" w:vertAnchor="page" w:horzAnchor="margin" w:tblpXSpec="center" w:tblpY="7147"/>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CC2B2B" w14:paraId="1D4B2631" w14:textId="77777777" w:rsidTr="00CC2B2B">
            <w:tc>
              <w:tcPr>
                <w:tcW w:w="7209" w:type="dxa"/>
                <w:tcMar>
                  <w:top w:w="216" w:type="dxa"/>
                  <w:left w:w="115" w:type="dxa"/>
                  <w:bottom w:w="216" w:type="dxa"/>
                  <w:right w:w="115" w:type="dxa"/>
                </w:tcMar>
              </w:tcPr>
              <w:p w14:paraId="5FC4D5CE" w14:textId="2C6F0B79" w:rsidR="00CC2B2B" w:rsidRDefault="00CC2B2B" w:rsidP="00CC2B2B">
                <w:pPr>
                  <w:pStyle w:val="NoSpacing"/>
                  <w:rPr>
                    <w:color w:val="0F4761" w:themeColor="accent1" w:themeShade="BF"/>
                    <w:sz w:val="24"/>
                  </w:rPr>
                </w:pPr>
              </w:p>
            </w:tc>
          </w:tr>
          <w:tr w:rsidR="00CC2B2B" w:rsidRPr="00CC2B2B" w14:paraId="40C28272" w14:textId="77777777" w:rsidTr="00CC2B2B">
            <w:tc>
              <w:tcPr>
                <w:tcW w:w="7209" w:type="dxa"/>
              </w:tcPr>
              <w:sdt>
                <w:sdtPr>
                  <w:rPr>
                    <w:rFonts w:ascii="Arial Black" w:eastAsiaTheme="majorEastAsia" w:hAnsi="Arial Black" w:cstheme="majorBidi"/>
                    <w:color w:val="000000" w:themeColor="text1"/>
                    <w:sz w:val="56"/>
                    <w:szCs w:val="56"/>
                  </w:rPr>
                  <w:alias w:val="Title"/>
                  <w:id w:val="13406919"/>
                  <w:placeholder>
                    <w:docPart w:val="78C94FC0A2E14C40BBAF81A1E649D650"/>
                  </w:placeholder>
                  <w:dataBinding w:prefixMappings="xmlns:ns0='http://schemas.openxmlformats.org/package/2006/metadata/core-properties' xmlns:ns1='http://purl.org/dc/elements/1.1/'" w:xpath="/ns0:coreProperties[1]/ns1:title[1]" w:storeItemID="{6C3C8BC8-F283-45AE-878A-BAB7291924A1}"/>
                  <w:text/>
                </w:sdtPr>
                <w:sdtContent>
                  <w:p w14:paraId="6704DDEC" w14:textId="33B2C373" w:rsidR="00CC2B2B" w:rsidRPr="00CC2B2B" w:rsidRDefault="00A12E19" w:rsidP="00CC2B2B">
                    <w:pPr>
                      <w:pStyle w:val="NoSpacing"/>
                      <w:spacing w:line="216" w:lineRule="auto"/>
                      <w:rPr>
                        <w:rFonts w:ascii="Arial Black" w:eastAsiaTheme="majorEastAsia" w:hAnsi="Arial Black" w:cstheme="majorBidi"/>
                        <w:color w:val="156082" w:themeColor="accent1"/>
                        <w:sz w:val="56"/>
                        <w:szCs w:val="56"/>
                      </w:rPr>
                    </w:pPr>
                    <w:r>
                      <w:rPr>
                        <w:rFonts w:ascii="Arial Black" w:eastAsiaTheme="majorEastAsia" w:hAnsi="Arial Black" w:cstheme="majorBidi"/>
                        <w:color w:val="000000" w:themeColor="text1"/>
                        <w:sz w:val="56"/>
                        <w:szCs w:val="56"/>
                      </w:rPr>
                      <w:t>Assignment 2: Group Presentation</w:t>
                    </w:r>
                  </w:p>
                </w:sdtContent>
              </w:sdt>
            </w:tc>
          </w:tr>
          <w:tr w:rsidR="00CC2B2B" w14:paraId="59055E8F" w14:textId="77777777" w:rsidTr="00CC2B2B">
            <w:trPr>
              <w:trHeight w:val="23"/>
            </w:trPr>
            <w:tc>
              <w:tcPr>
                <w:tcW w:w="7209" w:type="dxa"/>
                <w:tcMar>
                  <w:top w:w="216" w:type="dxa"/>
                  <w:left w:w="115" w:type="dxa"/>
                  <w:bottom w:w="216" w:type="dxa"/>
                  <w:right w:w="115" w:type="dxa"/>
                </w:tcMar>
              </w:tcPr>
              <w:p w14:paraId="011335D8" w14:textId="5682390E" w:rsidR="00CC2B2B" w:rsidRDefault="00CC2B2B" w:rsidP="00CC2B2B">
                <w:pPr>
                  <w:pStyle w:val="NoSpacing"/>
                  <w:rPr>
                    <w:color w:val="0F4761" w:themeColor="accent1" w:themeShade="BF"/>
                    <w:sz w:val="24"/>
                  </w:rPr>
                </w:pPr>
              </w:p>
            </w:tc>
          </w:tr>
        </w:tbl>
        <w:p w14:paraId="4D31CF36" w14:textId="2D24A1F4" w:rsidR="00CC2B2B" w:rsidRDefault="00CC2B2B">
          <w:pPr>
            <w:rPr>
              <w:rFonts w:ascii="Arial" w:hAnsi="Arial" w:cs="Arial"/>
            </w:rPr>
          </w:pPr>
          <w:r>
            <w:rPr>
              <w:rFonts w:ascii="Arial" w:hAnsi="Arial" w:cs="Arial"/>
            </w:rPr>
            <w:br w:type="page"/>
          </w:r>
        </w:p>
      </w:sdtContent>
    </w:sdt>
    <w:p w14:paraId="1360C007" w14:textId="38E1E598" w:rsidR="000E65B0" w:rsidRPr="000E65B0" w:rsidRDefault="000E65B0" w:rsidP="000E65B0">
      <w:pPr>
        <w:spacing w:line="480" w:lineRule="auto"/>
        <w:rPr>
          <w:rFonts w:ascii="Arial" w:hAnsi="Arial" w:cs="Arial"/>
        </w:rPr>
      </w:pPr>
      <w:r w:rsidRPr="000E65B0">
        <w:rPr>
          <w:rFonts w:ascii="Arial" w:hAnsi="Arial" w:cs="Arial"/>
        </w:rPr>
        <w:lastRenderedPageBreak/>
        <w:t>During the transitional phase of automation, employee's leadership weaknesses resulted in much of the uncertainty, anxiety, and insecurity they faced. Workers were experiencing emotional trauma and anxiety as their traditional craft-based roles changed quickly, but the leadership did not support or empathi</w:t>
      </w:r>
      <w:r>
        <w:rPr>
          <w:rFonts w:ascii="Arial" w:hAnsi="Arial" w:cs="Arial"/>
        </w:rPr>
        <w:t>s</w:t>
      </w:r>
      <w:r w:rsidRPr="000E65B0">
        <w:rPr>
          <w:rFonts w:ascii="Arial" w:hAnsi="Arial" w:cs="Arial"/>
        </w:rPr>
        <w:t>e with the workers’ emotional needs as they transitioned to the new automated world. Studies have shown that transformational leaders build emotional intelligence and provide their employees with psychosocial support to help individual employees deal with the uncertainty during this transition period. Unfortunately, none of these leadership behaviours were evident in the leadership practices of StitchCo (Barkat et al., 2024).</w:t>
      </w:r>
    </w:p>
    <w:p w14:paraId="02AEC273" w14:textId="77777777" w:rsidR="000E65B0" w:rsidRDefault="000E65B0" w:rsidP="000E65B0">
      <w:pPr>
        <w:spacing w:line="480" w:lineRule="auto"/>
        <w:rPr>
          <w:rFonts w:ascii="Arial" w:hAnsi="Arial" w:cs="Arial"/>
        </w:rPr>
      </w:pPr>
      <w:r w:rsidRPr="000E65B0">
        <w:rPr>
          <w:rFonts w:ascii="Arial" w:hAnsi="Arial" w:cs="Arial"/>
        </w:rPr>
        <w:t>A large portion of the problems experienced by the employees at StitchCo due to this period of transition involved the lack of inclusive leadership. Employees were unable to include themselves in discussions regarding the technological change and were not allowed to provide feedback or to be included in the decision-making process regarding their work schedule. By forcing employees to sit quietly while listening to company representatives talk about the change that would take place in such a chaotic situation led to a significant amount of distrust and frustration among employees, especially those who had experienced significant emotional pain because they felt ignored at a time when the company was experiencing its most substantial change. Leadership that focuses on inclusion will allow employees to develop a sense of psychological safety and be supported when they express their concerns and fears about change, but this was not present in the workplace environment created by the company (Klimek, 2025).</w:t>
      </w:r>
    </w:p>
    <w:p w14:paraId="18565634" w14:textId="77777777" w:rsidR="000E65B0" w:rsidRDefault="000E65B0" w:rsidP="000E65B0">
      <w:pPr>
        <w:spacing w:line="480" w:lineRule="auto"/>
        <w:rPr>
          <w:rFonts w:ascii="Arial" w:hAnsi="Arial" w:cs="Arial"/>
        </w:rPr>
      </w:pPr>
      <w:r w:rsidRPr="000E65B0">
        <w:rPr>
          <w:rFonts w:ascii="Arial" w:hAnsi="Arial" w:cs="Arial"/>
        </w:rPr>
        <w:t xml:space="preserve">The lack of consistent and clear communication from the company heightened employees' feelings of not knowing what the change will mean or how the change would impact their jobs. The leaders of StitchCo failed to create a culture of trust </w:t>
      </w:r>
      <w:r w:rsidRPr="000E65B0">
        <w:rPr>
          <w:rFonts w:ascii="Arial" w:hAnsi="Arial" w:cs="Arial"/>
        </w:rPr>
        <w:lastRenderedPageBreak/>
        <w:t xml:space="preserve">among workers and did not consider the fact that poor communication would create an unstable work environment. Without adequate communication, most employees will interpret what will happen based on their fears; thus, many employees interpret what is occurring in the company as losing their jobs and their importance in the workforce. The importance of transparent communication to decrease resistance to change and develop trust has been posed in </w:t>
      </w:r>
      <w:proofErr w:type="gramStart"/>
      <w:r w:rsidRPr="000E65B0">
        <w:rPr>
          <w:rFonts w:ascii="Arial" w:hAnsi="Arial" w:cs="Arial"/>
        </w:rPr>
        <w:t>a number of</w:t>
      </w:r>
      <w:proofErr w:type="gramEnd"/>
      <w:r w:rsidRPr="000E65B0">
        <w:rPr>
          <w:rFonts w:ascii="Arial" w:hAnsi="Arial" w:cs="Arial"/>
        </w:rPr>
        <w:t xml:space="preserve"> scholarly articles, indicating that when organisations do not provide this form of transparent communication, they can have increased levels of uncertainty and disengagement (Yue et al., 2019).</w:t>
      </w:r>
    </w:p>
    <w:p w14:paraId="549B1C77" w14:textId="77777777" w:rsidR="000E65B0" w:rsidRDefault="000E65B0" w:rsidP="000E65B0">
      <w:pPr>
        <w:spacing w:line="480" w:lineRule="auto"/>
        <w:rPr>
          <w:rFonts w:ascii="Arial" w:hAnsi="Arial" w:cs="Arial"/>
        </w:rPr>
      </w:pPr>
      <w:r w:rsidRPr="000E65B0">
        <w:rPr>
          <w:rFonts w:ascii="Arial" w:hAnsi="Arial" w:cs="Arial"/>
        </w:rPr>
        <w:t>In addition, leadership did not address the introduction of digital performance monitoring. The initiation of performance dashboards without any explanation or reassurance left employees with a perception of the system as a tool for monitoring rather than for support to employees. The use of poorly defined or poorly implemented performance metrics damages employee morale and trust; in particular, when employees perceive themselves being scrutinised rather than supported. Workers at StitchCo interpreted the dashboards as being punitive and creating anxiety for them; this negatively impacted the employee's relationship with management (Wu et al., 2024).</w:t>
      </w:r>
    </w:p>
    <w:p w14:paraId="3EA6C51A" w14:textId="77777777" w:rsidR="000E65B0" w:rsidRDefault="000E65B0" w:rsidP="000E65B0">
      <w:pPr>
        <w:spacing w:line="480" w:lineRule="auto"/>
        <w:rPr>
          <w:rFonts w:ascii="Arial" w:hAnsi="Arial" w:cs="Arial"/>
        </w:rPr>
      </w:pPr>
      <w:r w:rsidRPr="000E65B0">
        <w:rPr>
          <w:rFonts w:ascii="Arial" w:hAnsi="Arial" w:cs="Arial"/>
        </w:rPr>
        <w:t xml:space="preserve">Due to the increase in the need for teamwork because of automation, team dynamics became strained. Many employees were used to working in a piecework culture, which emphasised individual productivity to a high degree, and were not prepared for the level of collaborative work demanded by the increase in automated production. Leadership did not either redefine the expectations of team structures or initiate shared learning processes to avoid the emergence of mistrust and conflict. For success in resolving technical problems, cross-functional teamwork is both </w:t>
      </w:r>
      <w:r w:rsidRPr="000E65B0">
        <w:rPr>
          <w:rFonts w:ascii="Arial" w:hAnsi="Arial" w:cs="Arial"/>
        </w:rPr>
        <w:lastRenderedPageBreak/>
        <w:t>necessary and paramount, but the absence of this teamwork resulted in reduced effectiveness of new technology implementation (Chen et al., 2025).</w:t>
      </w:r>
    </w:p>
    <w:p w14:paraId="5F073A59" w14:textId="77777777" w:rsidR="000E65B0" w:rsidRDefault="000E65B0" w:rsidP="000E65B0">
      <w:pPr>
        <w:spacing w:line="480" w:lineRule="auto"/>
        <w:rPr>
          <w:rFonts w:ascii="Arial" w:hAnsi="Arial" w:cs="Arial"/>
        </w:rPr>
      </w:pPr>
      <w:r w:rsidRPr="000E65B0">
        <w:rPr>
          <w:rFonts w:ascii="Arial" w:hAnsi="Arial" w:cs="Arial"/>
        </w:rPr>
        <w:t>Industrial relations added to the issues experienced by leadership. Although union representatives were involved at the beginning of the transition, they did not participate in further ongoing decision-making following their initial involvement. Employees depend on unions to provide them with legitimacy and fairness to protect their rights during organisational change; therefore, when unions are excluded from the decision-making process, the perception of procedural injustice increases. According to positive organisational behaviour psychosocial research, both trust and fairness are necessary to sustain employee engagement; however, leadership did not develop either of these essential attributes effectively (Ramlall et al., 2025).</w:t>
      </w:r>
    </w:p>
    <w:p w14:paraId="2CDC66B4" w14:textId="5A1B292B" w:rsidR="000E65B0" w:rsidRDefault="000E65B0" w:rsidP="000E65B0">
      <w:pPr>
        <w:spacing w:line="480" w:lineRule="auto"/>
        <w:rPr>
          <w:rFonts w:ascii="Arial" w:hAnsi="Arial" w:cs="Arial"/>
        </w:rPr>
      </w:pPr>
      <w:r w:rsidRPr="000E65B0">
        <w:rPr>
          <w:rFonts w:ascii="Arial" w:hAnsi="Arial" w:cs="Arial"/>
        </w:rPr>
        <w:t>In general, leadership did not successfully lead the development of a culture necessary for successful technological change. The organisation remained focused on speed and individual output instead of collaborative teamwork, which resulted in a culture misaligned with the goals for technological evolution. As a result, the culture did not support innovative thinking and created friction in the implementation of change. Specifically, the inability for StitchCo to achieve alignment of its leadership behaviour, organisation communication, and organisational culture with the type of change required to engage in a digital transformation hindered the company from achieving expected results and created substantial limitations on the overall organisational performance.</w:t>
      </w:r>
    </w:p>
    <w:p w14:paraId="5CFC40CE" w14:textId="77777777" w:rsidR="00AC3E4D" w:rsidRDefault="00AC3E4D" w:rsidP="000E65B0">
      <w:pPr>
        <w:spacing w:line="480" w:lineRule="auto"/>
        <w:rPr>
          <w:rFonts w:ascii="Arial" w:hAnsi="Arial" w:cs="Arial"/>
        </w:rPr>
      </w:pPr>
    </w:p>
    <w:p w14:paraId="782A8E0A" w14:textId="77777777" w:rsidR="00AC3E4D" w:rsidRDefault="00AC3E4D" w:rsidP="000E65B0">
      <w:pPr>
        <w:spacing w:line="480" w:lineRule="auto"/>
        <w:rPr>
          <w:rFonts w:ascii="Arial" w:hAnsi="Arial" w:cs="Arial"/>
        </w:rPr>
      </w:pPr>
    </w:p>
    <w:p w14:paraId="48E44E98" w14:textId="77777777" w:rsidR="00AC3E4D" w:rsidRDefault="00AC3E4D" w:rsidP="000E65B0">
      <w:pPr>
        <w:spacing w:line="480" w:lineRule="auto"/>
        <w:rPr>
          <w:rFonts w:ascii="Arial" w:hAnsi="Arial" w:cs="Arial"/>
        </w:rPr>
      </w:pPr>
    </w:p>
    <w:p w14:paraId="3D41DAAA" w14:textId="06D4B3B3" w:rsidR="00AC3E4D" w:rsidRPr="00CC2B2B" w:rsidRDefault="00AC3E4D" w:rsidP="000E65B0">
      <w:pPr>
        <w:spacing w:line="480" w:lineRule="auto"/>
        <w:rPr>
          <w:rFonts w:ascii="Arial" w:hAnsi="Arial" w:cs="Arial"/>
          <w:b/>
          <w:bCs/>
        </w:rPr>
      </w:pPr>
      <w:r w:rsidRPr="00CC2B2B">
        <w:rPr>
          <w:rFonts w:ascii="Arial" w:hAnsi="Arial" w:cs="Arial"/>
          <w:b/>
          <w:bCs/>
        </w:rPr>
        <w:lastRenderedPageBreak/>
        <w:t xml:space="preserve">References </w:t>
      </w:r>
    </w:p>
    <w:p w14:paraId="2D663619" w14:textId="77777777" w:rsidR="00CC2B2B" w:rsidRPr="00CC2B2B" w:rsidRDefault="00CC2B2B" w:rsidP="00CC2B2B">
      <w:pPr>
        <w:spacing w:line="480" w:lineRule="auto"/>
        <w:rPr>
          <w:rFonts w:ascii="Arial" w:hAnsi="Arial" w:cs="Arial"/>
        </w:rPr>
      </w:pPr>
      <w:r w:rsidRPr="00CC2B2B">
        <w:rPr>
          <w:rFonts w:ascii="Arial" w:hAnsi="Arial" w:cs="Arial"/>
        </w:rPr>
        <w:t xml:space="preserve">Barkat, W, Waris, I, Ahmed, R and Dad, M 2024, ‘Transformational leadership and frontline managers work engagement, innovative work behaviour, organisational citizenship behaviour, and employee sustainability in the hotel industry in Pakistan’, </w:t>
      </w:r>
      <w:r w:rsidRPr="00CC2B2B">
        <w:rPr>
          <w:rFonts w:ascii="Arial" w:hAnsi="Arial" w:cs="Arial"/>
          <w:i/>
          <w:iCs/>
        </w:rPr>
        <w:t>Journal of Human Resources in Hospitality and Tourism,</w:t>
      </w:r>
      <w:r w:rsidRPr="00CC2B2B">
        <w:rPr>
          <w:rFonts w:ascii="Arial" w:hAnsi="Arial" w:cs="Arial"/>
        </w:rPr>
        <w:t xml:space="preserve"> vol. 23, no. 2, pp. 315–336.</w:t>
      </w:r>
    </w:p>
    <w:p w14:paraId="48569667" w14:textId="77777777" w:rsidR="00CC2B2B" w:rsidRPr="00CC2B2B" w:rsidRDefault="00CC2B2B" w:rsidP="00CC2B2B">
      <w:pPr>
        <w:spacing w:line="480" w:lineRule="auto"/>
        <w:rPr>
          <w:rFonts w:ascii="Arial" w:hAnsi="Arial" w:cs="Arial"/>
        </w:rPr>
      </w:pPr>
      <w:r w:rsidRPr="00CC2B2B">
        <w:rPr>
          <w:rFonts w:ascii="Arial" w:hAnsi="Arial" w:cs="Arial"/>
        </w:rPr>
        <w:t>Chen, W, Luo, Y, Rao, M and Zhang, P 2025, ‘</w:t>
      </w:r>
      <w:r w:rsidRPr="00CC2B2B">
        <w:rPr>
          <w:rFonts w:ascii="Arial" w:hAnsi="Arial" w:cs="Arial"/>
          <w:i/>
          <w:iCs/>
        </w:rPr>
        <w:t>Too much teamwork? The effect of corporate collaboration culture on breakthrough innovation’</w:t>
      </w:r>
      <w:r w:rsidRPr="00CC2B2B">
        <w:rPr>
          <w:rFonts w:ascii="Arial" w:hAnsi="Arial" w:cs="Arial"/>
        </w:rPr>
        <w:t>, Finance Research Letters, vol. 78, 106913.</w:t>
      </w:r>
    </w:p>
    <w:p w14:paraId="4A295DEF" w14:textId="77777777" w:rsidR="00CC2B2B" w:rsidRPr="00CC2B2B" w:rsidRDefault="00CC2B2B" w:rsidP="00CC2B2B">
      <w:pPr>
        <w:spacing w:line="480" w:lineRule="auto"/>
        <w:rPr>
          <w:rFonts w:ascii="Arial" w:hAnsi="Arial" w:cs="Arial"/>
        </w:rPr>
      </w:pPr>
      <w:r w:rsidRPr="00CC2B2B">
        <w:rPr>
          <w:rFonts w:ascii="Arial" w:hAnsi="Arial" w:cs="Arial"/>
        </w:rPr>
        <w:t xml:space="preserve">Klimek, M 2025, </w:t>
      </w:r>
      <w:r w:rsidRPr="00CC2B2B">
        <w:rPr>
          <w:rFonts w:ascii="Arial" w:hAnsi="Arial" w:cs="Arial"/>
          <w:i/>
          <w:iCs/>
        </w:rPr>
        <w:t>Doing Inclusive Leadership: A Discursive Approach</w:t>
      </w:r>
      <w:r w:rsidRPr="00CC2B2B">
        <w:rPr>
          <w:rFonts w:ascii="Arial" w:hAnsi="Arial" w:cs="Arial"/>
        </w:rPr>
        <w:t>, Edward Elgar, Cheltenham.</w:t>
      </w:r>
    </w:p>
    <w:p w14:paraId="5AA94425" w14:textId="77777777" w:rsidR="00CC2B2B" w:rsidRPr="00CC2B2B" w:rsidRDefault="00CC2B2B" w:rsidP="00CC2B2B">
      <w:pPr>
        <w:spacing w:line="480" w:lineRule="auto"/>
        <w:rPr>
          <w:rFonts w:ascii="Arial" w:hAnsi="Arial" w:cs="Arial"/>
        </w:rPr>
      </w:pPr>
      <w:r w:rsidRPr="00CC2B2B">
        <w:rPr>
          <w:rFonts w:ascii="Arial" w:hAnsi="Arial" w:cs="Arial"/>
        </w:rPr>
        <w:t xml:space="preserve">Ramlall, S, </w:t>
      </w:r>
      <w:proofErr w:type="spellStart"/>
      <w:r w:rsidRPr="00CC2B2B">
        <w:rPr>
          <w:rFonts w:ascii="Arial" w:hAnsi="Arial" w:cs="Arial"/>
        </w:rPr>
        <w:t>Hurtienne</w:t>
      </w:r>
      <w:proofErr w:type="spellEnd"/>
      <w:r w:rsidRPr="00CC2B2B">
        <w:rPr>
          <w:rFonts w:ascii="Arial" w:hAnsi="Arial" w:cs="Arial"/>
        </w:rPr>
        <w:t xml:space="preserve">, M, </w:t>
      </w:r>
      <w:proofErr w:type="spellStart"/>
      <w:r w:rsidRPr="00CC2B2B">
        <w:rPr>
          <w:rFonts w:ascii="Arial" w:hAnsi="Arial" w:cs="Arial"/>
        </w:rPr>
        <w:t>Hurtienne</w:t>
      </w:r>
      <w:proofErr w:type="spellEnd"/>
      <w:r w:rsidRPr="00CC2B2B">
        <w:rPr>
          <w:rFonts w:ascii="Arial" w:hAnsi="Arial" w:cs="Arial"/>
        </w:rPr>
        <w:t xml:space="preserve">, L, Ramlall, A and Knierim, J 2025, ‘The impact of positive organisational behaviour on employee engagement and performance’, </w:t>
      </w:r>
      <w:r w:rsidRPr="00CC2B2B">
        <w:rPr>
          <w:rFonts w:ascii="Arial" w:hAnsi="Arial" w:cs="Arial"/>
          <w:i/>
          <w:iCs/>
        </w:rPr>
        <w:t>International Journal of Human Resources Development and Management</w:t>
      </w:r>
      <w:r w:rsidRPr="00CC2B2B">
        <w:rPr>
          <w:rFonts w:ascii="Arial" w:hAnsi="Arial" w:cs="Arial"/>
        </w:rPr>
        <w:t>, vol. 24, nos. 1–2, pp. 109–131.</w:t>
      </w:r>
    </w:p>
    <w:p w14:paraId="11EC6225" w14:textId="77777777" w:rsidR="00CC2B2B" w:rsidRPr="00CC2B2B" w:rsidRDefault="00CC2B2B" w:rsidP="00CC2B2B">
      <w:pPr>
        <w:spacing w:line="480" w:lineRule="auto"/>
        <w:rPr>
          <w:rFonts w:ascii="Arial" w:hAnsi="Arial" w:cs="Arial"/>
        </w:rPr>
      </w:pPr>
      <w:r w:rsidRPr="00CC2B2B">
        <w:rPr>
          <w:rFonts w:ascii="Arial" w:hAnsi="Arial" w:cs="Arial"/>
        </w:rPr>
        <w:t xml:space="preserve">Wu, TJ, Liang, Y and Wang, Y 2024, ‘The buffering role of workplace mindfulness: How job insecurity of human–artificial intelligence collaboration impacts employees work life related outcomes’, </w:t>
      </w:r>
      <w:r w:rsidRPr="00CC2B2B">
        <w:rPr>
          <w:rFonts w:ascii="Arial" w:hAnsi="Arial" w:cs="Arial"/>
          <w:i/>
          <w:iCs/>
        </w:rPr>
        <w:t>Journal of Business and Psychology</w:t>
      </w:r>
      <w:r w:rsidRPr="00CC2B2B">
        <w:rPr>
          <w:rFonts w:ascii="Arial" w:hAnsi="Arial" w:cs="Arial"/>
        </w:rPr>
        <w:t>, vol. 39, no. 6, pp. 1395–1411.</w:t>
      </w:r>
    </w:p>
    <w:p w14:paraId="16C696D9" w14:textId="5C2B1334" w:rsidR="00CC2B2B" w:rsidRDefault="00CC2B2B" w:rsidP="00CC2B2B">
      <w:pPr>
        <w:spacing w:line="480" w:lineRule="auto"/>
        <w:rPr>
          <w:rFonts w:ascii="Arial" w:hAnsi="Arial" w:cs="Arial"/>
        </w:rPr>
      </w:pPr>
      <w:r w:rsidRPr="00CC2B2B">
        <w:rPr>
          <w:rFonts w:ascii="Arial" w:hAnsi="Arial" w:cs="Arial"/>
        </w:rPr>
        <w:t xml:space="preserve">Yue, CA, Men, LR and Ferguson, MA 2019, ‘Bridging transformational leadership, transparent communication, and employee openness to change: The mediating role of trust’, </w:t>
      </w:r>
      <w:r w:rsidRPr="00CC2B2B">
        <w:rPr>
          <w:rFonts w:ascii="Arial" w:hAnsi="Arial" w:cs="Arial"/>
          <w:i/>
          <w:iCs/>
        </w:rPr>
        <w:t>Public Relations Review</w:t>
      </w:r>
      <w:r w:rsidRPr="00CC2B2B">
        <w:rPr>
          <w:rFonts w:ascii="Arial" w:hAnsi="Arial" w:cs="Arial"/>
        </w:rPr>
        <w:t>, vol. 45, no. 3.</w:t>
      </w:r>
    </w:p>
    <w:p w14:paraId="5F2F3B31" w14:textId="77777777" w:rsidR="00A12E19" w:rsidRDefault="00A12E19" w:rsidP="00CC2B2B">
      <w:pPr>
        <w:spacing w:line="480" w:lineRule="auto"/>
        <w:rPr>
          <w:rFonts w:ascii="Arial" w:hAnsi="Arial" w:cs="Arial"/>
        </w:rPr>
      </w:pPr>
    </w:p>
    <w:p w14:paraId="11F51347" w14:textId="77777777" w:rsidR="00A12E19" w:rsidRDefault="00A12E19" w:rsidP="00CC2B2B">
      <w:pPr>
        <w:spacing w:line="480" w:lineRule="auto"/>
        <w:rPr>
          <w:rFonts w:ascii="Arial" w:hAnsi="Arial" w:cs="Arial"/>
        </w:rPr>
      </w:pPr>
    </w:p>
    <w:p w14:paraId="1F420AFD" w14:textId="1BEE07E8" w:rsidR="00A12E19" w:rsidRDefault="00A12E19" w:rsidP="00CC2B2B">
      <w:pPr>
        <w:spacing w:line="480" w:lineRule="auto"/>
        <w:rPr>
          <w:rFonts w:ascii="Arial" w:hAnsi="Arial" w:cs="Arial"/>
        </w:rPr>
      </w:pPr>
      <w:r>
        <w:rPr>
          <w:rFonts w:ascii="Arial" w:hAnsi="Arial" w:cs="Arial"/>
        </w:rPr>
        <w:lastRenderedPageBreak/>
        <w:t>I attach here my slides because Turnitin give me an error when submitted.</w:t>
      </w:r>
    </w:p>
    <w:p w14:paraId="6D1A01A0" w14:textId="77777777" w:rsidR="00A12E19" w:rsidRDefault="00A12E19" w:rsidP="00CC2B2B">
      <w:pPr>
        <w:spacing w:line="480" w:lineRule="auto"/>
        <w:rPr>
          <w:rFonts w:ascii="Arial" w:hAnsi="Arial" w:cs="Arial"/>
        </w:rPr>
      </w:pPr>
    </w:p>
    <w:p w14:paraId="0C622A95" w14:textId="77777777" w:rsidR="00A12E19" w:rsidRDefault="00A12E19" w:rsidP="00CC2B2B">
      <w:pPr>
        <w:spacing w:line="480" w:lineRule="auto"/>
        <w:rPr>
          <w:rFonts w:ascii="Arial" w:hAnsi="Arial" w:cs="Arial"/>
        </w:rPr>
      </w:pPr>
    </w:p>
    <w:p w14:paraId="30FCBC7E" w14:textId="11E212F4" w:rsidR="00A12E19" w:rsidRPr="000E65B0" w:rsidRDefault="00A12E19" w:rsidP="00CC2B2B">
      <w:pPr>
        <w:spacing w:line="480" w:lineRule="auto"/>
        <w:rPr>
          <w:rFonts w:ascii="Arial" w:hAnsi="Arial" w:cs="Arial"/>
        </w:rPr>
      </w:pPr>
      <w:r>
        <w:rPr>
          <w:rFonts w:ascii="Arial" w:hAnsi="Arial" w:cs="Arial"/>
        </w:rPr>
        <w:object w:dxaOrig="1504" w:dyaOrig="980" w14:anchorId="28FDCD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2pt;height:49.2pt" o:ole="">
            <v:imagedata r:id="rId7" o:title=""/>
          </v:shape>
          <o:OLEObject Type="Embed" ProgID="PowerPoint.Show.12" ShapeID="_x0000_i1031" DrawAspect="Icon" ObjectID="_1826731908" r:id="rId8"/>
        </w:object>
      </w:r>
    </w:p>
    <w:sectPr w:rsidR="00A12E19" w:rsidRPr="000E65B0" w:rsidSect="00CC2B2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4BC56" w14:textId="77777777" w:rsidR="006D595D" w:rsidRDefault="006D595D" w:rsidP="00AC3E4D">
      <w:pPr>
        <w:spacing w:after="0" w:line="240" w:lineRule="auto"/>
      </w:pPr>
      <w:r>
        <w:separator/>
      </w:r>
    </w:p>
  </w:endnote>
  <w:endnote w:type="continuationSeparator" w:id="0">
    <w:p w14:paraId="66A25A79" w14:textId="77777777" w:rsidR="006D595D" w:rsidRDefault="006D595D" w:rsidP="00AC3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E763A" w14:textId="3D6D1C16" w:rsidR="00AC3E4D" w:rsidRDefault="00AC3E4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1DDB3F2D" wp14:editId="7F136A4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4C7AC1"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E0E41" w14:textId="77777777" w:rsidR="006D595D" w:rsidRDefault="006D595D" w:rsidP="00AC3E4D">
      <w:pPr>
        <w:spacing w:after="0" w:line="240" w:lineRule="auto"/>
      </w:pPr>
      <w:r>
        <w:separator/>
      </w:r>
    </w:p>
  </w:footnote>
  <w:footnote w:type="continuationSeparator" w:id="0">
    <w:p w14:paraId="5CAA2172" w14:textId="77777777" w:rsidR="006D595D" w:rsidRDefault="006D595D" w:rsidP="00AC3E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3A4428"/>
    <w:multiLevelType w:val="hybridMultilevel"/>
    <w:tmpl w:val="E440F8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2119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5B0"/>
    <w:rsid w:val="000E65B0"/>
    <w:rsid w:val="00207DB3"/>
    <w:rsid w:val="006D595D"/>
    <w:rsid w:val="00A12E19"/>
    <w:rsid w:val="00AC3E4D"/>
    <w:rsid w:val="00CC2B2B"/>
    <w:rsid w:val="00E412A2"/>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77349"/>
  <w15:chartTrackingRefBased/>
  <w15:docId w15:val="{332FCE7B-FB70-4B06-B6F0-EDED0D7D7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5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65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5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5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5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5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5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5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5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65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65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5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5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5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5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5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5B0"/>
    <w:rPr>
      <w:rFonts w:eastAsiaTheme="majorEastAsia" w:cstheme="majorBidi"/>
      <w:color w:val="272727" w:themeColor="text1" w:themeTint="D8"/>
    </w:rPr>
  </w:style>
  <w:style w:type="paragraph" w:styleId="Title">
    <w:name w:val="Title"/>
    <w:basedOn w:val="Normal"/>
    <w:next w:val="Normal"/>
    <w:link w:val="TitleChar"/>
    <w:uiPriority w:val="10"/>
    <w:qFormat/>
    <w:rsid w:val="000E65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5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5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5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5B0"/>
    <w:pPr>
      <w:spacing w:before="160"/>
      <w:jc w:val="center"/>
    </w:pPr>
    <w:rPr>
      <w:i/>
      <w:iCs/>
      <w:color w:val="404040" w:themeColor="text1" w:themeTint="BF"/>
    </w:rPr>
  </w:style>
  <w:style w:type="character" w:customStyle="1" w:styleId="QuoteChar">
    <w:name w:val="Quote Char"/>
    <w:basedOn w:val="DefaultParagraphFont"/>
    <w:link w:val="Quote"/>
    <w:uiPriority w:val="29"/>
    <w:rsid w:val="000E65B0"/>
    <w:rPr>
      <w:i/>
      <w:iCs/>
      <w:color w:val="404040" w:themeColor="text1" w:themeTint="BF"/>
    </w:rPr>
  </w:style>
  <w:style w:type="paragraph" w:styleId="ListParagraph">
    <w:name w:val="List Paragraph"/>
    <w:basedOn w:val="Normal"/>
    <w:uiPriority w:val="34"/>
    <w:qFormat/>
    <w:rsid w:val="000E65B0"/>
    <w:pPr>
      <w:ind w:left="720"/>
      <w:contextualSpacing/>
    </w:pPr>
  </w:style>
  <w:style w:type="character" w:styleId="IntenseEmphasis">
    <w:name w:val="Intense Emphasis"/>
    <w:basedOn w:val="DefaultParagraphFont"/>
    <w:uiPriority w:val="21"/>
    <w:qFormat/>
    <w:rsid w:val="000E65B0"/>
    <w:rPr>
      <w:i/>
      <w:iCs/>
      <w:color w:val="0F4761" w:themeColor="accent1" w:themeShade="BF"/>
    </w:rPr>
  </w:style>
  <w:style w:type="paragraph" w:styleId="IntenseQuote">
    <w:name w:val="Intense Quote"/>
    <w:basedOn w:val="Normal"/>
    <w:next w:val="Normal"/>
    <w:link w:val="IntenseQuoteChar"/>
    <w:uiPriority w:val="30"/>
    <w:qFormat/>
    <w:rsid w:val="000E65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5B0"/>
    <w:rPr>
      <w:i/>
      <w:iCs/>
      <w:color w:val="0F4761" w:themeColor="accent1" w:themeShade="BF"/>
    </w:rPr>
  </w:style>
  <w:style w:type="character" w:styleId="IntenseReference">
    <w:name w:val="Intense Reference"/>
    <w:basedOn w:val="DefaultParagraphFont"/>
    <w:uiPriority w:val="32"/>
    <w:qFormat/>
    <w:rsid w:val="000E65B0"/>
    <w:rPr>
      <w:b/>
      <w:bCs/>
      <w:smallCaps/>
      <w:color w:val="0F4761" w:themeColor="accent1" w:themeShade="BF"/>
      <w:spacing w:val="5"/>
    </w:rPr>
  </w:style>
  <w:style w:type="paragraph" w:styleId="Header">
    <w:name w:val="header"/>
    <w:basedOn w:val="Normal"/>
    <w:link w:val="HeaderChar"/>
    <w:uiPriority w:val="99"/>
    <w:unhideWhenUsed/>
    <w:rsid w:val="00AC3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E4D"/>
  </w:style>
  <w:style w:type="paragraph" w:styleId="Footer">
    <w:name w:val="footer"/>
    <w:basedOn w:val="Normal"/>
    <w:link w:val="FooterChar"/>
    <w:uiPriority w:val="99"/>
    <w:unhideWhenUsed/>
    <w:rsid w:val="00AC3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E4D"/>
  </w:style>
  <w:style w:type="paragraph" w:styleId="NoSpacing">
    <w:name w:val="No Spacing"/>
    <w:link w:val="NoSpacingChar"/>
    <w:uiPriority w:val="1"/>
    <w:qFormat/>
    <w:rsid w:val="00CC2B2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C2B2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8C94FC0A2E14C40BBAF81A1E649D650"/>
        <w:category>
          <w:name w:val="General"/>
          <w:gallery w:val="placeholder"/>
        </w:category>
        <w:types>
          <w:type w:val="bbPlcHdr"/>
        </w:types>
        <w:behaviors>
          <w:behavior w:val="content"/>
        </w:behaviors>
        <w:guid w:val="{B5159CCD-A66B-47A7-A4DB-9D5A66466A40}"/>
      </w:docPartPr>
      <w:docPartBody>
        <w:p w:rsidR="00C25124" w:rsidRDefault="007A0764" w:rsidP="007A0764">
          <w:pPr>
            <w:pStyle w:val="78C94FC0A2E14C40BBAF81A1E649D65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764"/>
    <w:rsid w:val="004D6B29"/>
    <w:rsid w:val="007A0764"/>
    <w:rsid w:val="00C25124"/>
    <w:rsid w:val="00CD3200"/>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C94FC0A2E14C40BBAF81A1E649D650">
    <w:name w:val="78C94FC0A2E14C40BBAF81A1E649D650"/>
    <w:rsid w:val="007A07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1063</Words>
  <Characters>6062</Characters>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2025-12-08T20:04:00Z</dcterms:created>
  <dcterms:modified xsi:type="dcterms:W3CDTF">2025-12-08T20:44:00Z</dcterms:modified>
</cp:coreProperties>
</file>