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5A7CA9" w14:textId="2F9175C4" w:rsidR="00096A37" w:rsidRPr="00096A37" w:rsidRDefault="00096A37" w:rsidP="00096A37">
      <w:pPr>
        <w:rPr>
          <w:lang w:val="en-GB"/>
        </w:rPr>
      </w:pPr>
      <w:r w:rsidRPr="00096A37">
        <w:rPr>
          <w:lang w:val="en-GB"/>
        </w:rPr>
        <w:t xml:space="preserve">                                     </w:t>
      </w:r>
      <w:r w:rsidRPr="00096A37">
        <w:rPr>
          <w:lang w:val="en-GB"/>
        </w:rPr>
        <w:drawing>
          <wp:inline distT="0" distB="0" distL="0" distR="0" wp14:anchorId="106427E0" wp14:editId="17AEFFA1">
            <wp:extent cx="3524250" cy="1400175"/>
            <wp:effectExtent l="0" t="0" r="0" b="9525"/>
            <wp:docPr id="88438036" name="Picture 2"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2794449"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4250" cy="1400175"/>
                    </a:xfrm>
                    <a:prstGeom prst="rect">
                      <a:avLst/>
                    </a:prstGeom>
                    <a:noFill/>
                    <a:ln>
                      <a:noFill/>
                    </a:ln>
                  </pic:spPr>
                </pic:pic>
              </a:graphicData>
            </a:graphic>
          </wp:inline>
        </w:drawing>
      </w:r>
    </w:p>
    <w:p w14:paraId="436D59C1" w14:textId="77777777" w:rsidR="00096A37" w:rsidRPr="00096A37" w:rsidRDefault="00096A37" w:rsidP="00096A37">
      <w:pPr>
        <w:rPr>
          <w:lang w:val="en-GB"/>
        </w:rPr>
      </w:pPr>
    </w:p>
    <w:p w14:paraId="55190C6A" w14:textId="77777777" w:rsidR="00096A37" w:rsidRPr="00096A37" w:rsidRDefault="00096A37" w:rsidP="00096A37">
      <w:pPr>
        <w:rPr>
          <w:lang w:val="en-GB"/>
        </w:rPr>
      </w:pPr>
    </w:p>
    <w:p w14:paraId="3CFE2D67" w14:textId="77777777" w:rsidR="00096A37" w:rsidRPr="00096A37" w:rsidRDefault="00096A37" w:rsidP="00096A37">
      <w:pPr>
        <w:rPr>
          <w:b/>
          <w:bCs/>
          <w:lang w:val="en-GB"/>
        </w:rPr>
      </w:pPr>
      <w:r w:rsidRPr="00096A37">
        <w:rPr>
          <w:b/>
          <w:bCs/>
          <w:lang w:val="en-GB"/>
        </w:rPr>
        <w:t>Cod y Modiwl:  ECAD5014C</w:t>
      </w:r>
    </w:p>
    <w:p w14:paraId="7E209BA9" w14:textId="77777777" w:rsidR="00096A37" w:rsidRPr="00096A37" w:rsidRDefault="00096A37" w:rsidP="00096A37">
      <w:pPr>
        <w:rPr>
          <w:b/>
          <w:bCs/>
          <w:lang w:val="en-GB"/>
        </w:rPr>
      </w:pPr>
    </w:p>
    <w:p w14:paraId="44009B07" w14:textId="77777777" w:rsidR="00096A37" w:rsidRPr="00096A37" w:rsidRDefault="00096A37" w:rsidP="00096A37">
      <w:pPr>
        <w:rPr>
          <w:b/>
          <w:bCs/>
          <w:lang w:val="en-GB"/>
        </w:rPr>
      </w:pPr>
      <w:r w:rsidRPr="00096A37">
        <w:rPr>
          <w:b/>
          <w:bCs/>
          <w:lang w:val="en-GB"/>
        </w:rPr>
        <w:t xml:space="preserve">Teitl yr Aseiniad: </w:t>
      </w:r>
    </w:p>
    <w:p w14:paraId="66484677" w14:textId="77777777" w:rsidR="00096A37" w:rsidRPr="00096A37" w:rsidRDefault="00096A37" w:rsidP="00096A37">
      <w:pPr>
        <w:rPr>
          <w:b/>
          <w:bCs/>
          <w:lang w:val="en-GB"/>
        </w:rPr>
      </w:pPr>
      <w:r w:rsidRPr="00096A37">
        <w:rPr>
          <w:b/>
          <w:bCs/>
          <w:lang w:val="en-GB"/>
        </w:rPr>
        <w:t>Dylunio a chynnal astudiaeth ymchwil ar raddfa fach, a gwerthuso’n feirniadol yr offer a ddewiswyd, ac effaith eich canfyddiadau ar eich arfer proffesiynol.</w:t>
      </w:r>
    </w:p>
    <w:p w14:paraId="7DC424C9" w14:textId="77777777" w:rsidR="00096A37" w:rsidRPr="00096A37" w:rsidRDefault="00096A37" w:rsidP="00096A37">
      <w:pPr>
        <w:rPr>
          <w:b/>
          <w:bCs/>
          <w:lang w:val="en-GB"/>
        </w:rPr>
      </w:pPr>
    </w:p>
    <w:p w14:paraId="68C41FE3" w14:textId="77777777" w:rsidR="00096A37" w:rsidRPr="00096A37" w:rsidRDefault="00096A37" w:rsidP="00096A37">
      <w:pPr>
        <w:rPr>
          <w:b/>
          <w:bCs/>
          <w:lang w:val="en-GB"/>
        </w:rPr>
      </w:pPr>
      <w:r w:rsidRPr="00096A37">
        <w:rPr>
          <w:b/>
          <w:bCs/>
          <w:lang w:val="en-GB"/>
        </w:rPr>
        <w:t>Enw myfyriwr: Joseph Pugh</w:t>
      </w:r>
    </w:p>
    <w:p w14:paraId="470844D2" w14:textId="77777777" w:rsidR="00096A37" w:rsidRPr="00096A37" w:rsidRDefault="00096A37" w:rsidP="00096A37">
      <w:pPr>
        <w:rPr>
          <w:b/>
          <w:bCs/>
          <w:lang w:val="en-GB"/>
        </w:rPr>
      </w:pPr>
      <w:r w:rsidRPr="00096A37">
        <w:rPr>
          <w:b/>
          <w:bCs/>
          <w:lang w:val="en-GB"/>
        </w:rPr>
        <w:t>Rhif myfyriwr: 2304903</w:t>
      </w:r>
    </w:p>
    <w:p w14:paraId="234501B6" w14:textId="77777777" w:rsidR="00096A37" w:rsidRPr="00096A37" w:rsidRDefault="00096A37" w:rsidP="00096A37">
      <w:pPr>
        <w:rPr>
          <w:b/>
          <w:bCs/>
          <w:lang w:val="en-GB"/>
        </w:rPr>
      </w:pPr>
    </w:p>
    <w:p w14:paraId="295F594B" w14:textId="77777777" w:rsidR="00096A37" w:rsidRPr="00096A37" w:rsidRDefault="00096A37" w:rsidP="00096A37">
      <w:pPr>
        <w:rPr>
          <w:b/>
          <w:bCs/>
          <w:lang w:val="en-GB"/>
        </w:rPr>
      </w:pPr>
      <w:r w:rsidRPr="00096A37">
        <w:rPr>
          <w:b/>
          <w:bCs/>
          <w:lang w:val="en-GB"/>
        </w:rPr>
        <w:t>BA Addysg Gynradd (SAC)</w:t>
      </w:r>
    </w:p>
    <w:p w14:paraId="49F1523C" w14:textId="77777777" w:rsidR="00096A37" w:rsidRPr="00096A37" w:rsidRDefault="00096A37" w:rsidP="00096A37">
      <w:pPr>
        <w:rPr>
          <w:b/>
          <w:bCs/>
          <w:u w:val="single"/>
          <w:lang w:val="en-GB"/>
        </w:rPr>
      </w:pPr>
      <w:r w:rsidRPr="00096A37">
        <w:rPr>
          <w:b/>
          <w:bCs/>
          <w:u w:val="single"/>
          <w:lang w:val="en-GB"/>
        </w:rPr>
        <w:t>Cydnabyddiaeth AI (Deallusrwydd Artiffisial)</w:t>
      </w:r>
    </w:p>
    <w:p w14:paraId="49ECA648" w14:textId="77777777" w:rsidR="00096A37" w:rsidRPr="00096A37" w:rsidRDefault="00096A37" w:rsidP="00096A37">
      <w:pPr>
        <w:rPr>
          <w:lang w:val="en-GB"/>
        </w:rPr>
      </w:pPr>
    </w:p>
    <w:p w14:paraId="16B3F3DF" w14:textId="77777777" w:rsidR="00096A37" w:rsidRPr="00096A37" w:rsidRDefault="00096A37" w:rsidP="00096A37">
      <w:pPr>
        <w:rPr>
          <w:lang w:val="en-GB"/>
        </w:rPr>
      </w:pPr>
      <w:r w:rsidRPr="00096A37">
        <w:rPr>
          <w:lang w:val="en-GB"/>
        </w:rPr>
        <w:t xml:space="preserve">Rwy’n cydnabod y defnydd o [ChatGPTl] (https://chatgpt.com/) ar [13/03/2025] i [Er mwyn cyfeirnodi]. Defnyddiais yr anogwr(wyr): </w:t>
      </w:r>
    </w:p>
    <w:p w14:paraId="109F7214" w14:textId="77777777" w:rsidR="00096A37" w:rsidRPr="00096A37" w:rsidRDefault="00096A37" w:rsidP="00096A37">
      <w:pPr>
        <w:numPr>
          <w:ilvl w:val="0"/>
          <w:numId w:val="3"/>
        </w:numPr>
        <w:rPr>
          <w:lang w:val="en-GB"/>
        </w:rPr>
      </w:pPr>
      <w:r w:rsidRPr="00096A37">
        <w:rPr>
          <w:lang w:val="en-GB"/>
        </w:rPr>
        <w:t>Rhowch enghraifft o cyfeiriad am.......</w:t>
      </w:r>
    </w:p>
    <w:p w14:paraId="4FE8285B" w14:textId="77777777" w:rsidR="00096A37" w:rsidRPr="00096A37" w:rsidRDefault="00096A37" w:rsidP="00096A37">
      <w:pPr>
        <w:numPr>
          <w:ilvl w:val="0"/>
          <w:numId w:val="3"/>
        </w:numPr>
        <w:rPr>
          <w:lang w:val="en-GB"/>
        </w:rPr>
      </w:pPr>
      <w:r w:rsidRPr="00096A37">
        <w:rPr>
          <w:lang w:val="en-GB"/>
        </w:rPr>
        <w:t>Rhestr fy cyfeiriadau yn y steil Harvard</w:t>
      </w:r>
    </w:p>
    <w:p w14:paraId="186102A7" w14:textId="77777777" w:rsidR="00096A37" w:rsidRPr="00096A37" w:rsidRDefault="00096A37" w:rsidP="00096A37">
      <w:pPr>
        <w:rPr>
          <w:lang w:val="en-GB"/>
        </w:rPr>
      </w:pPr>
    </w:p>
    <w:p w14:paraId="5CAF811B" w14:textId="77777777" w:rsidR="00096A37" w:rsidRPr="00096A37" w:rsidRDefault="00096A37" w:rsidP="00096A37">
      <w:pPr>
        <w:rPr>
          <w:lang w:val="en-GB"/>
        </w:rPr>
      </w:pPr>
      <w:r w:rsidRPr="00096A37">
        <w:rPr>
          <w:lang w:val="en-GB"/>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tbl>
      <w:tblPr>
        <w:tblStyle w:val="TableGrid"/>
        <w:tblpPr w:leftFromText="180" w:rightFromText="180" w:vertAnchor="text" w:horzAnchor="margin" w:tblpY="325"/>
        <w:tblW w:w="9282" w:type="dxa"/>
        <w:tblLook w:val="04A0" w:firstRow="1" w:lastRow="0" w:firstColumn="1" w:lastColumn="0" w:noHBand="0" w:noVBand="1"/>
      </w:tblPr>
      <w:tblGrid>
        <w:gridCol w:w="3256"/>
        <w:gridCol w:w="3118"/>
        <w:gridCol w:w="2908"/>
      </w:tblGrid>
      <w:tr w:rsidR="00096A37" w:rsidRPr="00096A37" w14:paraId="4856DE13" w14:textId="77777777" w:rsidTr="00096A37">
        <w:trPr>
          <w:trHeight w:val="360"/>
        </w:trPr>
        <w:tc>
          <w:tcPr>
            <w:tcW w:w="3256" w:type="dxa"/>
            <w:tcBorders>
              <w:top w:val="single" w:sz="4" w:space="0" w:color="auto"/>
              <w:left w:val="single" w:sz="4" w:space="0" w:color="auto"/>
              <w:bottom w:val="single" w:sz="4" w:space="0" w:color="auto"/>
              <w:right w:val="single" w:sz="4" w:space="0" w:color="auto"/>
            </w:tcBorders>
            <w:hideMark/>
          </w:tcPr>
          <w:p w14:paraId="53F8CABD" w14:textId="77777777" w:rsidR="00096A37" w:rsidRPr="00096A37" w:rsidRDefault="00096A37" w:rsidP="00096A37">
            <w:pPr>
              <w:spacing w:after="160" w:line="278" w:lineRule="auto"/>
            </w:pPr>
            <w:r w:rsidRPr="00096A37">
              <w:lastRenderedPageBreak/>
              <w:t>Targedau o’r adborth modwl diwethaf</w:t>
            </w:r>
          </w:p>
        </w:tc>
        <w:tc>
          <w:tcPr>
            <w:tcW w:w="3118" w:type="dxa"/>
            <w:tcBorders>
              <w:top w:val="single" w:sz="4" w:space="0" w:color="auto"/>
              <w:left w:val="single" w:sz="4" w:space="0" w:color="auto"/>
              <w:bottom w:val="single" w:sz="4" w:space="0" w:color="auto"/>
              <w:right w:val="single" w:sz="4" w:space="0" w:color="auto"/>
            </w:tcBorders>
            <w:hideMark/>
          </w:tcPr>
          <w:p w14:paraId="0A869E03" w14:textId="77777777" w:rsidR="00096A37" w:rsidRPr="00096A37" w:rsidRDefault="00096A37" w:rsidP="00096A37">
            <w:pPr>
              <w:spacing w:after="160" w:line="278" w:lineRule="auto"/>
            </w:pPr>
            <w:r w:rsidRPr="00096A37">
              <w:t>Sut ydych wedi gweithio ar hwn?</w:t>
            </w:r>
          </w:p>
        </w:tc>
        <w:tc>
          <w:tcPr>
            <w:tcW w:w="2908" w:type="dxa"/>
            <w:tcBorders>
              <w:top w:val="single" w:sz="4" w:space="0" w:color="auto"/>
              <w:left w:val="single" w:sz="4" w:space="0" w:color="auto"/>
              <w:bottom w:val="single" w:sz="4" w:space="0" w:color="auto"/>
              <w:right w:val="single" w:sz="4" w:space="0" w:color="auto"/>
            </w:tcBorders>
          </w:tcPr>
          <w:p w14:paraId="69689B66" w14:textId="77777777" w:rsidR="00096A37" w:rsidRPr="00096A37" w:rsidRDefault="00096A37" w:rsidP="00096A37">
            <w:pPr>
              <w:spacing w:after="160" w:line="278" w:lineRule="auto"/>
            </w:pPr>
            <w:r w:rsidRPr="00096A37">
              <w:t>Mae enghraifft ar gael yn...</w:t>
            </w:r>
          </w:p>
          <w:p w14:paraId="6D1E8EBD" w14:textId="77777777" w:rsidR="00096A37" w:rsidRPr="00096A37" w:rsidRDefault="00096A37" w:rsidP="00096A37">
            <w:pPr>
              <w:spacing w:after="160" w:line="278" w:lineRule="auto"/>
            </w:pPr>
          </w:p>
        </w:tc>
      </w:tr>
      <w:tr w:rsidR="00096A37" w:rsidRPr="00096A37" w14:paraId="59250A72" w14:textId="77777777" w:rsidTr="00096A37">
        <w:trPr>
          <w:trHeight w:val="338"/>
        </w:trPr>
        <w:tc>
          <w:tcPr>
            <w:tcW w:w="3256" w:type="dxa"/>
            <w:tcBorders>
              <w:top w:val="single" w:sz="4" w:space="0" w:color="auto"/>
              <w:left w:val="single" w:sz="4" w:space="0" w:color="auto"/>
              <w:bottom w:val="single" w:sz="4" w:space="0" w:color="auto"/>
              <w:right w:val="single" w:sz="4" w:space="0" w:color="auto"/>
            </w:tcBorders>
          </w:tcPr>
          <w:p w14:paraId="47924AA8" w14:textId="77777777" w:rsidR="00096A37" w:rsidRPr="00096A37" w:rsidRDefault="00096A37" w:rsidP="00096A37">
            <w:pPr>
              <w:spacing w:after="160" w:line="278" w:lineRule="auto"/>
            </w:pPr>
            <w:r w:rsidRPr="00096A37">
              <w:rPr>
                <w:lang w:val="en-GB"/>
              </w:rPr>
              <w:t>*Prawf ddarllen dy waith yn ofalus i osgoi gwallau cyfieithu a gwirio'r gystrawen.</w:t>
            </w:r>
          </w:p>
          <w:p w14:paraId="5246DB02" w14:textId="77777777" w:rsidR="00096A37" w:rsidRPr="00096A37" w:rsidRDefault="00096A37" w:rsidP="00096A37">
            <w:pPr>
              <w:spacing w:after="160" w:line="278" w:lineRule="auto"/>
            </w:pPr>
          </w:p>
        </w:tc>
        <w:tc>
          <w:tcPr>
            <w:tcW w:w="3118" w:type="dxa"/>
            <w:tcBorders>
              <w:top w:val="single" w:sz="4" w:space="0" w:color="auto"/>
              <w:left w:val="single" w:sz="4" w:space="0" w:color="auto"/>
              <w:bottom w:val="single" w:sz="4" w:space="0" w:color="auto"/>
              <w:right w:val="single" w:sz="4" w:space="0" w:color="auto"/>
            </w:tcBorders>
            <w:hideMark/>
          </w:tcPr>
          <w:p w14:paraId="034CBC9D" w14:textId="77777777" w:rsidR="00096A37" w:rsidRPr="00096A37" w:rsidRDefault="00096A37" w:rsidP="00096A37">
            <w:pPr>
              <w:spacing w:after="160" w:line="278" w:lineRule="auto"/>
            </w:pPr>
            <w:r w:rsidRPr="00096A37">
              <w:t>I prawf ddarllen yn ofalus a chael rhywun i edrych dros fy nghwaith  ac defnyddio cysill</w:t>
            </w:r>
          </w:p>
        </w:tc>
        <w:tc>
          <w:tcPr>
            <w:tcW w:w="2908" w:type="dxa"/>
            <w:tcBorders>
              <w:top w:val="single" w:sz="4" w:space="0" w:color="auto"/>
              <w:left w:val="single" w:sz="4" w:space="0" w:color="auto"/>
              <w:bottom w:val="single" w:sz="4" w:space="0" w:color="auto"/>
              <w:right w:val="single" w:sz="4" w:space="0" w:color="auto"/>
            </w:tcBorders>
          </w:tcPr>
          <w:p w14:paraId="31EC8131" w14:textId="77777777" w:rsidR="00096A37" w:rsidRPr="00096A37" w:rsidRDefault="00096A37" w:rsidP="00096A37">
            <w:pPr>
              <w:spacing w:after="160" w:line="278" w:lineRule="auto"/>
            </w:pPr>
          </w:p>
        </w:tc>
      </w:tr>
      <w:tr w:rsidR="00096A37" w:rsidRPr="00096A37" w14:paraId="2DA2E9E4" w14:textId="77777777" w:rsidTr="00096A37">
        <w:trPr>
          <w:trHeight w:val="338"/>
        </w:trPr>
        <w:tc>
          <w:tcPr>
            <w:tcW w:w="3256" w:type="dxa"/>
            <w:tcBorders>
              <w:top w:val="single" w:sz="4" w:space="0" w:color="auto"/>
              <w:left w:val="single" w:sz="4" w:space="0" w:color="auto"/>
              <w:bottom w:val="single" w:sz="4" w:space="0" w:color="auto"/>
              <w:right w:val="single" w:sz="4" w:space="0" w:color="auto"/>
            </w:tcBorders>
          </w:tcPr>
          <w:p w14:paraId="7D0E997E" w14:textId="77777777" w:rsidR="00096A37" w:rsidRPr="00096A37" w:rsidRDefault="00096A37" w:rsidP="00096A37">
            <w:pPr>
              <w:spacing w:after="160" w:line="278" w:lineRule="auto"/>
              <w:rPr>
                <w:lang w:val="en-GB"/>
              </w:rPr>
            </w:pPr>
            <w:r w:rsidRPr="00096A37">
              <w:rPr>
                <w:lang w:val="en-GB"/>
              </w:rPr>
              <w:t>*Mabwysiadu arddull ysgrifennu academaidd  gan ddefnyddio Can Canllaw.</w:t>
            </w:r>
          </w:p>
          <w:p w14:paraId="34236E0F" w14:textId="77777777" w:rsidR="00096A37" w:rsidRPr="00096A37" w:rsidRDefault="00096A37" w:rsidP="00096A37">
            <w:pPr>
              <w:spacing w:after="160" w:line="278" w:lineRule="auto"/>
            </w:pPr>
          </w:p>
          <w:p w14:paraId="4E4215E2" w14:textId="77777777" w:rsidR="00096A37" w:rsidRPr="00096A37" w:rsidRDefault="00096A37" w:rsidP="00096A37">
            <w:pPr>
              <w:spacing w:after="160" w:line="278" w:lineRule="auto"/>
            </w:pPr>
          </w:p>
        </w:tc>
        <w:tc>
          <w:tcPr>
            <w:tcW w:w="3118" w:type="dxa"/>
            <w:tcBorders>
              <w:top w:val="single" w:sz="4" w:space="0" w:color="auto"/>
              <w:left w:val="single" w:sz="4" w:space="0" w:color="auto"/>
              <w:bottom w:val="single" w:sz="4" w:space="0" w:color="auto"/>
              <w:right w:val="single" w:sz="4" w:space="0" w:color="auto"/>
            </w:tcBorders>
            <w:hideMark/>
          </w:tcPr>
          <w:p w14:paraId="584E502C" w14:textId="77777777" w:rsidR="00096A37" w:rsidRPr="00096A37" w:rsidRDefault="00096A37" w:rsidP="00096A37">
            <w:pPr>
              <w:spacing w:after="160" w:line="278" w:lineRule="auto"/>
            </w:pPr>
            <w:r w:rsidRPr="00096A37">
              <w:t>Defnyddio can canllawiau i helpu fy ysgrifennu academaidd</w:t>
            </w:r>
          </w:p>
        </w:tc>
        <w:tc>
          <w:tcPr>
            <w:tcW w:w="2908" w:type="dxa"/>
            <w:tcBorders>
              <w:top w:val="single" w:sz="4" w:space="0" w:color="auto"/>
              <w:left w:val="single" w:sz="4" w:space="0" w:color="auto"/>
              <w:bottom w:val="single" w:sz="4" w:space="0" w:color="auto"/>
              <w:right w:val="single" w:sz="4" w:space="0" w:color="auto"/>
            </w:tcBorders>
          </w:tcPr>
          <w:p w14:paraId="4F66965A" w14:textId="77777777" w:rsidR="00096A37" w:rsidRPr="00096A37" w:rsidRDefault="00096A37" w:rsidP="00096A37">
            <w:pPr>
              <w:spacing w:after="160" w:line="278" w:lineRule="auto"/>
            </w:pPr>
          </w:p>
        </w:tc>
      </w:tr>
      <w:tr w:rsidR="00096A37" w:rsidRPr="00096A37" w14:paraId="0925D02D" w14:textId="77777777" w:rsidTr="00096A37">
        <w:trPr>
          <w:trHeight w:val="338"/>
        </w:trPr>
        <w:tc>
          <w:tcPr>
            <w:tcW w:w="3256" w:type="dxa"/>
            <w:tcBorders>
              <w:top w:val="single" w:sz="4" w:space="0" w:color="auto"/>
              <w:left w:val="single" w:sz="4" w:space="0" w:color="auto"/>
              <w:bottom w:val="single" w:sz="4" w:space="0" w:color="auto"/>
              <w:right w:val="single" w:sz="4" w:space="0" w:color="auto"/>
            </w:tcBorders>
          </w:tcPr>
          <w:p w14:paraId="5DF39895" w14:textId="77777777" w:rsidR="00096A37" w:rsidRPr="00096A37" w:rsidRDefault="00096A37" w:rsidP="00096A37">
            <w:pPr>
              <w:spacing w:after="160" w:line="278" w:lineRule="auto"/>
            </w:pPr>
          </w:p>
          <w:p w14:paraId="65317447" w14:textId="77777777" w:rsidR="00096A37" w:rsidRPr="00096A37" w:rsidRDefault="00096A37" w:rsidP="00096A37">
            <w:pPr>
              <w:spacing w:after="160" w:line="278" w:lineRule="auto"/>
            </w:pPr>
            <w:r w:rsidRPr="00096A37">
              <w:rPr>
                <w:lang w:val="en-GB"/>
              </w:rPr>
              <w:t>*Parhau i syntheseiddio ymchwil i'r gwaith.</w:t>
            </w:r>
          </w:p>
        </w:tc>
        <w:tc>
          <w:tcPr>
            <w:tcW w:w="3118" w:type="dxa"/>
            <w:tcBorders>
              <w:top w:val="single" w:sz="4" w:space="0" w:color="auto"/>
              <w:left w:val="single" w:sz="4" w:space="0" w:color="auto"/>
              <w:bottom w:val="single" w:sz="4" w:space="0" w:color="auto"/>
              <w:right w:val="single" w:sz="4" w:space="0" w:color="auto"/>
            </w:tcBorders>
            <w:hideMark/>
          </w:tcPr>
          <w:p w14:paraId="3546B411" w14:textId="77777777" w:rsidR="00096A37" w:rsidRPr="00096A37" w:rsidRDefault="00096A37" w:rsidP="00096A37">
            <w:pPr>
              <w:spacing w:after="160" w:line="278" w:lineRule="auto"/>
            </w:pPr>
            <w:r w:rsidRPr="00096A37">
              <w:t>Parhau i syntheseiddio trwy defnyddio fy ymchwil</w:t>
            </w:r>
          </w:p>
        </w:tc>
        <w:tc>
          <w:tcPr>
            <w:tcW w:w="2908" w:type="dxa"/>
            <w:tcBorders>
              <w:top w:val="single" w:sz="4" w:space="0" w:color="auto"/>
              <w:left w:val="single" w:sz="4" w:space="0" w:color="auto"/>
              <w:bottom w:val="single" w:sz="4" w:space="0" w:color="auto"/>
              <w:right w:val="single" w:sz="4" w:space="0" w:color="auto"/>
            </w:tcBorders>
          </w:tcPr>
          <w:p w14:paraId="7476B5B5" w14:textId="77777777" w:rsidR="00096A37" w:rsidRPr="00096A37" w:rsidRDefault="00096A37" w:rsidP="00096A37">
            <w:pPr>
              <w:spacing w:after="160" w:line="278" w:lineRule="auto"/>
            </w:pPr>
          </w:p>
        </w:tc>
      </w:tr>
    </w:tbl>
    <w:p w14:paraId="0AB005B9" w14:textId="77777777" w:rsidR="00096A37" w:rsidRPr="00096A37" w:rsidRDefault="00096A37" w:rsidP="00096A37">
      <w:pPr>
        <w:rPr>
          <w:lang w:val="en-GB"/>
        </w:rPr>
      </w:pPr>
    </w:p>
    <w:p w14:paraId="10C8EACE" w14:textId="77777777" w:rsidR="00C32E19" w:rsidRDefault="00C32E19"/>
    <w:p w14:paraId="126EB9AA" w14:textId="47C411C2" w:rsidR="00096A37" w:rsidRDefault="00096A37">
      <w:r>
        <w:t xml:space="preserve">Cwestiwn Ymcwil – Beth yw barn </w:t>
      </w:r>
      <w:r w:rsidR="00823C66">
        <w:t>disgyblion a staff blwyddyn 6 o ddefnyddio adborth fel ffurf o asesu ar gyfer dysgu?</w:t>
      </w:r>
    </w:p>
    <w:p w14:paraId="076ABEE9" w14:textId="34753D99" w:rsidR="00D629D2" w:rsidRDefault="00D629D2">
      <w:r>
        <w:t xml:space="preserve">Cyflwyniad </w:t>
      </w:r>
    </w:p>
    <w:p w14:paraId="5C42073A" w14:textId="0A5E2EAE" w:rsidR="0013074B" w:rsidRDefault="00B4746E" w:rsidP="00413A65">
      <w:r>
        <w:rPr>
          <w:rFonts w:ascii="Aptos" w:hAnsi="Aptos" w:cs="Aptos"/>
        </w:rPr>
        <w:t>Yn yr aseiniad yma byddwn yn arwain astudiaeth ymchwil yn Ysgol lleoliad ar strategaeth asesu ar gyfer dysgu. Er mwyn cychwyn fy ymchwil roedd angen topic a chwestiwn, felly penderfynais byddwn yn wneud fy ymchwil ar “Adborth” tu fewn yr ystafell ddosbarth. Penderfynais ar y cwestiwn “Beth yw barn disgyblion a staff blwyddyn 6 o ddefnyddio adborth fel ffurf o asesu ar gyfer dysgu?”. Wnes i’r ymchwil gyda Blwyddyn 6 a defnyddiais dau offeryn ymchwil sef holiadur a chyfweliad. Byddaf yn defnyddio cwestiynau am farn y disgyblion er mwyn ddarganfod pa fath o adborth yn fwyaf buddiol yn dysgu ac i’r plant. Bydd yr holiadur yn cael ei ofyn i ddisgyblion blwyddyn 6 a chyfweliad i’r athrawon y dosbarth. Mae adborth yn Asesu ar gyfer dysgu (AagD) yn helpu disgyblion i ddeall ei chynnydd a sut i wella. Mae'n darparu arweiniad ar gryfderau ac ardal i wella. Mae’r Cwricwlwm i Gymru (2022) yn pwysleisio y dylai asesu fod yn broses barhaus, lle mae adborth yn chwarae rhan allweddol wrth helpu dysgwyr i ddeall eu cryfderau a’u meysydd i’w gwella, gan alinio’n uniongyrchol ag egwyddorion AaGD.</w:t>
      </w:r>
    </w:p>
    <w:p w14:paraId="37472C16" w14:textId="77777777" w:rsidR="006B2FE8" w:rsidRDefault="006B2FE8" w:rsidP="00413A65"/>
    <w:p w14:paraId="1708F5C5" w14:textId="0EC3EF59" w:rsidR="00152D1E" w:rsidRDefault="00152D1E" w:rsidP="00413A65">
      <w:r>
        <w:lastRenderedPageBreak/>
        <w:t>Adolygiad Llenyddiaeth</w:t>
      </w:r>
      <w:r w:rsidR="0034599B">
        <w:t xml:space="preserve"> </w:t>
      </w:r>
    </w:p>
    <w:p w14:paraId="1F1CC57F" w14:textId="0FB8B2F7" w:rsidR="001E699E" w:rsidRDefault="00B4746E" w:rsidP="00413A65">
      <w:r>
        <w:rPr>
          <w:rFonts w:ascii="Aptos" w:hAnsi="Aptos" w:cs="Aptos"/>
        </w:rPr>
        <w:t>Mae AagD yn ymwneud â defnyddio asesu i helpu disgyblion i ddysgu, yn hytrach na dim ond i fesur yr hyn maen nhw'n ei wybod. Mae Black and Wiliam (1998) yn tynnu sylw at sut mae adborth rheolaidd yn helpu disgyblion i ddeall eu cynnydd a gwella. Mae AagD yn cadw disgyblion yn ymgysylltu, yn eu hannog i fyfyrio ar eu dysgu, ac yn caniatáu i athrawon addasu gwersi i ddiwallu anghenion unigol (Sadler, 1989). Mae hefyd yn adeiladu meddwl beirniadol ac annibyniaeth, gan helpu myfyrwyr i gymryd cyfrifoldeb am eu dysgu (Wiliam, 2011). Trwy ganolbwyntio ar dwf yn hytrach na graddau yn unig, mae AagD yn wneud addysgu a dysgu yn fwy effeithiol. Yn eu llyfr mae (Black a William, 1998) yn trafod rôl asesu ffurfiannol wrth wella dysgu disgyblion ac yn tynnu sylw at sut y gall strategaethau asesu dosbarth effeithiol wella canlyniadau addysgol. Mae Estyn (2024) yn uwch goleuo fod strategaethau asesu effeithiol yn chwarae rôl hanfodol mewn gwella dysgu ac addysgu trwy ddarparu adborth ystyrlon sydd yn helpu cynnydd disgyblion. Mae adroddiad estyn yn pwysleisio'r pwysigrwydd o ddefnyddio asesu i arwain arferion addysgu a chefnogi datblygiad disgyblion.</w:t>
      </w:r>
    </w:p>
    <w:p w14:paraId="47B78C80" w14:textId="0C28A8AE" w:rsidR="003C7CBC" w:rsidRDefault="00B4746E" w:rsidP="00413A65">
      <w:r>
        <w:rPr>
          <w:rFonts w:ascii="Aptos" w:hAnsi="Aptos" w:cs="Aptos"/>
        </w:rPr>
        <w:t xml:space="preserve">Wrth edrych yn fwy manwl mewn strategaeth adborth, mae Hattie a Timberley (2007) yn esbonio bod adborth mwyaf effeithiol yn helpu disgyblion i ddeall eu cynnydd a pha gamau i’w cymryd nesaf. Maen nhw’n ei rannu’n dri chwestiwn allweddol: Ble ydw i’n mynd? Sut ydw i’n gwneud? a Beth nesaf? Trwy ateb y rhain, mae adborth yn dod yn offeryn pwerus ar gyfer arwain dysgu a gwella. Mae Hattie a Timperley yn dadlau bod adborth yn fwyaf effeithiol pan fydd yn glir ac yn gysylltiedig â gwybodaeth bresennol y dysgwr. Mae'r model hwn yn cyd-fynd â chorff cynyddol o waith ar </w:t>
      </w:r>
      <w:r>
        <w:rPr>
          <w:rFonts w:ascii="Aptos" w:hAnsi="Aptos" w:cs="Aptos"/>
          <w:i/>
          <w:iCs/>
        </w:rPr>
        <w:t>adborth deialog,</w:t>
      </w:r>
      <w:r>
        <w:rPr>
          <w:rFonts w:ascii="Aptos" w:hAnsi="Aptos" w:cs="Aptos"/>
        </w:rPr>
        <w:t xml:space="preserve"> sy'n pwysleisio proses adborth rhyngweithiol lle mae myfyrwyr yn cymryd rhan weithredol mewn trafod a myfyrio ar yr adborth y maent yn ei dderbyn (Carless, 2015). Mae'r persbectif hwn yn cyferbynnu â'r farn fwy traddodiadol o adborth fel stryd unffordd o athro i fyfyriwr, gan agor cyfleoedd ar gyfer proses ddysgu fwy cydweithredol.</w:t>
      </w:r>
    </w:p>
    <w:p w14:paraId="226BD872" w14:textId="172DF3C5" w:rsidR="00173E73" w:rsidRDefault="00B4746E" w:rsidP="00413A65">
      <w:r>
        <w:rPr>
          <w:rFonts w:ascii="Aptos" w:hAnsi="Aptos" w:cs="Aptos"/>
        </w:rPr>
        <w:t xml:space="preserve">Yn fwy diweddar mae ymchwil mewn i adborth wedi canolbwyntio ar ei effaith emosiynol. Mae Winstone and Bound (2020) yn tynnu sylw at y cysyniad o lythrennedd adborth - y gallu i ddeall a defnyddio adborth yn effeithiol - fel ffactor allweddol yn llwyddiant disgyblion. Maen nhw’n dadlau nad yw darparu adborth o ansawdd uchel yn ddigon; Mae angen i ddisgyblion fod yn rhan o ddiwylliant dysgu sy’n eu hannog i ymgysylltu’n weithredol </w:t>
      </w:r>
      <w:r>
        <w:rPr>
          <w:rFonts w:ascii="Calibri" w:hAnsi="Calibri" w:cs="Calibri"/>
        </w:rPr>
        <w:t>â</w:t>
      </w:r>
      <w:r>
        <w:rPr>
          <w:rFonts w:ascii="Aptos" w:hAnsi="Aptos" w:cs="Aptos"/>
        </w:rPr>
        <w:t>’r adborth maen nhw’n ei dderbyn a gweithredu arnynt. Yn yr un modd, Evans (2013) yn nodi bod adborth yn fwy na dim ond cyfnewid gwybodaeth - mae’n hynod bersonol. Gall sut mae disgyblion yn ymateb i adborth yn cael ei siapio gan eu hemosiynau, eu hunan-barch a’r profiadau yn y gorffennol, sy’n golygu y gellir dehongli adborth da mewn ffyrdd annisgwyl.</w:t>
      </w:r>
    </w:p>
    <w:p w14:paraId="6F407A9F" w14:textId="24120AC8" w:rsidR="00966CAE" w:rsidRPr="00966CAE" w:rsidRDefault="00AC322B" w:rsidP="00966CAE">
      <w:pPr>
        <w:rPr>
          <w:lang w:val="en-GB"/>
        </w:rPr>
      </w:pPr>
      <w:r>
        <w:t xml:space="preserve">Mae yna </w:t>
      </w:r>
      <w:r w:rsidR="00942A60">
        <w:t xml:space="preserve">manteision ac anfanteision i </w:t>
      </w:r>
      <w:r w:rsidR="003F3F62">
        <w:t xml:space="preserve">adborth yn yr ysgol. Un o’r fanteision </w:t>
      </w:r>
      <w:r w:rsidR="00AC68AF">
        <w:t xml:space="preserve">ydy </w:t>
      </w:r>
      <w:r w:rsidR="0011277D">
        <w:t xml:space="preserve">fod adborth effeithiol yn help disgyblion </w:t>
      </w:r>
      <w:r w:rsidR="000418D0">
        <w:t xml:space="preserve">i ddeall eu disgwyliadau academaidd </w:t>
      </w:r>
      <w:r w:rsidR="00BC16B7">
        <w:t xml:space="preserve">a meini prawf perfformiad, sydd yn </w:t>
      </w:r>
      <w:r w:rsidR="00DD6E16">
        <w:t xml:space="preserve">arwain y ddisgyblion i’r </w:t>
      </w:r>
      <w:r w:rsidR="00217E7E">
        <w:t xml:space="preserve">canlyniad gorau dysgu’r blant. </w:t>
      </w:r>
      <w:r w:rsidR="002F034A">
        <w:t xml:space="preserve">Hefyd mae </w:t>
      </w:r>
      <w:r w:rsidR="002F034A">
        <w:lastRenderedPageBreak/>
        <w:t xml:space="preserve">University of </w:t>
      </w:r>
      <w:r w:rsidR="00BA3B20">
        <w:t xml:space="preserve">New Brunswick </w:t>
      </w:r>
      <w:r w:rsidR="00365705">
        <w:t>(UnB)</w:t>
      </w:r>
      <w:r w:rsidR="00D0513E">
        <w:t xml:space="preserve"> yn dweud bod “Effective feedback provides students with clear, </w:t>
      </w:r>
      <w:r w:rsidR="00274274">
        <w:t>specific guidance on how to improve their performance, rather than simply evaluating their work” (UnB, dim dyddiad)</w:t>
      </w:r>
      <w:r w:rsidR="00101A94">
        <w:t xml:space="preserve">. </w:t>
      </w:r>
      <w:r w:rsidR="00881627" w:rsidRPr="00881627">
        <w:t xml:space="preserve">Trwy hyn, gall </w:t>
      </w:r>
      <w:r w:rsidR="00881627">
        <w:t>disgyblion</w:t>
      </w:r>
      <w:r w:rsidR="00881627" w:rsidRPr="00881627">
        <w:t xml:space="preserve"> weld dysgu fel taith barhaus yn hytrach na rhywbeth sefydlog, gan feithrin hyder a chymhelliant i ddatblygu ymhellach</w:t>
      </w:r>
      <w:r w:rsidR="00456DDC">
        <w:t xml:space="preserve">. Ond er bod </w:t>
      </w:r>
      <w:r w:rsidR="004B6257">
        <w:t xml:space="preserve">mae manteision i adborth mae yna anfanteision hefyd. Un enghraifft o anfantais </w:t>
      </w:r>
      <w:r w:rsidR="007E190E">
        <w:t xml:space="preserve">ydy </w:t>
      </w:r>
      <w:r w:rsidR="00A33F59">
        <w:t xml:space="preserve">effaith negyddol emosiwn. </w:t>
      </w:r>
      <w:r w:rsidR="00966CAE">
        <w:t xml:space="preserve">Mae </w:t>
      </w:r>
      <w:r w:rsidR="00966CAE" w:rsidRPr="00966CAE">
        <w:rPr>
          <w:lang w:val="en-GB"/>
        </w:rPr>
        <w:t xml:space="preserve">Adborth negyddol neu feirniadol iawn gall effeithio’n wael ar hunan-barch a chymhelliant </w:t>
      </w:r>
      <w:r w:rsidR="00966CAE">
        <w:rPr>
          <w:lang w:val="en-GB"/>
        </w:rPr>
        <w:t>disgyblion</w:t>
      </w:r>
      <w:r w:rsidR="00966CAE" w:rsidRPr="00966CAE">
        <w:rPr>
          <w:lang w:val="en-GB"/>
        </w:rPr>
        <w:t>, yn enwedig os nad yw’n cael ei gyflwyno mewn ffordd sensitif. Mae ymchwil yn dangos bod adborth negyddol yn gallu lleihau cymhelliant mewnol, yn enwedig o’i gymharu ag adborth cadarnhaol. Mewn meta-ddadansoddiad, daeth Fong et al. (2019) i’r casgliad bod adborth negyddol yn gallu lleihau cymhelliant mewnol o’i gymharu ag adborth cadarnhaol</w:t>
      </w:r>
      <w:r w:rsidR="00354AF3">
        <w:rPr>
          <w:lang w:val="en-GB"/>
        </w:rPr>
        <w:t xml:space="preserve"> (Self-Determination Theory</w:t>
      </w:r>
      <w:r w:rsidR="004E1BCF">
        <w:t>, 2019</w:t>
      </w:r>
      <w:r w:rsidR="00966CAE" w:rsidRPr="00966CAE">
        <w:rPr>
          <w:lang w:val="en-GB"/>
        </w:rPr>
        <w:t>). Yn ogystal, mae astudiaethau wedi dangos y gall adborth negyddol arwain at ymatebion emosiynol negyddol, gan wanhau cymhelliant, hyder ac hunan-barch myfyrwyr (</w:t>
      </w:r>
      <w:r w:rsidR="00354AF3">
        <w:rPr>
          <w:lang w:val="en-GB"/>
        </w:rPr>
        <w:t>ERIC</w:t>
      </w:r>
      <w:r w:rsidR="0034599B">
        <w:t>, 2021</w:t>
      </w:r>
      <w:r w:rsidR="00966CAE" w:rsidRPr="00966CAE">
        <w:rPr>
          <w:lang w:val="en-GB"/>
        </w:rPr>
        <w:t>). Felly, mae’n hanfodol sicrhau cydbwysedd rhwng beirniadaeth a chefnogaeth er mwyn cynnal amgylchedd dysgu cadarnhaol.</w:t>
      </w:r>
    </w:p>
    <w:p w14:paraId="50C307D2" w14:textId="17AD0AD8" w:rsidR="00AC322B" w:rsidRDefault="00AC322B" w:rsidP="00413A65"/>
    <w:p w14:paraId="56876835" w14:textId="46D2435C" w:rsidR="00981982" w:rsidRDefault="0034599B" w:rsidP="00413A65">
      <w:r>
        <w:t xml:space="preserve">Methodoleg </w:t>
      </w:r>
    </w:p>
    <w:p w14:paraId="67CF9B31" w14:textId="46E85D92" w:rsidR="005D2286" w:rsidRDefault="00B4746E" w:rsidP="00413A65">
      <w:r>
        <w:rPr>
          <w:rFonts w:ascii="Aptos" w:hAnsi="Aptos" w:cs="Aptos"/>
        </w:rPr>
        <w:t>Penderfynodd er mwyn i ymchwilio mewn i AagD yn enwedig adborth byddaf yn defnyddio dwy ffurf o offeryn sef holiaduron a chyfweliad. Ond er mwyn dechrau’r fy ymchwil mewn i adborth yn y dosbarth roedd angen creu ffurflen foeseg. Rydym yn defnyddio ffurflen foeseg cyn cynnal ymchwil er mwyn sicrhau bod y broses yn foesegol, yn dryloyw ac yn amddiffyn hawliau’r cyfranogwyr e.e plant a staff yr ysgol. Mae hyn yn cynnwys ystyried materion fel cydsyniad gwybodus cyfrinachedd, ac osgoi niwed posibl i unigolion neu gymunedau sy’n rhan o’r ymchwil. Yn ôl BERA (2024) byddaf yn cynnal fy ngwaith gyda "pharch at bobl, gwybodaeth, ansawdd ymchwil addysgol, yr amgylchedd, a rhyddid academaidd." Mae'r canllawiau hyn yn pwysleisio'r angen am gydsyniad gwybodus, tryloywder, a'r hawl i gyfranogwyr dynnu'n ôl o'r ymchwil ar unrhyw adeg.</w:t>
      </w:r>
      <w:r>
        <w:rPr>
          <w:rFonts w:ascii="Arial" w:hAnsi="Arial" w:cs="Arial"/>
        </w:rPr>
        <w:t>​</w:t>
      </w:r>
      <w:r>
        <w:rPr>
          <w:rFonts w:ascii="Aptos" w:hAnsi="Aptos" w:cs="Aptos"/>
        </w:rPr>
        <w:t xml:space="preserve"> Trwy lenwi ffurflen foeseg, mae’n dangos eu hymrwymiad i'r egwyddorion hyn, gan sicrhau bod yr ymchwil yn cael ei chynnal mewn modd cyfrifol ac yn unol â safonau moesegol cydnabyddedig. Hefyd er mwyn cynnal fy ymchwil roedd angen caniatâd arnynt ar gyfer y staff a disgyblion. Oherwydd rydym yn gofyn disgyblion i gymryd rhan yn fy ymchwil roedd angen ganiatâd wrth Brif athro'r ysgol a chydsyniad wrth y disgyblion oherwydd mae plant o dan 18 dim yn gallu rhoi caniatâd eu hunain ond gallant nhw roi cydsyniad i’r ymchwil.  </w:t>
      </w:r>
    </w:p>
    <w:p w14:paraId="318A7AB1" w14:textId="7ECAD834" w:rsidR="00BE0949" w:rsidRDefault="00B4746E" w:rsidP="00413A65">
      <w:r>
        <w:rPr>
          <w:rFonts w:ascii="Aptos" w:hAnsi="Aptos" w:cs="Aptos"/>
        </w:rPr>
        <w:t xml:space="preserve">Defnyddiais yr holiadur er mwyn cael barn y plant ar adborth yn y dosbarth. Gweler atodiad 2 am gwestiynau holiadur y plant. Offer arall defnyddiais oedd ffurf o gyfweliad ‘da’r athrawon y dosbarth er mwyn yr athrawon i fynegi eu barn nhw. Gweler atodiad 4 am y cyfweliad gyda'r athrawes ddosbarth. Mae’n wybodus fod holiaduron yn </w:t>
      </w:r>
      <w:r>
        <w:rPr>
          <w:rFonts w:ascii="Aptos" w:hAnsi="Aptos" w:cs="Aptos"/>
        </w:rPr>
        <w:lastRenderedPageBreak/>
        <w:t>boblogaeth iawn o ffurf i gasglu data ac mae yna lawer o fanteision ac anfanteision i’r ddau offeryn ymchwil yma. Un fantais am ddefnyddio holiaduron er mwyn casglu data ydy mai’n effeithlonrwydd a chost-effeithiol, mae holiaduron yn casglu data gan nifer fawr o gyfranogwyr at ei gilydd, sydd yn gwneud holiaduron yn effeithlon a chost-effeithiol. Mae hon yn fuddiol trwy ddefnyddio yn ysgolion pan mae angen fwy o gyfranogwyr (Academic Writing UK, dim dyddiad). Fantais arall sydd gan holiaduron ydy “Anonymity”, mae hon yn annog gonestrwydd. Mae plant yn gyda llai o straen i gael ateb yn “anghywir” felly os does neb yn gwybod pwy sydd yn ateb y cwestiwn does dim straen ar y cyfranogwr.</w:t>
      </w:r>
    </w:p>
    <w:p w14:paraId="48DCEE6D" w14:textId="7C2EA99A" w:rsidR="00E72B80" w:rsidRDefault="00E72B80" w:rsidP="00E72B80">
      <w:pPr>
        <w:jc w:val="right"/>
        <w:rPr>
          <w:lang w:val="en-GB"/>
        </w:rPr>
      </w:pPr>
      <w:r>
        <w:t>“</w:t>
      </w:r>
      <w:r w:rsidRPr="00E72B80">
        <w:rPr>
          <w:lang w:val="en-GB"/>
        </w:rPr>
        <w:t>Participants in questionnaire surveys can remain anonymous, fostering honesty and reducing social desirability bias. This anonymity may lead to more accurate and candid responses, especially when addressing sensitive topics.</w:t>
      </w:r>
      <w:r>
        <w:rPr>
          <w:lang w:val="en-GB"/>
        </w:rPr>
        <w:t>”</w:t>
      </w:r>
    </w:p>
    <w:p w14:paraId="59689CC3" w14:textId="70FD8154" w:rsidR="00E72B80" w:rsidRPr="00E72B80" w:rsidRDefault="00E72B80" w:rsidP="00E72B80">
      <w:pPr>
        <w:jc w:val="right"/>
        <w:rPr>
          <w:lang w:val="en-GB"/>
        </w:rPr>
      </w:pPr>
      <w:r>
        <w:rPr>
          <w:lang w:val="en-GB"/>
        </w:rPr>
        <w:t>(Academic Writing UK, dim dyddiad)</w:t>
      </w:r>
    </w:p>
    <w:p w14:paraId="5BA58782" w14:textId="6EDD1657" w:rsidR="00E72B80" w:rsidRDefault="00EB2EC9" w:rsidP="00413A65">
      <w:r>
        <w:t xml:space="preserve">Er bod mae manteision i ddefnyddio holiaduron mae hefyd anfanteision. Un enghraifft o anfantais ydy </w:t>
      </w:r>
      <w:r w:rsidR="00E3067C">
        <w:t>r</w:t>
      </w:r>
      <w:r w:rsidR="00E3067C" w:rsidRPr="00E3067C">
        <w:t xml:space="preserve">isgiau </w:t>
      </w:r>
      <w:r w:rsidR="00E3067C">
        <w:t>c</w:t>
      </w:r>
      <w:r w:rsidR="00E3067C" w:rsidRPr="00E3067C">
        <w:t>amddehongli</w:t>
      </w:r>
      <w:r w:rsidR="00E3067C">
        <w:t xml:space="preserve"> </w:t>
      </w:r>
      <w:r w:rsidR="002B02AC">
        <w:t>h</w:t>
      </w:r>
      <w:r w:rsidR="002B02AC" w:rsidRPr="002B02AC">
        <w:t>eb gyfwelydd yn bresennol i egluro, gall cwestiynau gael eu camddeall, gan arwain at ymatebion anghywir.</w:t>
      </w:r>
      <w:r w:rsidR="002B02AC">
        <w:t xml:space="preserve"> </w:t>
      </w:r>
      <w:r w:rsidR="00E57C51">
        <w:t>Mae’r BMJ</w:t>
      </w:r>
      <w:r w:rsidR="00CF1291">
        <w:t xml:space="preserve"> </w:t>
      </w:r>
      <w:r w:rsidR="00F96572">
        <w:t>(</w:t>
      </w:r>
      <w:r w:rsidR="00CF1291">
        <w:t>2001)</w:t>
      </w:r>
      <w:r w:rsidR="00E57C51">
        <w:t xml:space="preserve"> </w:t>
      </w:r>
      <w:r w:rsidR="001D2C01">
        <w:t xml:space="preserve">yn cytuno gyda hon trwy ddweud bod </w:t>
      </w:r>
      <w:r w:rsidR="00303D8C">
        <w:t xml:space="preserve">holiaduron </w:t>
      </w:r>
      <w:r w:rsidR="00F96572">
        <w:t>sy'n cael eu gwneud yn wael yn gallu arwain at gamddealltwriaeth y disgyblion a all effeithio ar gywirdeb y casgliad data</w:t>
      </w:r>
    </w:p>
    <w:p w14:paraId="7D5DD955" w14:textId="1B7D1392" w:rsidR="003E20B8" w:rsidRDefault="00B4746E" w:rsidP="00413A65">
      <w:r>
        <w:rPr>
          <w:rFonts w:ascii="Aptos" w:hAnsi="Aptos" w:cs="Aptos"/>
        </w:rPr>
        <w:t>Un fantais am gynnal cyfweliadau ydy meithrin perthynas. Mae hon yn fantais oherwydd trwy sefydlu perthynas gyda’r cyfranogwr gall y cyfranogwyr dechrau bod yn fwy cyffyrddus, sydd yn gallu arwain i atebion mwy onest ac agored (Get Revising, 2016). Mantais arall sydd gan gynnal cyfweliadau ydy bod y data yn gyfoethog ac yn fanwl,</w:t>
      </w:r>
      <w:r>
        <w:rPr>
          <w:rFonts w:ascii="Aptos" w:hAnsi="Aptos" w:cs="Aptos"/>
          <w:b/>
          <w:bCs/>
        </w:rPr>
        <w:t xml:space="preserve"> </w:t>
      </w:r>
      <w:r>
        <w:rPr>
          <w:rFonts w:ascii="Aptos" w:hAnsi="Aptos" w:cs="Aptos"/>
        </w:rPr>
        <w:t>mae cyfweliadau yn caniatáu archwilio'n fanwl o safbwyntiau cyfranogwyr, gan roi mewnwelediadau cynhwysfawr i'w profiadau a'u hagweddau. Un anfantais gyda chyfweliadau ydy bias cyfwelydd Gall presenoldeb ac ymddygiad y cyfwelydd ddylanwadu ar ymatebion yn anfwriadol gan gyflwyno rhagfarn. Mae (Salazar, 1990) yn cytuno trwy sgwrsio yn ei llyfr hi “Interview Bias: How it affects survey research”. Mae Salazar yn pwysleisio'r angen am ymwybyddiaeth a hyfforddiant i liniaru rhagfarnau o'r fath mewn ymchwil arolwg. Yn fy marn i wrth ddefnyddio dulliau yma i wneud fy ymchwil gallwn weld sut mor fuddiol mae’r offerynnau yma i gasglu’r data sydd angen.</w:t>
      </w:r>
    </w:p>
    <w:p w14:paraId="37720641" w14:textId="519FEA5C" w:rsidR="00087984" w:rsidRDefault="00B4746E" w:rsidP="00413A65">
      <w:r>
        <w:rPr>
          <w:rFonts w:ascii="Aptos" w:hAnsi="Aptos" w:cs="Aptos"/>
        </w:rPr>
        <w:t>I roi ychydig bach o gefndir i’r cyfranogwyr i’r ymchwil roedd pob un o’r cyfranogwyr holiadur yn ddosbarth blwyddyn 6 o oedran 10-11. Dewisais i 10 disgyblion i ateb yr holiadur, dewisais trwy ddefnyddio “Random Name Generator”, rydw i wedi sôn am hon yn y ffurflen foeseg yn atodiad 1 . Am y cyfweliad gofynnais yr athrawes dosbarth byddwn yn enw “Mrs S” i gadw cyfrinachedd o ganllawiau BERA (2024). Gallwch weld y trawsgrifiad yn atodiad 4 . Er mwyn dadansoddi’r atebion a data wrth yr offerynnau byddaf yn defnyddio trawsgrifiadau, graffiau a ffigurau i ddangos y wybodaeth.</w:t>
      </w:r>
    </w:p>
    <w:p w14:paraId="47B91943" w14:textId="7505FB36" w:rsidR="0034599B" w:rsidRDefault="00B4746E" w:rsidP="00413A65">
      <w:r>
        <w:rPr>
          <w:rFonts w:ascii="Aptos" w:hAnsi="Aptos" w:cs="Aptos"/>
        </w:rPr>
        <w:lastRenderedPageBreak/>
        <w:t>Ar y dydd o ymchwil defnyddiais Microsoft forms er mwyn cynnig yr holiadur i’r disgyblion sydd yn gwneud yn haws i gasglu data ac yn dangos yn ffurfiau rydym wedi sôn yn barod, gweler atodiad 3 am ganlyniadau holiaduron. Fel rydw i wedi sôn yn barod dewisais 10 disgyblion yn “random” a esboniais fod hawl i’r disgyblion i stopio gwneud yr holiadur pryd bynnag ac roedd hawl i’r disgyblion ddim i wneud os nad eisiau gwneud. Ar ôl hynny, roedd y disgyblion wedi cael amser ar ben eu hunain i ateb y cwestiynau yn “Annonymous”. Ar gyfer fy nghyfweliad gyda “Mrs S”, doedd dim lawer o amser yn ystod y dydd i wneud y cyfweliad felly, anfonais y cwestiynau at “Mrs S” ac ysgrifennodd hi ei atebion i lawr.</w:t>
      </w:r>
    </w:p>
    <w:p w14:paraId="38354B1E" w14:textId="77777777" w:rsidR="00A61443" w:rsidRDefault="00A61443" w:rsidP="00413A65"/>
    <w:p w14:paraId="7360D7F5" w14:textId="1C51ABB6" w:rsidR="00A61443" w:rsidRDefault="00A61443" w:rsidP="00413A65">
      <w:r>
        <w:t>Canlyniadau a Thrafodaeth</w:t>
      </w:r>
      <w:r w:rsidR="00FF6509">
        <w:t xml:space="preserve"> </w:t>
      </w:r>
    </w:p>
    <w:p w14:paraId="501FED09" w14:textId="68C47260" w:rsidR="00574DC2" w:rsidRDefault="00B4746E" w:rsidP="00413A65">
      <w:r>
        <w:rPr>
          <w:rFonts w:ascii="Aptos" w:hAnsi="Aptos" w:cs="Aptos"/>
        </w:rPr>
        <w:t>Bwriad adran hon o fy aseiniad i drafod y data a gasglwyd a hefyd effeithiolrwydd yr offer ymchwilio. Y cwestiwn ymchwil yw “Beth yw barn disgyblion a staff blwyddyn 6 o ddefnyddio adborth fel ffurf o asesu ar gyfer dysgu?”.  Casglwyd dwy fath o ddata sef data ansoddol a meintiol.</w:t>
      </w:r>
    </w:p>
    <w:p w14:paraId="42AE4C93" w14:textId="3762A91A" w:rsidR="0051324C" w:rsidRDefault="00B4746E" w:rsidP="00413A65">
      <w:r>
        <w:rPr>
          <w:rFonts w:ascii="Aptos" w:hAnsi="Aptos" w:cs="Aptos"/>
        </w:rPr>
        <w:t>Yn gyntaf byddaf yn trafod am ganlyniadau’r holiadur. Wrth godi’r data meintiol o holiaduron, wnaeth i ganolbwyntio ar ba fath o adborth yn fwy buddiol a pha un mae’r disgyblion yn hoffi fwyaf e.e. adborth ysgrifenedig, llafar, gan gyfoedion. Hefyd i weld pa gryfderau sydd gan y fath o adborth (gweler atodiad 2).</w:t>
      </w:r>
    </w:p>
    <w:p w14:paraId="563AE9A3" w14:textId="6A9DF746" w:rsidR="00C017E8" w:rsidRDefault="00B4746E" w:rsidP="00413A65">
      <w:r>
        <w:rPr>
          <w:rFonts w:ascii="Aptos" w:hAnsi="Aptos" w:cs="Aptos"/>
        </w:rPr>
        <w:t>Wrth edrych ar ddata o’r holiadur sydd wedi cael ei osod fewn siartiau cylch, gallwn weld beth mae disgyblion blwyddyn 6 yn ei gredu am adborth ar lawr y dosbarth. Gallwn weld alla o’ 10 disgyblion roedd 70% yn meddwl fod adborth yn eu helpu’n fawr  i ddeall eu dysgu, a dim ond 10% (1 disgybl) wedi dweud “Na, nid yw’n helpu”. Mae hon yn fuddiol iawn ac yn bositif i weld faint o ddisgyblion yn ei gredu bod adborth yn helpu (gweler atodiad 3). Wrth edrych ar y trawsgrifiad mae “Mrs S” yn cytuno trwy ddweud “</w:t>
      </w:r>
      <w:r>
        <w:rPr>
          <w:rFonts w:ascii="Aptos" w:hAnsi="Aptos" w:cs="Aptos"/>
          <w:lang w:val="en-GB"/>
        </w:rPr>
        <w:t>Mae adborth yn holl bwysig fel rhan o asesu ar gyfer dysgu”</w:t>
      </w:r>
      <w:r>
        <w:rPr>
          <w:rFonts w:ascii="Aptos" w:hAnsi="Aptos" w:cs="Aptos"/>
        </w:rPr>
        <w:t xml:space="preserve"> (gweler atodiad 4). Mae datganiad hyn yn dangos sut mor bwysig ydy adborth fel AagD nid unig y disgyblion ond staff yn credu hon. Mae Bloom (1968) yn ei gredu hon gyda’i phapur “Learning for Mastery” ac yn awgrymu fod adborth ffurfiannol cymesur yn helpu disgyblion i gywiro ei gamgymeriadau ac yn gwella cam wrth gam.  Dangoswyd siart cylch fod disgyblion yn feddwl bod y gwahanol fath o adborth (llafar, ysgrifenedig, cyfoedion) yn gyfartal 3 yr un, 1 ddim yn siŵr. Roedd nifer o ddisgyblion yn credu fod adborth gan eu cyfoedion yn helpu fwyaf trwy un yn dweud “Mae’n helpu fi fwy os mae hi’n dod o rywun rwy’n gwybod, fi’n deall hi yn fwy”. Mae hon yn gallu cysylltu gyda theori ZPD Vygotsky (1978) oherwydd roedd Vygotsky yn ei gredu fod adborth o athrawon neu gyfoedion yn helpu disgyblion i symud ymlaen trwy’r eu parth dysgu. Ond wrth fynd </w:t>
      </w:r>
      <w:r w:rsidR="009A1CFB">
        <w:rPr>
          <w:rFonts w:ascii="Aptos" w:hAnsi="Aptos" w:cs="Aptos"/>
        </w:rPr>
        <w:t>n</w:t>
      </w:r>
      <w:r w:rsidR="009A1CFB">
        <w:rPr>
          <w:rFonts w:ascii="Calibri" w:hAnsi="Calibri" w:cs="Calibri"/>
        </w:rPr>
        <w:t>ô</w:t>
      </w:r>
      <w:r>
        <w:rPr>
          <w:rFonts w:ascii="Aptos" w:hAnsi="Aptos" w:cs="Aptos"/>
        </w:rPr>
        <w:t>l i edrych ar gyfweliad gyda “Mrs S” mae hi yn ddweud :</w:t>
      </w:r>
    </w:p>
    <w:p w14:paraId="0EC328D8" w14:textId="3329F4C2" w:rsidR="009650C0" w:rsidRPr="00C61627" w:rsidRDefault="009650C0" w:rsidP="009650C0">
      <w:pPr>
        <w:jc w:val="right"/>
      </w:pPr>
      <w:r w:rsidRPr="00C61627">
        <w:lastRenderedPageBreak/>
        <w:t>“</w:t>
      </w:r>
      <w:r w:rsidRPr="007E0C3D">
        <w:t>Mae'r adborth ar y pryd yma yn tueddu i gael mwy o ddylanwad ar waith y plant na unrhyw asesu neu adborth sydd yn cael ei roi yn y llyfr neu yn grynodol ar ddiwedd uned o waith.</w:t>
      </w:r>
      <w:r w:rsidRPr="00C61627">
        <w:t>”</w:t>
      </w:r>
    </w:p>
    <w:p w14:paraId="645BFA7E" w14:textId="3E83B0AE" w:rsidR="009650C0" w:rsidRPr="00C61627" w:rsidRDefault="009650C0" w:rsidP="009650C0">
      <w:pPr>
        <w:jc w:val="right"/>
      </w:pPr>
      <w:r w:rsidRPr="00C61627">
        <w:t>(Gweler Atodiad 4)</w:t>
      </w:r>
    </w:p>
    <w:p w14:paraId="5B82A6BE" w14:textId="2D3F6C15" w:rsidR="009650C0" w:rsidRDefault="00B4746E" w:rsidP="009650C0">
      <w:r>
        <w:rPr>
          <w:rFonts w:ascii="Aptos" w:hAnsi="Aptos" w:cs="Aptos"/>
        </w:rPr>
        <w:t>Mae Black a Wiliam (1998) yn cytuno trwy uwch goleuo bod asesu ffurfiannol, adborth ar lafar yn benodol yn gwella dealltwriaeth ac ymrwymiad disgyblion.  Mae Clarke (2003) hefyd yn cytuno trwy drafod yn ei llyfr hi fod adborth ar lafar yn helpu disgyblion i ddeall pa gamau sydd angen nesaf yn eu dysgu. Felly mae tystiolaeth yma yn cytuno a chefnogi beth mae Mrs S yn ei dweud.</w:t>
      </w:r>
    </w:p>
    <w:p w14:paraId="48944624" w14:textId="2DEB8DD3" w:rsidR="007D29A6" w:rsidRDefault="00B4746E" w:rsidP="008E4B52">
      <w:r>
        <w:rPr>
          <w:rFonts w:ascii="Aptos" w:hAnsi="Aptos" w:cs="Aptos"/>
        </w:rPr>
        <w:t>Yn fy mhrofiad fy hunain ar PAP neu ar gyflenwi, roedd adborth yn beth mawr mewn nifer o ysgolion. Roedd nifer fath o adborth yn fuddiol iawn i ddysgu plant. Y fath o adborth fwyaf sydd yn cael ei ddefnyddio oedd ar lafar neu ysgrifenedig. Yn ystod y gwersi roedd adborth ar lafar yn rhoi llawer o effaith ar ddysgwyr oherwydd gallwn roi adborth ar y cyd. Wrth fynd dol i’r canlyniadau holiadur roedd 60% o’r disgyblion yn meddwl bod adborth yn gwneud nhw yn hyderus a 40%  yn meddwl bod nhw yn hyderus ond mae’n dibynnu ar y fath o adborth. Er i wneud adborth yn well gall ychwanegu strategaethau eraill i helpu fel cwestiynu, mae Mrs S yn siarad yn ei chyfweliad hi trwy ddweud:</w:t>
      </w:r>
    </w:p>
    <w:p w14:paraId="183A70D6" w14:textId="68CE287B" w:rsidR="007D29A6" w:rsidRDefault="00B4746E" w:rsidP="007D29A6">
      <w:pPr>
        <w:ind w:left="360"/>
        <w:jc w:val="right"/>
        <w:rPr>
          <w:lang w:val="en-GB"/>
        </w:rPr>
      </w:pPr>
      <w:r>
        <w:rPr>
          <w:rFonts w:ascii="Aptos" w:hAnsi="Aptos" w:cs="Aptos"/>
        </w:rPr>
        <w:t>“</w:t>
      </w:r>
      <w:r>
        <w:rPr>
          <w:rFonts w:ascii="Aptos" w:hAnsi="Aptos" w:cs="Aptos"/>
          <w:lang w:val="en-GB"/>
        </w:rPr>
        <w:t>Mae cwestiynu yn bwysig. Stopio pob hyn a hyn i ofyn i rywun rannu eu gwaith, holi beth maent wedi dysgu hyd yn hyn, pwy sy'n gweld y dasg yn anodd etc. Mae cyfle wedyn i lywio'r dysgu ac i'r symud ymlaen.”</w:t>
      </w:r>
    </w:p>
    <w:p w14:paraId="26E989AC" w14:textId="4F8B7467" w:rsidR="007D29A6" w:rsidRDefault="00081E2D" w:rsidP="007D29A6">
      <w:pPr>
        <w:ind w:left="360"/>
        <w:jc w:val="right"/>
        <w:rPr>
          <w:lang w:val="en-GB"/>
        </w:rPr>
      </w:pPr>
      <w:r>
        <w:rPr>
          <w:lang w:val="en-GB"/>
        </w:rPr>
        <w:t>(Atodiad 4)</w:t>
      </w:r>
    </w:p>
    <w:p w14:paraId="1C2470D9" w14:textId="69772A00" w:rsidR="00081E2D" w:rsidRDefault="00B4746E" w:rsidP="00291198">
      <w:r>
        <w:rPr>
          <w:rFonts w:ascii="Aptos" w:hAnsi="Aptos" w:cs="Aptos"/>
        </w:rPr>
        <w:t>Mae Hattie a Timperley (2007) yn cytuno gyda hon. Mae Hattie a Timperley wedi fyndio fod cwestiynu effeithiol yn darparu disgyblion gydag adborth syth, hefyd dylai cwestiynu ffocysu ar beth mae disgyblion yn deall, beth maen nhw eisiau gwella a beth ydy’r camau nesaf. Mae Hargreaves, Gipps a Pickering (2014)  yn cefnogi defnydd o gwestiynu fel dull asesu ffurfiannol, ac yn eu llyfr maen nhw yn ymchwilio ar sut mae cwestiynu diagnostig yn helpu asesu dealltwriaeth disgyblion ac arwain addysgu.</w:t>
      </w:r>
    </w:p>
    <w:p w14:paraId="69F78484" w14:textId="1EE59184" w:rsidR="00FA7695" w:rsidRPr="007E0C3D" w:rsidRDefault="00B4746E" w:rsidP="00291198">
      <w:r>
        <w:rPr>
          <w:rFonts w:ascii="Aptos" w:hAnsi="Aptos" w:cs="Aptos"/>
        </w:rPr>
        <w:t>Felly gyda fy nghanfyddiadau gallwn weld fod adborth yn bwysig iawn fewn y dosbarth a gyda’r cefnogiad yr athrawon a disgyblion, mae adborth yn bwysig i helpu plant cyrraedd eu potensial ac yn rhoi fwy o gyfrifoldebau i’r disgyblion hefyd i weithredu ar adborth sydd yn cael ei roi.</w:t>
      </w:r>
    </w:p>
    <w:p w14:paraId="5739ECB6" w14:textId="77777777" w:rsidR="00FF6509" w:rsidRPr="00A63767" w:rsidRDefault="00FF6509" w:rsidP="009650C0"/>
    <w:p w14:paraId="4E629D01" w14:textId="77777777" w:rsidR="00A63767" w:rsidRPr="00A63767" w:rsidRDefault="00A63767" w:rsidP="00A63767">
      <w:pPr>
        <w:rPr>
          <w:lang w:val="en-GB"/>
        </w:rPr>
      </w:pPr>
      <w:r w:rsidRPr="00A63767">
        <w:rPr>
          <w:lang w:val="en-GB"/>
        </w:rPr>
        <w:t>Casgliad</w:t>
      </w:r>
    </w:p>
    <w:p w14:paraId="1A7778D1" w14:textId="77777777" w:rsidR="0023335E" w:rsidRPr="0023335E" w:rsidRDefault="0023335E" w:rsidP="0023335E">
      <w:r w:rsidRPr="0023335E">
        <w:t xml:space="preserve">Mae’r ymchwil hwn yn dangos pwysigrwydd adborth mewn dysgu disgyblion Blwyddyn 6, yn enwedig pan gaiff ei gyflwyno mewn ffordd sy’n caniatáu i’r disgyblion ddysgu o’u </w:t>
      </w:r>
      <w:r w:rsidRPr="0023335E">
        <w:lastRenderedPageBreak/>
        <w:t>camgymeriadau a gwneud gwelliannau clir. Mae adborth yn ffordd bwysig o ddatblygu dealltwriaeth y disgyblion o’u hunain a’u gwaith. Mae ymchwil gan Hattie (2009) yn dangos bod adborth yn un o’r ffactorau mwyaf effeithiol i wella perfformiad dysgwyr. Yn ogystal, mae damcaniaeth Vygotsky (1978) yn pwysleisio’r "zone of proximal development" (ZPD), sy’n dangos bod adborth yn helpu disgyblion i symud ymlaen o’u gallu presennol i lefelau uwch trwy ymyriadau penodol.</w:t>
      </w:r>
    </w:p>
    <w:p w14:paraId="7462B347" w14:textId="4701F9A7" w:rsidR="0023335E" w:rsidRPr="0023335E" w:rsidRDefault="00B4746E" w:rsidP="0023335E">
      <w:r>
        <w:rPr>
          <w:rFonts w:ascii="Aptos" w:hAnsi="Aptos" w:cs="Aptos"/>
        </w:rPr>
        <w:t>Er bod y canfyddiadau hyn yn bwysig, mae cyfyngiadau i’r ymchwil. Er enghraifft, roedd y grŵp o ysgolion a ddefnyddiwyd yn gyfyngedig i ysgolion Blwyddyn 6, ac nid yw’n cymryd i ystyriaeth ffactorau allanol fel cefnogaeth gartref. Byddai ymchwil pellach yn gallu cynnig mwy o ddarlun ehangach.</w:t>
      </w:r>
    </w:p>
    <w:p w14:paraId="0984A455" w14:textId="77777777" w:rsidR="0023335E" w:rsidRPr="0023335E" w:rsidRDefault="0023335E" w:rsidP="0023335E">
      <w:r w:rsidRPr="0023335E">
        <w:t>O ran ymarfer proffesiynol, mae’r canfyddiadau hyn yn pwysleisio bod athrawon yn angen hyfforddiant parhaus ar sut i gyflwyno adborth yn effeithiol. Bydd defnyddio adborth yn ffordd gynhyrchiol yn gallu helpu i wella’r dysgu mewn ysgolion, yn enwedig pan fydd athrawon yn deall sut i’w ddefnyddio i gefnogi datblygiad y disgyblion yn y ffordd orau.</w:t>
      </w:r>
    </w:p>
    <w:p w14:paraId="146CCD7D" w14:textId="77777777" w:rsidR="00DC6F5D" w:rsidRPr="007E0C3D" w:rsidRDefault="00DC6F5D" w:rsidP="009650C0"/>
    <w:p w14:paraId="5E9C3A4C" w14:textId="77777777" w:rsidR="00C017E8" w:rsidRDefault="00C017E8" w:rsidP="00413A65">
      <w:bookmarkStart w:id="0" w:name="cysill"/>
      <w:bookmarkEnd w:id="0"/>
    </w:p>
    <w:p w14:paraId="64D1C3D4" w14:textId="14B0FA1B" w:rsidR="00632349" w:rsidRDefault="00632349" w:rsidP="00413A65"/>
    <w:p w14:paraId="4A4FF847" w14:textId="77777777" w:rsidR="00112396" w:rsidRDefault="00112396" w:rsidP="00574DC2">
      <w:pPr>
        <w:rPr>
          <w:b/>
          <w:bCs/>
          <w:lang w:val="en-GB"/>
        </w:rPr>
      </w:pPr>
    </w:p>
    <w:p w14:paraId="5B7909E0" w14:textId="77777777" w:rsidR="00112396" w:rsidRDefault="00112396" w:rsidP="00574DC2">
      <w:pPr>
        <w:rPr>
          <w:b/>
          <w:bCs/>
          <w:lang w:val="en-GB"/>
        </w:rPr>
      </w:pPr>
    </w:p>
    <w:p w14:paraId="4375802B" w14:textId="77777777" w:rsidR="00112396" w:rsidRDefault="00112396" w:rsidP="00574DC2">
      <w:pPr>
        <w:rPr>
          <w:b/>
          <w:bCs/>
          <w:lang w:val="en-GB"/>
        </w:rPr>
      </w:pPr>
    </w:p>
    <w:p w14:paraId="076B63DE" w14:textId="7DDD8830" w:rsidR="00112396" w:rsidRPr="006B2FE8" w:rsidRDefault="006B2FE8" w:rsidP="00574DC2">
      <w:pPr>
        <w:rPr>
          <w:b/>
          <w:bCs/>
        </w:rPr>
      </w:pPr>
      <w:r w:rsidRPr="006B2FE8">
        <w:rPr>
          <w:b/>
          <w:bCs/>
        </w:rPr>
        <w:t xml:space="preserve">Cyfeiriadau </w:t>
      </w:r>
    </w:p>
    <w:p w14:paraId="097127EC" w14:textId="77777777" w:rsidR="006B2FE8" w:rsidRPr="006B2FE8" w:rsidRDefault="006B2FE8" w:rsidP="006B2FE8">
      <w:pPr>
        <w:pStyle w:val="ListParagraph"/>
        <w:numPr>
          <w:ilvl w:val="0"/>
          <w:numId w:val="1"/>
        </w:numPr>
        <w:spacing w:before="100" w:beforeAutospacing="1" w:after="100" w:afterAutospacing="1"/>
        <w:rPr>
          <w:lang w:val="en-GB"/>
        </w:rPr>
      </w:pPr>
      <w:r w:rsidRPr="006B2FE8">
        <w:rPr>
          <w:rFonts w:hAnsi="Symbol"/>
        </w:rPr>
        <w:t></w:t>
      </w:r>
      <w:r>
        <w:t xml:space="preserve">  Black, P. and Wiliam, D., 1998. Assessment and classroom learning. </w:t>
      </w:r>
      <w:r>
        <w:rPr>
          <w:rStyle w:val="Emphasis"/>
        </w:rPr>
        <w:t>Assessment in Education: Principles, Policy &amp; Practice</w:t>
      </w:r>
      <w:r>
        <w:t>, 5(1), pp.7-74.</w:t>
      </w:r>
    </w:p>
    <w:p w14:paraId="55154EA4"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Carless, D., 2015. Feedback in higher education: A review of the literature. </w:t>
      </w:r>
      <w:r>
        <w:rPr>
          <w:rStyle w:val="Emphasis"/>
        </w:rPr>
        <w:t>Studies in Higher Education</w:t>
      </w:r>
      <w:r>
        <w:t>, 40(3), pp.357-377.</w:t>
      </w:r>
    </w:p>
    <w:p w14:paraId="2D76D57A"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Evans, C., 2013. Feedback: The students' role in formative assessment. </w:t>
      </w:r>
      <w:r>
        <w:rPr>
          <w:rStyle w:val="Emphasis"/>
        </w:rPr>
        <w:t>Assessment &amp; Evaluation in Higher Education</w:t>
      </w:r>
      <w:r>
        <w:t>, 38(2), pp.235-252.</w:t>
      </w:r>
    </w:p>
    <w:p w14:paraId="42E87260"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Hattie, J. and Timperley, H., 2007. The power of feedback. </w:t>
      </w:r>
      <w:r>
        <w:rPr>
          <w:rStyle w:val="Emphasis"/>
        </w:rPr>
        <w:t>Review of Educational Research</w:t>
      </w:r>
      <w:r>
        <w:t xml:space="preserve">, 77(1), pp.81-112. Available at: </w:t>
      </w:r>
      <w:hyperlink r:id="rId9" w:tgtFrame="_new" w:history="1">
        <w:r>
          <w:rPr>
            <w:rStyle w:val="Hyperlink"/>
          </w:rPr>
          <w:t>https://ctl.univie.ac.at/fileadmin/user_upload/z_ctl/Feedback/Hattie_Timperley_2007_Power_of_Feedback_1_.pdf</w:t>
        </w:r>
      </w:hyperlink>
      <w:r>
        <w:t xml:space="preserve"> [Accessed 3 April 2025].</w:t>
      </w:r>
    </w:p>
    <w:p w14:paraId="6A78AA88"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Winstone, N.E. and Boud, D., 2020. Feedback literacy: A framework for enhancing feedback practice. </w:t>
      </w:r>
      <w:r>
        <w:rPr>
          <w:rStyle w:val="Emphasis"/>
        </w:rPr>
        <w:t>Teaching in Higher Education</w:t>
      </w:r>
      <w:r>
        <w:t>, 25(2), pp.153-169.</w:t>
      </w:r>
    </w:p>
    <w:p w14:paraId="3233258F" w14:textId="77777777" w:rsidR="006B2FE8" w:rsidRDefault="006B2FE8" w:rsidP="006B2FE8">
      <w:pPr>
        <w:pStyle w:val="ListParagraph"/>
        <w:numPr>
          <w:ilvl w:val="0"/>
          <w:numId w:val="1"/>
        </w:numPr>
        <w:spacing w:before="100" w:beforeAutospacing="1" w:after="100" w:afterAutospacing="1"/>
      </w:pPr>
      <w:r w:rsidRPr="006B2FE8">
        <w:rPr>
          <w:rFonts w:hAnsi="Symbol"/>
        </w:rPr>
        <w:lastRenderedPageBreak/>
        <w:t></w:t>
      </w:r>
      <w:r>
        <w:t xml:space="preserve">  Fong, C.J., Patall, E.A., &amp; others, 2019. Motivation and learning: An overview of Self-Determination Theory in educational settings. </w:t>
      </w:r>
      <w:r>
        <w:rPr>
          <w:rStyle w:val="Emphasis"/>
        </w:rPr>
        <w:t>Educational Psychologist Review</w:t>
      </w:r>
      <w:r>
        <w:t xml:space="preserve">. Available at: </w:t>
      </w:r>
      <w:hyperlink r:id="rId10" w:tgtFrame="_new" w:history="1">
        <w:r>
          <w:rPr>
            <w:rStyle w:val="Hyperlink"/>
          </w:rPr>
          <w:t>https://selfdeterminationtheory.org/wp-content/uploads/2019/11/2019_FongPatallETAL_EdPsychReview.pdf</w:t>
        </w:r>
      </w:hyperlink>
      <w:r>
        <w:t xml:space="preserve"> [Accessed 3 April 2025].</w:t>
      </w:r>
    </w:p>
    <w:p w14:paraId="6F34A5FB"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ERIC, 2020. The role of feedback in assessment. </w:t>
      </w:r>
      <w:r>
        <w:rPr>
          <w:rStyle w:val="Emphasis"/>
        </w:rPr>
        <w:t>ERIC Database</w:t>
      </w:r>
      <w:r>
        <w:t xml:space="preserve">. Available at: </w:t>
      </w:r>
      <w:hyperlink r:id="rId11" w:tgtFrame="_new" w:history="1">
        <w:r>
          <w:rPr>
            <w:rStyle w:val="Hyperlink"/>
          </w:rPr>
          <w:t>https://files.eric.ed.gov/fulltext/EJ1293561.pdf</w:t>
        </w:r>
      </w:hyperlink>
      <w:r>
        <w:t xml:space="preserve"> [Accessed 3 April 2025].</w:t>
      </w:r>
    </w:p>
    <w:p w14:paraId="51D06F84"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Hargreaves, E., Gipps, C. and Pickering, A., 2014. </w:t>
      </w:r>
      <w:r>
        <w:rPr>
          <w:rStyle w:val="Emphasis"/>
        </w:rPr>
        <w:t>Assessment for Learning: Formative Approaches in Primary Schools</w:t>
      </w:r>
      <w:r>
        <w:t>. Open University Press.</w:t>
      </w:r>
    </w:p>
    <w:p w14:paraId="4452F2FE"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Hattie, J., 2009. </w:t>
      </w:r>
      <w:r>
        <w:rPr>
          <w:rStyle w:val="Emphasis"/>
        </w:rPr>
        <w:t>Visible learning: A synthesis of over 800 meta-analyses relating to achievement</w:t>
      </w:r>
      <w:r>
        <w:t>. Routledge.</w:t>
      </w:r>
    </w:p>
    <w:p w14:paraId="3D40E486"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University of New Brunswick, 2025. Feedback that improves student performance. Available at: </w:t>
      </w:r>
      <w:hyperlink r:id="rId12" w:tgtFrame="_new" w:history="1">
        <w:r>
          <w:rPr>
            <w:rStyle w:val="Hyperlink"/>
          </w:rPr>
          <w:t>https://www.unb.ca/fredericton/cetl/services/teaching-tips/instructional-methods/feedback-that-improves-student-performance.html</w:t>
        </w:r>
      </w:hyperlink>
      <w:r>
        <w:t xml:space="preserve"> [Accessed 3 April 2025].</w:t>
      </w:r>
    </w:p>
    <w:p w14:paraId="7D8BB1E2"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BERA, 2024. Ethical guidelines for educational research. Available at: </w:t>
      </w:r>
      <w:hyperlink r:id="rId13" w:tgtFrame="_new" w:history="1">
        <w:r>
          <w:rPr>
            <w:rStyle w:val="Hyperlink"/>
          </w:rPr>
          <w:t>https://www.bera.ac.uk/publication/ethical-guidelines-for-educational-research-fifth-edition-2024</w:t>
        </w:r>
      </w:hyperlink>
      <w:r>
        <w:t xml:space="preserve"> [Accessed 3 April 2025].</w:t>
      </w:r>
    </w:p>
    <w:p w14:paraId="733416B2"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Academic Writing, 2025. Advantages and disadvantages of questionnaire surveys. Available at: </w:t>
      </w:r>
      <w:hyperlink r:id="rId14" w:tgtFrame="_new" w:history="1">
        <w:r>
          <w:rPr>
            <w:rStyle w:val="Hyperlink"/>
          </w:rPr>
          <w:t>https://academic-writing.uk/advantages-disadvantages-questionnaire-surveys/</w:t>
        </w:r>
      </w:hyperlink>
      <w:r>
        <w:t xml:space="preserve"> [Accessed 3 April 2025].</w:t>
      </w:r>
    </w:p>
    <w:p w14:paraId="3057A493"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BMJ, 1998. Health-related research methods. </w:t>
      </w:r>
      <w:r>
        <w:rPr>
          <w:rStyle w:val="Emphasis"/>
        </w:rPr>
        <w:t>BMJ</w:t>
      </w:r>
      <w:r>
        <w:t xml:space="preserve">, 322(Suppl S6), pp.0106187. Available at: </w:t>
      </w:r>
      <w:hyperlink r:id="rId15" w:tgtFrame="_new" w:history="1">
        <w:r>
          <w:rPr>
            <w:rStyle w:val="Hyperlink"/>
          </w:rPr>
          <w:t>https://www.bmj.com/content/322/Suppl_S6/0106187</w:t>
        </w:r>
      </w:hyperlink>
      <w:r>
        <w:t xml:space="preserve"> [Accessed 3 April 2025].</w:t>
      </w:r>
    </w:p>
    <w:p w14:paraId="2D516343"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Get Revising, 2025. Advantages and disadvantages of interviews. Available at: </w:t>
      </w:r>
      <w:hyperlink r:id="rId16" w:tgtFrame="_new" w:history="1">
        <w:r>
          <w:rPr>
            <w:rStyle w:val="Hyperlink"/>
          </w:rPr>
          <w:t>https://getrevising.co.uk/grids/advantages-and-disadvantages-of-interviews</w:t>
        </w:r>
      </w:hyperlink>
      <w:r>
        <w:t xml:space="preserve"> [Accessed 3 April 2025].</w:t>
      </w:r>
    </w:p>
    <w:p w14:paraId="2659BC3C"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Sage Journals, 1990. Methodological issues in qualitative research. </w:t>
      </w:r>
      <w:r>
        <w:rPr>
          <w:rStyle w:val="Emphasis"/>
        </w:rPr>
        <w:t>SAGE Open</w:t>
      </w:r>
      <w:r>
        <w:t xml:space="preserve">, 3(8), pp.8-12. Available at: </w:t>
      </w:r>
      <w:hyperlink r:id="rId17" w:tgtFrame="_new" w:history="1">
        <w:r>
          <w:rPr>
            <w:rStyle w:val="Hyperlink"/>
          </w:rPr>
          <w:t>https://journals.sagepub.com/doi/pdf/10.1177/216507999003801203</w:t>
        </w:r>
      </w:hyperlink>
      <w:r>
        <w:t xml:space="preserve"> [Accessed 3 April 2025].</w:t>
      </w:r>
    </w:p>
    <w:p w14:paraId="5B971ACB"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Estyn, 2024. Effective approaches to assessment that improve teaching and learning. Available at: </w:t>
      </w:r>
      <w:hyperlink r:id="rId18" w:tgtFrame="_new" w:history="1">
        <w:r>
          <w:rPr>
            <w:rStyle w:val="Hyperlink"/>
          </w:rPr>
          <w:t>https://estyn.gov.wales/system/files/2024-02/Effective%20approaches%20to%20assessment%20that%20improve%20teaching%20and%20learning.pdf</w:t>
        </w:r>
      </w:hyperlink>
      <w:r>
        <w:t xml:space="preserve"> [Accessed 3 April 2025].</w:t>
      </w:r>
    </w:p>
    <w:p w14:paraId="4EEBC526" w14:textId="77777777" w:rsidR="006B2FE8" w:rsidRDefault="006B2FE8" w:rsidP="006B2FE8">
      <w:pPr>
        <w:pStyle w:val="ListParagraph"/>
        <w:numPr>
          <w:ilvl w:val="0"/>
          <w:numId w:val="1"/>
        </w:numPr>
        <w:spacing w:before="100" w:beforeAutospacing="1" w:after="100" w:afterAutospacing="1"/>
      </w:pPr>
      <w:r w:rsidRPr="006B2FE8">
        <w:rPr>
          <w:rFonts w:hAnsi="Symbol"/>
        </w:rPr>
        <w:t></w:t>
      </w:r>
      <w:r>
        <w:t xml:space="preserve">  Simply Psychology, 2025. Zone of Proximal Development. Available at: </w:t>
      </w:r>
      <w:hyperlink r:id="rId19" w:tgtFrame="_new" w:history="1">
        <w:r>
          <w:rPr>
            <w:rStyle w:val="Hyperlink"/>
          </w:rPr>
          <w:t>https://www.simplypsychology.org/zone-of-proximal-development.html</w:t>
        </w:r>
      </w:hyperlink>
      <w:r>
        <w:t xml:space="preserve"> [Accessed 3 April 2025].</w:t>
      </w:r>
    </w:p>
    <w:p w14:paraId="3A850132" w14:textId="77777777" w:rsidR="004E38FD" w:rsidRPr="00E70F7E" w:rsidRDefault="004E38FD" w:rsidP="00413A65">
      <w:pPr>
        <w:numPr>
          <w:ilvl w:val="0"/>
          <w:numId w:val="1"/>
        </w:numPr>
        <w:rPr>
          <w:lang w:val="en-GB"/>
        </w:rPr>
      </w:pPr>
    </w:p>
    <w:p w14:paraId="1BAB7D1E" w14:textId="23BA9374" w:rsidR="00D629D2" w:rsidRDefault="00D629D2"/>
    <w:sectPr w:rsidR="00D629D2" w:rsidSect="00D64A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8AA51" w14:textId="77777777" w:rsidR="0006762F" w:rsidRDefault="0006762F" w:rsidP="0006762F">
      <w:pPr>
        <w:spacing w:after="0" w:line="240" w:lineRule="auto"/>
      </w:pPr>
      <w:r>
        <w:separator/>
      </w:r>
    </w:p>
  </w:endnote>
  <w:endnote w:type="continuationSeparator" w:id="0">
    <w:p w14:paraId="1FE4E5AF" w14:textId="77777777" w:rsidR="0006762F" w:rsidRDefault="0006762F" w:rsidP="00067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C8CB9" w14:textId="77777777" w:rsidR="0006762F" w:rsidRDefault="0006762F" w:rsidP="0006762F">
      <w:pPr>
        <w:spacing w:after="0" w:line="240" w:lineRule="auto"/>
      </w:pPr>
      <w:r>
        <w:separator/>
      </w:r>
    </w:p>
  </w:footnote>
  <w:footnote w:type="continuationSeparator" w:id="0">
    <w:p w14:paraId="34CC170A" w14:textId="77777777" w:rsidR="0006762F" w:rsidRDefault="0006762F" w:rsidP="000676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142CBB"/>
    <w:multiLevelType w:val="hybridMultilevel"/>
    <w:tmpl w:val="E1A039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422F54E1"/>
    <w:multiLevelType w:val="multilevel"/>
    <w:tmpl w:val="F02C7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3B2CC6"/>
    <w:multiLevelType w:val="multilevel"/>
    <w:tmpl w:val="DC125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871629">
    <w:abstractNumId w:val="1"/>
  </w:num>
  <w:num w:numId="2" w16cid:durableId="1423138159">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3" w16cid:durableId="46474132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9D2"/>
    <w:rsid w:val="000057D7"/>
    <w:rsid w:val="000077FA"/>
    <w:rsid w:val="00007889"/>
    <w:rsid w:val="00010369"/>
    <w:rsid w:val="00011874"/>
    <w:rsid w:val="00014C4C"/>
    <w:rsid w:val="0002588F"/>
    <w:rsid w:val="00026D6F"/>
    <w:rsid w:val="00035430"/>
    <w:rsid w:val="00041164"/>
    <w:rsid w:val="000418D0"/>
    <w:rsid w:val="000560F8"/>
    <w:rsid w:val="0006752D"/>
    <w:rsid w:val="0006762F"/>
    <w:rsid w:val="0007597F"/>
    <w:rsid w:val="00077478"/>
    <w:rsid w:val="00081E2D"/>
    <w:rsid w:val="00084446"/>
    <w:rsid w:val="00087984"/>
    <w:rsid w:val="0009150C"/>
    <w:rsid w:val="000945E9"/>
    <w:rsid w:val="000962C3"/>
    <w:rsid w:val="00096A37"/>
    <w:rsid w:val="000972A9"/>
    <w:rsid w:val="000A2993"/>
    <w:rsid w:val="000B1D41"/>
    <w:rsid w:val="000B4F04"/>
    <w:rsid w:val="000B665C"/>
    <w:rsid w:val="000D36B7"/>
    <w:rsid w:val="000D481C"/>
    <w:rsid w:val="000E1F3F"/>
    <w:rsid w:val="000E4AA0"/>
    <w:rsid w:val="000E51A9"/>
    <w:rsid w:val="000E52D8"/>
    <w:rsid w:val="000F4D1C"/>
    <w:rsid w:val="000F5196"/>
    <w:rsid w:val="0010135C"/>
    <w:rsid w:val="00101A94"/>
    <w:rsid w:val="0010511F"/>
    <w:rsid w:val="001058BE"/>
    <w:rsid w:val="00107B28"/>
    <w:rsid w:val="00112396"/>
    <w:rsid w:val="0011277D"/>
    <w:rsid w:val="00122AEF"/>
    <w:rsid w:val="0013074B"/>
    <w:rsid w:val="00140D84"/>
    <w:rsid w:val="00143F29"/>
    <w:rsid w:val="00152D1E"/>
    <w:rsid w:val="0017253C"/>
    <w:rsid w:val="00173E73"/>
    <w:rsid w:val="00190738"/>
    <w:rsid w:val="0019387A"/>
    <w:rsid w:val="001A0180"/>
    <w:rsid w:val="001A2990"/>
    <w:rsid w:val="001A4A07"/>
    <w:rsid w:val="001A530C"/>
    <w:rsid w:val="001B1FDC"/>
    <w:rsid w:val="001C1332"/>
    <w:rsid w:val="001C2C34"/>
    <w:rsid w:val="001D045B"/>
    <w:rsid w:val="001D0C51"/>
    <w:rsid w:val="001D2C01"/>
    <w:rsid w:val="001D46F4"/>
    <w:rsid w:val="001E0FC6"/>
    <w:rsid w:val="001E699E"/>
    <w:rsid w:val="002000F0"/>
    <w:rsid w:val="0020462F"/>
    <w:rsid w:val="00211ED6"/>
    <w:rsid w:val="00217E7E"/>
    <w:rsid w:val="0022071B"/>
    <w:rsid w:val="0023335E"/>
    <w:rsid w:val="00233F65"/>
    <w:rsid w:val="0023504F"/>
    <w:rsid w:val="00261530"/>
    <w:rsid w:val="00271A37"/>
    <w:rsid w:val="00274274"/>
    <w:rsid w:val="00283FD8"/>
    <w:rsid w:val="00285552"/>
    <w:rsid w:val="00287436"/>
    <w:rsid w:val="00291198"/>
    <w:rsid w:val="002961D2"/>
    <w:rsid w:val="002A05D4"/>
    <w:rsid w:val="002A2A4B"/>
    <w:rsid w:val="002A49A6"/>
    <w:rsid w:val="002A4F3A"/>
    <w:rsid w:val="002A6336"/>
    <w:rsid w:val="002A7FCB"/>
    <w:rsid w:val="002B02AC"/>
    <w:rsid w:val="002B290E"/>
    <w:rsid w:val="002B2BDB"/>
    <w:rsid w:val="002B35BE"/>
    <w:rsid w:val="002B648A"/>
    <w:rsid w:val="002E01AF"/>
    <w:rsid w:val="002E06E3"/>
    <w:rsid w:val="002F034A"/>
    <w:rsid w:val="002F5D7F"/>
    <w:rsid w:val="003028D8"/>
    <w:rsid w:val="00303D8C"/>
    <w:rsid w:val="00311B65"/>
    <w:rsid w:val="00312D82"/>
    <w:rsid w:val="0031466B"/>
    <w:rsid w:val="003258F3"/>
    <w:rsid w:val="0034511E"/>
    <w:rsid w:val="0034599B"/>
    <w:rsid w:val="00347F9D"/>
    <w:rsid w:val="00354AF3"/>
    <w:rsid w:val="00365705"/>
    <w:rsid w:val="00374672"/>
    <w:rsid w:val="00381B62"/>
    <w:rsid w:val="00394A8B"/>
    <w:rsid w:val="00394DBF"/>
    <w:rsid w:val="00396915"/>
    <w:rsid w:val="003A3373"/>
    <w:rsid w:val="003C04D0"/>
    <w:rsid w:val="003C0AD3"/>
    <w:rsid w:val="003C3B46"/>
    <w:rsid w:val="003C63E2"/>
    <w:rsid w:val="003C7CBC"/>
    <w:rsid w:val="003D1243"/>
    <w:rsid w:val="003D1626"/>
    <w:rsid w:val="003E20B8"/>
    <w:rsid w:val="003F3F62"/>
    <w:rsid w:val="004015E5"/>
    <w:rsid w:val="00404669"/>
    <w:rsid w:val="00413C4D"/>
    <w:rsid w:val="004150A8"/>
    <w:rsid w:val="004333AC"/>
    <w:rsid w:val="00442104"/>
    <w:rsid w:val="00443C4F"/>
    <w:rsid w:val="00446990"/>
    <w:rsid w:val="004470A5"/>
    <w:rsid w:val="00456DDC"/>
    <w:rsid w:val="0045782A"/>
    <w:rsid w:val="00460BBB"/>
    <w:rsid w:val="0046135B"/>
    <w:rsid w:val="004645A3"/>
    <w:rsid w:val="004851C4"/>
    <w:rsid w:val="00487B25"/>
    <w:rsid w:val="004912CA"/>
    <w:rsid w:val="004A2F62"/>
    <w:rsid w:val="004A5C71"/>
    <w:rsid w:val="004B0B90"/>
    <w:rsid w:val="004B2204"/>
    <w:rsid w:val="004B2466"/>
    <w:rsid w:val="004B6257"/>
    <w:rsid w:val="004B7664"/>
    <w:rsid w:val="004C4812"/>
    <w:rsid w:val="004C5B88"/>
    <w:rsid w:val="004E1BCF"/>
    <w:rsid w:val="004E38FD"/>
    <w:rsid w:val="004E7A11"/>
    <w:rsid w:val="004F64ED"/>
    <w:rsid w:val="00507514"/>
    <w:rsid w:val="00510A4F"/>
    <w:rsid w:val="00513194"/>
    <w:rsid w:val="0051324C"/>
    <w:rsid w:val="00532EF2"/>
    <w:rsid w:val="0054435A"/>
    <w:rsid w:val="00546E41"/>
    <w:rsid w:val="005534D4"/>
    <w:rsid w:val="0055427E"/>
    <w:rsid w:val="00554808"/>
    <w:rsid w:val="005622AE"/>
    <w:rsid w:val="00566C08"/>
    <w:rsid w:val="00574DC2"/>
    <w:rsid w:val="005755A2"/>
    <w:rsid w:val="005868D6"/>
    <w:rsid w:val="00595F69"/>
    <w:rsid w:val="005B0B23"/>
    <w:rsid w:val="005C01C7"/>
    <w:rsid w:val="005D2286"/>
    <w:rsid w:val="005D4458"/>
    <w:rsid w:val="005D77A9"/>
    <w:rsid w:val="005E4FBA"/>
    <w:rsid w:val="005E6493"/>
    <w:rsid w:val="005F0195"/>
    <w:rsid w:val="005F4E17"/>
    <w:rsid w:val="005F5C02"/>
    <w:rsid w:val="006064D2"/>
    <w:rsid w:val="0061387C"/>
    <w:rsid w:val="00632349"/>
    <w:rsid w:val="00641853"/>
    <w:rsid w:val="00657FCF"/>
    <w:rsid w:val="00662BB1"/>
    <w:rsid w:val="00664571"/>
    <w:rsid w:val="006875A3"/>
    <w:rsid w:val="00692DF6"/>
    <w:rsid w:val="006B2C10"/>
    <w:rsid w:val="006B2FE8"/>
    <w:rsid w:val="006C07D2"/>
    <w:rsid w:val="006C5172"/>
    <w:rsid w:val="006D17F2"/>
    <w:rsid w:val="006D5243"/>
    <w:rsid w:val="006E52A2"/>
    <w:rsid w:val="006F316A"/>
    <w:rsid w:val="006F3ABB"/>
    <w:rsid w:val="007020EA"/>
    <w:rsid w:val="00717E89"/>
    <w:rsid w:val="00726A3D"/>
    <w:rsid w:val="007465A9"/>
    <w:rsid w:val="007601D2"/>
    <w:rsid w:val="0076131E"/>
    <w:rsid w:val="00761A1E"/>
    <w:rsid w:val="00761E84"/>
    <w:rsid w:val="007678A5"/>
    <w:rsid w:val="00783111"/>
    <w:rsid w:val="00784A21"/>
    <w:rsid w:val="00790B20"/>
    <w:rsid w:val="0079620C"/>
    <w:rsid w:val="0079702A"/>
    <w:rsid w:val="007A15A0"/>
    <w:rsid w:val="007A1A12"/>
    <w:rsid w:val="007C39CF"/>
    <w:rsid w:val="007D29A6"/>
    <w:rsid w:val="007D2B84"/>
    <w:rsid w:val="007D5C7F"/>
    <w:rsid w:val="007E190E"/>
    <w:rsid w:val="007E3C03"/>
    <w:rsid w:val="007E7C09"/>
    <w:rsid w:val="00802176"/>
    <w:rsid w:val="00806286"/>
    <w:rsid w:val="00813E0A"/>
    <w:rsid w:val="00816B52"/>
    <w:rsid w:val="00823C66"/>
    <w:rsid w:val="00830298"/>
    <w:rsid w:val="008333A2"/>
    <w:rsid w:val="0084048E"/>
    <w:rsid w:val="00841020"/>
    <w:rsid w:val="008469D2"/>
    <w:rsid w:val="00851D3B"/>
    <w:rsid w:val="00852357"/>
    <w:rsid w:val="00866DE3"/>
    <w:rsid w:val="00875B8D"/>
    <w:rsid w:val="0087634D"/>
    <w:rsid w:val="0087716D"/>
    <w:rsid w:val="00881627"/>
    <w:rsid w:val="008A5409"/>
    <w:rsid w:val="008B471E"/>
    <w:rsid w:val="008C1C4B"/>
    <w:rsid w:val="008C6F72"/>
    <w:rsid w:val="008D2ABD"/>
    <w:rsid w:val="008D4295"/>
    <w:rsid w:val="008E4B52"/>
    <w:rsid w:val="008F689D"/>
    <w:rsid w:val="0091119B"/>
    <w:rsid w:val="0091628A"/>
    <w:rsid w:val="00921748"/>
    <w:rsid w:val="0092623A"/>
    <w:rsid w:val="00931311"/>
    <w:rsid w:val="0093431A"/>
    <w:rsid w:val="00935738"/>
    <w:rsid w:val="00942A60"/>
    <w:rsid w:val="0094674C"/>
    <w:rsid w:val="009650C0"/>
    <w:rsid w:val="00966CAE"/>
    <w:rsid w:val="0097096E"/>
    <w:rsid w:val="009757EB"/>
    <w:rsid w:val="00981982"/>
    <w:rsid w:val="00981C00"/>
    <w:rsid w:val="00991F07"/>
    <w:rsid w:val="00997065"/>
    <w:rsid w:val="009A1CFB"/>
    <w:rsid w:val="009A3C22"/>
    <w:rsid w:val="009A4788"/>
    <w:rsid w:val="009A561D"/>
    <w:rsid w:val="009A63CA"/>
    <w:rsid w:val="009A6E01"/>
    <w:rsid w:val="009B12EB"/>
    <w:rsid w:val="009B36D6"/>
    <w:rsid w:val="009B64BC"/>
    <w:rsid w:val="009C4980"/>
    <w:rsid w:val="009C58EB"/>
    <w:rsid w:val="009D6B53"/>
    <w:rsid w:val="009E072F"/>
    <w:rsid w:val="009E16AC"/>
    <w:rsid w:val="009E2546"/>
    <w:rsid w:val="009F705F"/>
    <w:rsid w:val="00A019AB"/>
    <w:rsid w:val="00A12080"/>
    <w:rsid w:val="00A324E3"/>
    <w:rsid w:val="00A33F59"/>
    <w:rsid w:val="00A3786A"/>
    <w:rsid w:val="00A445F1"/>
    <w:rsid w:val="00A46CD8"/>
    <w:rsid w:val="00A61443"/>
    <w:rsid w:val="00A63767"/>
    <w:rsid w:val="00A70AFC"/>
    <w:rsid w:val="00A72AC9"/>
    <w:rsid w:val="00A73A2D"/>
    <w:rsid w:val="00A858B2"/>
    <w:rsid w:val="00A87304"/>
    <w:rsid w:val="00AA13F7"/>
    <w:rsid w:val="00AB71F4"/>
    <w:rsid w:val="00AC322B"/>
    <w:rsid w:val="00AC68AF"/>
    <w:rsid w:val="00AD0595"/>
    <w:rsid w:val="00AE2DCB"/>
    <w:rsid w:val="00AE4A1E"/>
    <w:rsid w:val="00B02319"/>
    <w:rsid w:val="00B05B93"/>
    <w:rsid w:val="00B06931"/>
    <w:rsid w:val="00B2422B"/>
    <w:rsid w:val="00B413AE"/>
    <w:rsid w:val="00B4277B"/>
    <w:rsid w:val="00B443D4"/>
    <w:rsid w:val="00B4746E"/>
    <w:rsid w:val="00B60D6D"/>
    <w:rsid w:val="00B616A1"/>
    <w:rsid w:val="00B61976"/>
    <w:rsid w:val="00B83CAD"/>
    <w:rsid w:val="00BA3B20"/>
    <w:rsid w:val="00BA515C"/>
    <w:rsid w:val="00BC1604"/>
    <w:rsid w:val="00BC16B7"/>
    <w:rsid w:val="00BE0949"/>
    <w:rsid w:val="00BE78E9"/>
    <w:rsid w:val="00BF537C"/>
    <w:rsid w:val="00C0090C"/>
    <w:rsid w:val="00C017E8"/>
    <w:rsid w:val="00C078D4"/>
    <w:rsid w:val="00C106B4"/>
    <w:rsid w:val="00C11A4D"/>
    <w:rsid w:val="00C2685E"/>
    <w:rsid w:val="00C32E19"/>
    <w:rsid w:val="00C35F0F"/>
    <w:rsid w:val="00C37F79"/>
    <w:rsid w:val="00C44A9E"/>
    <w:rsid w:val="00C46108"/>
    <w:rsid w:val="00C54CB6"/>
    <w:rsid w:val="00C61627"/>
    <w:rsid w:val="00C61E87"/>
    <w:rsid w:val="00C643F7"/>
    <w:rsid w:val="00C712DA"/>
    <w:rsid w:val="00C80062"/>
    <w:rsid w:val="00CA067C"/>
    <w:rsid w:val="00CB2142"/>
    <w:rsid w:val="00CB4CD9"/>
    <w:rsid w:val="00CD1937"/>
    <w:rsid w:val="00CD3FCA"/>
    <w:rsid w:val="00CD6235"/>
    <w:rsid w:val="00CE0FA7"/>
    <w:rsid w:val="00CF1291"/>
    <w:rsid w:val="00D00057"/>
    <w:rsid w:val="00D0513E"/>
    <w:rsid w:val="00D05B9F"/>
    <w:rsid w:val="00D11A87"/>
    <w:rsid w:val="00D12703"/>
    <w:rsid w:val="00D26153"/>
    <w:rsid w:val="00D35F8F"/>
    <w:rsid w:val="00D36805"/>
    <w:rsid w:val="00D45FDE"/>
    <w:rsid w:val="00D50A5D"/>
    <w:rsid w:val="00D51F60"/>
    <w:rsid w:val="00D52B79"/>
    <w:rsid w:val="00D54B5E"/>
    <w:rsid w:val="00D5714F"/>
    <w:rsid w:val="00D629D2"/>
    <w:rsid w:val="00D64A32"/>
    <w:rsid w:val="00D7079E"/>
    <w:rsid w:val="00DB0859"/>
    <w:rsid w:val="00DC6F5D"/>
    <w:rsid w:val="00DD26EA"/>
    <w:rsid w:val="00DD6E16"/>
    <w:rsid w:val="00DF3EE7"/>
    <w:rsid w:val="00E03333"/>
    <w:rsid w:val="00E03449"/>
    <w:rsid w:val="00E146EE"/>
    <w:rsid w:val="00E207A2"/>
    <w:rsid w:val="00E3067C"/>
    <w:rsid w:val="00E320F7"/>
    <w:rsid w:val="00E34114"/>
    <w:rsid w:val="00E35956"/>
    <w:rsid w:val="00E545A9"/>
    <w:rsid w:val="00E5496E"/>
    <w:rsid w:val="00E57C51"/>
    <w:rsid w:val="00E611F9"/>
    <w:rsid w:val="00E70F7E"/>
    <w:rsid w:val="00E72B80"/>
    <w:rsid w:val="00E85187"/>
    <w:rsid w:val="00EB1259"/>
    <w:rsid w:val="00EB2EC9"/>
    <w:rsid w:val="00EB5B07"/>
    <w:rsid w:val="00EC2022"/>
    <w:rsid w:val="00ED68DA"/>
    <w:rsid w:val="00EE1CDB"/>
    <w:rsid w:val="00EF635A"/>
    <w:rsid w:val="00F002C9"/>
    <w:rsid w:val="00F012BB"/>
    <w:rsid w:val="00F07596"/>
    <w:rsid w:val="00F11076"/>
    <w:rsid w:val="00F113C2"/>
    <w:rsid w:val="00F20D43"/>
    <w:rsid w:val="00F218ED"/>
    <w:rsid w:val="00F37ABB"/>
    <w:rsid w:val="00F416EA"/>
    <w:rsid w:val="00F51797"/>
    <w:rsid w:val="00F53497"/>
    <w:rsid w:val="00F56EA2"/>
    <w:rsid w:val="00F719D1"/>
    <w:rsid w:val="00F73B1C"/>
    <w:rsid w:val="00F8253C"/>
    <w:rsid w:val="00F84620"/>
    <w:rsid w:val="00F91723"/>
    <w:rsid w:val="00F9239B"/>
    <w:rsid w:val="00F92A5D"/>
    <w:rsid w:val="00F954DA"/>
    <w:rsid w:val="00F96572"/>
    <w:rsid w:val="00F97A8A"/>
    <w:rsid w:val="00FA067D"/>
    <w:rsid w:val="00FA3A01"/>
    <w:rsid w:val="00FA7695"/>
    <w:rsid w:val="00FC02D2"/>
    <w:rsid w:val="00FC0FCF"/>
    <w:rsid w:val="00FD2F54"/>
    <w:rsid w:val="00FE0B9C"/>
    <w:rsid w:val="00FF650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05095"/>
  <w15:chartTrackingRefBased/>
  <w15:docId w15:val="{0FF86F7B-9D57-431C-83F5-980DB7375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D629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29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29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29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29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29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29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29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29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29D2"/>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D629D2"/>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D629D2"/>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D629D2"/>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D629D2"/>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D629D2"/>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D629D2"/>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D629D2"/>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D629D2"/>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D629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29D2"/>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D629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29D2"/>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D629D2"/>
    <w:pPr>
      <w:spacing w:before="160"/>
      <w:jc w:val="center"/>
    </w:pPr>
    <w:rPr>
      <w:i/>
      <w:iCs/>
      <w:color w:val="404040" w:themeColor="text1" w:themeTint="BF"/>
    </w:rPr>
  </w:style>
  <w:style w:type="character" w:customStyle="1" w:styleId="QuoteChar">
    <w:name w:val="Quote Char"/>
    <w:basedOn w:val="DefaultParagraphFont"/>
    <w:link w:val="Quote"/>
    <w:uiPriority w:val="29"/>
    <w:rsid w:val="00D629D2"/>
    <w:rPr>
      <w:i/>
      <w:iCs/>
      <w:color w:val="404040" w:themeColor="text1" w:themeTint="BF"/>
      <w:lang w:val="cy-GB"/>
    </w:rPr>
  </w:style>
  <w:style w:type="paragraph" w:styleId="ListParagraph">
    <w:name w:val="List Paragraph"/>
    <w:basedOn w:val="Normal"/>
    <w:uiPriority w:val="34"/>
    <w:qFormat/>
    <w:rsid w:val="00D629D2"/>
    <w:pPr>
      <w:ind w:left="720"/>
      <w:contextualSpacing/>
    </w:pPr>
  </w:style>
  <w:style w:type="character" w:styleId="IntenseEmphasis">
    <w:name w:val="Intense Emphasis"/>
    <w:basedOn w:val="DefaultParagraphFont"/>
    <w:uiPriority w:val="21"/>
    <w:qFormat/>
    <w:rsid w:val="00D629D2"/>
    <w:rPr>
      <w:i/>
      <w:iCs/>
      <w:color w:val="0F4761" w:themeColor="accent1" w:themeShade="BF"/>
    </w:rPr>
  </w:style>
  <w:style w:type="paragraph" w:styleId="IntenseQuote">
    <w:name w:val="Intense Quote"/>
    <w:basedOn w:val="Normal"/>
    <w:next w:val="Normal"/>
    <w:link w:val="IntenseQuoteChar"/>
    <w:uiPriority w:val="30"/>
    <w:qFormat/>
    <w:rsid w:val="00D629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29D2"/>
    <w:rPr>
      <w:i/>
      <w:iCs/>
      <w:color w:val="0F4761" w:themeColor="accent1" w:themeShade="BF"/>
      <w:lang w:val="cy-GB"/>
    </w:rPr>
  </w:style>
  <w:style w:type="character" w:styleId="IntenseReference">
    <w:name w:val="Intense Reference"/>
    <w:basedOn w:val="DefaultParagraphFont"/>
    <w:uiPriority w:val="32"/>
    <w:qFormat/>
    <w:rsid w:val="00D629D2"/>
    <w:rPr>
      <w:b/>
      <w:bCs/>
      <w:smallCaps/>
      <w:color w:val="0F4761" w:themeColor="accent1" w:themeShade="BF"/>
      <w:spacing w:val="5"/>
    </w:rPr>
  </w:style>
  <w:style w:type="character" w:styleId="Hyperlink">
    <w:name w:val="Hyperlink"/>
    <w:basedOn w:val="DefaultParagraphFont"/>
    <w:uiPriority w:val="99"/>
    <w:unhideWhenUsed/>
    <w:rsid w:val="00966CAE"/>
    <w:rPr>
      <w:color w:val="467886" w:themeColor="hyperlink"/>
      <w:u w:val="single"/>
    </w:rPr>
  </w:style>
  <w:style w:type="character" w:styleId="UnresolvedMention">
    <w:name w:val="Unresolved Mention"/>
    <w:basedOn w:val="DefaultParagraphFont"/>
    <w:uiPriority w:val="99"/>
    <w:semiHidden/>
    <w:unhideWhenUsed/>
    <w:rsid w:val="00966CAE"/>
    <w:rPr>
      <w:color w:val="605E5C"/>
      <w:shd w:val="clear" w:color="auto" w:fill="E1DFDD"/>
    </w:rPr>
  </w:style>
  <w:style w:type="paragraph" w:styleId="Header">
    <w:name w:val="header"/>
    <w:basedOn w:val="Normal"/>
    <w:link w:val="HeaderChar"/>
    <w:uiPriority w:val="99"/>
    <w:unhideWhenUsed/>
    <w:rsid w:val="00067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62F"/>
    <w:rPr>
      <w:lang w:val="cy-GB"/>
    </w:rPr>
  </w:style>
  <w:style w:type="paragraph" w:styleId="Footer">
    <w:name w:val="footer"/>
    <w:basedOn w:val="Normal"/>
    <w:link w:val="FooterChar"/>
    <w:uiPriority w:val="99"/>
    <w:unhideWhenUsed/>
    <w:rsid w:val="00067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62F"/>
    <w:rPr>
      <w:lang w:val="cy-GB"/>
    </w:rPr>
  </w:style>
  <w:style w:type="character" w:styleId="Emphasis">
    <w:name w:val="Emphasis"/>
    <w:basedOn w:val="DefaultParagraphFont"/>
    <w:uiPriority w:val="20"/>
    <w:qFormat/>
    <w:rsid w:val="006B2FE8"/>
    <w:rPr>
      <w:i/>
      <w:iCs/>
    </w:rPr>
  </w:style>
  <w:style w:type="table" w:styleId="TableGrid">
    <w:name w:val="Table Grid"/>
    <w:basedOn w:val="TableNormal"/>
    <w:uiPriority w:val="39"/>
    <w:rsid w:val="00096A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596319">
      <w:bodyDiv w:val="1"/>
      <w:marLeft w:val="0"/>
      <w:marRight w:val="0"/>
      <w:marTop w:val="0"/>
      <w:marBottom w:val="0"/>
      <w:divBdr>
        <w:top w:val="none" w:sz="0" w:space="0" w:color="auto"/>
        <w:left w:val="none" w:sz="0" w:space="0" w:color="auto"/>
        <w:bottom w:val="none" w:sz="0" w:space="0" w:color="auto"/>
        <w:right w:val="none" w:sz="0" w:space="0" w:color="auto"/>
      </w:divBdr>
    </w:div>
    <w:div w:id="138232242">
      <w:bodyDiv w:val="1"/>
      <w:marLeft w:val="0"/>
      <w:marRight w:val="0"/>
      <w:marTop w:val="0"/>
      <w:marBottom w:val="0"/>
      <w:divBdr>
        <w:top w:val="none" w:sz="0" w:space="0" w:color="auto"/>
        <w:left w:val="none" w:sz="0" w:space="0" w:color="auto"/>
        <w:bottom w:val="none" w:sz="0" w:space="0" w:color="auto"/>
        <w:right w:val="none" w:sz="0" w:space="0" w:color="auto"/>
      </w:divBdr>
    </w:div>
    <w:div w:id="150610632">
      <w:bodyDiv w:val="1"/>
      <w:marLeft w:val="0"/>
      <w:marRight w:val="0"/>
      <w:marTop w:val="0"/>
      <w:marBottom w:val="0"/>
      <w:divBdr>
        <w:top w:val="none" w:sz="0" w:space="0" w:color="auto"/>
        <w:left w:val="none" w:sz="0" w:space="0" w:color="auto"/>
        <w:bottom w:val="none" w:sz="0" w:space="0" w:color="auto"/>
        <w:right w:val="none" w:sz="0" w:space="0" w:color="auto"/>
      </w:divBdr>
    </w:div>
    <w:div w:id="156774944">
      <w:bodyDiv w:val="1"/>
      <w:marLeft w:val="0"/>
      <w:marRight w:val="0"/>
      <w:marTop w:val="0"/>
      <w:marBottom w:val="0"/>
      <w:divBdr>
        <w:top w:val="none" w:sz="0" w:space="0" w:color="auto"/>
        <w:left w:val="none" w:sz="0" w:space="0" w:color="auto"/>
        <w:bottom w:val="none" w:sz="0" w:space="0" w:color="auto"/>
        <w:right w:val="none" w:sz="0" w:space="0" w:color="auto"/>
      </w:divBdr>
    </w:div>
    <w:div w:id="202864865">
      <w:bodyDiv w:val="1"/>
      <w:marLeft w:val="0"/>
      <w:marRight w:val="0"/>
      <w:marTop w:val="0"/>
      <w:marBottom w:val="0"/>
      <w:divBdr>
        <w:top w:val="none" w:sz="0" w:space="0" w:color="auto"/>
        <w:left w:val="none" w:sz="0" w:space="0" w:color="auto"/>
        <w:bottom w:val="none" w:sz="0" w:space="0" w:color="auto"/>
        <w:right w:val="none" w:sz="0" w:space="0" w:color="auto"/>
      </w:divBdr>
    </w:div>
    <w:div w:id="309332435">
      <w:bodyDiv w:val="1"/>
      <w:marLeft w:val="0"/>
      <w:marRight w:val="0"/>
      <w:marTop w:val="0"/>
      <w:marBottom w:val="0"/>
      <w:divBdr>
        <w:top w:val="none" w:sz="0" w:space="0" w:color="auto"/>
        <w:left w:val="none" w:sz="0" w:space="0" w:color="auto"/>
        <w:bottom w:val="none" w:sz="0" w:space="0" w:color="auto"/>
        <w:right w:val="none" w:sz="0" w:space="0" w:color="auto"/>
      </w:divBdr>
    </w:div>
    <w:div w:id="417674409">
      <w:bodyDiv w:val="1"/>
      <w:marLeft w:val="0"/>
      <w:marRight w:val="0"/>
      <w:marTop w:val="0"/>
      <w:marBottom w:val="0"/>
      <w:divBdr>
        <w:top w:val="none" w:sz="0" w:space="0" w:color="auto"/>
        <w:left w:val="none" w:sz="0" w:space="0" w:color="auto"/>
        <w:bottom w:val="none" w:sz="0" w:space="0" w:color="auto"/>
        <w:right w:val="none" w:sz="0" w:space="0" w:color="auto"/>
      </w:divBdr>
    </w:div>
    <w:div w:id="598097436">
      <w:bodyDiv w:val="1"/>
      <w:marLeft w:val="0"/>
      <w:marRight w:val="0"/>
      <w:marTop w:val="0"/>
      <w:marBottom w:val="0"/>
      <w:divBdr>
        <w:top w:val="none" w:sz="0" w:space="0" w:color="auto"/>
        <w:left w:val="none" w:sz="0" w:space="0" w:color="auto"/>
        <w:bottom w:val="none" w:sz="0" w:space="0" w:color="auto"/>
        <w:right w:val="none" w:sz="0" w:space="0" w:color="auto"/>
      </w:divBdr>
      <w:divsChild>
        <w:div w:id="832070177">
          <w:marLeft w:val="0"/>
          <w:marRight w:val="0"/>
          <w:marTop w:val="0"/>
          <w:marBottom w:val="0"/>
          <w:divBdr>
            <w:top w:val="none" w:sz="0" w:space="0" w:color="auto"/>
            <w:left w:val="none" w:sz="0" w:space="0" w:color="auto"/>
            <w:bottom w:val="none" w:sz="0" w:space="0" w:color="auto"/>
            <w:right w:val="none" w:sz="0" w:space="0" w:color="auto"/>
          </w:divBdr>
          <w:divsChild>
            <w:div w:id="1853454269">
              <w:marLeft w:val="0"/>
              <w:marRight w:val="0"/>
              <w:marTop w:val="0"/>
              <w:marBottom w:val="0"/>
              <w:divBdr>
                <w:top w:val="none" w:sz="0" w:space="0" w:color="auto"/>
                <w:left w:val="none" w:sz="0" w:space="0" w:color="auto"/>
                <w:bottom w:val="none" w:sz="0" w:space="0" w:color="auto"/>
                <w:right w:val="none" w:sz="0" w:space="0" w:color="auto"/>
              </w:divBdr>
              <w:divsChild>
                <w:div w:id="1699315170">
                  <w:marLeft w:val="0"/>
                  <w:marRight w:val="0"/>
                  <w:marTop w:val="0"/>
                  <w:marBottom w:val="0"/>
                  <w:divBdr>
                    <w:top w:val="none" w:sz="0" w:space="0" w:color="auto"/>
                    <w:left w:val="none" w:sz="0" w:space="0" w:color="auto"/>
                    <w:bottom w:val="none" w:sz="0" w:space="0" w:color="auto"/>
                    <w:right w:val="none" w:sz="0" w:space="0" w:color="auto"/>
                  </w:divBdr>
                  <w:divsChild>
                    <w:div w:id="1453136276">
                      <w:marLeft w:val="0"/>
                      <w:marRight w:val="0"/>
                      <w:marTop w:val="0"/>
                      <w:marBottom w:val="0"/>
                      <w:divBdr>
                        <w:top w:val="none" w:sz="0" w:space="0" w:color="auto"/>
                        <w:left w:val="none" w:sz="0" w:space="0" w:color="auto"/>
                        <w:bottom w:val="none" w:sz="0" w:space="0" w:color="auto"/>
                        <w:right w:val="none" w:sz="0" w:space="0" w:color="auto"/>
                      </w:divBdr>
                      <w:divsChild>
                        <w:div w:id="2118871453">
                          <w:marLeft w:val="0"/>
                          <w:marRight w:val="0"/>
                          <w:marTop w:val="0"/>
                          <w:marBottom w:val="0"/>
                          <w:divBdr>
                            <w:top w:val="none" w:sz="0" w:space="0" w:color="auto"/>
                            <w:left w:val="none" w:sz="0" w:space="0" w:color="auto"/>
                            <w:bottom w:val="none" w:sz="0" w:space="0" w:color="auto"/>
                            <w:right w:val="none" w:sz="0" w:space="0" w:color="auto"/>
                          </w:divBdr>
                          <w:divsChild>
                            <w:div w:id="708142944">
                              <w:marLeft w:val="0"/>
                              <w:marRight w:val="0"/>
                              <w:marTop w:val="0"/>
                              <w:marBottom w:val="0"/>
                              <w:divBdr>
                                <w:top w:val="none" w:sz="0" w:space="0" w:color="auto"/>
                                <w:left w:val="none" w:sz="0" w:space="0" w:color="auto"/>
                                <w:bottom w:val="none" w:sz="0" w:space="0" w:color="auto"/>
                                <w:right w:val="none" w:sz="0" w:space="0" w:color="auto"/>
                              </w:divBdr>
                              <w:divsChild>
                                <w:div w:id="470245500">
                                  <w:marLeft w:val="0"/>
                                  <w:marRight w:val="0"/>
                                  <w:marTop w:val="0"/>
                                  <w:marBottom w:val="0"/>
                                  <w:divBdr>
                                    <w:top w:val="none" w:sz="0" w:space="0" w:color="auto"/>
                                    <w:left w:val="none" w:sz="0" w:space="0" w:color="auto"/>
                                    <w:bottom w:val="none" w:sz="0" w:space="0" w:color="auto"/>
                                    <w:right w:val="none" w:sz="0" w:space="0" w:color="auto"/>
                                  </w:divBdr>
                                  <w:divsChild>
                                    <w:div w:id="187055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1316427">
      <w:bodyDiv w:val="1"/>
      <w:marLeft w:val="0"/>
      <w:marRight w:val="0"/>
      <w:marTop w:val="0"/>
      <w:marBottom w:val="0"/>
      <w:divBdr>
        <w:top w:val="none" w:sz="0" w:space="0" w:color="auto"/>
        <w:left w:val="none" w:sz="0" w:space="0" w:color="auto"/>
        <w:bottom w:val="none" w:sz="0" w:space="0" w:color="auto"/>
        <w:right w:val="none" w:sz="0" w:space="0" w:color="auto"/>
      </w:divBdr>
    </w:div>
    <w:div w:id="909730418">
      <w:bodyDiv w:val="1"/>
      <w:marLeft w:val="0"/>
      <w:marRight w:val="0"/>
      <w:marTop w:val="0"/>
      <w:marBottom w:val="0"/>
      <w:divBdr>
        <w:top w:val="none" w:sz="0" w:space="0" w:color="auto"/>
        <w:left w:val="none" w:sz="0" w:space="0" w:color="auto"/>
        <w:bottom w:val="none" w:sz="0" w:space="0" w:color="auto"/>
        <w:right w:val="none" w:sz="0" w:space="0" w:color="auto"/>
      </w:divBdr>
    </w:div>
    <w:div w:id="1052464482">
      <w:bodyDiv w:val="1"/>
      <w:marLeft w:val="0"/>
      <w:marRight w:val="0"/>
      <w:marTop w:val="0"/>
      <w:marBottom w:val="0"/>
      <w:divBdr>
        <w:top w:val="none" w:sz="0" w:space="0" w:color="auto"/>
        <w:left w:val="none" w:sz="0" w:space="0" w:color="auto"/>
        <w:bottom w:val="none" w:sz="0" w:space="0" w:color="auto"/>
        <w:right w:val="none" w:sz="0" w:space="0" w:color="auto"/>
      </w:divBdr>
    </w:div>
    <w:div w:id="1237205358">
      <w:bodyDiv w:val="1"/>
      <w:marLeft w:val="0"/>
      <w:marRight w:val="0"/>
      <w:marTop w:val="0"/>
      <w:marBottom w:val="0"/>
      <w:divBdr>
        <w:top w:val="none" w:sz="0" w:space="0" w:color="auto"/>
        <w:left w:val="none" w:sz="0" w:space="0" w:color="auto"/>
        <w:bottom w:val="none" w:sz="0" w:space="0" w:color="auto"/>
        <w:right w:val="none" w:sz="0" w:space="0" w:color="auto"/>
      </w:divBdr>
    </w:div>
    <w:div w:id="1250771138">
      <w:bodyDiv w:val="1"/>
      <w:marLeft w:val="0"/>
      <w:marRight w:val="0"/>
      <w:marTop w:val="0"/>
      <w:marBottom w:val="0"/>
      <w:divBdr>
        <w:top w:val="none" w:sz="0" w:space="0" w:color="auto"/>
        <w:left w:val="none" w:sz="0" w:space="0" w:color="auto"/>
        <w:bottom w:val="none" w:sz="0" w:space="0" w:color="auto"/>
        <w:right w:val="none" w:sz="0" w:space="0" w:color="auto"/>
      </w:divBdr>
    </w:div>
    <w:div w:id="1351563702">
      <w:bodyDiv w:val="1"/>
      <w:marLeft w:val="0"/>
      <w:marRight w:val="0"/>
      <w:marTop w:val="0"/>
      <w:marBottom w:val="0"/>
      <w:divBdr>
        <w:top w:val="none" w:sz="0" w:space="0" w:color="auto"/>
        <w:left w:val="none" w:sz="0" w:space="0" w:color="auto"/>
        <w:bottom w:val="none" w:sz="0" w:space="0" w:color="auto"/>
        <w:right w:val="none" w:sz="0" w:space="0" w:color="auto"/>
      </w:divBdr>
    </w:div>
    <w:div w:id="1451509062">
      <w:bodyDiv w:val="1"/>
      <w:marLeft w:val="0"/>
      <w:marRight w:val="0"/>
      <w:marTop w:val="0"/>
      <w:marBottom w:val="0"/>
      <w:divBdr>
        <w:top w:val="none" w:sz="0" w:space="0" w:color="auto"/>
        <w:left w:val="none" w:sz="0" w:space="0" w:color="auto"/>
        <w:bottom w:val="none" w:sz="0" w:space="0" w:color="auto"/>
        <w:right w:val="none" w:sz="0" w:space="0" w:color="auto"/>
      </w:divBdr>
    </w:div>
    <w:div w:id="1632907313">
      <w:bodyDiv w:val="1"/>
      <w:marLeft w:val="0"/>
      <w:marRight w:val="0"/>
      <w:marTop w:val="0"/>
      <w:marBottom w:val="0"/>
      <w:divBdr>
        <w:top w:val="none" w:sz="0" w:space="0" w:color="auto"/>
        <w:left w:val="none" w:sz="0" w:space="0" w:color="auto"/>
        <w:bottom w:val="none" w:sz="0" w:space="0" w:color="auto"/>
        <w:right w:val="none" w:sz="0" w:space="0" w:color="auto"/>
      </w:divBdr>
      <w:divsChild>
        <w:div w:id="1911505160">
          <w:marLeft w:val="0"/>
          <w:marRight w:val="0"/>
          <w:marTop w:val="0"/>
          <w:marBottom w:val="0"/>
          <w:divBdr>
            <w:top w:val="none" w:sz="0" w:space="0" w:color="auto"/>
            <w:left w:val="none" w:sz="0" w:space="0" w:color="auto"/>
            <w:bottom w:val="none" w:sz="0" w:space="0" w:color="auto"/>
            <w:right w:val="none" w:sz="0" w:space="0" w:color="auto"/>
          </w:divBdr>
          <w:divsChild>
            <w:div w:id="388454429">
              <w:marLeft w:val="0"/>
              <w:marRight w:val="0"/>
              <w:marTop w:val="0"/>
              <w:marBottom w:val="0"/>
              <w:divBdr>
                <w:top w:val="none" w:sz="0" w:space="0" w:color="auto"/>
                <w:left w:val="none" w:sz="0" w:space="0" w:color="auto"/>
                <w:bottom w:val="none" w:sz="0" w:space="0" w:color="auto"/>
                <w:right w:val="none" w:sz="0" w:space="0" w:color="auto"/>
              </w:divBdr>
              <w:divsChild>
                <w:div w:id="982082080">
                  <w:marLeft w:val="0"/>
                  <w:marRight w:val="0"/>
                  <w:marTop w:val="0"/>
                  <w:marBottom w:val="0"/>
                  <w:divBdr>
                    <w:top w:val="none" w:sz="0" w:space="0" w:color="auto"/>
                    <w:left w:val="none" w:sz="0" w:space="0" w:color="auto"/>
                    <w:bottom w:val="none" w:sz="0" w:space="0" w:color="auto"/>
                    <w:right w:val="none" w:sz="0" w:space="0" w:color="auto"/>
                  </w:divBdr>
                  <w:divsChild>
                    <w:div w:id="1412120759">
                      <w:marLeft w:val="0"/>
                      <w:marRight w:val="0"/>
                      <w:marTop w:val="0"/>
                      <w:marBottom w:val="0"/>
                      <w:divBdr>
                        <w:top w:val="none" w:sz="0" w:space="0" w:color="auto"/>
                        <w:left w:val="none" w:sz="0" w:space="0" w:color="auto"/>
                        <w:bottom w:val="none" w:sz="0" w:space="0" w:color="auto"/>
                        <w:right w:val="none" w:sz="0" w:space="0" w:color="auto"/>
                      </w:divBdr>
                      <w:divsChild>
                        <w:div w:id="1019506778">
                          <w:marLeft w:val="0"/>
                          <w:marRight w:val="0"/>
                          <w:marTop w:val="0"/>
                          <w:marBottom w:val="0"/>
                          <w:divBdr>
                            <w:top w:val="none" w:sz="0" w:space="0" w:color="auto"/>
                            <w:left w:val="none" w:sz="0" w:space="0" w:color="auto"/>
                            <w:bottom w:val="none" w:sz="0" w:space="0" w:color="auto"/>
                            <w:right w:val="none" w:sz="0" w:space="0" w:color="auto"/>
                          </w:divBdr>
                          <w:divsChild>
                            <w:div w:id="233975896">
                              <w:marLeft w:val="0"/>
                              <w:marRight w:val="0"/>
                              <w:marTop w:val="0"/>
                              <w:marBottom w:val="0"/>
                              <w:divBdr>
                                <w:top w:val="none" w:sz="0" w:space="0" w:color="auto"/>
                                <w:left w:val="none" w:sz="0" w:space="0" w:color="auto"/>
                                <w:bottom w:val="none" w:sz="0" w:space="0" w:color="auto"/>
                                <w:right w:val="none" w:sz="0" w:space="0" w:color="auto"/>
                              </w:divBdr>
                              <w:divsChild>
                                <w:div w:id="599415087">
                                  <w:marLeft w:val="0"/>
                                  <w:marRight w:val="0"/>
                                  <w:marTop w:val="0"/>
                                  <w:marBottom w:val="0"/>
                                  <w:divBdr>
                                    <w:top w:val="none" w:sz="0" w:space="0" w:color="auto"/>
                                    <w:left w:val="none" w:sz="0" w:space="0" w:color="auto"/>
                                    <w:bottom w:val="none" w:sz="0" w:space="0" w:color="auto"/>
                                    <w:right w:val="none" w:sz="0" w:space="0" w:color="auto"/>
                                  </w:divBdr>
                                  <w:divsChild>
                                    <w:div w:id="796801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3383198">
      <w:bodyDiv w:val="1"/>
      <w:marLeft w:val="0"/>
      <w:marRight w:val="0"/>
      <w:marTop w:val="0"/>
      <w:marBottom w:val="0"/>
      <w:divBdr>
        <w:top w:val="none" w:sz="0" w:space="0" w:color="auto"/>
        <w:left w:val="none" w:sz="0" w:space="0" w:color="auto"/>
        <w:bottom w:val="none" w:sz="0" w:space="0" w:color="auto"/>
        <w:right w:val="none" w:sz="0" w:space="0" w:color="auto"/>
      </w:divBdr>
    </w:div>
    <w:div w:id="1749885950">
      <w:bodyDiv w:val="1"/>
      <w:marLeft w:val="0"/>
      <w:marRight w:val="0"/>
      <w:marTop w:val="0"/>
      <w:marBottom w:val="0"/>
      <w:divBdr>
        <w:top w:val="none" w:sz="0" w:space="0" w:color="auto"/>
        <w:left w:val="none" w:sz="0" w:space="0" w:color="auto"/>
        <w:bottom w:val="none" w:sz="0" w:space="0" w:color="auto"/>
        <w:right w:val="none" w:sz="0" w:space="0" w:color="auto"/>
      </w:divBdr>
    </w:div>
    <w:div w:id="1787042409">
      <w:bodyDiv w:val="1"/>
      <w:marLeft w:val="0"/>
      <w:marRight w:val="0"/>
      <w:marTop w:val="0"/>
      <w:marBottom w:val="0"/>
      <w:divBdr>
        <w:top w:val="none" w:sz="0" w:space="0" w:color="auto"/>
        <w:left w:val="none" w:sz="0" w:space="0" w:color="auto"/>
        <w:bottom w:val="none" w:sz="0" w:space="0" w:color="auto"/>
        <w:right w:val="none" w:sz="0" w:space="0" w:color="auto"/>
      </w:divBdr>
    </w:div>
    <w:div w:id="1956523196">
      <w:bodyDiv w:val="1"/>
      <w:marLeft w:val="0"/>
      <w:marRight w:val="0"/>
      <w:marTop w:val="0"/>
      <w:marBottom w:val="0"/>
      <w:divBdr>
        <w:top w:val="none" w:sz="0" w:space="0" w:color="auto"/>
        <w:left w:val="none" w:sz="0" w:space="0" w:color="auto"/>
        <w:bottom w:val="none" w:sz="0" w:space="0" w:color="auto"/>
        <w:right w:val="none" w:sz="0" w:space="0" w:color="auto"/>
      </w:divBdr>
    </w:div>
    <w:div w:id="211762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ra.ac.uk/publication/ethical-guidelines-for-educational-research-fifth-edition-2024" TargetMode="External"/><Relationship Id="rId18" Type="http://schemas.openxmlformats.org/officeDocument/2006/relationships/hyperlink" Target="https://estyn.gov.wales/system/files/2024-02/Effective%20approaches%20to%20assessment%20that%20improve%20teaching%20and%20learning.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unb.ca/fredericton/cetl/services/teaching-tips/instructional-methods/feedback-that-improves-student-performance.html" TargetMode="External"/><Relationship Id="rId17" Type="http://schemas.openxmlformats.org/officeDocument/2006/relationships/hyperlink" Target="https://journals.sagepub.com/doi/pdf/10.1177/216507999003801203" TargetMode="External"/><Relationship Id="rId2" Type="http://schemas.openxmlformats.org/officeDocument/2006/relationships/numbering" Target="numbering.xml"/><Relationship Id="rId16" Type="http://schemas.openxmlformats.org/officeDocument/2006/relationships/hyperlink" Target="https://getrevising.co.uk/grids/advantages-and-disadvantages-of-interview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les.eric.ed.gov/fulltext/EJ1293561.pdf" TargetMode="External"/><Relationship Id="rId5" Type="http://schemas.openxmlformats.org/officeDocument/2006/relationships/webSettings" Target="webSettings.xml"/><Relationship Id="rId15" Type="http://schemas.openxmlformats.org/officeDocument/2006/relationships/hyperlink" Target="https://www.bmj.com/content/322/Suppl_S6/0106187" TargetMode="External"/><Relationship Id="rId10" Type="http://schemas.openxmlformats.org/officeDocument/2006/relationships/hyperlink" Target="https://selfdeterminationtheory.org/wp-content/uploads/2019/11/2019_FongPatallETAL_EdPsychReview.pdf" TargetMode="External"/><Relationship Id="rId19" Type="http://schemas.openxmlformats.org/officeDocument/2006/relationships/hyperlink" Target="https://www.simplypsychology.org/zone-of-proximal-development.html" TargetMode="External"/><Relationship Id="rId4" Type="http://schemas.openxmlformats.org/officeDocument/2006/relationships/settings" Target="settings.xml"/><Relationship Id="rId9" Type="http://schemas.openxmlformats.org/officeDocument/2006/relationships/hyperlink" Target="https://ctl.univie.ac.at/fileadmin/user_upload/z_ctl/Feedback/Hattie_Timperley_2007_Power_of_Feedback_1_.pdf" TargetMode="External"/><Relationship Id="rId14" Type="http://schemas.openxmlformats.org/officeDocument/2006/relationships/hyperlink" Target="https://academic-writing.uk/advantages-disadvantages-questionnaire-survey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E73095-0FAB-4836-A3CF-9C830BDBD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8738</TotalTime>
  <Pages>10</Pages>
  <Words>3344</Words>
  <Characters>19064</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Pugh</dc:creator>
  <cp:keywords/>
  <dc:description/>
  <cp:lastModifiedBy>Joseph Pugh</cp:lastModifiedBy>
  <cp:revision>405</cp:revision>
  <dcterms:created xsi:type="dcterms:W3CDTF">2025-03-21T10:20:00Z</dcterms:created>
  <dcterms:modified xsi:type="dcterms:W3CDTF">2025-04-03T21:30:00Z</dcterms:modified>
</cp:coreProperties>
</file>