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62D6F"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During the early 21st Century the UK experienced a number of devastating major incidents, which caused initial and long lasting impacts on human welfare and the environment e.g. </w:t>
      </w:r>
    </w:p>
    <w:p w14:paraId="5FF9DB88" w14:textId="77777777" w:rsidR="008500C8" w:rsidRPr="008500C8" w:rsidRDefault="008500C8" w:rsidP="008500C8">
      <w:pPr>
        <w:numPr>
          <w:ilvl w:val="0"/>
          <w:numId w:val="4"/>
        </w:num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Foot and Mouth Disease in February 2001, which had a direct effect on animal husbandry and potentially a massive disruption to the food supply within the UK</w:t>
      </w:r>
    </w:p>
    <w:p w14:paraId="0F67D2F1" w14:textId="77777777" w:rsidR="008500C8" w:rsidRPr="008500C8" w:rsidRDefault="008500C8" w:rsidP="008500C8">
      <w:pPr>
        <w:numPr>
          <w:ilvl w:val="0"/>
          <w:numId w:val="4"/>
        </w:num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Flooding Autumn 2000/2001 decimated whole communities some of which never recovered.</w:t>
      </w:r>
    </w:p>
    <w:p w14:paraId="1D14158F"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scale and the close proximity of the incidents not only put a substantial strain on the responding agencies own resilience and resources,  but also allowed for existing emergency management legislation to be fully tested and evaluated in extremis.</w:t>
      </w:r>
    </w:p>
    <w:p w14:paraId="268BD6A8"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sz w:val="24"/>
          <w:szCs w:val="24"/>
          <w:lang w:eastAsia="en-GB"/>
        </w:rPr>
      </w:pPr>
      <w:r w:rsidRPr="008500C8">
        <w:rPr>
          <w:rFonts w:ascii="Times New Roman" w:eastAsia="Times New Roman" w:hAnsi="Times New Roman" w:cs="Times New Roman"/>
          <w:color w:val="212529"/>
          <w:sz w:val="24"/>
          <w:szCs w:val="24"/>
          <w:lang w:eastAsia="en-GB"/>
        </w:rPr>
        <w:t xml:space="preserve"> </w:t>
      </w:r>
      <w:hyperlink w:anchor="_Dillon,_B._(2014)" w:history="1">
        <w:r w:rsidRPr="006C41B9">
          <w:rPr>
            <w:rStyle w:val="Hyperlink"/>
            <w:rFonts w:ascii="Times New Roman" w:eastAsia="Times New Roman" w:hAnsi="Times New Roman" w:cs="Times New Roman"/>
            <w:sz w:val="24"/>
            <w:szCs w:val="24"/>
            <w:lang w:eastAsia="en-GB"/>
          </w:rPr>
          <w:t>(Dillon, B. (2014), pp. 51–51)</w:t>
        </w:r>
      </w:hyperlink>
      <w:r w:rsidRPr="008500C8">
        <w:rPr>
          <w:rFonts w:ascii="Times New Roman" w:eastAsia="Times New Roman" w:hAnsi="Times New Roman" w:cs="Times New Roman"/>
          <w:color w:val="212529"/>
          <w:sz w:val="24"/>
          <w:szCs w:val="24"/>
          <w:lang w:eastAsia="en-GB"/>
        </w:rPr>
        <w:t xml:space="preserve"> notes during the period of the Foot and Mouth Disease, communication between Government and local Strategic Co-ordination Groups proved less than efficient. </w:t>
      </w:r>
      <w:r w:rsidRPr="008500C8">
        <w:rPr>
          <w:rFonts w:ascii="Times New Roman" w:eastAsia="Times New Roman" w:hAnsi="Times New Roman" w:cs="Times New Roman"/>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The existing legislation powers available during that period came from The Emergency Powers Act 1920 and The Civil Defence Act 1948, which were intended for the UK during a time of war, where civil defence was of paramount importance and stemmed from the fear of the potential of civil unrest and the use of nuclear weapons by our perceived enemies. </w:t>
      </w:r>
    </w:p>
    <w:p w14:paraId="5DB6BE5A"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It was clear that alternative emergency management legislation was required and the Government issued a review into existing legislation. The </w:t>
      </w:r>
      <w:r w:rsidRPr="008500C8">
        <w:rPr>
          <w:rFonts w:ascii="Times New Roman" w:eastAsia="Times New Roman" w:hAnsi="Times New Roman" w:cs="Times New Roman"/>
          <w:sz w:val="24"/>
          <w:szCs w:val="24"/>
          <w:lang w:eastAsia="en-GB"/>
        </w:rPr>
        <w:t>(</w:t>
      </w:r>
      <w:hyperlink w:anchor="_Office,_C._(no" w:history="1">
        <w:r w:rsidRPr="006C41B9">
          <w:rPr>
            <w:rStyle w:val="Hyperlink"/>
            <w:rFonts w:ascii="Times New Roman" w:eastAsia="Times New Roman" w:hAnsi="Times New Roman" w:cs="Times New Roman"/>
            <w:sz w:val="24"/>
            <w:szCs w:val="24"/>
            <w:lang w:eastAsia="en-GB"/>
          </w:rPr>
          <w:t>CCA 2004 Handbook: Short Guide, Cabinet Office. pp 2</w:t>
        </w:r>
      </w:hyperlink>
      <w:r w:rsidRPr="008500C8">
        <w:rPr>
          <w:rFonts w:ascii="Times New Roman" w:eastAsia="Times New Roman" w:hAnsi="Times New Roman" w:cs="Times New Roman"/>
          <w:sz w:val="24"/>
          <w:szCs w:val="24"/>
          <w:lang w:eastAsia="en-GB"/>
        </w:rPr>
        <w:t>) [hereafter CCASG]</w:t>
      </w:r>
      <w:r w:rsidRPr="008500C8">
        <w:rPr>
          <w:rFonts w:ascii="Times New Roman" w:eastAsia="Times New Roman" w:hAnsi="Times New Roman" w:cs="Times New Roman"/>
          <w:color w:val="212529"/>
          <w:sz w:val="24"/>
          <w:szCs w:val="24"/>
          <w:lang w:eastAsia="en-GB"/>
        </w:rPr>
        <w:t xml:space="preserve"> notes the review reinforced that existing legislation was not fit for modern civil protection within the UK and updated, streamlined legislation was required to go forward into the modern era.</w:t>
      </w:r>
    </w:p>
    <w:p w14:paraId="46B15BEF"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Civil Contingencies Bill 2004 was introduced to Parliament 7 January 2004 and received the royal ascent on 18 November 2004. It is now known as the Civil Contingencies Act 2004 </w:t>
      </w:r>
      <w:r w:rsidRPr="008500C8">
        <w:rPr>
          <w:rFonts w:ascii="Times New Roman" w:eastAsia="Times New Roman" w:hAnsi="Times New Roman" w:cs="Times New Roman"/>
          <w:i/>
          <w:color w:val="212529"/>
          <w:sz w:val="24"/>
          <w:szCs w:val="24"/>
          <w:lang w:eastAsia="en-GB"/>
        </w:rPr>
        <w:t>[Hereafter CCA]</w:t>
      </w:r>
      <w:r w:rsidRPr="008500C8">
        <w:rPr>
          <w:rFonts w:ascii="Times New Roman" w:eastAsia="Times New Roman" w:hAnsi="Times New Roman" w:cs="Times New Roman"/>
          <w:color w:val="212529"/>
          <w:sz w:val="24"/>
          <w:szCs w:val="24"/>
          <w:lang w:eastAsia="en-GB"/>
        </w:rPr>
        <w:t xml:space="preserve">. The </w:t>
      </w:r>
      <w:hyperlink w:anchor="_Office,_C._(no_3" w:history="1">
        <w:r w:rsidRPr="008500C8">
          <w:rPr>
            <w:rFonts w:ascii="Times New Roman" w:eastAsia="Times New Roman" w:hAnsi="Times New Roman" w:cs="Times New Roman"/>
            <w:color w:val="0563C1" w:themeColor="hyperlink"/>
            <w:sz w:val="24"/>
            <w:szCs w:val="24"/>
            <w:u w:val="single"/>
            <w:lang w:eastAsia="en-GB"/>
          </w:rPr>
          <w:t>(CCA-PIR 2022, Cabinet Office pp. 5)</w:t>
        </w:r>
      </w:hyperlink>
      <w:r w:rsidRPr="008500C8">
        <w:rPr>
          <w:rFonts w:ascii="Times New Roman" w:eastAsia="Times New Roman" w:hAnsi="Times New Roman" w:cs="Times New Roman"/>
          <w:color w:val="212529"/>
          <w:sz w:val="24"/>
          <w:szCs w:val="24"/>
          <w:lang w:eastAsia="en-GB"/>
        </w:rPr>
        <w:t xml:space="preserve"> quotes the purpose of the CCA was to: “Set a singular framework for civil protection for the UK” which “Create the conditions for effective multi-agency working at the local level and provides emergency powers which allow the government to react quickly to make temporary special legislation in the most serious of emergencies.” </w:t>
      </w:r>
    </w:p>
    <w:p w14:paraId="1D20C67A"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For the CCA to be singular framework for responders to work upon, it required a clear, consistent definition of an emergency across the UK. (</w:t>
      </w:r>
      <w:hyperlink w:anchor="_Office,_C._Civil" w:history="1">
        <w:proofErr w:type="gramStart"/>
        <w:r w:rsidRPr="008500C8">
          <w:rPr>
            <w:rFonts w:ascii="Times New Roman" w:eastAsia="Times New Roman" w:hAnsi="Times New Roman" w:cs="Times New Roman"/>
            <w:color w:val="0563C1" w:themeColor="hyperlink"/>
            <w:sz w:val="24"/>
            <w:szCs w:val="24"/>
            <w:u w:val="single"/>
            <w:lang w:eastAsia="en-GB"/>
          </w:rPr>
          <w:t>CCA ,</w:t>
        </w:r>
        <w:proofErr w:type="gramEnd"/>
        <w:r w:rsidRPr="008500C8">
          <w:rPr>
            <w:rFonts w:ascii="Times New Roman" w:eastAsia="Times New Roman" w:hAnsi="Times New Roman" w:cs="Times New Roman"/>
            <w:color w:val="0563C1" w:themeColor="hyperlink"/>
            <w:sz w:val="24"/>
            <w:szCs w:val="24"/>
            <w:u w:val="single"/>
            <w:lang w:eastAsia="en-GB"/>
          </w:rPr>
          <w:t xml:space="preserve"> Cabinet Office, Section 1)</w:t>
        </w:r>
      </w:hyperlink>
      <w:r w:rsidRPr="008500C8">
        <w:rPr>
          <w:rFonts w:ascii="Times New Roman" w:eastAsia="Times New Roman" w:hAnsi="Times New Roman" w:cs="Times New Roman"/>
          <w:color w:val="212529"/>
          <w:sz w:val="24"/>
          <w:szCs w:val="24"/>
          <w:lang w:eastAsia="en-GB"/>
        </w:rPr>
        <w:t xml:space="preserve"> defines an emergency as:</w:t>
      </w:r>
    </w:p>
    <w:p w14:paraId="0D6B0A51"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“(a) an event or situation which threatens serious damage to human welfare in a place in the United Kingdom, </w:t>
      </w:r>
    </w:p>
    <w:p w14:paraId="5E7790A7"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(b) An event or situation which threatens serious damage to the environment of a place in the United Kingdom, or</w:t>
      </w:r>
    </w:p>
    <w:p w14:paraId="2BF53E98"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(c) War, or terrorism, which threatens serious damage to the security of the United Kingdom”.</w:t>
      </w:r>
    </w:p>
    <w:p w14:paraId="7A6F2495"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p>
    <w:p w14:paraId="14DB6064"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The UK has seen a number of incidents that fall under these categories requiring the CCA 2004 to come into effect, examples include:</w:t>
      </w:r>
    </w:p>
    <w:p w14:paraId="3F0DA456"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(a) Covid 19, Grenfell Tower 2017 </w:t>
      </w:r>
    </w:p>
    <w:p w14:paraId="09664013"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(b) Llangennech rail accident 2020 </w:t>
      </w:r>
    </w:p>
    <w:p w14:paraId="32B4E1A9"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(c) London Bombings 2005, Manchester Arena Bombing 2017. </w:t>
      </w:r>
    </w:p>
    <w:p w14:paraId="6041D22E"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Government put stipulations in place to ensure that Government regions requesting additional powers under the act, would not have the power to change the terminology of an emergency.  This became beneficial to responders during Covid 19, allowing for less opportunity of misinterpretation of the guidelines and creating coordinated response and recovery across the whole of the UK. </w:t>
      </w:r>
      <w:r w:rsidRPr="008500C8">
        <w:rPr>
          <w:rFonts w:ascii="Times New Roman" w:eastAsia="Times New Roman" w:hAnsi="Times New Roman" w:cs="Times New Roman"/>
          <w:sz w:val="24"/>
          <w:szCs w:val="24"/>
          <w:lang w:eastAsia="en-GB"/>
        </w:rPr>
        <w:t xml:space="preserve">The </w:t>
      </w:r>
      <w:hyperlink w:anchor="_Office,_C.(updated2012)_Emergency" w:history="1">
        <w:r w:rsidRPr="008500C8">
          <w:rPr>
            <w:rFonts w:ascii="Times New Roman" w:eastAsia="Times New Roman" w:hAnsi="Times New Roman" w:cs="Times New Roman"/>
            <w:color w:val="0563C1" w:themeColor="hyperlink"/>
            <w:sz w:val="24"/>
            <w:szCs w:val="24"/>
            <w:u w:val="single"/>
            <w:lang w:eastAsia="en-GB"/>
          </w:rPr>
          <w:t>(Emergency Preparedness, 2012, Cabinet Office -1.15 and 1.16)</w:t>
        </w:r>
      </w:hyperlink>
      <w:r w:rsidRPr="008500C8">
        <w:rPr>
          <w:rFonts w:ascii="Times New Roman" w:eastAsia="Times New Roman" w:hAnsi="Times New Roman" w:cs="Times New Roman"/>
          <w:color w:val="0563C1" w:themeColor="hyperlink"/>
          <w:sz w:val="24"/>
          <w:szCs w:val="24"/>
          <w:u w:val="single"/>
          <w:lang w:eastAsia="en-GB"/>
        </w:rPr>
        <w:t xml:space="preserve"> </w:t>
      </w:r>
      <w:r w:rsidRPr="008500C8">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i/>
          <w:color w:val="212529"/>
          <w:sz w:val="24"/>
          <w:szCs w:val="24"/>
          <w:lang w:eastAsia="en-GB"/>
        </w:rPr>
        <w:t>[Hereafter EP2012]</w:t>
      </w:r>
      <w:r w:rsidRPr="008500C8">
        <w:rPr>
          <w:rFonts w:ascii="Times New Roman" w:eastAsia="Times New Roman" w:hAnsi="Times New Roman" w:cs="Times New Roman"/>
          <w:color w:val="212529"/>
          <w:sz w:val="24"/>
          <w:szCs w:val="24"/>
          <w:lang w:eastAsia="en-GB"/>
        </w:rPr>
        <w:t xml:space="preserve"> notes there were broader considerations in the case of an emergency to consider e.g. outside of the UK incidents, that may impact the UK regions.</w:t>
      </w:r>
      <w:r w:rsidRPr="008500C8">
        <w:rPr>
          <w:rFonts w:ascii="Times New Roman" w:eastAsia="Times New Roman" w:hAnsi="Times New Roman" w:cs="Times New Roman"/>
          <w:sz w:val="24"/>
          <w:szCs w:val="24"/>
          <w:lang w:eastAsia="en-GB"/>
        </w:rPr>
        <w:t xml:space="preserve"> </w:t>
      </w:r>
    </w:p>
    <w:p w14:paraId="58291AFB"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characteristics of an emergency can fall under two definitions which are major incidents or critical incidents.</w:t>
      </w:r>
    </w:p>
    <w:p w14:paraId="3BFCFB15"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 major incident will require the involvement of more than one responding organisation for the command, control and co-ordination of a response to an emergency.</w:t>
      </w:r>
    </w:p>
    <w:p w14:paraId="73391DAE"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decision to declare a major incident will always be a judgement call made in a specific local and operational context and as there are no precise and universal thresholds or triggers this tends to open the door to subjective rather than purely objective activation.</w:t>
      </w:r>
    </w:p>
    <w:p w14:paraId="7134A03B"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w:t>
      </w:r>
      <w:hyperlink w:anchor="_College_of_Policing_1" w:history="1">
        <w:r w:rsidRPr="008500C8">
          <w:rPr>
            <w:rFonts w:ascii="Times New Roman" w:eastAsia="Times New Roman" w:hAnsi="Times New Roman" w:cs="Times New Roman"/>
            <w:color w:val="0563C1" w:themeColor="hyperlink"/>
            <w:sz w:val="24"/>
            <w:szCs w:val="24"/>
            <w:u w:val="single"/>
            <w:lang w:eastAsia="en-GB"/>
          </w:rPr>
          <w:t>(College Policing, Online)</w:t>
        </w:r>
      </w:hyperlink>
      <w:r w:rsidRPr="008500C8">
        <w:rPr>
          <w:rFonts w:ascii="Times New Roman" w:eastAsia="Times New Roman" w:hAnsi="Times New Roman" w:cs="Times New Roman"/>
          <w:color w:val="212529"/>
          <w:sz w:val="24"/>
          <w:szCs w:val="24"/>
          <w:lang w:eastAsia="en-GB"/>
        </w:rPr>
        <w:t xml:space="preserve"> defines a critical incident as, “any incident where the effectiveness of the police response is likely to have a significant impact on the confidence of the victim, their family and/or the community”. Local health authorities use the term critical incident but under different circumstances.</w:t>
      </w:r>
    </w:p>
    <w:p w14:paraId="0AF3F9BD"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Usually emergencies are categorised using one of these definitions, but there has been a number of incidents seen locally, where an emergency can be categorised under both e.g. Seven Sisters 2020 house explosion. So in this instance a </w:t>
      </w:r>
      <w:r w:rsidRPr="008500C8">
        <w:rPr>
          <w:rFonts w:ascii="Times New Roman" w:eastAsia="Times New Roman" w:hAnsi="Times New Roman" w:cs="Times New Roman"/>
          <w:b/>
          <w:color w:val="212529"/>
          <w:sz w:val="24"/>
          <w:szCs w:val="24"/>
          <w:lang w:eastAsia="en-GB"/>
        </w:rPr>
        <w:t>major incident</w:t>
      </w:r>
      <w:r w:rsidRPr="008500C8">
        <w:rPr>
          <w:rFonts w:ascii="Times New Roman" w:eastAsia="Times New Roman" w:hAnsi="Times New Roman" w:cs="Times New Roman"/>
          <w:color w:val="212529"/>
          <w:sz w:val="24"/>
          <w:szCs w:val="24"/>
          <w:lang w:eastAsia="en-GB"/>
        </w:rPr>
        <w:t xml:space="preserve"> was declared </w:t>
      </w:r>
      <w:r w:rsidRPr="008500C8">
        <w:rPr>
          <w:rFonts w:ascii="Times New Roman" w:eastAsia="Times New Roman" w:hAnsi="Times New Roman" w:cs="Times New Roman"/>
          <w:i/>
          <w:color w:val="212529"/>
          <w:sz w:val="24"/>
          <w:szCs w:val="24"/>
          <w:lang w:eastAsia="en-GB"/>
        </w:rPr>
        <w:t>at the scene</w:t>
      </w:r>
      <w:r w:rsidRPr="008500C8">
        <w:rPr>
          <w:rFonts w:ascii="Times New Roman" w:eastAsia="Times New Roman" w:hAnsi="Times New Roman" w:cs="Times New Roman"/>
          <w:color w:val="212529"/>
          <w:sz w:val="24"/>
          <w:szCs w:val="24"/>
          <w:lang w:eastAsia="en-GB"/>
        </w:rPr>
        <w:t xml:space="preserve"> as it required the attendance and management by more than one category 1 responder and also deemed a </w:t>
      </w:r>
      <w:r w:rsidRPr="008500C8">
        <w:rPr>
          <w:rFonts w:ascii="Times New Roman" w:eastAsia="Times New Roman" w:hAnsi="Times New Roman" w:cs="Times New Roman"/>
          <w:b/>
          <w:color w:val="212529"/>
          <w:sz w:val="24"/>
          <w:szCs w:val="24"/>
          <w:lang w:eastAsia="en-GB"/>
        </w:rPr>
        <w:t>critical incident</w:t>
      </w:r>
      <w:r w:rsidRPr="008500C8">
        <w:rPr>
          <w:rFonts w:ascii="Times New Roman" w:eastAsia="Times New Roman" w:hAnsi="Times New Roman" w:cs="Times New Roman"/>
          <w:color w:val="212529"/>
          <w:sz w:val="24"/>
          <w:szCs w:val="24"/>
          <w:lang w:eastAsia="en-GB"/>
        </w:rPr>
        <w:t xml:space="preserve"> by the </w:t>
      </w:r>
      <w:r w:rsidRPr="008500C8">
        <w:rPr>
          <w:rFonts w:ascii="Times New Roman" w:eastAsia="Times New Roman" w:hAnsi="Times New Roman" w:cs="Times New Roman"/>
          <w:i/>
          <w:color w:val="212529"/>
          <w:sz w:val="24"/>
          <w:szCs w:val="24"/>
          <w:lang w:eastAsia="en-GB"/>
        </w:rPr>
        <w:t>local hospitals burns unit</w:t>
      </w:r>
      <w:r w:rsidRPr="008500C8">
        <w:rPr>
          <w:rFonts w:ascii="Times New Roman" w:eastAsia="Times New Roman" w:hAnsi="Times New Roman" w:cs="Times New Roman"/>
          <w:color w:val="212529"/>
          <w:sz w:val="24"/>
          <w:szCs w:val="24"/>
          <w:lang w:eastAsia="en-GB"/>
        </w:rPr>
        <w:t xml:space="preserve"> as capacity was exceeded and required escalation to other burns units within the NHS. </w:t>
      </w:r>
    </w:p>
    <w:p w14:paraId="4CC07657"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There are two parts to the CCA. (</w:t>
      </w:r>
      <w:hyperlink w:anchor="_Office,_C._(no" w:history="1">
        <w:r w:rsidRPr="008500C8">
          <w:rPr>
            <w:rFonts w:ascii="Times New Roman" w:eastAsia="Times New Roman" w:hAnsi="Times New Roman" w:cs="Times New Roman"/>
            <w:color w:val="0563C1" w:themeColor="hyperlink"/>
            <w:sz w:val="24"/>
            <w:szCs w:val="24"/>
            <w:u w:val="single"/>
            <w:lang w:eastAsia="en-GB"/>
          </w:rPr>
          <w:t>CCASG. pp 4-6</w:t>
        </w:r>
      </w:hyperlink>
      <w:r w:rsidRPr="008500C8">
        <w:rPr>
          <w:rFonts w:ascii="Times New Roman" w:eastAsia="Times New Roman" w:hAnsi="Times New Roman" w:cs="Times New Roman"/>
          <w:color w:val="212529"/>
          <w:sz w:val="24"/>
          <w:szCs w:val="24"/>
          <w:lang w:eastAsia="en-GB"/>
        </w:rPr>
        <w:t>) notes the purpose of part two, The Emergency Powers Act, was to act as an urgent response to the most serious of emergencies, as a last resort, allowing the Government, who have sole responsibility over Emergency Powers, to establish special legislation (regulations) at a regional and/or devolved administration basis to deal with serious emergencies</w:t>
      </w:r>
    </w:p>
    <w:p w14:paraId="0E88C7A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If the Emergency Powers Act was invoked a Wales Emergency Co-ordinator, appointed by Government, will lead in the co-ordination and communication response across the Wales Local Resilience Forums (LRF) and authorities. </w:t>
      </w:r>
      <w:r w:rsidR="006C41B9">
        <w:rPr>
          <w:rFonts w:ascii="Times New Roman" w:eastAsia="Times New Roman" w:hAnsi="Times New Roman" w:cs="Times New Roman"/>
          <w:color w:val="212529"/>
          <w:sz w:val="24"/>
          <w:szCs w:val="24"/>
          <w:lang w:eastAsia="en-GB"/>
        </w:rPr>
        <w:t xml:space="preserve">The Act </w:t>
      </w:r>
      <w:r w:rsidRPr="008500C8">
        <w:rPr>
          <w:rFonts w:ascii="Times New Roman" w:eastAsia="Times New Roman" w:hAnsi="Times New Roman" w:cs="Times New Roman"/>
          <w:color w:val="212529"/>
          <w:sz w:val="24"/>
          <w:szCs w:val="24"/>
          <w:lang w:eastAsia="en-GB"/>
        </w:rPr>
        <w:t>(</w:t>
      </w:r>
      <w:hyperlink w:anchor="_Office,_C._(no" w:history="1">
        <w:r w:rsidRPr="006C41B9">
          <w:rPr>
            <w:rStyle w:val="Hyperlink"/>
            <w:rFonts w:ascii="Times New Roman" w:eastAsia="Times New Roman" w:hAnsi="Times New Roman" w:cs="Times New Roman"/>
            <w:sz w:val="24"/>
            <w:szCs w:val="24"/>
            <w:lang w:eastAsia="en-GB"/>
          </w:rPr>
          <w:t>CCASG, pp5</w:t>
        </w:r>
      </w:hyperlink>
      <w:r w:rsidR="006C41B9">
        <w:rPr>
          <w:rFonts w:ascii="Times New Roman" w:eastAsia="Times New Roman" w:hAnsi="Times New Roman" w:cs="Times New Roman"/>
          <w:color w:val="212529"/>
          <w:sz w:val="24"/>
          <w:szCs w:val="24"/>
          <w:lang w:eastAsia="en-GB"/>
        </w:rPr>
        <w:t>) as quoted below</w:t>
      </w:r>
      <w:r w:rsidRPr="008500C8">
        <w:rPr>
          <w:rFonts w:ascii="Times New Roman" w:eastAsia="Times New Roman" w:hAnsi="Times New Roman" w:cs="Times New Roman"/>
          <w:color w:val="212529"/>
          <w:sz w:val="24"/>
          <w:szCs w:val="24"/>
          <w:lang w:eastAsia="en-GB"/>
        </w:rPr>
        <w:t>]  was designed to ensure that the powers were not open to misuse and allowed for a far more proportionate and targeted response.</w:t>
      </w:r>
    </w:p>
    <w:p w14:paraId="3060995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 xml:space="preserve">The basis of these revisions ensured that the emergency powers can only be utilised to cover: </w:t>
      </w:r>
    </w:p>
    <w:p w14:paraId="04E7EE50"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an emergency that threatens serious damage to human welfare, the environment or security has occurred, is occurring or is about to occur; </w:t>
      </w:r>
    </w:p>
    <w:p w14:paraId="50AE13A8"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it is necessary to make provision urgently in order to resolve the emergency as existing powers are insufficient and it is not possible to bring forward a Bill in the usual way because of the need to act urgently; and </w:t>
      </w:r>
    </w:p>
    <w:p w14:paraId="4134EE65"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emergency regulations must be proportionate to the aspect or effect of the emergency they are directed at. “</w:t>
      </w:r>
      <w:r w:rsidRPr="008500C8">
        <w:rPr>
          <w:rFonts w:ascii="Times New Roman" w:eastAsia="Times New Roman" w:hAnsi="Times New Roman" w:cs="Times New Roman"/>
          <w:color w:val="212529"/>
          <w:sz w:val="24"/>
          <w:szCs w:val="24"/>
          <w:lang w:eastAsia="en-GB"/>
        </w:rPr>
        <w:tab/>
      </w:r>
    </w:p>
    <w:p w14:paraId="26AA74C8"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above are known as the ‘triple lock’ and limited the potential for subjective interpretation. </w:t>
      </w:r>
    </w:p>
    <w:p w14:paraId="744ED932"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Furthermore there were stipulations that precluded use in relation to other instances, to prohibit misuse, being </w:t>
      </w:r>
    </w:p>
    <w:p w14:paraId="0FEF4A61"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cannot prohibit or enable the prohibition of partic</w:t>
      </w:r>
      <w:r w:rsidR="006C41B9">
        <w:rPr>
          <w:rFonts w:ascii="Times New Roman" w:eastAsia="Times New Roman" w:hAnsi="Times New Roman" w:cs="Times New Roman"/>
          <w:i/>
          <w:iCs/>
          <w:color w:val="212529"/>
          <w:sz w:val="24"/>
          <w:szCs w:val="24"/>
          <w:lang w:eastAsia="en-GB"/>
        </w:rPr>
        <w:t xml:space="preserve">ipation in, or any activity in </w:t>
      </w:r>
      <w:r w:rsidRPr="008500C8">
        <w:rPr>
          <w:rFonts w:ascii="Times New Roman" w:eastAsia="Times New Roman" w:hAnsi="Times New Roman" w:cs="Times New Roman"/>
          <w:i/>
          <w:iCs/>
          <w:color w:val="212529"/>
          <w:sz w:val="24"/>
          <w:szCs w:val="24"/>
          <w:lang w:eastAsia="en-GB"/>
        </w:rPr>
        <w:t xml:space="preserve">connection with, a strike or other industrial action; </w:t>
      </w:r>
    </w:p>
    <w:p w14:paraId="6A051E69"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cannot instigate any form of military conscription; </w:t>
      </w:r>
    </w:p>
    <w:p w14:paraId="616CA4AB"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cannot alter any aspect of criminal procedures; </w:t>
      </w:r>
    </w:p>
    <w:p w14:paraId="1FF61DFF"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cannot create any new offence other than breach of the regulations themselves; </w:t>
      </w:r>
    </w:p>
    <w:p w14:paraId="3FE98C5D"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xml:space="preserve">• must be compatible with the Human Rights Act and EU law; and </w:t>
      </w:r>
    </w:p>
    <w:p w14:paraId="7DBAA59F"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r w:rsidRPr="008500C8">
        <w:rPr>
          <w:rFonts w:ascii="Times New Roman" w:eastAsia="Times New Roman" w:hAnsi="Times New Roman" w:cs="Times New Roman"/>
          <w:i/>
          <w:iCs/>
          <w:color w:val="212529"/>
          <w:sz w:val="24"/>
          <w:szCs w:val="24"/>
          <w:lang w:eastAsia="en-GB"/>
        </w:rPr>
        <w:t>• are open to challenge in the courts.”</w:t>
      </w:r>
    </w:p>
    <w:p w14:paraId="7C70BCCB" w14:textId="77777777" w:rsidR="008500C8" w:rsidRPr="008500C8" w:rsidRDefault="008500C8" w:rsidP="008500C8">
      <w:pPr>
        <w:spacing w:after="0" w:line="240" w:lineRule="auto"/>
        <w:jc w:val="both"/>
        <w:rPr>
          <w:rFonts w:ascii="Times New Roman" w:eastAsia="Times New Roman" w:hAnsi="Times New Roman" w:cs="Times New Roman"/>
          <w:i/>
          <w:iCs/>
          <w:color w:val="212529"/>
          <w:sz w:val="24"/>
          <w:szCs w:val="24"/>
          <w:lang w:eastAsia="en-GB"/>
        </w:rPr>
      </w:pPr>
    </w:p>
    <w:p w14:paraId="0C07B7A7"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As the powers under the Act can only be utilised for a maximum period of 30 days per instance, i.e. utilised for the designated purpose before another application needs to be submitted, the Act could not be invoked as a response to the Covid 19 pandemic. Instead, due to the potential and ongoing financial implications and detrimental impact on resilience, in March 2020 </w:t>
      </w:r>
      <w:r w:rsidR="00670D65">
        <w:rPr>
          <w:rFonts w:ascii="Times New Roman" w:eastAsia="Times New Roman" w:hAnsi="Times New Roman" w:cs="Times New Roman"/>
          <w:color w:val="212529"/>
          <w:sz w:val="24"/>
          <w:szCs w:val="24"/>
          <w:lang w:eastAsia="en-GB"/>
        </w:rPr>
        <w:t>SWLRF</w:t>
      </w:r>
      <w:r w:rsidR="00266E66">
        <w:rPr>
          <w:rFonts w:ascii="Times New Roman" w:eastAsia="Times New Roman" w:hAnsi="Times New Roman" w:cs="Times New Roman"/>
          <w:color w:val="212529"/>
          <w:sz w:val="24"/>
          <w:szCs w:val="24"/>
          <w:lang w:eastAsia="en-GB"/>
        </w:rPr>
        <w:t xml:space="preserve"> (South Wales Local Resilience Forum)</w:t>
      </w:r>
      <w:r w:rsidR="00670D65">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issued a </w:t>
      </w:r>
      <w:hyperlink w:anchor="_South_Wales_Resilience" w:history="1">
        <w:r w:rsidR="006C41B9" w:rsidRPr="00266E66">
          <w:rPr>
            <w:rStyle w:val="Hyperlink"/>
            <w:rFonts w:ascii="Times New Roman" w:eastAsia="Times New Roman" w:hAnsi="Times New Roman" w:cs="Times New Roman"/>
            <w:sz w:val="24"/>
            <w:szCs w:val="24"/>
            <w:lang w:eastAsia="en-GB"/>
          </w:rPr>
          <w:t>(</w:t>
        </w:r>
        <w:r w:rsidRPr="00266E66">
          <w:rPr>
            <w:rStyle w:val="Hyperlink"/>
            <w:rFonts w:ascii="Times New Roman" w:eastAsia="Times New Roman" w:hAnsi="Times New Roman" w:cs="Times New Roman"/>
            <w:sz w:val="24"/>
            <w:szCs w:val="24"/>
            <w:lang w:eastAsia="en-GB"/>
          </w:rPr>
          <w:t>CONOPS [concept of operations]</w:t>
        </w:r>
        <w:r w:rsidR="006C41B9" w:rsidRPr="00266E66">
          <w:rPr>
            <w:rStyle w:val="Hyperlink"/>
            <w:rFonts w:ascii="Times New Roman" w:eastAsia="Times New Roman" w:hAnsi="Times New Roman" w:cs="Times New Roman"/>
            <w:sz w:val="24"/>
            <w:szCs w:val="24"/>
            <w:lang w:eastAsia="en-GB"/>
          </w:rPr>
          <w:t>)</w:t>
        </w:r>
      </w:hyperlink>
      <w:r w:rsidR="00670D65">
        <w:rPr>
          <w:rFonts w:ascii="Times New Roman" w:eastAsia="Times New Roman" w:hAnsi="Times New Roman" w:cs="Times New Roman"/>
          <w:color w:val="212529"/>
          <w:sz w:val="24"/>
          <w:szCs w:val="24"/>
          <w:lang w:eastAsia="en-GB"/>
        </w:rPr>
        <w:t xml:space="preserve"> covering the structured</w:t>
      </w:r>
      <w:r w:rsidRPr="008500C8">
        <w:rPr>
          <w:rFonts w:ascii="Times New Roman" w:eastAsia="Times New Roman" w:hAnsi="Times New Roman" w:cs="Times New Roman"/>
          <w:color w:val="212529"/>
          <w:sz w:val="24"/>
          <w:szCs w:val="24"/>
          <w:lang w:eastAsia="en-GB"/>
        </w:rPr>
        <w:t xml:space="preserve"> management, setting ‘battle rhythms’ for communications and how to respond to concurrent incidents</w:t>
      </w:r>
    </w:p>
    <w:p w14:paraId="1F1D378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purpose of part one of the CCA, Civil Protection Act, is noted within (</w:t>
      </w:r>
      <w:hyperlink w:anchor="_Office,_C._(no" w:history="1">
        <w:r w:rsidRPr="00266E66">
          <w:rPr>
            <w:rStyle w:val="Hyperlink"/>
            <w:rFonts w:ascii="Times New Roman" w:eastAsia="Times New Roman" w:hAnsi="Times New Roman" w:cs="Times New Roman"/>
            <w:sz w:val="24"/>
            <w:szCs w:val="24"/>
            <w:lang w:eastAsia="en-GB"/>
          </w:rPr>
          <w:t>CCASG. pp 2</w:t>
        </w:r>
      </w:hyperlink>
      <w:r w:rsidRPr="008500C8">
        <w:rPr>
          <w:rFonts w:ascii="Times New Roman" w:eastAsia="Times New Roman" w:hAnsi="Times New Roman" w:cs="Times New Roman"/>
          <w:color w:val="212529"/>
          <w:sz w:val="24"/>
          <w:szCs w:val="24"/>
          <w:lang w:eastAsia="en-GB"/>
        </w:rPr>
        <w:t>), which was to establish a statutory framework for civil protection at a local level, categorising agencies under two categories, who are now legally required, to follow the roles and responsibilities set out to them in regard to preparedness and response to an emergency.</w:t>
      </w:r>
    </w:p>
    <w:p w14:paraId="3EE899F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Category 1 responders are listed in the (</w:t>
      </w:r>
      <w:hyperlink w:anchor="_Office,_C._(no" w:history="1">
        <w:r w:rsidRPr="00266E66">
          <w:rPr>
            <w:rStyle w:val="Hyperlink"/>
            <w:rFonts w:ascii="Times New Roman" w:eastAsia="Times New Roman" w:hAnsi="Times New Roman" w:cs="Times New Roman"/>
            <w:sz w:val="24"/>
            <w:szCs w:val="24"/>
            <w:lang w:eastAsia="en-GB"/>
          </w:rPr>
          <w:t>CCASG</w:t>
        </w:r>
      </w:hyperlink>
      <w:r w:rsidRPr="008500C8">
        <w:rPr>
          <w:rFonts w:ascii="Times New Roman" w:eastAsia="Times New Roman" w:hAnsi="Times New Roman" w:cs="Times New Roman"/>
          <w:color w:val="212529"/>
          <w:sz w:val="24"/>
          <w:szCs w:val="24"/>
          <w:lang w:eastAsia="en-GB"/>
        </w:rPr>
        <w:t>) as “core responders” and include ‘blue light’ responders and local authorities, who have the main responsibilities in preparing and responding to an emergency at a local level,  the (</w:t>
      </w:r>
      <w:hyperlink w:anchor="_Office,_C._(2012)" w:history="1">
        <w:r w:rsidRPr="00266E66">
          <w:rPr>
            <w:rStyle w:val="Hyperlink"/>
            <w:rFonts w:ascii="Times New Roman" w:eastAsia="Times New Roman" w:hAnsi="Times New Roman" w:cs="Times New Roman"/>
            <w:sz w:val="24"/>
            <w:szCs w:val="24"/>
            <w:lang w:eastAsia="en-GB"/>
          </w:rPr>
          <w:t>EP2012, 1.29</w:t>
        </w:r>
      </w:hyperlink>
      <w:r w:rsidRPr="008500C8">
        <w:rPr>
          <w:rFonts w:ascii="Times New Roman" w:eastAsia="Times New Roman" w:hAnsi="Times New Roman" w:cs="Times New Roman"/>
          <w:color w:val="212529"/>
          <w:sz w:val="24"/>
          <w:szCs w:val="24"/>
          <w:lang w:eastAsia="en-GB"/>
        </w:rPr>
        <w:t>) defines the duties of category 1 responders as:</w:t>
      </w:r>
    </w:p>
    <w:p w14:paraId="7C67D46C"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Assess the risk of emergencies occurring and use this to inform contingency planning;</w:t>
      </w:r>
    </w:p>
    <w:p w14:paraId="364D33D0"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Put in place emergency plans;</w:t>
      </w:r>
    </w:p>
    <w:p w14:paraId="4AC980B6"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Put in place Business Continuity Management arrangements;</w:t>
      </w:r>
    </w:p>
    <w:p w14:paraId="2F5BB144"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Put in place arrangements to make information available to the public about civil protection matters and maintain arrangements to warn, inform and advise the public in the event of an emergency;</w:t>
      </w:r>
    </w:p>
    <w:p w14:paraId="6BAC4DCD"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Share information with other local responders to enhance co-ordination;</w:t>
      </w:r>
    </w:p>
    <w:p w14:paraId="4C3191FB" w14:textId="77777777" w:rsidR="008500C8" w:rsidRPr="008500C8" w:rsidRDefault="008500C8" w:rsidP="008500C8">
      <w:pPr>
        <w:spacing w:after="0" w:line="240" w:lineRule="auto"/>
        <w:rPr>
          <w:rFonts w:ascii="Times New Roman" w:hAnsi="Times New Roman" w:cs="Times New Roman"/>
          <w:sz w:val="24"/>
          <w:szCs w:val="24"/>
        </w:rPr>
      </w:pPr>
      <w:r w:rsidRPr="008500C8">
        <w:rPr>
          <w:rFonts w:ascii="Times New Roman" w:hAnsi="Times New Roman" w:cs="Times New Roman"/>
          <w:sz w:val="24"/>
          <w:szCs w:val="24"/>
        </w:rPr>
        <w:t>• Co-operate with other local responders to enhance co-ordination and efficiency”</w:t>
      </w:r>
    </w:p>
    <w:p w14:paraId="24BA223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 xml:space="preserve">An additional role, which would only affect my line of work is to “Provide advice and assistance to businesses and voluntary organisations about business continuity management”, which is a duty only for Local Authorities (LA). </w:t>
      </w:r>
    </w:p>
    <w:p w14:paraId="13BFCEF5"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Category 2 responders such as transport agencies and port and harbour authorities etc. have the lesser duties of co-operating and sharing relevant information with category 1 responders.</w:t>
      </w:r>
    </w:p>
    <w:p w14:paraId="40735636"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Although I feel these are proportionate legal expectations set out to Category 2 responders in line with their involvement with incidents, I feel Category 2 responders would benefit in contributing to certain LRF group discussions, offering their support and expertise on some risks and hazards and be encouraged to have adequate business continuity plans in place in readiness for sector specific risks e.g. National Grid failure and Covid19.</w:t>
      </w:r>
    </w:p>
    <w:p w14:paraId="23BF1ADA" w14:textId="77777777" w:rsidR="008500C8" w:rsidRPr="008500C8" w:rsidRDefault="008500C8" w:rsidP="008500C8">
      <w:pPr>
        <w:spacing w:after="100" w:afterAutospacing="1" w:line="240" w:lineRule="auto"/>
        <w:rPr>
          <w:rFonts w:ascii="Times New Roman" w:eastAsia="Times New Roman" w:hAnsi="Times New Roman" w:cs="Times New Roman"/>
          <w:sz w:val="24"/>
          <w:szCs w:val="24"/>
          <w:lang w:eastAsia="en-GB"/>
        </w:rPr>
      </w:pPr>
      <w:r w:rsidRPr="008500C8">
        <w:rPr>
          <w:rFonts w:ascii="Times New Roman" w:eastAsia="Times New Roman" w:hAnsi="Times New Roman" w:cs="Times New Roman"/>
          <w:color w:val="212529"/>
          <w:sz w:val="24"/>
          <w:szCs w:val="24"/>
          <w:lang w:eastAsia="en-GB"/>
        </w:rPr>
        <w:t>Following the Act, it became a requirement for both Category 1 and 2 responders under the Act to form LRF.  (</w:t>
      </w:r>
      <w:hyperlink w:anchor="_Office_C_(2013)" w:history="1">
        <w:r w:rsidRPr="008500C8">
          <w:rPr>
            <w:rFonts w:ascii="Times New Roman" w:eastAsia="Times New Roman" w:hAnsi="Times New Roman" w:cs="Times New Roman"/>
            <w:color w:val="0563C1" w:themeColor="hyperlink"/>
            <w:sz w:val="24"/>
            <w:szCs w:val="24"/>
            <w:u w:val="single"/>
            <w:lang w:eastAsia="en-GB"/>
          </w:rPr>
          <w:t>The role of Local Resilience Forums: A reference document, 2013 Cabinet Office, pp 7</w:t>
        </w:r>
      </w:hyperlink>
      <w:r w:rsidRPr="008500C8">
        <w:rPr>
          <w:rFonts w:ascii="Times New Roman" w:eastAsia="Times New Roman" w:hAnsi="Times New Roman" w:cs="Times New Roman"/>
          <w:color w:val="212529"/>
          <w:sz w:val="24"/>
          <w:szCs w:val="24"/>
          <w:lang w:eastAsia="en-GB"/>
        </w:rPr>
        <w:t>) notes the LRF within Wales were created based on four Police Force areas, where multi agencies could coordinate from a Local Resilience forum to; consult, cooperate, collaborate and share information to facilitate planning and respond to emergencies. NPTCBC is a member of the SWLRF.</w:t>
      </w:r>
      <w:r w:rsidRPr="008500C8">
        <w:rPr>
          <w:rFonts w:ascii="Times New Roman" w:eastAsia="Times New Roman" w:hAnsi="Times New Roman" w:cs="Times New Roman"/>
          <w:sz w:val="24"/>
          <w:szCs w:val="24"/>
          <w:lang w:eastAsia="en-GB"/>
        </w:rPr>
        <w:t xml:space="preserve"> </w:t>
      </w:r>
    </w:p>
    <w:p w14:paraId="7575F0BD"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While each LRF have their own structures, they usually adapt similar approaches. The head of the structure will consist of the executive/strategic group. The LRF Strategic group/ Executive group consists of high level personnel from each LRF, who have the responsibility of ensuring preparedness to an emergency within their organisation/ region. </w:t>
      </w:r>
      <w:r w:rsidR="00266E66" w:rsidRPr="008500C8">
        <w:rPr>
          <w:rFonts w:ascii="Times New Roman" w:eastAsia="Times New Roman" w:hAnsi="Times New Roman" w:cs="Times New Roman"/>
          <w:color w:val="212529"/>
          <w:sz w:val="24"/>
          <w:szCs w:val="24"/>
          <w:lang w:eastAsia="en-GB"/>
        </w:rPr>
        <w:t>E.g</w:t>
      </w:r>
      <w:r w:rsidRPr="008500C8">
        <w:rPr>
          <w:rFonts w:ascii="Times New Roman" w:eastAsia="Times New Roman" w:hAnsi="Times New Roman" w:cs="Times New Roman"/>
          <w:color w:val="212529"/>
          <w:sz w:val="24"/>
          <w:szCs w:val="24"/>
          <w:lang w:eastAsia="en-GB"/>
        </w:rPr>
        <w:t xml:space="preserve">. Chief Executive from a Local Authority. If a major incident occurs and is affecting more than one area in the LRF, the LRF will then form the Strategic Co-ordination Group (SCG) with supporting sub-groups e.g. Media Cell, Scientific &amp; Advisory Technical Cell, with attendance from the chairs of the risk themed groups. </w:t>
      </w:r>
    </w:p>
    <w:p w14:paraId="48A170CE"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Although, I have limited experience in attending LRF discussions, I have been party to a number of discussions around the structure of the LRF. Although the LRF has proved to be an essential tool to building resilience in Wales, I feel that further internal reviews are required around supporting the most necessity working groups’ during a period of time. Furthermore, the rotation of chairs to each local authority will allow each authority to take a lead learning role, and create diversity in the risks and hazards discussions. That being said, any improvement would require for additional funding to support its objectives. </w:t>
      </w:r>
    </w:p>
    <w:p w14:paraId="74716946"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Office,_C._Civil" w:history="1">
        <w:r w:rsidRPr="00266E66">
          <w:rPr>
            <w:rStyle w:val="Hyperlink"/>
            <w:rFonts w:ascii="Times New Roman" w:eastAsia="Times New Roman" w:hAnsi="Times New Roman" w:cs="Times New Roman"/>
            <w:sz w:val="24"/>
            <w:szCs w:val="24"/>
            <w:lang w:eastAsia="en-GB"/>
          </w:rPr>
          <w:t>CCA, Part 1 (2) (G</w:t>
        </w:r>
      </w:hyperlink>
      <w:r w:rsidRPr="008500C8">
        <w:rPr>
          <w:rFonts w:ascii="Times New Roman" w:eastAsia="Times New Roman" w:hAnsi="Times New Roman" w:cs="Times New Roman"/>
          <w:color w:val="212529"/>
          <w:sz w:val="24"/>
          <w:szCs w:val="24"/>
          <w:lang w:eastAsia="en-GB"/>
        </w:rPr>
        <w:t xml:space="preserve">)] notes the requirement for category 1 responders to put in arrangements to ‘warn and inform’ the public on potential emergencies which affect their area. While the Community Risk Register [explored later] issues the type of risks and hazards at a localised level, within my own organisation the Emergency Planning Team engage with the Media and Communication teams to build in suitable communication strategies for our public facing networks to support informing the public of any possible incidents that may occur, and in readiness to keep the public informed of any on-going incidents. Although our media team will usually follow the police on the reporting of emergency information, we hope to bring a more efficient media response prior to and after incidents to </w:t>
      </w:r>
    </w:p>
    <w:p w14:paraId="3DE0857C" w14:textId="77777777" w:rsidR="008500C8" w:rsidRPr="008500C8" w:rsidRDefault="008500C8" w:rsidP="008500C8">
      <w:pPr>
        <w:numPr>
          <w:ilvl w:val="0"/>
          <w:numId w:val="2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comply with the CCA, </w:t>
      </w:r>
    </w:p>
    <w:p w14:paraId="696DC4FB" w14:textId="77777777" w:rsidR="008500C8" w:rsidRPr="008500C8" w:rsidRDefault="008500C8" w:rsidP="008500C8">
      <w:pPr>
        <w:numPr>
          <w:ilvl w:val="0"/>
          <w:numId w:val="2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support the wellbeing of the public by incorporating community resilience into their day to day lives </w:t>
      </w:r>
    </w:p>
    <w:p w14:paraId="332AB058" w14:textId="77777777" w:rsidR="008500C8" w:rsidRPr="008500C8" w:rsidRDefault="008500C8" w:rsidP="008500C8">
      <w:pPr>
        <w:numPr>
          <w:ilvl w:val="0"/>
          <w:numId w:val="2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Reduce the chance of reputational harm.</w:t>
      </w:r>
    </w:p>
    <w:p w14:paraId="07BBEDAC"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t>
      </w:r>
      <w:hyperlink w:anchor="_Office,_C._(2020)" w:history="1">
        <w:r w:rsidRPr="00B22DD2">
          <w:rPr>
            <w:rStyle w:val="Hyperlink"/>
            <w:rFonts w:ascii="Times New Roman" w:eastAsia="Times New Roman" w:hAnsi="Times New Roman" w:cs="Times New Roman"/>
            <w:sz w:val="24"/>
            <w:szCs w:val="24"/>
            <w:lang w:eastAsia="en-GB"/>
          </w:rPr>
          <w:t>The National Resilience Standards for Local Resilience Forums (2020), Cabinet Office. pp 11</w:t>
        </w:r>
      </w:hyperlink>
      <w:r w:rsidRPr="008500C8">
        <w:rPr>
          <w:rFonts w:ascii="Times New Roman" w:eastAsia="Times New Roman" w:hAnsi="Times New Roman" w:cs="Times New Roman"/>
          <w:color w:val="212529"/>
          <w:sz w:val="24"/>
          <w:szCs w:val="24"/>
          <w:lang w:eastAsia="en-GB"/>
        </w:rPr>
        <w:t>] notes that LRF’s should communicate and distribute information amongst neighbouring LRF’s with similar risk profiles to create consistent, relevant risk assessments available to the public. For example, we link with Rhonda Cynon Taff Local Authority who have similar issues regarding spoil tips.</w:t>
      </w:r>
    </w:p>
    <w:p w14:paraId="4F99A0D2"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Office,_C._(2012)" w:history="1">
        <w:r w:rsidRPr="00B22DD2">
          <w:rPr>
            <w:rStyle w:val="Hyperlink"/>
            <w:rFonts w:ascii="Times New Roman" w:eastAsia="Times New Roman" w:hAnsi="Times New Roman" w:cs="Times New Roman"/>
            <w:sz w:val="24"/>
            <w:szCs w:val="24"/>
            <w:lang w:eastAsia="en-GB"/>
          </w:rPr>
          <w:t>EP2012, 1.22</w:t>
        </w:r>
      </w:hyperlink>
      <w:r w:rsidRPr="008500C8">
        <w:rPr>
          <w:rFonts w:ascii="Times New Roman" w:eastAsia="Times New Roman" w:hAnsi="Times New Roman" w:cs="Times New Roman"/>
          <w:color w:val="212529"/>
          <w:sz w:val="24"/>
          <w:szCs w:val="24"/>
          <w:lang w:eastAsia="en-GB"/>
        </w:rPr>
        <w:t xml:space="preserve">] notes the requirement of Category 1 responders to co-operate with key supporting agencies, voluntary organisations or otherwise e.g. the Food Standards Agency (FSA), British Red Cross, Salvation Army, in regard to understanding the interdependencies in responding to humanitarian crises and community resilience.  </w:t>
      </w:r>
    </w:p>
    <w:p w14:paraId="53BB811D"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This is a primary role within the local authority and although I have experienced the advantages of cooperating with these organisations prior to, during and after incidents, </w:t>
      </w:r>
      <w:proofErr w:type="spellStart"/>
      <w:r w:rsidRPr="008500C8">
        <w:rPr>
          <w:rFonts w:ascii="Times New Roman" w:eastAsia="Times New Roman" w:hAnsi="Times New Roman" w:cs="Times New Roman"/>
          <w:color w:val="212529"/>
          <w:sz w:val="24"/>
          <w:szCs w:val="24"/>
          <w:lang w:eastAsia="en-GB"/>
        </w:rPr>
        <w:t>Skewen</w:t>
      </w:r>
      <w:proofErr w:type="spellEnd"/>
      <w:r w:rsidRPr="008500C8">
        <w:rPr>
          <w:rFonts w:ascii="Times New Roman" w:eastAsia="Times New Roman" w:hAnsi="Times New Roman" w:cs="Times New Roman"/>
          <w:color w:val="212529"/>
          <w:sz w:val="24"/>
          <w:szCs w:val="24"/>
          <w:lang w:eastAsia="en-GB"/>
        </w:rPr>
        <w:t xml:space="preserve"> Floods 2020 being an example, there is currently no statutory requirement for these organisations to attend incidents and as such the EPT within NPT deem it necessary to only use these organisations as contingency measures to our internal services. </w:t>
      </w:r>
    </w:p>
    <w:p w14:paraId="5B5513C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Recent meetings within our local Co-ordinators group have highlighted this potential issue and the ways in which we can maintain this important business continuity aspect as referenced within [</w:t>
      </w:r>
      <w:hyperlink w:anchor="_Office,_C._(2012)" w:history="1">
        <w:r w:rsidRPr="00B22DD2">
          <w:rPr>
            <w:rStyle w:val="Hyperlink"/>
            <w:rFonts w:ascii="Times New Roman" w:eastAsia="Times New Roman" w:hAnsi="Times New Roman" w:cs="Times New Roman"/>
            <w:sz w:val="24"/>
            <w:szCs w:val="24"/>
            <w:lang w:eastAsia="en-GB"/>
          </w:rPr>
          <w:t>EP2012, 14.8</w:t>
        </w:r>
      </w:hyperlink>
      <w:r w:rsidRPr="008500C8">
        <w:rPr>
          <w:rFonts w:ascii="Times New Roman" w:eastAsia="Times New Roman" w:hAnsi="Times New Roman" w:cs="Times New Roman"/>
          <w:color w:val="212529"/>
          <w:sz w:val="24"/>
          <w:szCs w:val="24"/>
          <w:lang w:eastAsia="en-GB"/>
        </w:rPr>
        <w:t>] to enable these valued agencies in supporting us.</w:t>
      </w:r>
    </w:p>
    <w:p w14:paraId="69E53FE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During an incident it is beneficial if each responding agency is conscious of each other’s duties during an incident, meaning less disruption throughout the response of an incident. The LA ensure that the “roles and responsibilities” subsection of our emergency plans/ major incident plans are reviewed and tested regularly. This gives us all a clearer understanding of each other’s requirements, builds confidence in each other and allows for a more coordinated and cohesive response.  </w:t>
      </w:r>
    </w:p>
    <w:p w14:paraId="1AD1E6CD"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We have also taken steps to ensure our Elected Members have a clearer understanding of what is required of them prior to, during and after an incident. On a few occasions, although well meaning, Elected Members have disrupted the inter agency response and we have taken steps to reduce a reoccurrence of this by holding seminars to offer guidance on major incidents, multi-agency response and enforce how they can be a support to reduce the impact of an incident on communities, and assist with the recovery of their areas. </w:t>
      </w:r>
    </w:p>
    <w:p w14:paraId="01900471"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Furthermore, the CCA legislated that all Category 1 responders have comprehensive Business Continuity Plans (BCPs) in place. The (ISO 22301) and [</w:t>
      </w:r>
      <w:hyperlink w:anchor="_Office,_C._(2012)" w:history="1">
        <w:r w:rsidRPr="00B22DD2">
          <w:rPr>
            <w:rStyle w:val="Hyperlink"/>
            <w:rFonts w:ascii="Times New Roman" w:eastAsia="Times New Roman" w:hAnsi="Times New Roman" w:cs="Times New Roman"/>
            <w:sz w:val="24"/>
            <w:szCs w:val="24"/>
            <w:lang w:eastAsia="en-GB"/>
          </w:rPr>
          <w:t>EP2012, Chapter 6</w:t>
        </w:r>
      </w:hyperlink>
      <w:r w:rsidRPr="008500C8">
        <w:rPr>
          <w:rFonts w:ascii="Times New Roman" w:eastAsia="Times New Roman" w:hAnsi="Times New Roman" w:cs="Times New Roman"/>
          <w:sz w:val="24"/>
          <w:szCs w:val="24"/>
          <w:lang w:eastAsia="en-GB"/>
        </w:rPr>
        <w:t xml:space="preserve">] guidance assists practitioners on the six step BCM lifecycle (referenced below in figure 1), on the approach to BC planning within an organisation. This guidance has assisted me in understanding how to maintain BC plans and the importance of exercising and training BC arrangements. The most important part of the BCM cycle, to me as a practitioner, is building the BC culture within the organisation and through experience building up the knowledge on how to approach personnel using appropriate language to elicit the ‘buy in’ of services and external businesses. </w:t>
      </w:r>
    </w:p>
    <w:p w14:paraId="0D071ED9" w14:textId="77777777" w:rsidR="008500C8" w:rsidRPr="008500C8" w:rsidRDefault="008500C8" w:rsidP="008500C8">
      <w:pPr>
        <w:spacing w:before="100" w:beforeAutospacing="1" w:after="100" w:afterAutospacing="1" w:line="240" w:lineRule="auto"/>
        <w:jc w:val="center"/>
        <w:rPr>
          <w:rFonts w:ascii="Times New Roman" w:eastAsia="Times New Roman" w:hAnsi="Times New Roman" w:cs="Times New Roman"/>
          <w:b/>
          <w:i/>
          <w:sz w:val="24"/>
          <w:szCs w:val="24"/>
          <w:lang w:eastAsia="en-GB"/>
        </w:rPr>
      </w:pPr>
      <w:r w:rsidRPr="008500C8">
        <w:rPr>
          <w:rFonts w:ascii="Times New Roman" w:eastAsia="Times New Roman" w:hAnsi="Times New Roman" w:cs="Times New Roman"/>
          <w:b/>
          <w:i/>
          <w:noProof/>
          <w:sz w:val="24"/>
          <w:szCs w:val="24"/>
          <w:lang w:eastAsia="en-GB"/>
        </w:rPr>
        <w:lastRenderedPageBreak/>
        <w:drawing>
          <wp:anchor distT="0" distB="0" distL="114300" distR="114300" simplePos="0" relativeHeight="251659264" behindDoc="0" locked="0" layoutInCell="1" allowOverlap="1" wp14:anchorId="3A485610" wp14:editId="041A897F">
            <wp:simplePos x="0" y="0"/>
            <wp:positionH relativeFrom="column">
              <wp:posOffset>991674</wp:posOffset>
            </wp:positionH>
            <wp:positionV relativeFrom="paragraph">
              <wp:posOffset>0</wp:posOffset>
            </wp:positionV>
            <wp:extent cx="3543482" cy="25337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543482" cy="2533780"/>
                    </a:xfrm>
                    <a:prstGeom prst="rect">
                      <a:avLst/>
                    </a:prstGeom>
                  </pic:spPr>
                </pic:pic>
              </a:graphicData>
            </a:graphic>
          </wp:anchor>
        </w:drawing>
      </w:r>
      <w:r w:rsidRPr="008500C8">
        <w:rPr>
          <w:rFonts w:ascii="Times New Roman" w:eastAsia="Times New Roman" w:hAnsi="Times New Roman" w:cs="Times New Roman"/>
          <w:b/>
          <w:i/>
          <w:sz w:val="24"/>
          <w:szCs w:val="24"/>
          <w:lang w:eastAsia="en-GB"/>
        </w:rPr>
        <w:t>Figure 1: BCM Life Cycle [</w:t>
      </w:r>
      <w:hyperlink w:anchor="_Office,_C._(2012)" w:history="1">
        <w:r w:rsidRPr="00B22DD2">
          <w:rPr>
            <w:rStyle w:val="Hyperlink"/>
            <w:rFonts w:ascii="Times New Roman" w:eastAsia="Times New Roman" w:hAnsi="Times New Roman" w:cs="Times New Roman"/>
            <w:b/>
            <w:i/>
            <w:sz w:val="24"/>
            <w:szCs w:val="24"/>
            <w:lang w:eastAsia="en-GB"/>
          </w:rPr>
          <w:t xml:space="preserve">EP2012, Chapter 6, </w:t>
        </w:r>
        <w:proofErr w:type="spellStart"/>
        <w:r w:rsidRPr="00B22DD2">
          <w:rPr>
            <w:rStyle w:val="Hyperlink"/>
            <w:rFonts w:ascii="Times New Roman" w:eastAsia="Times New Roman" w:hAnsi="Times New Roman" w:cs="Times New Roman"/>
            <w:b/>
            <w:i/>
            <w:sz w:val="24"/>
            <w:szCs w:val="24"/>
            <w:lang w:eastAsia="en-GB"/>
          </w:rPr>
          <w:t>pg</w:t>
        </w:r>
        <w:proofErr w:type="spellEnd"/>
        <w:r w:rsidRPr="00B22DD2">
          <w:rPr>
            <w:rStyle w:val="Hyperlink"/>
            <w:rFonts w:ascii="Times New Roman" w:eastAsia="Times New Roman" w:hAnsi="Times New Roman" w:cs="Times New Roman"/>
            <w:b/>
            <w:i/>
            <w:sz w:val="24"/>
            <w:szCs w:val="24"/>
            <w:lang w:eastAsia="en-GB"/>
          </w:rPr>
          <w:t xml:space="preserve"> 17</w:t>
        </w:r>
      </w:hyperlink>
      <w:r w:rsidRPr="008500C8">
        <w:rPr>
          <w:rFonts w:ascii="Times New Roman" w:eastAsia="Times New Roman" w:hAnsi="Times New Roman" w:cs="Times New Roman"/>
          <w:b/>
          <w:i/>
          <w:sz w:val="24"/>
          <w:szCs w:val="24"/>
          <w:lang w:eastAsia="en-GB"/>
        </w:rPr>
        <w:t>]</w:t>
      </w:r>
    </w:p>
    <w:p w14:paraId="65371C5C"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The statutory guidance (</w:t>
      </w:r>
      <w:hyperlink w:anchor="_Office,_C._(2012)" w:history="1">
        <w:r w:rsidRPr="00B22DD2">
          <w:rPr>
            <w:rStyle w:val="Hyperlink"/>
            <w:rFonts w:ascii="Times New Roman" w:eastAsia="Times New Roman" w:hAnsi="Times New Roman" w:cs="Times New Roman"/>
            <w:sz w:val="24"/>
            <w:szCs w:val="24"/>
            <w:lang w:eastAsia="en-GB"/>
          </w:rPr>
          <w:t>EP2012, 6.22-6.26</w:t>
        </w:r>
      </w:hyperlink>
      <w:r w:rsidRPr="008500C8">
        <w:rPr>
          <w:rFonts w:ascii="Times New Roman" w:eastAsia="Times New Roman" w:hAnsi="Times New Roman" w:cs="Times New Roman"/>
          <w:sz w:val="24"/>
          <w:szCs w:val="24"/>
          <w:lang w:eastAsia="en-GB"/>
        </w:rPr>
        <w:t>) notes the requirement for BCP to be trained and exercised upon and for plans to be reviewed to ensure we fulfil our responsibilities. Within the LA the EPT facilitate an internal Resilience Coordinators meeting with critical services to offer guidance on risks from the National Risk Register and LRF community risks that may require BCP considerations.</w:t>
      </w:r>
    </w:p>
    <w:p w14:paraId="0E47DD3D"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During the incident of Covid 19, our BCP’s helped us to achieve an understanding of the potential risk Covid19 had to the organisation objectives short and long term and allowed us to review what our critical services were e.g. Highways, </w:t>
      </w:r>
      <w:proofErr w:type="spellStart"/>
      <w:r w:rsidRPr="008500C8">
        <w:rPr>
          <w:rFonts w:ascii="Times New Roman" w:eastAsia="Times New Roman" w:hAnsi="Times New Roman" w:cs="Times New Roman"/>
          <w:sz w:val="24"/>
          <w:szCs w:val="24"/>
          <w:lang w:eastAsia="en-GB"/>
        </w:rPr>
        <w:t>Streetcare</w:t>
      </w:r>
      <w:proofErr w:type="spellEnd"/>
      <w:r w:rsidRPr="008500C8">
        <w:rPr>
          <w:rFonts w:ascii="Times New Roman" w:eastAsia="Times New Roman" w:hAnsi="Times New Roman" w:cs="Times New Roman"/>
          <w:sz w:val="24"/>
          <w:szCs w:val="24"/>
          <w:lang w:eastAsia="en-GB"/>
        </w:rPr>
        <w:t xml:space="preserve">, facilities, legal, ICT and Social Care to support the continual function of those services. Plans could also be amended to allow for non-critical services employees being relocated to critical services such as testing units and track and trace telecoms. </w:t>
      </w:r>
    </w:p>
    <w:p w14:paraId="75FF26DA"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I feel that Business Continuity Management Plans are perhaps not as high priority to some as should be and obtaining the ‘buy in’ from certain services has proved to be difficult within the LA.  I believe Covid 19 highlighted and the potential for national grid disruption has shown the UK the importance of building the resilience of our organisations by anticipating and planning for major disruption to our organisations’ responsibilities by creating and reviewing robust Contingency plans to ensure, during any incident, we can maintain as close as possible our day-to-day business and protect our critical services. </w:t>
      </w:r>
    </w:p>
    <w:p w14:paraId="58827427"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While BC planning for organisation was a high priority following the possible implication of ‘</w:t>
      </w:r>
      <w:proofErr w:type="spellStart"/>
      <w:r w:rsidRPr="008500C8">
        <w:rPr>
          <w:rFonts w:ascii="Times New Roman" w:eastAsia="Times New Roman" w:hAnsi="Times New Roman" w:cs="Times New Roman"/>
          <w:color w:val="212529"/>
          <w:sz w:val="24"/>
          <w:szCs w:val="24"/>
          <w:lang w:eastAsia="en-GB"/>
        </w:rPr>
        <w:t>Blackstart</w:t>
      </w:r>
      <w:proofErr w:type="spellEnd"/>
      <w:r w:rsidRPr="008500C8">
        <w:rPr>
          <w:rFonts w:ascii="Times New Roman" w:eastAsia="Times New Roman" w:hAnsi="Times New Roman" w:cs="Times New Roman"/>
          <w:color w:val="212529"/>
          <w:sz w:val="24"/>
          <w:szCs w:val="24"/>
          <w:lang w:eastAsia="en-GB"/>
        </w:rPr>
        <w:t>’, a response to the potential for a national grid disruption, our services also looked into reviewing our ‘Vulnerable Persons Register’ and the potential impacts to our communities. A priority was to look at not only our business continuity but also the incident management requirements, discussing the measures in which would result in keeping our communities warm and safe and also the provision of additional care to those who would need greater assistance.</w:t>
      </w:r>
    </w:p>
    <w:p w14:paraId="1FAED8D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Office,_C._Civil" w:history="1">
        <w:r w:rsidRPr="00B22DD2">
          <w:rPr>
            <w:rStyle w:val="Hyperlink"/>
            <w:rFonts w:ascii="Times New Roman" w:eastAsia="Times New Roman" w:hAnsi="Times New Roman" w:cs="Times New Roman"/>
            <w:sz w:val="24"/>
            <w:szCs w:val="24"/>
            <w:lang w:eastAsia="en-GB"/>
          </w:rPr>
          <w:t>CCA, 11 A</w:t>
        </w:r>
      </w:hyperlink>
      <w:r w:rsidRPr="008500C8">
        <w:rPr>
          <w:rFonts w:ascii="Times New Roman" w:eastAsia="Times New Roman" w:hAnsi="Times New Roman" w:cs="Times New Roman"/>
          <w:color w:val="212529"/>
          <w:sz w:val="24"/>
          <w:szCs w:val="24"/>
          <w:lang w:eastAsia="en-GB"/>
        </w:rPr>
        <w:t xml:space="preserve">) notes non-compliance of the Act could bring proceedings in the High Court, and although there has been no monitoring  or court proceedings by Welsh Government to this date, our team ensure we comply with the Act to the highest standards, striving to work towards the ISO 22301, and the national occupational standards for civil contingencies. We ensure all </w:t>
      </w:r>
      <w:r w:rsidRPr="008500C8">
        <w:rPr>
          <w:rFonts w:ascii="Times New Roman" w:eastAsia="Times New Roman" w:hAnsi="Times New Roman" w:cs="Times New Roman"/>
          <w:color w:val="212529"/>
          <w:sz w:val="24"/>
          <w:szCs w:val="24"/>
          <w:lang w:eastAsia="en-GB"/>
        </w:rPr>
        <w:lastRenderedPageBreak/>
        <w:t>our emergency arrangement plans are quality checked by self-evaluation, facilitating review checks with other partners and monitor a review cycle to ensure plans are current.</w:t>
      </w:r>
    </w:p>
    <w:p w14:paraId="11C2177D"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color w:val="212529"/>
          <w:sz w:val="24"/>
          <w:szCs w:val="24"/>
          <w:lang w:eastAsia="en-GB"/>
        </w:rPr>
        <w:t>We also conduct exercising and training on our emergency arrangements to ensure they are reliable and fit for purpose and record all recommendations and considerations from exercises in a post exercise report and forward action plan, which is reviewed on a quarterly basis with other council services or/and agencies.</w:t>
      </w:r>
    </w:p>
    <w:p w14:paraId="5E0BC64A"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We monitor and regulate our services by conducting an internal quarterly Resilience Coordinators meeting to offer guidance and support compliance to business contingency planning and emergency planning. In addition, we report on compliance on BC to a Corporate Directors Group to encourage uptake amongst the authority’s directorates. </w:t>
      </w:r>
    </w:p>
    <w:p w14:paraId="04C2E159"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Furthermore, a number of our emergency planners, including myself,  have undertaken the Education and Training (EAT) qualification, so we can facilitate training and exercising on emergency planning to our Gold and Silver Officers, Elected Members, organisational employees in a structured and assessed environment.</w:t>
      </w:r>
    </w:p>
    <w:p w14:paraId="434BCC5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To support those who have legal obligations under the Act, the statutory guidance  </w:t>
      </w:r>
      <w:hyperlink w:anchor="_Office,_C._(2012)" w:history="1">
        <w:r w:rsidRPr="00B22DD2">
          <w:rPr>
            <w:rStyle w:val="Hyperlink"/>
            <w:rFonts w:ascii="Times New Roman" w:eastAsia="Times New Roman" w:hAnsi="Times New Roman" w:cs="Times New Roman"/>
            <w:sz w:val="24"/>
            <w:szCs w:val="24"/>
            <w:lang w:eastAsia="en-GB"/>
          </w:rPr>
          <w:t>EP2012</w:t>
        </w:r>
      </w:hyperlink>
      <w:r w:rsidRPr="008500C8">
        <w:rPr>
          <w:rFonts w:ascii="Times New Roman" w:eastAsia="Times New Roman" w:hAnsi="Times New Roman" w:cs="Times New Roman"/>
          <w:color w:val="212529"/>
          <w:sz w:val="24"/>
          <w:szCs w:val="24"/>
          <w:lang w:eastAsia="en-GB"/>
        </w:rPr>
        <w:t xml:space="preserve"> and non-statutory guidance, </w:t>
      </w:r>
      <w:hyperlink w:anchor="_Office_C,_(2013)_2" w:history="1">
        <w:r w:rsidRPr="00B22DD2">
          <w:rPr>
            <w:rStyle w:val="Hyperlink"/>
            <w:rFonts w:ascii="Times New Roman" w:eastAsia="Times New Roman" w:hAnsi="Times New Roman" w:cs="Times New Roman"/>
            <w:sz w:val="24"/>
            <w:szCs w:val="24"/>
            <w:lang w:eastAsia="en-GB"/>
          </w:rPr>
          <w:t>Emergency Response and recovery</w:t>
        </w:r>
      </w:hyperlink>
      <w:r w:rsidRPr="008500C8">
        <w:rPr>
          <w:rFonts w:ascii="Times New Roman" w:eastAsia="Times New Roman" w:hAnsi="Times New Roman" w:cs="Times New Roman"/>
          <w:color w:val="212529"/>
          <w:sz w:val="24"/>
          <w:szCs w:val="24"/>
          <w:lang w:eastAsia="en-GB"/>
        </w:rPr>
        <w:t xml:space="preserve"> ERR2013 were released, which forms the basis of emergency planning within the UK by supporting compliance and learning for organisations and individuals to keep in line with the generic framework for civil protection. Although there are regional sub-sections within the guidance, it has not been revised to incorporate any updates that have come from the ‘the transfer of functions 2018’.</w:t>
      </w:r>
    </w:p>
    <w:p w14:paraId="4DEB7B4D"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In my opinion, the Act and supporting regulations have benefited Category 1 &amp; 2 responders within the UK, by setting out clear guidelines on what is expected of them and their responsibilities to comply to the CCA 2004, but have also been a positive step forward for the cohesive, co-ordinated working approach between responders, whether that be risk assessment, plans &amp; arrangements, warning &amp; informing and attending emergencies.</w:t>
      </w:r>
    </w:p>
    <w:p w14:paraId="5DE6144F"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w:t>
      </w:r>
      <w:hyperlink w:anchor="_Office,_C._(2012)" w:history="1">
        <w:r w:rsidRPr="00E92D12">
          <w:rPr>
            <w:rStyle w:val="Hyperlink"/>
            <w:rFonts w:ascii="Times New Roman" w:eastAsia="Times New Roman" w:hAnsi="Times New Roman" w:cs="Times New Roman"/>
            <w:sz w:val="24"/>
            <w:szCs w:val="24"/>
            <w:lang w:eastAsia="en-GB"/>
          </w:rPr>
          <w:t>EP2012</w:t>
        </w:r>
      </w:hyperlink>
      <w:r w:rsidRPr="008500C8">
        <w:rPr>
          <w:rFonts w:ascii="Times New Roman" w:eastAsia="Times New Roman" w:hAnsi="Times New Roman" w:cs="Times New Roman"/>
          <w:color w:val="212529"/>
          <w:sz w:val="24"/>
          <w:szCs w:val="24"/>
          <w:lang w:eastAsia="en-GB"/>
        </w:rPr>
        <w:t xml:space="preserve"> and </w:t>
      </w:r>
      <w:hyperlink w:anchor="_Office_C,_(2013)_2" w:history="1">
        <w:r w:rsidRPr="00E92D12">
          <w:rPr>
            <w:rStyle w:val="Hyperlink"/>
            <w:rFonts w:ascii="Times New Roman" w:eastAsia="Times New Roman" w:hAnsi="Times New Roman" w:cs="Times New Roman"/>
            <w:sz w:val="24"/>
            <w:szCs w:val="24"/>
            <w:lang w:eastAsia="en-GB"/>
          </w:rPr>
          <w:t>ERR 2013</w:t>
        </w:r>
      </w:hyperlink>
      <w:r w:rsidRPr="008500C8">
        <w:rPr>
          <w:rFonts w:ascii="Times New Roman" w:eastAsia="Times New Roman" w:hAnsi="Times New Roman" w:cs="Times New Roman"/>
          <w:color w:val="212529"/>
          <w:sz w:val="24"/>
          <w:szCs w:val="24"/>
          <w:lang w:eastAsia="en-GB"/>
        </w:rPr>
        <w:t xml:space="preserve"> supports the concept of Integrated Emergency Management (IEM), a holistic approach to preventing and managing emergencies. IEM aims to develop flexible and adaptable arrangements, which enable an effective joint response to and recovery from any emergency. </w:t>
      </w:r>
      <w:hyperlink w:anchor="_Dillon,_B._(2014)_1" w:history="1">
        <w:r w:rsidRPr="008500C8">
          <w:rPr>
            <w:rFonts w:ascii="Times New Roman" w:eastAsia="Times New Roman" w:hAnsi="Times New Roman" w:cs="Times New Roman"/>
            <w:color w:val="0563C1" w:themeColor="hyperlink"/>
            <w:sz w:val="24"/>
            <w:szCs w:val="24"/>
            <w:u w:val="single"/>
            <w:lang w:eastAsia="en-GB"/>
          </w:rPr>
          <w:t>(Dillon, B (2014) pp 37)</w:t>
        </w:r>
      </w:hyperlink>
      <w:r w:rsidRPr="008500C8">
        <w:rPr>
          <w:rFonts w:ascii="Times New Roman" w:eastAsia="Times New Roman" w:hAnsi="Times New Roman" w:cs="Times New Roman"/>
          <w:color w:val="212529"/>
          <w:sz w:val="24"/>
          <w:szCs w:val="24"/>
          <w:lang w:eastAsia="en-GB"/>
        </w:rPr>
        <w:t xml:space="preserve"> quotes “the term IEM can also be used to describe the process of engaging other partners and stakeholders in the emergency planning and response processes”.  In my opinion networking with fellow category 1 responders is an imperative as it helps support consistent emergency planning across the board and facilitate effective communication during incidents. </w:t>
      </w:r>
    </w:p>
    <w:p w14:paraId="5EA604A5" w14:textId="77777777" w:rsidR="008500C8" w:rsidRPr="008500C8" w:rsidRDefault="008500C8" w:rsidP="002E50C6">
      <w:pPr>
        <w:spacing w:before="100" w:beforeAutospacing="1" w:after="100" w:afterAutospacing="1" w:line="240" w:lineRule="auto"/>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09196CE9" wp14:editId="2F73DAB9">
            <wp:simplePos x="0" y="0"/>
            <wp:positionH relativeFrom="margin">
              <wp:align>center</wp:align>
            </wp:positionH>
            <wp:positionV relativeFrom="paragraph">
              <wp:posOffset>297375</wp:posOffset>
            </wp:positionV>
            <wp:extent cx="5258070" cy="2165461"/>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58070" cy="2165461"/>
                    </a:xfrm>
                    <a:prstGeom prst="rect">
                      <a:avLst/>
                    </a:prstGeom>
                  </pic:spPr>
                </pic:pic>
              </a:graphicData>
            </a:graphic>
          </wp:anchor>
        </w:drawing>
      </w:r>
      <w:r w:rsidRPr="008500C8">
        <w:rPr>
          <w:rFonts w:ascii="Times New Roman" w:eastAsia="Times New Roman" w:hAnsi="Times New Roman" w:cs="Times New Roman"/>
          <w:i/>
          <w:color w:val="212529"/>
          <w:sz w:val="24"/>
          <w:szCs w:val="24"/>
          <w:lang w:eastAsia="en-GB"/>
        </w:rPr>
        <w:t>Figure 2 shows the IEM model and how each structure is listed. (</w:t>
      </w:r>
      <w:hyperlink w:anchor="_Office,_C._(2012)" w:history="1">
        <w:r w:rsidRPr="00B22DD2">
          <w:rPr>
            <w:rStyle w:val="Hyperlink"/>
            <w:rFonts w:ascii="Times New Roman" w:eastAsia="Times New Roman" w:hAnsi="Times New Roman" w:cs="Times New Roman"/>
            <w:i/>
            <w:sz w:val="24"/>
            <w:szCs w:val="24"/>
            <w:lang w:eastAsia="en-GB"/>
          </w:rPr>
          <w:t>EP2012, Pg 16</w:t>
        </w:r>
      </w:hyperlink>
      <w:r w:rsidRPr="008500C8">
        <w:rPr>
          <w:rFonts w:ascii="Times New Roman" w:eastAsia="Times New Roman" w:hAnsi="Times New Roman" w:cs="Times New Roman"/>
          <w:i/>
          <w:color w:val="212529"/>
          <w:sz w:val="24"/>
          <w:szCs w:val="24"/>
          <w:lang w:eastAsia="en-GB"/>
        </w:rPr>
        <w:t>)</w:t>
      </w:r>
    </w:p>
    <w:p w14:paraId="220D2800"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6DC45DB7"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214C2DE4"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028959C6" w14:textId="77777777" w:rsidR="008500C8" w:rsidRPr="008500C8" w:rsidRDefault="008500C8" w:rsidP="008500C8">
      <w:pPr>
        <w:rPr>
          <w:rFonts w:ascii="Times New Roman" w:hAnsi="Times New Roman" w:cs="Times New Roman"/>
          <w:sz w:val="24"/>
          <w:szCs w:val="24"/>
        </w:rPr>
      </w:pPr>
      <w:r w:rsidRPr="008500C8">
        <w:rPr>
          <w:rFonts w:ascii="Times New Roman" w:hAnsi="Times New Roman" w:cs="Times New Roman"/>
          <w:b/>
          <w:sz w:val="24"/>
          <w:szCs w:val="24"/>
        </w:rPr>
        <w:lastRenderedPageBreak/>
        <w:t>Anticipation and Assessment</w:t>
      </w:r>
      <w:r w:rsidRPr="008500C8">
        <w:rPr>
          <w:rFonts w:ascii="Times New Roman" w:hAnsi="Times New Roman" w:cs="Times New Roman"/>
          <w:sz w:val="24"/>
          <w:szCs w:val="24"/>
        </w:rPr>
        <w:t>-</w:t>
      </w:r>
      <w:r w:rsidRPr="008500C8">
        <w:rPr>
          <w:rFonts w:ascii="Times New Roman" w:hAnsi="Times New Roman" w:cs="Times New Roman"/>
          <w:i/>
          <w:sz w:val="24"/>
          <w:szCs w:val="24"/>
        </w:rPr>
        <w:t xml:space="preserve">identifying </w:t>
      </w:r>
      <w:r w:rsidRPr="008500C8">
        <w:rPr>
          <w:rFonts w:ascii="Times New Roman" w:hAnsi="Times New Roman" w:cs="Times New Roman"/>
          <w:sz w:val="24"/>
          <w:szCs w:val="24"/>
        </w:rPr>
        <w:t xml:space="preserve">and </w:t>
      </w:r>
      <w:r w:rsidRPr="008500C8">
        <w:rPr>
          <w:rFonts w:ascii="Times New Roman" w:hAnsi="Times New Roman" w:cs="Times New Roman"/>
          <w:i/>
          <w:sz w:val="24"/>
          <w:szCs w:val="24"/>
        </w:rPr>
        <w:t>analysing</w:t>
      </w:r>
      <w:r w:rsidRPr="008500C8">
        <w:rPr>
          <w:rFonts w:ascii="Times New Roman" w:hAnsi="Times New Roman" w:cs="Times New Roman"/>
          <w:sz w:val="24"/>
          <w:szCs w:val="24"/>
        </w:rPr>
        <w:t xml:space="preserve"> risks and hazards taking into account the National Risk Register (NRR) and the Community Risk Register (CRR) to warn and inform the public on national and local risks and how to prepare for them. </w:t>
      </w:r>
    </w:p>
    <w:p w14:paraId="6A45C184"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color w:val="212529"/>
          <w:sz w:val="24"/>
          <w:szCs w:val="24"/>
          <w:lang w:eastAsia="en-GB"/>
        </w:rPr>
        <w:t>To support Category 1 responders in assessing and understanding risks, there has been the development of risk and hazards guidance such as the</w:t>
      </w:r>
      <w:r w:rsidRPr="008500C8">
        <w:rPr>
          <w:rFonts w:ascii="Times New Roman" w:eastAsia="Times New Roman" w:hAnsi="Times New Roman" w:cs="Times New Roman"/>
          <w:sz w:val="24"/>
          <w:szCs w:val="24"/>
          <w:lang w:eastAsia="en-GB"/>
        </w:rPr>
        <w:t xml:space="preserve"> National Risk Register (NRR), first released in 2008, which is the UK government's assessment of the most serious risks facing the UK.</w:t>
      </w:r>
    </w:p>
    <w:p w14:paraId="111DD4D4"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Furthermore under the Act(</w:t>
      </w:r>
      <w:hyperlink w:anchor="_Office,_C._Civil" w:history="1">
        <w:r w:rsidRPr="00B22DD2">
          <w:rPr>
            <w:rStyle w:val="Hyperlink"/>
            <w:rFonts w:ascii="Times New Roman" w:eastAsia="Times New Roman" w:hAnsi="Times New Roman" w:cs="Times New Roman"/>
            <w:sz w:val="24"/>
            <w:szCs w:val="24"/>
            <w:lang w:eastAsia="en-GB"/>
          </w:rPr>
          <w:t>CCA, Part 1, Section 2 (1)(a))</w:t>
        </w:r>
      </w:hyperlink>
      <w:r w:rsidRPr="008500C8">
        <w:rPr>
          <w:rFonts w:ascii="Times New Roman" w:eastAsia="Times New Roman" w:hAnsi="Times New Roman" w:cs="Times New Roman"/>
          <w:sz w:val="24"/>
          <w:szCs w:val="24"/>
          <w:lang w:eastAsia="en-GB"/>
        </w:rPr>
        <w:t xml:space="preserve"> and (</w:t>
      </w:r>
      <w:hyperlink w:anchor="_Office,_C._(2012)" w:history="1">
        <w:r w:rsidRPr="00B22DD2">
          <w:rPr>
            <w:rStyle w:val="Hyperlink"/>
            <w:rFonts w:ascii="Times New Roman" w:eastAsia="Times New Roman" w:hAnsi="Times New Roman" w:cs="Times New Roman"/>
            <w:sz w:val="24"/>
            <w:szCs w:val="24"/>
            <w:lang w:eastAsia="en-GB"/>
          </w:rPr>
          <w:t>EP2012, Section 4.57</w:t>
        </w:r>
      </w:hyperlink>
      <w:r w:rsidRPr="008500C8">
        <w:rPr>
          <w:rFonts w:ascii="Times New Roman" w:eastAsia="Times New Roman" w:hAnsi="Times New Roman" w:cs="Times New Roman"/>
          <w:sz w:val="24"/>
          <w:szCs w:val="24"/>
          <w:lang w:eastAsia="en-GB"/>
        </w:rPr>
        <w:t>) category 1 responders are also required to risk assess at a localised level and publish the Community Risk Register to warn and inform the public, which supports businesses and practitioners in determining what preparedness, response and recovery  plans are required to mitigate the risks faced by them from a regional perspective.  [</w:t>
      </w:r>
      <w:hyperlink w:anchor="_Office,_C._(2020)" w:history="1">
        <w:r w:rsidRPr="00B22DD2">
          <w:rPr>
            <w:rStyle w:val="Hyperlink"/>
            <w:rFonts w:ascii="Times New Roman" w:eastAsia="Times New Roman" w:hAnsi="Times New Roman" w:cs="Times New Roman"/>
            <w:sz w:val="24"/>
            <w:szCs w:val="24"/>
            <w:lang w:eastAsia="en-GB"/>
          </w:rPr>
          <w:t>The National Resilience Standards for Local Resilience Forums (2020), Cabinet Office. pp 8-11</w:t>
        </w:r>
      </w:hyperlink>
      <w:r w:rsidRPr="008500C8">
        <w:rPr>
          <w:rFonts w:ascii="Times New Roman" w:eastAsia="Times New Roman" w:hAnsi="Times New Roman" w:cs="Times New Roman"/>
          <w:sz w:val="24"/>
          <w:szCs w:val="24"/>
          <w:lang w:eastAsia="en-GB"/>
        </w:rPr>
        <w:t>] notes the LRF should ensure there is collaboration of multi-agencies within a Risk Working Group, to discuss local risks and impacts, which is then used to establish and publish the Community Risk Register (CRR).</w:t>
      </w:r>
    </w:p>
    <w:p w14:paraId="407A7466"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sz w:val="24"/>
          <w:szCs w:val="24"/>
          <w:lang w:eastAsia="en-GB"/>
        </w:rPr>
        <w:t xml:space="preserve">Within my organisation, we attend the LRF’s Risk and Threat Group to coordinate and develop local risk assessments. I believe as risk is subjective, trying to measure risk accurately as an individual organisation may result in a one dimensional view of that risk, therefore it’s important to co-ordinate and communicate with all multi-agencies to ensure the risk is captured appropriately and proportionally.  </w:t>
      </w:r>
      <w:r w:rsidRPr="008500C8">
        <w:rPr>
          <w:rFonts w:ascii="Times New Roman" w:eastAsia="Times New Roman" w:hAnsi="Times New Roman" w:cs="Times New Roman"/>
          <w:color w:val="212529"/>
          <w:sz w:val="24"/>
          <w:szCs w:val="24"/>
          <w:lang w:eastAsia="en-GB"/>
        </w:rPr>
        <w:t xml:space="preserve">There are also a number of sub-groups within the LRF e.g. recovery, mass evacuation and shelter etc. who are aligned a number of risks to contribute to the Community Risk Register. </w:t>
      </w:r>
    </w:p>
    <w:p w14:paraId="34D04D6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sz w:val="24"/>
          <w:szCs w:val="24"/>
          <w:lang w:eastAsia="en-GB"/>
        </w:rPr>
        <w:t xml:space="preserve">I feel that expanding on ‘Horizon Scanning’ within the LRF would allow us to overcome, or at least reduce our risk to developing situations by anticipation of perceived threats. Again, using Covid as an example, if the LRFs had an earlier appreciation of the potential problems to be faced,   plans to mitigate the effects of the pandemic could have been developed. </w:t>
      </w:r>
    </w:p>
    <w:p w14:paraId="3636A59D"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My role within the local authority means I take particular interest in three of the thematic groups within the </w:t>
      </w:r>
      <w:r w:rsidR="00B22DD2">
        <w:rPr>
          <w:rFonts w:ascii="Times New Roman" w:eastAsia="Times New Roman" w:hAnsi="Times New Roman" w:cs="Times New Roman"/>
          <w:sz w:val="24"/>
          <w:szCs w:val="24"/>
          <w:lang w:eastAsia="en-GB"/>
        </w:rPr>
        <w:t>(</w:t>
      </w:r>
      <w:hyperlink w:anchor="_Office,_C._(2023)" w:history="1">
        <w:r w:rsidRPr="00B22DD2">
          <w:rPr>
            <w:rStyle w:val="Hyperlink"/>
            <w:rFonts w:ascii="Times New Roman" w:eastAsia="Times New Roman" w:hAnsi="Times New Roman" w:cs="Times New Roman"/>
            <w:sz w:val="24"/>
            <w:szCs w:val="24"/>
            <w:lang w:eastAsia="en-GB"/>
          </w:rPr>
          <w:t>NRR</w:t>
        </w:r>
        <w:r w:rsidR="00B22DD2" w:rsidRPr="00B22DD2">
          <w:rPr>
            <w:rStyle w:val="Hyperlink"/>
            <w:rFonts w:ascii="Times New Roman" w:eastAsia="Times New Roman" w:hAnsi="Times New Roman" w:cs="Times New Roman"/>
            <w:sz w:val="24"/>
            <w:szCs w:val="24"/>
            <w:lang w:eastAsia="en-GB"/>
          </w:rPr>
          <w:t xml:space="preserve"> 2023</w:t>
        </w:r>
      </w:hyperlink>
      <w:r w:rsidR="00B22DD2">
        <w:rPr>
          <w:rFonts w:ascii="Times New Roman" w:eastAsia="Times New Roman" w:hAnsi="Times New Roman" w:cs="Times New Roman"/>
          <w:sz w:val="24"/>
          <w:szCs w:val="24"/>
          <w:lang w:eastAsia="en-GB"/>
        </w:rPr>
        <w:t>)</w:t>
      </w:r>
      <w:r w:rsidRPr="008500C8">
        <w:rPr>
          <w:rFonts w:ascii="Times New Roman" w:eastAsia="Times New Roman" w:hAnsi="Times New Roman" w:cs="Times New Roman"/>
          <w:sz w:val="24"/>
          <w:szCs w:val="24"/>
          <w:lang w:eastAsia="en-GB"/>
        </w:rPr>
        <w:t xml:space="preserve">.  One such role supports the preparedness and response planning to malicious attacks against our Schools, also known through Counter Terrorism Policing as Operation </w:t>
      </w:r>
      <w:proofErr w:type="spellStart"/>
      <w:r w:rsidRPr="008500C8">
        <w:rPr>
          <w:rFonts w:ascii="Times New Roman" w:eastAsia="Times New Roman" w:hAnsi="Times New Roman" w:cs="Times New Roman"/>
          <w:sz w:val="24"/>
          <w:szCs w:val="24"/>
          <w:lang w:eastAsia="en-GB"/>
        </w:rPr>
        <w:t>Tinwald</w:t>
      </w:r>
      <w:proofErr w:type="spellEnd"/>
      <w:r w:rsidRPr="008500C8">
        <w:rPr>
          <w:rFonts w:ascii="Times New Roman" w:eastAsia="Times New Roman" w:hAnsi="Times New Roman" w:cs="Times New Roman"/>
          <w:sz w:val="24"/>
          <w:szCs w:val="24"/>
          <w:lang w:eastAsia="en-GB"/>
        </w:rPr>
        <w:t xml:space="preserve">. It is my responsibility to support schools with their lockdown and bomb threat plans, and ensuring there is adequate training and exercising taking place on an annual basis. </w:t>
      </w:r>
    </w:p>
    <w:p w14:paraId="697C4429"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Also I have recently been assigned the formulation of presentations and awareness sessions in in relation to the upcoming Protect Duty Bill a.k.a. Martyn’s Law, which is legislation arising from the Manchester Bombing 2017 and supports the mitigation against terrorist or malicious attacks.</w:t>
      </w:r>
    </w:p>
    <w:p w14:paraId="5F4FC7B6"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While undertaking the task of evaluating these risks and hazards, I have reviewed the Kerslake Report (Manchester Arena bombing) and the Coroner and London Assembly committee enquiry (7/7 bombings London) as I feel it is important to  appreciate a structured appraisal  of such incidents and to, hopefully, learn from them. </w:t>
      </w:r>
    </w:p>
    <w:p w14:paraId="12AD83C3" w14:textId="77777777" w:rsidR="008500C8" w:rsidRPr="008500C8" w:rsidRDefault="008500C8" w:rsidP="008500C8">
      <w:pPr>
        <w:rPr>
          <w:rFonts w:ascii="Times New Roman" w:hAnsi="Times New Roman" w:cs="Times New Roman"/>
          <w:sz w:val="24"/>
          <w:szCs w:val="24"/>
        </w:rPr>
      </w:pPr>
      <w:r w:rsidRPr="008500C8">
        <w:rPr>
          <w:rFonts w:ascii="Times New Roman" w:hAnsi="Times New Roman" w:cs="Times New Roman"/>
          <w:b/>
          <w:sz w:val="24"/>
          <w:szCs w:val="24"/>
        </w:rPr>
        <w:t>Prevention</w:t>
      </w:r>
      <w:r w:rsidRPr="008500C8">
        <w:rPr>
          <w:rFonts w:ascii="Times New Roman" w:hAnsi="Times New Roman" w:cs="Times New Roman"/>
          <w:sz w:val="24"/>
          <w:szCs w:val="24"/>
        </w:rPr>
        <w:t xml:space="preserve">- </w:t>
      </w:r>
      <w:r w:rsidRPr="008500C8">
        <w:rPr>
          <w:rFonts w:ascii="Times New Roman" w:hAnsi="Times New Roman" w:cs="Times New Roman"/>
          <w:i/>
          <w:sz w:val="24"/>
          <w:szCs w:val="24"/>
        </w:rPr>
        <w:t xml:space="preserve">Putting in place physical barriers and procedures to reduce the risk or stop the event happening e.g. Vaccination programmes and </w:t>
      </w:r>
      <w:proofErr w:type="spellStart"/>
      <w:r w:rsidRPr="008500C8">
        <w:rPr>
          <w:rFonts w:ascii="Times New Roman" w:hAnsi="Times New Roman" w:cs="Times New Roman"/>
          <w:i/>
          <w:sz w:val="24"/>
          <w:szCs w:val="24"/>
        </w:rPr>
        <w:t>CoMAH</w:t>
      </w:r>
      <w:proofErr w:type="spellEnd"/>
      <w:r w:rsidRPr="008500C8">
        <w:rPr>
          <w:rFonts w:ascii="Times New Roman" w:hAnsi="Times New Roman" w:cs="Times New Roman"/>
          <w:i/>
          <w:sz w:val="24"/>
          <w:szCs w:val="24"/>
        </w:rPr>
        <w:t xml:space="preserve"> plans.</w:t>
      </w:r>
      <w:r w:rsidRPr="008500C8">
        <w:rPr>
          <w:rFonts w:ascii="Times New Roman" w:hAnsi="Times New Roman" w:cs="Times New Roman"/>
          <w:sz w:val="24"/>
          <w:szCs w:val="24"/>
        </w:rPr>
        <w:t xml:space="preserve"> </w:t>
      </w:r>
    </w:p>
    <w:p w14:paraId="25A47FDF"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 xml:space="preserve">This can be met with some difficulty due to some of the risks identified within the NPT area being located on privately owned land, where owners are not obligated under the statutory requirements under the CCA. </w:t>
      </w:r>
    </w:p>
    <w:p w14:paraId="32CA520C"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Although, our team are not responsible for preventing spoil tip risks or incidents, we still ensure we have adequate plans in the case of an emergencies of this nature. The Coal Authority, who own a substantial amount of spoil tips within our region, are now members of the CCA under the Category 2 structure , allowing for an easier route of communication and co-ordination to emergency plans. </w:t>
      </w:r>
    </w:p>
    <w:p w14:paraId="16BA6D81"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Welsh Government has also released a “warn and inform” categorisation structure of spoil tips to the public, but this will also prove helpful in supporting multi agency emergency planning, but I feel further clarification and encouragement is required from Welsh Government towards private land owners, to reduce the lack of engagement that I have witnessed from private land owners in dealing with the Local authority. </w:t>
      </w:r>
    </w:p>
    <w:p w14:paraId="0907AADC"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color w:val="212529"/>
          <w:sz w:val="24"/>
          <w:szCs w:val="24"/>
          <w:lang w:eastAsia="en-GB"/>
        </w:rPr>
        <w:t>Preparation</w:t>
      </w:r>
      <w:r w:rsidRPr="008500C8">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i/>
          <w:color w:val="212529"/>
          <w:sz w:val="24"/>
          <w:szCs w:val="24"/>
          <w:lang w:eastAsia="en-GB"/>
        </w:rPr>
        <w:t>Developing and validating various types of plans</w:t>
      </w:r>
      <w:r w:rsidRPr="008500C8">
        <w:rPr>
          <w:rFonts w:ascii="Times New Roman" w:eastAsia="Times New Roman" w:hAnsi="Times New Roman" w:cs="Times New Roman"/>
          <w:color w:val="212529"/>
          <w:sz w:val="24"/>
          <w:szCs w:val="24"/>
          <w:lang w:eastAsia="en-GB"/>
        </w:rPr>
        <w:t xml:space="preserve"> e.g. emergency plans, contingency plans, business continuity plan, multi-agency major incident plans and risk specific plans, which would note response arrangements for known risks and unforeseen events. </w:t>
      </w:r>
    </w:p>
    <w:p w14:paraId="063267D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Office,_C._Civil" w:history="1">
        <w:r w:rsidRPr="00B22DD2">
          <w:rPr>
            <w:rStyle w:val="Hyperlink"/>
            <w:rFonts w:ascii="Times New Roman" w:eastAsia="Times New Roman" w:hAnsi="Times New Roman" w:cs="Times New Roman"/>
            <w:sz w:val="24"/>
            <w:szCs w:val="24"/>
            <w:lang w:eastAsia="en-GB"/>
          </w:rPr>
          <w:t>CCA, section 2 (1) (c) (d))</w:t>
        </w:r>
      </w:hyperlink>
      <w:r w:rsidRPr="008500C8">
        <w:rPr>
          <w:rFonts w:ascii="Times New Roman" w:eastAsia="Times New Roman" w:hAnsi="Times New Roman" w:cs="Times New Roman"/>
          <w:color w:val="212529"/>
          <w:sz w:val="24"/>
          <w:szCs w:val="24"/>
          <w:lang w:eastAsia="en-GB"/>
        </w:rPr>
        <w:t xml:space="preserve"> places a duty on organisations to carry out exercising and training to validate emergency plans. Exercising and training on plans is key within the LA in creating interoperability between responders, supporting the building of critical relationships and communication required to jointly respond to emergencies, but also allows for faults in the plans to be recognised and resolved, rather than the plan failing during an incident. This can result in the key element of why we undertake all the duties under the CCA, to reduce harm and to save lives.  </w:t>
      </w:r>
    </w:p>
    <w:p w14:paraId="56C6FD4C"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The non-statutory guidance </w:t>
      </w:r>
      <w:hyperlink w:anchor="_Office_C,_(updated" w:history="1">
        <w:r w:rsidRPr="008500C8">
          <w:rPr>
            <w:rFonts w:ascii="Times New Roman" w:eastAsia="Times New Roman" w:hAnsi="Times New Roman" w:cs="Times New Roman"/>
            <w:color w:val="0563C1" w:themeColor="hyperlink"/>
            <w:sz w:val="24"/>
            <w:szCs w:val="24"/>
            <w:u w:val="single"/>
            <w:lang w:eastAsia="en-GB"/>
          </w:rPr>
          <w:t>(Emergency planning and preparedness: exercises and training, 2014, Cabinet office)</w:t>
        </w:r>
      </w:hyperlink>
      <w:r w:rsidRPr="008500C8">
        <w:rPr>
          <w:rFonts w:ascii="Times New Roman" w:eastAsia="Times New Roman" w:hAnsi="Times New Roman" w:cs="Times New Roman"/>
          <w:color w:val="212529"/>
          <w:sz w:val="24"/>
          <w:szCs w:val="24"/>
          <w:lang w:eastAsia="en-GB"/>
        </w:rPr>
        <w:t xml:space="preserve"> has supported my own practice on exercising and training, and has allowed me to fully understand why this is a statutory requirement under the Act. The learning has also guided me in supporting the local authority in meeting duties under </w:t>
      </w:r>
      <w:r w:rsidR="00B22DD2">
        <w:rPr>
          <w:rFonts w:ascii="Times New Roman" w:eastAsia="Times New Roman" w:hAnsi="Times New Roman" w:cs="Times New Roman"/>
          <w:color w:val="212529"/>
          <w:sz w:val="24"/>
          <w:szCs w:val="24"/>
          <w:lang w:eastAsia="en-GB"/>
        </w:rPr>
        <w:t>(</w:t>
      </w:r>
      <w:proofErr w:type="spellStart"/>
      <w:r w:rsidR="00B22DD2">
        <w:rPr>
          <w:rFonts w:ascii="Times New Roman" w:eastAsia="Times New Roman" w:hAnsi="Times New Roman" w:cs="Times New Roman"/>
          <w:color w:val="212529"/>
          <w:sz w:val="24"/>
          <w:szCs w:val="24"/>
          <w:lang w:eastAsia="en-GB"/>
        </w:rPr>
        <w:fldChar w:fldCharType="begin"/>
      </w:r>
      <w:r w:rsidR="00B22DD2">
        <w:rPr>
          <w:rFonts w:ascii="Times New Roman" w:eastAsia="Times New Roman" w:hAnsi="Times New Roman" w:cs="Times New Roman"/>
          <w:color w:val="212529"/>
          <w:sz w:val="24"/>
          <w:szCs w:val="24"/>
          <w:lang w:eastAsia="en-GB"/>
        </w:rPr>
        <w:instrText xml:space="preserve"> HYPERLINK  \l "_HSE,_(2015)_Control_1" </w:instrText>
      </w:r>
      <w:r w:rsidR="00B22DD2">
        <w:rPr>
          <w:rFonts w:ascii="Times New Roman" w:eastAsia="Times New Roman" w:hAnsi="Times New Roman" w:cs="Times New Roman"/>
          <w:color w:val="212529"/>
          <w:sz w:val="24"/>
          <w:szCs w:val="24"/>
          <w:lang w:eastAsia="en-GB"/>
        </w:rPr>
      </w:r>
      <w:r w:rsidR="00B22DD2">
        <w:rPr>
          <w:rFonts w:ascii="Times New Roman" w:eastAsia="Times New Roman" w:hAnsi="Times New Roman" w:cs="Times New Roman"/>
          <w:color w:val="212529"/>
          <w:sz w:val="24"/>
          <w:szCs w:val="24"/>
          <w:lang w:eastAsia="en-GB"/>
        </w:rPr>
        <w:fldChar w:fldCharType="separate"/>
      </w:r>
      <w:r w:rsidRPr="00B22DD2">
        <w:rPr>
          <w:rStyle w:val="Hyperlink"/>
          <w:rFonts w:ascii="Times New Roman" w:eastAsia="Times New Roman" w:hAnsi="Times New Roman" w:cs="Times New Roman"/>
          <w:sz w:val="24"/>
          <w:szCs w:val="24"/>
          <w:lang w:eastAsia="en-GB"/>
        </w:rPr>
        <w:t>CoMAH</w:t>
      </w:r>
      <w:proofErr w:type="spellEnd"/>
      <w:r w:rsidRPr="00B22DD2">
        <w:rPr>
          <w:rStyle w:val="Hyperlink"/>
          <w:rFonts w:ascii="Times New Roman" w:eastAsia="Times New Roman" w:hAnsi="Times New Roman" w:cs="Times New Roman"/>
          <w:sz w:val="24"/>
          <w:szCs w:val="24"/>
          <w:lang w:eastAsia="en-GB"/>
        </w:rPr>
        <w:t xml:space="preserve"> regulations</w:t>
      </w:r>
      <w:r w:rsidR="00B22DD2" w:rsidRPr="00B22DD2">
        <w:rPr>
          <w:rStyle w:val="Hyperlink"/>
          <w:rFonts w:ascii="Times New Roman" w:eastAsia="Times New Roman" w:hAnsi="Times New Roman" w:cs="Times New Roman"/>
          <w:sz w:val="24"/>
          <w:szCs w:val="24"/>
          <w:lang w:eastAsia="en-GB"/>
        </w:rPr>
        <w:t xml:space="preserve"> 2015</w:t>
      </w:r>
      <w:r w:rsidR="00B22DD2">
        <w:rPr>
          <w:rFonts w:ascii="Times New Roman" w:eastAsia="Times New Roman" w:hAnsi="Times New Roman" w:cs="Times New Roman"/>
          <w:color w:val="212529"/>
          <w:sz w:val="24"/>
          <w:szCs w:val="24"/>
          <w:lang w:eastAsia="en-GB"/>
        </w:rPr>
        <w:fldChar w:fldCharType="end"/>
      </w:r>
      <w:r w:rsidR="00B22DD2">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by facilitating multi-agency emergency planning and testing and exercising sessions.</w:t>
      </w:r>
    </w:p>
    <w:p w14:paraId="2AF0240D"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We must also build the resilience of Wales and the UK as a whole through exercising and training. I feel the series of local and national training and exercising events covering a diverse spectrum of potential major events and facilitated by the SW/LRF, Welsh and National Government has that purpose, but also allows us to:</w:t>
      </w:r>
    </w:p>
    <w:p w14:paraId="59A3DF96" w14:textId="77777777" w:rsidR="008500C8" w:rsidRPr="008500C8" w:rsidRDefault="008500C8" w:rsidP="008500C8">
      <w:pPr>
        <w:numPr>
          <w:ilvl w:val="0"/>
          <w:numId w:val="1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support self-assessment for Strategic and Silver officers</w:t>
      </w:r>
    </w:p>
    <w:p w14:paraId="7EC567A9" w14:textId="77777777" w:rsidR="008500C8" w:rsidRPr="008500C8" w:rsidRDefault="008500C8" w:rsidP="008500C8">
      <w:pPr>
        <w:numPr>
          <w:ilvl w:val="0"/>
          <w:numId w:val="1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provide ‘real life’ situations that pose a threat so that Strategic, Tactical and Operational interdependencies can be explored</w:t>
      </w:r>
    </w:p>
    <w:p w14:paraId="7626CD5B" w14:textId="77777777" w:rsidR="008500C8" w:rsidRPr="008500C8" w:rsidRDefault="008500C8" w:rsidP="008500C8">
      <w:pPr>
        <w:numPr>
          <w:ilvl w:val="0"/>
          <w:numId w:val="12"/>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allow for and promote combined situational awareness via the JESIP principles</w:t>
      </w:r>
    </w:p>
    <w:p w14:paraId="49A10BC7"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One such exercise played out was Mighty Oak in 2023 – which aimed to rehearse the co-ordination of a national response to a national power outage across relevant governments, public sector and industry partners with the resulting debrief </w:t>
      </w:r>
      <w:r w:rsidR="00B22DD2" w:rsidRPr="008500C8">
        <w:rPr>
          <w:rFonts w:ascii="Times New Roman" w:eastAsia="Times New Roman" w:hAnsi="Times New Roman" w:cs="Times New Roman"/>
          <w:color w:val="212529"/>
          <w:sz w:val="24"/>
          <w:szCs w:val="24"/>
          <w:lang w:eastAsia="en-GB"/>
        </w:rPr>
        <w:t>identifying</w:t>
      </w:r>
      <w:r w:rsidRPr="008500C8">
        <w:rPr>
          <w:rFonts w:ascii="Times New Roman" w:eastAsia="Times New Roman" w:hAnsi="Times New Roman" w:cs="Times New Roman"/>
          <w:color w:val="212529"/>
          <w:sz w:val="24"/>
          <w:szCs w:val="24"/>
          <w:lang w:eastAsia="en-GB"/>
        </w:rPr>
        <w:t xml:space="preserve"> areas for improvement across the coordination of support from Welsh Government to LRF.</w:t>
      </w:r>
    </w:p>
    <w:p w14:paraId="424DA48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 xml:space="preserve">The non-statutory guidance </w:t>
      </w:r>
      <w:r w:rsidR="00B22DD2">
        <w:rPr>
          <w:rFonts w:ascii="Times New Roman" w:eastAsia="Times New Roman" w:hAnsi="Times New Roman" w:cs="Times New Roman"/>
          <w:color w:val="212529"/>
          <w:sz w:val="24"/>
          <w:szCs w:val="24"/>
          <w:lang w:eastAsia="en-GB"/>
        </w:rPr>
        <w:t>(</w:t>
      </w:r>
      <w:hyperlink w:anchor="_Office_C,_(2013)_2" w:history="1">
        <w:r w:rsidRPr="00B22DD2">
          <w:rPr>
            <w:rStyle w:val="Hyperlink"/>
            <w:rFonts w:ascii="Times New Roman" w:eastAsia="Times New Roman" w:hAnsi="Times New Roman" w:cs="Times New Roman"/>
            <w:sz w:val="24"/>
            <w:szCs w:val="24"/>
            <w:lang w:eastAsia="en-GB"/>
          </w:rPr>
          <w:t>ERR2013</w:t>
        </w:r>
      </w:hyperlink>
      <w:r w:rsidR="00B22DD2">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which covers the final two principles of the IEM </w:t>
      </w:r>
      <w:r w:rsidRPr="008500C8">
        <w:rPr>
          <w:rFonts w:ascii="Times New Roman" w:eastAsia="Times New Roman" w:hAnsi="Times New Roman" w:cs="Times New Roman"/>
          <w:b/>
          <w:color w:val="212529"/>
          <w:sz w:val="24"/>
          <w:szCs w:val="24"/>
          <w:lang w:eastAsia="en-GB"/>
        </w:rPr>
        <w:t>response</w:t>
      </w:r>
      <w:r w:rsidRPr="008500C8">
        <w:rPr>
          <w:rFonts w:ascii="Times New Roman" w:eastAsia="Times New Roman" w:hAnsi="Times New Roman" w:cs="Times New Roman"/>
          <w:color w:val="212529"/>
          <w:sz w:val="24"/>
          <w:szCs w:val="24"/>
          <w:lang w:eastAsia="en-GB"/>
        </w:rPr>
        <w:t xml:space="preserve"> and</w:t>
      </w:r>
      <w:r w:rsidRPr="008500C8">
        <w:rPr>
          <w:rFonts w:ascii="Times New Roman" w:eastAsia="Times New Roman" w:hAnsi="Times New Roman" w:cs="Times New Roman"/>
          <w:b/>
          <w:color w:val="212529"/>
          <w:sz w:val="24"/>
          <w:szCs w:val="24"/>
          <w:lang w:eastAsia="en-GB"/>
        </w:rPr>
        <w:t xml:space="preserve"> recovery</w:t>
      </w:r>
      <w:r w:rsidRPr="008500C8">
        <w:rPr>
          <w:rFonts w:ascii="Times New Roman" w:eastAsia="Times New Roman" w:hAnsi="Times New Roman" w:cs="Times New Roman"/>
          <w:color w:val="212529"/>
          <w:sz w:val="24"/>
          <w:szCs w:val="24"/>
          <w:lang w:eastAsia="en-GB"/>
        </w:rPr>
        <w:t>, quotes its purpose as (</w:t>
      </w:r>
      <w:hyperlink w:anchor="_Office_C,_(2013)_2" w:history="1">
        <w:r w:rsidRPr="00B22DD2">
          <w:rPr>
            <w:rStyle w:val="Hyperlink"/>
            <w:rFonts w:ascii="Times New Roman" w:eastAsia="Times New Roman" w:hAnsi="Times New Roman" w:cs="Times New Roman"/>
            <w:sz w:val="24"/>
            <w:szCs w:val="24"/>
            <w:lang w:eastAsia="en-GB"/>
          </w:rPr>
          <w:t>ERR2013, 1.1</w:t>
        </w:r>
      </w:hyperlink>
      <w:r w:rsidRPr="008500C8">
        <w:rPr>
          <w:rFonts w:ascii="Times New Roman" w:eastAsia="Times New Roman" w:hAnsi="Times New Roman" w:cs="Times New Roman"/>
          <w:color w:val="212529"/>
          <w:sz w:val="24"/>
          <w:szCs w:val="24"/>
          <w:lang w:eastAsia="en-GB"/>
        </w:rPr>
        <w:t>):   “guiding principles, practical considerations, operational doctrine and examples of good practice for the emergency response and recovery phases”. The (</w:t>
      </w:r>
      <w:hyperlink w:anchor="_Office_C,_(2013)_2" w:history="1">
        <w:r w:rsidRPr="00B22DD2">
          <w:rPr>
            <w:rStyle w:val="Hyperlink"/>
            <w:rFonts w:ascii="Times New Roman" w:eastAsia="Times New Roman" w:hAnsi="Times New Roman" w:cs="Times New Roman"/>
            <w:sz w:val="24"/>
            <w:szCs w:val="24"/>
            <w:lang w:eastAsia="en-GB"/>
          </w:rPr>
          <w:t>ERR 2013</w:t>
        </w:r>
      </w:hyperlink>
      <w:r w:rsidRPr="008500C8">
        <w:rPr>
          <w:rFonts w:ascii="Times New Roman" w:eastAsia="Times New Roman" w:hAnsi="Times New Roman" w:cs="Times New Roman"/>
          <w:color w:val="212529"/>
          <w:sz w:val="24"/>
          <w:szCs w:val="24"/>
          <w:lang w:eastAsia="en-GB"/>
        </w:rPr>
        <w:t xml:space="preserve">) notes the guidance on the decisions and actions required to deal with the immediate effects of an emergency and the process of recovery through rebuilding, restoring and rehabilitating the community following a disaster. </w:t>
      </w:r>
    </w:p>
    <w:p w14:paraId="37AE1468"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Response compromises of two over lapping phases of:</w:t>
      </w:r>
    </w:p>
    <w:p w14:paraId="2C519E31"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i/>
          <w:color w:val="212529"/>
          <w:sz w:val="24"/>
          <w:szCs w:val="24"/>
          <w:lang w:eastAsia="en-GB"/>
        </w:rPr>
      </w:pPr>
      <w:r w:rsidRPr="008500C8">
        <w:rPr>
          <w:rFonts w:ascii="Times New Roman" w:eastAsia="Times New Roman" w:hAnsi="Times New Roman" w:cs="Times New Roman"/>
          <w:b/>
          <w:color w:val="212529"/>
          <w:sz w:val="24"/>
          <w:szCs w:val="24"/>
          <w:lang w:eastAsia="en-GB"/>
        </w:rPr>
        <w:t>Crisis management</w:t>
      </w:r>
      <w:r w:rsidRPr="008500C8">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i/>
          <w:color w:val="212529"/>
          <w:sz w:val="24"/>
          <w:szCs w:val="24"/>
          <w:lang w:eastAsia="en-GB"/>
        </w:rPr>
        <w:t xml:space="preserve">prevent the initial emergency or further damage. </w:t>
      </w:r>
    </w:p>
    <w:p w14:paraId="522E916C"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In this instance, the local authority would offer assistance by activating the voluntary agencies, coordinating &amp; supporting emergency responders on scene by providing services for emergency evacuation, sourcing transportation, management of the highway, facilitating local warn and inform advice and provision of rest centres amongst many other supporting and varied roles.</w:t>
      </w:r>
    </w:p>
    <w:p w14:paraId="5F8DAAF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color w:val="212529"/>
          <w:sz w:val="24"/>
          <w:szCs w:val="24"/>
          <w:lang w:eastAsia="en-GB"/>
        </w:rPr>
        <w:t>Consequence Management</w:t>
      </w:r>
      <w:r w:rsidRPr="008500C8">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i/>
          <w:color w:val="212529"/>
          <w:sz w:val="24"/>
          <w:szCs w:val="24"/>
          <w:lang w:eastAsia="en-GB"/>
        </w:rPr>
        <w:t>prevent the impact of an incident escalating.</w:t>
      </w:r>
      <w:r w:rsidRPr="008500C8">
        <w:rPr>
          <w:rFonts w:ascii="Times New Roman" w:eastAsia="Times New Roman" w:hAnsi="Times New Roman" w:cs="Times New Roman"/>
          <w:color w:val="212529"/>
          <w:sz w:val="24"/>
          <w:szCs w:val="24"/>
          <w:lang w:eastAsia="en-GB"/>
        </w:rPr>
        <w:t xml:space="preserve"> </w:t>
      </w:r>
    </w:p>
    <w:p w14:paraId="58E55BB7"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To mitigate against longer term consequences, the authority would assist with temporary re-housing, provide ongoing humanitarian assistance by coordination of voluntary organisations and ensure educational needs are met by those affected.</w:t>
      </w:r>
    </w:p>
    <w:p w14:paraId="71FC50F9"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authority also has certain responsibilities when it comes to the effect of floods and management of same.  We are not the lead agency but have a shared responsibility in regards to the effective response to flooding in our area. After Storm Dennis it was apparent that, even though prepared to respond, the incident and resulting debrief highlighted simple improvements that could be made.</w:t>
      </w:r>
    </w:p>
    <w:p w14:paraId="77BB43F5"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As part of the response phase, (</w:t>
      </w:r>
      <w:hyperlink w:anchor="_Office_C,_(2013)_2" w:history="1">
        <w:r w:rsidRPr="00B22DD2">
          <w:rPr>
            <w:rStyle w:val="Hyperlink"/>
            <w:rFonts w:ascii="Times New Roman" w:eastAsia="Times New Roman" w:hAnsi="Times New Roman" w:cs="Times New Roman"/>
            <w:sz w:val="24"/>
            <w:szCs w:val="24"/>
            <w:lang w:eastAsia="en-GB"/>
          </w:rPr>
          <w:t>ERR2013 4.25</w:t>
        </w:r>
      </w:hyperlink>
      <w:r w:rsidRPr="008500C8">
        <w:rPr>
          <w:rFonts w:ascii="Times New Roman" w:eastAsia="Times New Roman" w:hAnsi="Times New Roman" w:cs="Times New Roman"/>
          <w:color w:val="212529"/>
          <w:sz w:val="24"/>
          <w:szCs w:val="24"/>
          <w:lang w:eastAsia="en-GB"/>
        </w:rPr>
        <w:t>) notes each multi-agency needs to incorporate and understand the three tiers of management to an integrated response being; Operational, Tactical and Strategic. These management structures support the command, control and coordination (3C’s) arrangements between agencies.</w:t>
      </w:r>
    </w:p>
    <w:p w14:paraId="662B1699"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tbl>
      <w:tblPr>
        <w:tblStyle w:val="TableGrid1"/>
        <w:tblW w:w="0" w:type="auto"/>
        <w:tblLook w:val="04A0" w:firstRow="1" w:lastRow="0" w:firstColumn="1" w:lastColumn="0" w:noHBand="0" w:noVBand="1"/>
      </w:tblPr>
      <w:tblGrid>
        <w:gridCol w:w="9016"/>
      </w:tblGrid>
      <w:tr w:rsidR="008500C8" w:rsidRPr="008500C8" w14:paraId="387C091D" w14:textId="77777777" w:rsidTr="00E92D12">
        <w:tc>
          <w:tcPr>
            <w:tcW w:w="9016" w:type="dxa"/>
            <w:shd w:val="clear" w:color="auto" w:fill="CC6600"/>
          </w:tcPr>
          <w:p w14:paraId="1E0ECA85" w14:textId="77777777" w:rsidR="008500C8" w:rsidRPr="008500C8" w:rsidRDefault="008500C8" w:rsidP="008500C8">
            <w:pPr>
              <w:spacing w:before="100" w:beforeAutospacing="1" w:after="100" w:afterAutospacing="1"/>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color w:val="212529"/>
                <w:sz w:val="24"/>
                <w:szCs w:val="24"/>
                <w:lang w:eastAsia="en-GB"/>
              </w:rPr>
              <w:t>Operational</w:t>
            </w:r>
            <w:r w:rsidRPr="008500C8">
              <w:rPr>
                <w:rFonts w:ascii="Times New Roman" w:eastAsia="Times New Roman" w:hAnsi="Times New Roman" w:cs="Times New Roman"/>
                <w:color w:val="212529"/>
                <w:sz w:val="24"/>
                <w:szCs w:val="24"/>
                <w:lang w:eastAsia="en-GB"/>
              </w:rPr>
              <w:t xml:space="preserve">, also known as </w:t>
            </w:r>
            <w:r w:rsidRPr="008500C8">
              <w:rPr>
                <w:rFonts w:ascii="Times New Roman" w:eastAsia="Times New Roman" w:hAnsi="Times New Roman" w:cs="Times New Roman"/>
                <w:b/>
                <w:color w:val="212529"/>
                <w:sz w:val="24"/>
                <w:szCs w:val="24"/>
                <w:lang w:eastAsia="en-GB"/>
              </w:rPr>
              <w:t>Bronze</w:t>
            </w:r>
          </w:p>
        </w:tc>
      </w:tr>
      <w:tr w:rsidR="008500C8" w:rsidRPr="008500C8" w14:paraId="1EFCC480" w14:textId="77777777" w:rsidTr="00E92D12">
        <w:tc>
          <w:tcPr>
            <w:tcW w:w="9016" w:type="dxa"/>
          </w:tcPr>
          <w:p w14:paraId="09766B3D" w14:textId="77777777" w:rsidR="008500C8" w:rsidRPr="008500C8" w:rsidRDefault="008500C8" w:rsidP="008500C8">
            <w:pPr>
              <w:spacing w:before="100" w:beforeAutospacing="1" w:after="100" w:afterAutospacing="1"/>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t>
            </w:r>
            <w:hyperlink w:anchor="_Office_C,_(2013)_2" w:history="1">
              <w:r w:rsidRPr="00B22DD2">
                <w:rPr>
                  <w:rStyle w:val="Hyperlink"/>
                  <w:rFonts w:ascii="Times New Roman" w:eastAsia="Times New Roman" w:hAnsi="Times New Roman" w:cs="Times New Roman"/>
                  <w:sz w:val="24"/>
                  <w:szCs w:val="24"/>
                  <w:lang w:eastAsia="en-GB"/>
                </w:rPr>
                <w:t>ERR2013, 4.2.6)</w:t>
              </w:r>
            </w:hyperlink>
            <w:r w:rsidRPr="008500C8">
              <w:rPr>
                <w:rFonts w:ascii="Times New Roman" w:eastAsia="Times New Roman" w:hAnsi="Times New Roman" w:cs="Times New Roman"/>
                <w:color w:val="212529"/>
                <w:sz w:val="24"/>
                <w:szCs w:val="24"/>
                <w:lang w:eastAsia="en-GB"/>
              </w:rPr>
              <w:t xml:space="preserve"> notes these are those who attend the site to take the immediate steps to assess the incident, provide a situation report and execute the tactical plan supplied from Tactical Management (TM)</w:t>
            </w:r>
          </w:p>
        </w:tc>
      </w:tr>
      <w:tr w:rsidR="008500C8" w:rsidRPr="008500C8" w14:paraId="6095CFA0" w14:textId="77777777" w:rsidTr="00E92D12">
        <w:tc>
          <w:tcPr>
            <w:tcW w:w="9016" w:type="dxa"/>
            <w:shd w:val="clear" w:color="auto" w:fill="A6A6A6" w:themeFill="background1" w:themeFillShade="A6"/>
          </w:tcPr>
          <w:p w14:paraId="620B24F6" w14:textId="77777777" w:rsidR="008500C8" w:rsidRPr="008500C8" w:rsidRDefault="008500C8" w:rsidP="008500C8">
            <w:pPr>
              <w:spacing w:before="100" w:beforeAutospacing="1" w:after="100" w:afterAutospacing="1"/>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color w:val="212529"/>
                <w:sz w:val="24"/>
                <w:szCs w:val="24"/>
                <w:lang w:eastAsia="en-GB"/>
              </w:rPr>
              <w:t>Tactical</w:t>
            </w:r>
            <w:r w:rsidRPr="008500C8">
              <w:rPr>
                <w:rFonts w:ascii="Times New Roman" w:eastAsia="Times New Roman" w:hAnsi="Times New Roman" w:cs="Times New Roman"/>
                <w:color w:val="212529"/>
                <w:sz w:val="24"/>
                <w:szCs w:val="24"/>
                <w:lang w:eastAsia="en-GB"/>
              </w:rPr>
              <w:t xml:space="preserve"> also known as </w:t>
            </w:r>
            <w:r w:rsidRPr="008500C8">
              <w:rPr>
                <w:rFonts w:ascii="Times New Roman" w:eastAsia="Times New Roman" w:hAnsi="Times New Roman" w:cs="Times New Roman"/>
                <w:b/>
                <w:color w:val="212529"/>
                <w:sz w:val="24"/>
                <w:szCs w:val="24"/>
                <w:lang w:eastAsia="en-GB"/>
              </w:rPr>
              <w:t>Silver</w:t>
            </w:r>
          </w:p>
        </w:tc>
      </w:tr>
      <w:tr w:rsidR="008500C8" w:rsidRPr="008500C8" w14:paraId="7B211798" w14:textId="77777777" w:rsidTr="00E92D12">
        <w:tc>
          <w:tcPr>
            <w:tcW w:w="9016" w:type="dxa"/>
          </w:tcPr>
          <w:p w14:paraId="6E4B1A4B" w14:textId="77777777" w:rsidR="008500C8" w:rsidRPr="008500C8" w:rsidRDefault="008500C8" w:rsidP="008500C8">
            <w:pPr>
              <w:spacing w:before="100" w:beforeAutospacing="1" w:after="100" w:afterAutospacing="1"/>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t>
            </w:r>
            <w:hyperlink w:anchor="_Office_C,_(2013)_2" w:history="1">
              <w:r w:rsidRPr="00B22DD2">
                <w:rPr>
                  <w:rStyle w:val="Hyperlink"/>
                  <w:rFonts w:ascii="Times New Roman" w:eastAsia="Times New Roman" w:hAnsi="Times New Roman" w:cs="Times New Roman"/>
                  <w:sz w:val="24"/>
                  <w:szCs w:val="24"/>
                  <w:lang w:eastAsia="en-GB"/>
                </w:rPr>
                <w:t>ERR2013 4.2.11</w:t>
              </w:r>
            </w:hyperlink>
            <w:r w:rsidRPr="008500C8">
              <w:rPr>
                <w:rFonts w:ascii="Times New Roman" w:eastAsia="Times New Roman" w:hAnsi="Times New Roman" w:cs="Times New Roman"/>
                <w:color w:val="212529"/>
                <w:sz w:val="24"/>
                <w:szCs w:val="24"/>
                <w:lang w:eastAsia="en-GB"/>
              </w:rPr>
              <w:t>) notes TM ensure that operational staff follow the JESIP protocols. TM is to co-ordinate activities and assets and develop a tactical plan following strategic direction.</w:t>
            </w:r>
          </w:p>
          <w:p w14:paraId="523CA209" w14:textId="77777777" w:rsidR="008500C8" w:rsidRPr="008500C8" w:rsidRDefault="008500C8" w:rsidP="008500C8">
            <w:pPr>
              <w:spacing w:before="100" w:beforeAutospacing="1" w:after="100" w:afterAutospacing="1"/>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t>
            </w:r>
            <w:hyperlink w:anchor="_Office_C,_(2013)_2" w:history="1">
              <w:r w:rsidRPr="00E92D12">
                <w:rPr>
                  <w:rStyle w:val="Hyperlink"/>
                  <w:rFonts w:ascii="Times New Roman" w:eastAsia="Times New Roman" w:hAnsi="Times New Roman" w:cs="Times New Roman"/>
                  <w:sz w:val="24"/>
                  <w:szCs w:val="24"/>
                  <w:lang w:eastAsia="en-GB"/>
                </w:rPr>
                <w:t>ERR2013 4.2.13</w:t>
              </w:r>
            </w:hyperlink>
            <w:r w:rsidR="00E92D12">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notes a Tactical Co-ordination Group (TCG) may be convened if formal allocation of resources or planning and co-ordination is required. Appropriate level responder representatives will first convene at a pre-determined (FCP) located nearby to the emergency but alternative point of contacts will be pre-determined through multi agency emergency planning.</w:t>
            </w:r>
          </w:p>
        </w:tc>
      </w:tr>
      <w:tr w:rsidR="008500C8" w:rsidRPr="008500C8" w14:paraId="0BDB6CB4" w14:textId="77777777" w:rsidTr="00E92D12">
        <w:tc>
          <w:tcPr>
            <w:tcW w:w="9016" w:type="dxa"/>
            <w:shd w:val="clear" w:color="auto" w:fill="FFC000"/>
          </w:tcPr>
          <w:p w14:paraId="3F932ABD" w14:textId="77777777" w:rsidR="008500C8" w:rsidRPr="008500C8" w:rsidRDefault="008500C8" w:rsidP="008500C8">
            <w:pPr>
              <w:spacing w:before="100" w:beforeAutospacing="1" w:after="100" w:afterAutospacing="1"/>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color w:val="212529"/>
                <w:sz w:val="24"/>
                <w:szCs w:val="24"/>
                <w:lang w:eastAsia="en-GB"/>
              </w:rPr>
              <w:t>Strategic</w:t>
            </w:r>
            <w:r w:rsidRPr="008500C8">
              <w:rPr>
                <w:rFonts w:ascii="Times New Roman" w:eastAsia="Times New Roman" w:hAnsi="Times New Roman" w:cs="Times New Roman"/>
                <w:color w:val="212529"/>
                <w:sz w:val="24"/>
                <w:szCs w:val="24"/>
                <w:lang w:eastAsia="en-GB"/>
              </w:rPr>
              <w:t xml:space="preserve"> also known as </w:t>
            </w:r>
            <w:r w:rsidRPr="008500C8">
              <w:rPr>
                <w:rFonts w:ascii="Times New Roman" w:eastAsia="Times New Roman" w:hAnsi="Times New Roman" w:cs="Times New Roman"/>
                <w:b/>
                <w:color w:val="212529"/>
                <w:sz w:val="24"/>
                <w:szCs w:val="24"/>
                <w:lang w:eastAsia="en-GB"/>
              </w:rPr>
              <w:t>Gold</w:t>
            </w:r>
          </w:p>
        </w:tc>
      </w:tr>
      <w:tr w:rsidR="008500C8" w:rsidRPr="008500C8" w14:paraId="08DDB437" w14:textId="77777777" w:rsidTr="00E92D12">
        <w:tc>
          <w:tcPr>
            <w:tcW w:w="9016" w:type="dxa"/>
          </w:tcPr>
          <w:p w14:paraId="7BE5F946" w14:textId="77777777" w:rsidR="008500C8" w:rsidRPr="008500C8" w:rsidRDefault="008500C8" w:rsidP="008500C8">
            <w:pPr>
              <w:spacing w:before="100" w:beforeAutospacing="1" w:after="100" w:afterAutospacing="1"/>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w:t>
            </w:r>
            <w:hyperlink w:anchor="_Office_C,_(2013)_2" w:history="1">
              <w:r w:rsidRPr="00E92D12">
                <w:rPr>
                  <w:rStyle w:val="Hyperlink"/>
                  <w:rFonts w:ascii="Times New Roman" w:eastAsia="Times New Roman" w:hAnsi="Times New Roman" w:cs="Times New Roman"/>
                  <w:sz w:val="24"/>
                  <w:szCs w:val="24"/>
                  <w:lang w:eastAsia="en-GB"/>
                </w:rPr>
                <w:t>ERR2013 4.2.19</w:t>
              </w:r>
            </w:hyperlink>
            <w:r w:rsidRPr="008500C8">
              <w:rPr>
                <w:rFonts w:ascii="Times New Roman" w:eastAsia="Times New Roman" w:hAnsi="Times New Roman" w:cs="Times New Roman"/>
                <w:color w:val="212529"/>
                <w:sz w:val="24"/>
                <w:szCs w:val="24"/>
                <w:lang w:eastAsia="en-GB"/>
              </w:rPr>
              <w:t xml:space="preserve">) notes strategic level management is to consider the emergency in a wider context and co-ordinate the lower tiered response management towards the established objectives. During large scale major incidents which include a number of multi-agencies to respond a multi-agency Strategic Co-ordinating Group (SCG). </w:t>
            </w:r>
          </w:p>
          <w:p w14:paraId="4098E200" w14:textId="77777777" w:rsidR="008500C8" w:rsidRPr="008500C8" w:rsidRDefault="008500C8" w:rsidP="008500C8">
            <w:pPr>
              <w:spacing w:before="100" w:beforeAutospacing="1" w:after="100" w:afterAutospacing="1"/>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color w:val="212529"/>
                <w:sz w:val="24"/>
                <w:szCs w:val="24"/>
                <w:lang w:eastAsia="en-GB"/>
              </w:rPr>
              <w:t>Within my own organisation, our Gold officers are the Chief executive and heads of departments, who we support and offer guidance to on emergency plans co-</w:t>
            </w:r>
            <w:r w:rsidR="00E92D12" w:rsidRPr="008500C8">
              <w:rPr>
                <w:rFonts w:ascii="Times New Roman" w:eastAsia="Times New Roman" w:hAnsi="Times New Roman" w:cs="Times New Roman"/>
                <w:color w:val="212529"/>
                <w:sz w:val="24"/>
                <w:szCs w:val="24"/>
                <w:lang w:eastAsia="en-GB"/>
              </w:rPr>
              <w:t>aligned</w:t>
            </w:r>
            <w:r w:rsidRPr="008500C8">
              <w:rPr>
                <w:rFonts w:ascii="Times New Roman" w:eastAsia="Times New Roman" w:hAnsi="Times New Roman" w:cs="Times New Roman"/>
                <w:color w:val="212529"/>
                <w:sz w:val="24"/>
                <w:szCs w:val="24"/>
                <w:lang w:eastAsia="en-GB"/>
              </w:rPr>
              <w:t xml:space="preserve"> to the relevant incident, but </w:t>
            </w:r>
            <w:r w:rsidRPr="008500C8">
              <w:rPr>
                <w:rFonts w:ascii="Times New Roman" w:eastAsia="Times New Roman" w:hAnsi="Times New Roman" w:cs="Times New Roman"/>
                <w:sz w:val="24"/>
                <w:szCs w:val="24"/>
                <w:lang w:eastAsia="en-GB"/>
              </w:rPr>
              <w:t>each organisation is different and the role of SO is not specifically allocated to a role or rank – it is allocated to the person/s within the organisation who has strategic authority and delegation over the organisation.</w:t>
            </w:r>
          </w:p>
          <w:p w14:paraId="4422DF4F" w14:textId="77777777" w:rsidR="008500C8" w:rsidRPr="008500C8" w:rsidRDefault="008500C8" w:rsidP="008500C8">
            <w:pPr>
              <w:spacing w:before="100" w:beforeAutospacing="1" w:after="100" w:afterAutospacing="1"/>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sz w:val="24"/>
                <w:szCs w:val="24"/>
                <w:lang w:eastAsia="en-GB"/>
              </w:rPr>
              <w:t xml:space="preserve">The Strategic authority over Wales is the Wales Civil Contingencies Committee, who has representatives from key organisations, who provide leadership to the response of emergencies falling fully within devolved competence. </w:t>
            </w:r>
          </w:p>
        </w:tc>
      </w:tr>
    </w:tbl>
    <w:p w14:paraId="3C5765A4"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It is further supported by JESIP, the</w:t>
      </w:r>
      <w:hyperlink w:anchor="_JESIP,_(2021)_JOINT" w:history="1">
        <w:r w:rsidRPr="00E92D12">
          <w:rPr>
            <w:rStyle w:val="Hyperlink"/>
            <w:rFonts w:ascii="Times New Roman" w:eastAsia="Times New Roman" w:hAnsi="Times New Roman" w:cs="Times New Roman"/>
            <w:sz w:val="24"/>
            <w:szCs w:val="24"/>
            <w:lang w:eastAsia="en-GB"/>
          </w:rPr>
          <w:t xml:space="preserve"> Joint Emergency Services Interoperability Programme (JESIP), first issued in 2012</w:t>
        </w:r>
      </w:hyperlink>
      <w:r w:rsidRPr="008500C8">
        <w:rPr>
          <w:rFonts w:ascii="Times New Roman" w:eastAsia="Times New Roman" w:hAnsi="Times New Roman" w:cs="Times New Roman"/>
          <w:color w:val="212529"/>
          <w:sz w:val="24"/>
          <w:szCs w:val="24"/>
          <w:lang w:eastAsia="en-GB"/>
        </w:rPr>
        <w:t xml:space="preserve">, which in my experience within the Local Authority, has played a fundamental part in incident response and supports the cohesive, co-ordinated working approach between responders. </w:t>
      </w:r>
    </w:p>
    <w:p w14:paraId="7FE31F3D"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Skills_for_Justice," w:history="1">
        <w:r w:rsidRPr="008500C8">
          <w:rPr>
            <w:rFonts w:ascii="Times New Roman" w:eastAsia="Times New Roman" w:hAnsi="Times New Roman" w:cs="Times New Roman"/>
            <w:color w:val="0563C1" w:themeColor="hyperlink"/>
            <w:sz w:val="24"/>
            <w:szCs w:val="24"/>
            <w:u w:val="single"/>
            <w:lang w:eastAsia="en-GB"/>
          </w:rPr>
          <w:t>Emergency Services Interoperability Research, Skills for Justice. pp 2</w:t>
        </w:r>
      </w:hyperlink>
      <w:r w:rsidRPr="008500C8">
        <w:rPr>
          <w:rFonts w:ascii="Times New Roman" w:eastAsia="Times New Roman" w:hAnsi="Times New Roman" w:cs="Times New Roman"/>
          <w:color w:val="212529"/>
          <w:sz w:val="24"/>
          <w:szCs w:val="24"/>
          <w:lang w:eastAsia="en-GB"/>
        </w:rPr>
        <w:t xml:space="preserve">) quotes “The Joint Emergency Services Interoperability Programme (JESIP) was established to bring about changes at the operational level that lead to the emergency services working together more effectively in response to major incidents.” </w:t>
      </w:r>
    </w:p>
    <w:p w14:paraId="47325F1F" w14:textId="77777777" w:rsidR="002E50C6" w:rsidRDefault="008500C8" w:rsidP="002E50C6">
      <w:pPr>
        <w:spacing w:before="100" w:beforeAutospacing="1" w:after="100" w:afterAutospacing="1" w:line="240" w:lineRule="auto"/>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Fi</w:t>
      </w:r>
      <w:r>
        <w:rPr>
          <w:rFonts w:ascii="Times New Roman" w:eastAsia="Times New Roman" w:hAnsi="Times New Roman" w:cs="Times New Roman"/>
          <w:color w:val="212529"/>
          <w:sz w:val="24"/>
          <w:szCs w:val="24"/>
          <w:lang w:eastAsia="en-GB"/>
        </w:rPr>
        <w:t>gure 3</w:t>
      </w:r>
      <w:r w:rsidRPr="008500C8">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F</w:t>
      </w:r>
      <w:r w:rsidRPr="008500C8">
        <w:rPr>
          <w:rFonts w:ascii="Times New Roman" w:eastAsia="Times New Roman" w:hAnsi="Times New Roman" w:cs="Times New Roman"/>
          <w:color w:val="212529"/>
          <w:sz w:val="24"/>
          <w:szCs w:val="24"/>
          <w:lang w:eastAsia="en-GB"/>
        </w:rPr>
        <w:t>ive principles for improved joint working set out by JESIP, located on the</w:t>
      </w:r>
    </w:p>
    <w:p w14:paraId="7277FAC1" w14:textId="77777777" w:rsidR="008500C8" w:rsidRPr="008500C8" w:rsidRDefault="008500C8" w:rsidP="002E50C6">
      <w:pPr>
        <w:spacing w:before="100" w:beforeAutospacing="1" w:after="100" w:afterAutospacing="1" w:line="240" w:lineRule="auto"/>
        <w:jc w:val="center"/>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 (</w:t>
      </w:r>
      <w:hyperlink w:anchor="_JESIP,_Principles_for" w:history="1">
        <w:r w:rsidRPr="008500C8">
          <w:rPr>
            <w:rFonts w:ascii="Times New Roman" w:eastAsia="Times New Roman" w:hAnsi="Times New Roman" w:cs="Times New Roman"/>
            <w:color w:val="0563C1" w:themeColor="hyperlink"/>
            <w:sz w:val="24"/>
            <w:szCs w:val="24"/>
            <w:u w:val="single"/>
            <w:lang w:eastAsia="en-GB"/>
          </w:rPr>
          <w:t>JESIP Website</w:t>
        </w:r>
      </w:hyperlink>
      <w:r w:rsidRPr="008500C8">
        <w:rPr>
          <w:rFonts w:ascii="Times New Roman" w:eastAsia="Times New Roman" w:hAnsi="Times New Roman" w:cs="Times New Roman"/>
          <w:color w:val="212529"/>
          <w:sz w:val="24"/>
          <w:szCs w:val="24"/>
          <w:lang w:eastAsia="en-GB"/>
        </w:rPr>
        <w:t>):</w:t>
      </w:r>
    </w:p>
    <w:p w14:paraId="7FDBBDCA"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noProof/>
          <w:sz w:val="24"/>
          <w:szCs w:val="24"/>
          <w:lang w:eastAsia="en-GB"/>
        </w:rPr>
        <w:drawing>
          <wp:anchor distT="0" distB="0" distL="114300" distR="114300" simplePos="0" relativeHeight="251661312" behindDoc="1" locked="0" layoutInCell="1" allowOverlap="1" wp14:anchorId="0A9AA7E7" wp14:editId="6A280156">
            <wp:simplePos x="0" y="0"/>
            <wp:positionH relativeFrom="margin">
              <wp:posOffset>56662</wp:posOffset>
            </wp:positionH>
            <wp:positionV relativeFrom="paragraph">
              <wp:posOffset>40835</wp:posOffset>
            </wp:positionV>
            <wp:extent cx="5780598" cy="40957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80598" cy="4095750"/>
                    </a:xfrm>
                    <a:prstGeom prst="rect">
                      <a:avLst/>
                    </a:prstGeom>
                  </pic:spPr>
                </pic:pic>
              </a:graphicData>
            </a:graphic>
          </wp:anchor>
        </w:drawing>
      </w:r>
    </w:p>
    <w:p w14:paraId="2C0CDC01"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0460E251"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13D6E9A3"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36CDCC23"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101D1DDB"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480F0471"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032A5180"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098544F0"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58B26FD3" w14:textId="77777777" w:rsid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5078CACF"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45093799"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The seven scopes of response and recovery, noted on [</w:t>
      </w:r>
      <w:hyperlink w:anchor="_Office_C,_(2013)_2" w:history="1">
        <w:r w:rsidRPr="00E92D12">
          <w:rPr>
            <w:rStyle w:val="Hyperlink"/>
            <w:rFonts w:ascii="Times New Roman" w:eastAsia="Times New Roman" w:hAnsi="Times New Roman" w:cs="Times New Roman"/>
            <w:sz w:val="24"/>
            <w:szCs w:val="24"/>
            <w:lang w:eastAsia="en-GB"/>
          </w:rPr>
          <w:t>ERR 2.1</w:t>
        </w:r>
      </w:hyperlink>
      <w:r w:rsidRPr="008500C8">
        <w:rPr>
          <w:rFonts w:ascii="Times New Roman" w:eastAsia="Times New Roman" w:hAnsi="Times New Roman" w:cs="Times New Roman"/>
          <w:color w:val="212529"/>
          <w:sz w:val="24"/>
          <w:szCs w:val="24"/>
          <w:lang w:eastAsia="en-GB"/>
        </w:rPr>
        <w:t xml:space="preserve">.] is an effective tool to support the 3C’s structure, guiding agencies on the efficient protocols for response and recovery required from different aspects e.g. humanitarian, infrastructure and economic etc. From my own perspective co-operation and information sharing is the most useful of the scopes, creating multi-agency communication strategies to support communication prior to, during and after an incident, is an essential tool which aids not only with open engagement between multi agencies to ensure there is clear co-operation and direction of those involved in an incident, but helps build trust that all objectives individual or linked can be worked towards.  </w:t>
      </w:r>
    </w:p>
    <w:p w14:paraId="0DA6BE9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 The (</w:t>
      </w:r>
      <w:hyperlink w:anchor="_JESIP,_Principles_for" w:history="1">
        <w:r w:rsidRPr="00E92D12">
          <w:rPr>
            <w:rStyle w:val="Hyperlink"/>
            <w:rFonts w:ascii="Times New Roman" w:eastAsia="Times New Roman" w:hAnsi="Times New Roman" w:cs="Times New Roman"/>
            <w:sz w:val="24"/>
            <w:szCs w:val="24"/>
            <w:lang w:eastAsia="en-GB"/>
          </w:rPr>
          <w:t>JESIP, Principles for joint working, webpage</w:t>
        </w:r>
      </w:hyperlink>
      <w:r w:rsidRPr="008500C8">
        <w:rPr>
          <w:rFonts w:ascii="Times New Roman" w:eastAsia="Times New Roman" w:hAnsi="Times New Roman" w:cs="Times New Roman"/>
          <w:color w:val="212529"/>
          <w:sz w:val="24"/>
          <w:szCs w:val="24"/>
          <w:lang w:eastAsia="en-GB"/>
        </w:rPr>
        <w:t xml:space="preserve">) further elaborates around the importance of communication between responders: “Meaningful and effective communication between responders and responder organisations underpins effective joint working. Communication links start from the time of the first call or contact, instigating communication between control rooms as soon as possible to start the process of sharing information”. </w:t>
      </w:r>
    </w:p>
    <w:p w14:paraId="50EAE180"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This being said, it is then essential that any such strategies are exercised and trained to help in a better understanding of how those agencies communicate internally and externally and also remove jargon that will inhibit the free flow of ideas and therefore, solutions.  </w:t>
      </w:r>
    </w:p>
    <w:p w14:paraId="5DD9D73F"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As the LA often takes a lead role to the recovery phase of an incident, we as an organisation will begin to evaluate the potential impacts which may come as a result from the incident as soon as a major incident is declared. We initiate incident management meetings to discuss the potential of infrastructure damage, transport disruption, economic consequences etc. and start preparing services in response.</w:t>
      </w:r>
    </w:p>
    <w:p w14:paraId="09236D5F"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From a Local authority background, I do query why the </w:t>
      </w:r>
      <w:hyperlink w:anchor="_Office_C,_(2013)_2" w:history="1">
        <w:r w:rsidRPr="00E92D12">
          <w:rPr>
            <w:rStyle w:val="Hyperlink"/>
            <w:rFonts w:ascii="Times New Roman" w:eastAsia="Times New Roman" w:hAnsi="Times New Roman" w:cs="Times New Roman"/>
            <w:sz w:val="24"/>
            <w:szCs w:val="24"/>
            <w:lang w:eastAsia="en-GB"/>
          </w:rPr>
          <w:t>ERR2013</w:t>
        </w:r>
      </w:hyperlink>
      <w:r w:rsidRPr="008500C8">
        <w:rPr>
          <w:rFonts w:ascii="Times New Roman" w:eastAsia="Times New Roman" w:hAnsi="Times New Roman" w:cs="Times New Roman"/>
          <w:color w:val="212529"/>
          <w:sz w:val="24"/>
          <w:szCs w:val="24"/>
          <w:lang w:eastAsia="en-GB"/>
        </w:rPr>
        <w:t xml:space="preserve"> guidance has not followed the same level of importance as its corresponding documentation </w:t>
      </w:r>
      <w:hyperlink w:anchor="_Office,_C._(2012)" w:history="1">
        <w:r w:rsidRPr="00E92D12">
          <w:rPr>
            <w:rStyle w:val="Hyperlink"/>
            <w:rFonts w:ascii="Times New Roman" w:eastAsia="Times New Roman" w:hAnsi="Times New Roman" w:cs="Times New Roman"/>
            <w:sz w:val="24"/>
            <w:szCs w:val="24"/>
            <w:lang w:eastAsia="en-GB"/>
          </w:rPr>
          <w:t>EP2012</w:t>
        </w:r>
      </w:hyperlink>
      <w:r w:rsidRPr="008500C8">
        <w:rPr>
          <w:rFonts w:ascii="Times New Roman" w:eastAsia="Times New Roman" w:hAnsi="Times New Roman" w:cs="Times New Roman"/>
          <w:color w:val="212529"/>
          <w:sz w:val="24"/>
          <w:szCs w:val="24"/>
          <w:lang w:eastAsia="en-GB"/>
        </w:rPr>
        <w:t>, as I believe that although the mitigation measures stated within the EP2012 are important to emergency planning, The ERR2013 has equal importance for responding organisations to have firm clarity of the structure and steps in response and recovery, which will lead to a beneficial impact on reducing the time in which an incident is dealt with or/and the term of time it requires to fully recover from the incident.</w:t>
      </w:r>
    </w:p>
    <w:p w14:paraId="2F27950D"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Other available guidance which are key reading areas for responders include (</w:t>
      </w:r>
      <w:hyperlink w:anchor="_Office_C,_(Updated2013)" w:history="1">
        <w:r w:rsidRPr="008500C8">
          <w:rPr>
            <w:rFonts w:ascii="Times New Roman" w:eastAsia="Times New Roman" w:hAnsi="Times New Roman" w:cs="Times New Roman"/>
            <w:color w:val="0563C1" w:themeColor="hyperlink"/>
            <w:sz w:val="24"/>
            <w:szCs w:val="24"/>
            <w:u w:val="single"/>
            <w:lang w:eastAsia="en-GB"/>
          </w:rPr>
          <w:t>Expectations and indicators of good practice set for category 1 and 2 responders, 2013, Cabinet Office)</w:t>
        </w:r>
      </w:hyperlink>
      <w:r w:rsidRPr="008500C8">
        <w:rPr>
          <w:rFonts w:ascii="Times New Roman" w:eastAsia="Times New Roman" w:hAnsi="Times New Roman" w:cs="Times New Roman"/>
          <w:color w:val="212529"/>
          <w:sz w:val="24"/>
          <w:szCs w:val="24"/>
          <w:lang w:eastAsia="en-GB"/>
        </w:rPr>
        <w:t xml:space="preserve"> and (Preparation and planning for emergencies, 2018, Cabinet Office).</w:t>
      </w:r>
    </w:p>
    <w:p w14:paraId="1C8DEEC3"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Essential to promoting greater resilience and preparedness is the opportunity to review the reports resultant from public enquiries into more high profile incidents. This enables practitioners to formulate, test and exercise their plans, profiting from the benefit of the ‘hindsight’ and experience of others. This was evidenced by the Tier 1 exercise, ‘Oyster Catcher’ which took place a year after 7</w:t>
      </w:r>
      <w:r w:rsidRPr="008500C8">
        <w:rPr>
          <w:rFonts w:ascii="Times New Roman" w:eastAsia="Times New Roman" w:hAnsi="Times New Roman" w:cs="Times New Roman"/>
          <w:color w:val="212529"/>
          <w:sz w:val="24"/>
          <w:szCs w:val="24"/>
          <w:vertAlign w:val="superscript"/>
          <w:lang w:eastAsia="en-GB"/>
        </w:rPr>
        <w:t>th</w:t>
      </w:r>
      <w:r w:rsidRPr="008500C8">
        <w:rPr>
          <w:rFonts w:ascii="Times New Roman" w:eastAsia="Times New Roman" w:hAnsi="Times New Roman" w:cs="Times New Roman"/>
          <w:color w:val="212529"/>
          <w:sz w:val="24"/>
          <w:szCs w:val="24"/>
          <w:lang w:eastAsia="en-GB"/>
        </w:rPr>
        <w:t xml:space="preserve"> July 2005 London bombings simulating a simultaneous terrorist attack over differing locations.</w:t>
      </w:r>
    </w:p>
    <w:p w14:paraId="0C0D7CEB"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Although I believe the initial the implementation of the Act and creating a singular strategic framework was the direction to go in 2004, I feel more consideration could have been made to the differences in governance or the variability of emergency responders in regions during that time. </w:t>
      </w:r>
    </w:p>
    <w:p w14:paraId="7C7E012F"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Whilst the Scottish Government anticipated that they would require additional powers under the Act for the Scottish Government Resilience Room (</w:t>
      </w:r>
      <w:proofErr w:type="spellStart"/>
      <w:r w:rsidRPr="008500C8">
        <w:rPr>
          <w:rFonts w:ascii="Times New Roman" w:eastAsia="Times New Roman" w:hAnsi="Times New Roman" w:cs="Times New Roman"/>
          <w:color w:val="212529"/>
          <w:sz w:val="24"/>
          <w:szCs w:val="24"/>
          <w:lang w:eastAsia="en-GB"/>
        </w:rPr>
        <w:t>SGoRR</w:t>
      </w:r>
      <w:proofErr w:type="spellEnd"/>
      <w:r w:rsidRPr="008500C8">
        <w:rPr>
          <w:rFonts w:ascii="Times New Roman" w:eastAsia="Times New Roman" w:hAnsi="Times New Roman" w:cs="Times New Roman"/>
          <w:color w:val="212529"/>
          <w:sz w:val="24"/>
          <w:szCs w:val="24"/>
          <w:lang w:eastAsia="en-GB"/>
        </w:rPr>
        <w:t xml:space="preserve">) to apply regional based preparedness to civil protection, the WG never anticipated that the initiation of the CCA 2004 would result in any release of significant local powers. Although, the Act did bring in a more consistent approach to emergency management across the whole of the UK, the Welsh Government (WG) felt they had received limited levels of power to support civil protection within Wales and the Act proved not to be fully compatible to the devolved ‘body corporate administrations of WG, creating a confusing and dissimilar basis to how preparedness, response and recovery was structured within by its responders. Contradictory, I feel Wales applied the levels required from a newer approach efficiently but it was clear that the CCA, needed a review at a regional level. </w:t>
      </w:r>
    </w:p>
    <w:p w14:paraId="090062A9" w14:textId="77777777"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 (</w:t>
      </w:r>
      <w:hyperlink w:anchor="_Wales_Audit_Office" w:history="1">
        <w:r w:rsidRPr="00E92D12">
          <w:rPr>
            <w:rStyle w:val="Hyperlink"/>
            <w:rFonts w:ascii="Times New Roman" w:eastAsia="Times New Roman" w:hAnsi="Times New Roman" w:cs="Times New Roman"/>
            <w:sz w:val="24"/>
            <w:szCs w:val="24"/>
            <w:lang w:eastAsia="en-GB"/>
          </w:rPr>
          <w:t>Civil Contingencies in Wales, 2012, Wales Audit Office. pp 4</w:t>
        </w:r>
      </w:hyperlink>
      <w:r w:rsidRPr="008500C8">
        <w:rPr>
          <w:rFonts w:ascii="Times New Roman" w:eastAsia="Times New Roman" w:hAnsi="Times New Roman" w:cs="Times New Roman"/>
          <w:color w:val="212529"/>
          <w:sz w:val="24"/>
          <w:szCs w:val="24"/>
          <w:lang w:eastAsia="en-GB"/>
        </w:rPr>
        <w:t xml:space="preserve">) quotes in regard to the CCA: “arrangements to deliver the civil contingencies Act 2004 work well but the role of welsh government is unclear” also, “limited information about the resources it dedicates to ensuring resilience” and “approaches taken by category 1 responders…are inconsistent and responders are not effectively monitoring their activities”.  </w:t>
      </w:r>
    </w:p>
    <w:p w14:paraId="6ED5A729"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A (</w:t>
      </w:r>
      <w:r w:rsidRPr="006543F0">
        <w:rPr>
          <w:rFonts w:ascii="Times New Roman" w:eastAsia="Times New Roman" w:hAnsi="Times New Roman" w:cs="Times New Roman"/>
          <w:sz w:val="24"/>
          <w:szCs w:val="24"/>
          <w:lang w:eastAsia="en-GB"/>
        </w:rPr>
        <w:t>Writte</w:t>
      </w:r>
      <w:r w:rsidR="006543F0">
        <w:rPr>
          <w:rFonts w:ascii="Times New Roman" w:eastAsia="Times New Roman" w:hAnsi="Times New Roman" w:cs="Times New Roman"/>
          <w:sz w:val="24"/>
          <w:szCs w:val="24"/>
          <w:lang w:eastAsia="en-GB"/>
        </w:rPr>
        <w:t>n statement, Cabinet Office 2018</w:t>
      </w:r>
      <w:r w:rsidRPr="008500C8">
        <w:rPr>
          <w:rFonts w:ascii="Times New Roman" w:eastAsia="Times New Roman" w:hAnsi="Times New Roman" w:cs="Times New Roman"/>
          <w:sz w:val="24"/>
          <w:szCs w:val="24"/>
          <w:lang w:eastAsia="en-GB"/>
        </w:rPr>
        <w:t xml:space="preserve">) by First Minister Carwyn Jones quotes “There are compelling arguments at this time for Welsh Government to exercise greater devolved responsibility over civil contingencies in Wales” and “...It is more important than ever that Welsh Ministers have appropriate powers to shape how Wales prepares itself for these risk”. A solution was to be found through the Welsh Ministers Transfer of Functions 2018 which came into </w:t>
      </w:r>
      <w:r w:rsidR="006543F0">
        <w:rPr>
          <w:rFonts w:ascii="Times New Roman" w:eastAsia="Times New Roman" w:hAnsi="Times New Roman" w:cs="Times New Roman"/>
          <w:sz w:val="24"/>
          <w:szCs w:val="24"/>
          <w:lang w:eastAsia="en-GB"/>
        </w:rPr>
        <w:t>force on 24 May 2018.  The (</w:t>
      </w:r>
      <w:hyperlink w:anchor="_Office,_C._Civil" w:history="1">
        <w:r w:rsidR="006543F0" w:rsidRPr="006543F0">
          <w:rPr>
            <w:rStyle w:val="Hyperlink"/>
            <w:rFonts w:ascii="Times New Roman" w:eastAsia="Times New Roman" w:hAnsi="Times New Roman" w:cs="Times New Roman"/>
            <w:sz w:val="24"/>
            <w:szCs w:val="24"/>
            <w:lang w:eastAsia="en-GB"/>
          </w:rPr>
          <w:t>CCA</w:t>
        </w:r>
      </w:hyperlink>
      <w:r w:rsidRPr="008500C8">
        <w:rPr>
          <w:rFonts w:ascii="Times New Roman" w:eastAsia="Times New Roman" w:hAnsi="Times New Roman" w:cs="Times New Roman"/>
          <w:sz w:val="24"/>
          <w:szCs w:val="24"/>
          <w:lang w:eastAsia="en-GB"/>
        </w:rPr>
        <w:t xml:space="preserve">) was updated in 2019 with the additional sections 8A, 11A, 14B, 15B to reflect the </w:t>
      </w:r>
      <w:r w:rsidR="006543F0">
        <w:rPr>
          <w:rFonts w:ascii="Times New Roman" w:eastAsia="Times New Roman" w:hAnsi="Times New Roman" w:cs="Times New Roman"/>
          <w:sz w:val="24"/>
          <w:szCs w:val="24"/>
          <w:lang w:eastAsia="en-GB"/>
        </w:rPr>
        <w:t>(</w:t>
      </w:r>
      <w:hyperlink w:anchor="_Office,_C._(no_2" w:history="1">
        <w:r w:rsidRPr="006543F0">
          <w:rPr>
            <w:rStyle w:val="Hyperlink"/>
            <w:rFonts w:ascii="Times New Roman" w:eastAsia="Times New Roman" w:hAnsi="Times New Roman" w:cs="Times New Roman"/>
            <w:sz w:val="24"/>
            <w:szCs w:val="24"/>
            <w:lang w:eastAsia="en-GB"/>
          </w:rPr>
          <w:t>Tran</w:t>
        </w:r>
        <w:r w:rsidR="006543F0" w:rsidRPr="006543F0">
          <w:rPr>
            <w:rStyle w:val="Hyperlink"/>
            <w:rFonts w:ascii="Times New Roman" w:eastAsia="Times New Roman" w:hAnsi="Times New Roman" w:cs="Times New Roman"/>
            <w:sz w:val="24"/>
            <w:szCs w:val="24"/>
            <w:lang w:eastAsia="en-GB"/>
          </w:rPr>
          <w:t>sfer of Functions Order in 2018</w:t>
        </w:r>
      </w:hyperlink>
      <w:r w:rsidR="006543F0">
        <w:rPr>
          <w:rFonts w:ascii="Times New Roman" w:eastAsia="Times New Roman" w:hAnsi="Times New Roman" w:cs="Times New Roman"/>
          <w:sz w:val="24"/>
          <w:szCs w:val="24"/>
          <w:lang w:eastAsia="en-GB"/>
        </w:rPr>
        <w:t>).</w:t>
      </w:r>
    </w:p>
    <w:p w14:paraId="157AD1D3"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sz w:val="24"/>
          <w:szCs w:val="24"/>
          <w:lang w:eastAsia="en-GB"/>
        </w:rPr>
        <w:t xml:space="preserve">The Transfer of Functions 2018, enabled the (WG)’s Welsh Ministers to now issue regulations and policies in relation to the CCA, allowing for more appropriate region based guidance to be developed for Wales in regard to preparedness, response and recovery. </w:t>
      </w:r>
      <w:r w:rsidRPr="008500C8">
        <w:rPr>
          <w:rFonts w:ascii="Times New Roman" w:eastAsia="Times New Roman" w:hAnsi="Times New Roman" w:cs="Times New Roman"/>
          <w:color w:val="212529"/>
          <w:sz w:val="24"/>
          <w:szCs w:val="24"/>
          <w:lang w:eastAsia="en-GB"/>
        </w:rPr>
        <w:t>Additional powers also now meant that the Welsh Government could now undertake compliance monitoring across Wales, which would provide assurances that responders are competent and ready to respond to incidents.</w:t>
      </w:r>
    </w:p>
    <w:p w14:paraId="23D03DEE"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w:t>
      </w:r>
      <w:hyperlink w:anchor="_Cabinet_Statement,_Carwyn_1" w:history="1">
        <w:r w:rsidRPr="006543F0">
          <w:rPr>
            <w:rStyle w:val="Hyperlink"/>
            <w:rFonts w:ascii="Times New Roman" w:eastAsia="Times New Roman" w:hAnsi="Times New Roman" w:cs="Times New Roman"/>
            <w:sz w:val="24"/>
            <w:szCs w:val="24"/>
            <w:lang w:eastAsia="en-GB"/>
          </w:rPr>
          <w:t>Written statement, Cabinet Offi</w:t>
        </w:r>
        <w:r w:rsidR="006543F0" w:rsidRPr="006543F0">
          <w:rPr>
            <w:rStyle w:val="Hyperlink"/>
            <w:rFonts w:ascii="Times New Roman" w:eastAsia="Times New Roman" w:hAnsi="Times New Roman" w:cs="Times New Roman"/>
            <w:sz w:val="24"/>
            <w:szCs w:val="24"/>
            <w:lang w:eastAsia="en-GB"/>
          </w:rPr>
          <w:t>ce 2018</w:t>
        </w:r>
      </w:hyperlink>
      <w:r w:rsidRPr="008500C8">
        <w:rPr>
          <w:rFonts w:ascii="Times New Roman" w:eastAsia="Times New Roman" w:hAnsi="Times New Roman" w:cs="Times New Roman"/>
          <w:color w:val="212529"/>
          <w:sz w:val="24"/>
          <w:szCs w:val="24"/>
          <w:lang w:eastAsia="en-GB"/>
        </w:rPr>
        <w:t>) quotes</w:t>
      </w:r>
    </w:p>
    <w:p w14:paraId="06E4A8BC"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 “This transfer creates an opportunity to provide a less ambiguous constitutional platform from which to develop preparedness across all agencies and so strengthen resilience against the growing risks”</w:t>
      </w:r>
    </w:p>
    <w:p w14:paraId="0D29DC89"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Although I agree with the above statement to a degree, it did allow a more resilient and co-ordinated response protocols to emergencies as Wales could now respond to emergencies at a localised level and have support and direction through the through the four Strategic Co-ordinating groups (North Wales, South Wales, Gwent and Dyfed Powys), it has been difficult to evidence that Wales has fully taken advantage of the additional powers provided to them , I could not note any of the  policies or procedures that Welsh Government have been developing have reached any progression in regard to creating a more regional based preparedness response to emergencies at a practitioners level, nor has there been any updated audit of Wales Civil Contingencies compliance since 2012.</w:t>
      </w:r>
    </w:p>
    <w:p w14:paraId="19FE3C01"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lastRenderedPageBreak/>
        <w:t>I also could not evidence any monitoring or auditing issued by Welsh Government to this time, which I feel may need further reflection on if this is perhaps the ‘best practice’ going forward. Within my own team, we would welcome an internal audit, which I believe would be the thoughts across the board, to show the Government a full picture of the hard work Emergency Planners undertake within Wales, or allow for improvements required to fully integrate a “devolved” functioning CCA within Wales</w:t>
      </w:r>
    </w:p>
    <w:p w14:paraId="4950A9BC"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No doubt the progression of the process has been detrimentally affected by the onset of the Covid pandemic, however, ‘we’ have A REAL LIFE situation that pushed everyone to their limits to draw upon and learn from. To that end it would make sense to revitalize and stimulate the processes required to ensure that our country has a coherent and proportionate response to all the threats and risks faced. </w:t>
      </w:r>
    </w:p>
    <w:p w14:paraId="368C740E"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sz w:val="24"/>
          <w:szCs w:val="24"/>
          <w:lang w:eastAsia="en-GB"/>
        </w:rPr>
      </w:pPr>
      <w:r w:rsidRPr="008500C8">
        <w:rPr>
          <w:rFonts w:ascii="Times New Roman" w:eastAsia="Times New Roman" w:hAnsi="Times New Roman" w:cs="Times New Roman"/>
          <w:sz w:val="24"/>
          <w:szCs w:val="24"/>
          <w:lang w:eastAsia="en-GB"/>
        </w:rPr>
        <w:t xml:space="preserve">This leads to the question if Civil Protection within Wales, may benefit from the integration of WG being included in the categorisation within the CCA, meaning a clearer understanding what is required from our practitioners within our region, resulting in a possible review of available guidance, but also allowing for better communication channels between our LRF’s SCG’s and WG.  </w:t>
      </w:r>
    </w:p>
    <w:p w14:paraId="454CFFFF"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In my opinion, the Transfer of Functions 2018 was an immense step in the right direction for Wales and there is now the opportunity for Wales to take this further.</w:t>
      </w:r>
    </w:p>
    <w:p w14:paraId="3605BB58"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What must not be overlooked is the impact upon our first responders. This can be noted from within the [</w:t>
      </w:r>
      <w:hyperlink w:anchor="_Kerslake_report_(2017)" w:history="1">
        <w:r w:rsidRPr="006543F0">
          <w:rPr>
            <w:rStyle w:val="Hyperlink"/>
            <w:rFonts w:ascii="Times New Roman" w:eastAsia="Times New Roman" w:hAnsi="Times New Roman" w:cs="Times New Roman"/>
            <w:sz w:val="24"/>
            <w:szCs w:val="24"/>
            <w:lang w:eastAsia="en-GB"/>
          </w:rPr>
          <w:t>Kerslake report 2017</w:t>
        </w:r>
      </w:hyperlink>
      <w:r w:rsidRPr="008500C8">
        <w:rPr>
          <w:rFonts w:ascii="Times New Roman" w:eastAsia="Times New Roman" w:hAnsi="Times New Roman" w:cs="Times New Roman"/>
          <w:color w:val="212529"/>
          <w:sz w:val="24"/>
          <w:szCs w:val="24"/>
          <w:lang w:eastAsia="en-GB"/>
        </w:rPr>
        <w:t xml:space="preserve">], which rightly notes various sections on supporting those directly affected and family of the </w:t>
      </w:r>
      <w:r>
        <w:rPr>
          <w:rFonts w:ascii="Times New Roman" w:eastAsia="Times New Roman" w:hAnsi="Times New Roman" w:cs="Times New Roman"/>
          <w:color w:val="212529"/>
          <w:sz w:val="24"/>
          <w:szCs w:val="24"/>
          <w:lang w:eastAsia="en-GB"/>
        </w:rPr>
        <w:t xml:space="preserve">victims of the </w:t>
      </w:r>
      <w:r w:rsidRPr="008500C8">
        <w:rPr>
          <w:rFonts w:ascii="Times New Roman" w:eastAsia="Times New Roman" w:hAnsi="Times New Roman" w:cs="Times New Roman"/>
          <w:color w:val="212529"/>
          <w:sz w:val="24"/>
          <w:szCs w:val="24"/>
          <w:lang w:eastAsia="en-GB"/>
        </w:rPr>
        <w:t>Manchester Bombing attack 2017 attack, but has little to no information on the support available to those responders who attended the incident.  Responders not only are they in reality subject to long working hours with, not unusually, little in the provision of welfare at the time, but they are also subject to horrific sights, sounds and smells, which will have a detrimental effect on their mental well-being , maybe not  at the time of the incident but over the coming future. These incidents can have profound detrimental effects not only on them, but their families as well.  The way in which we manage these issues has bettered over time and from our learning experiences with regards to such incidents. I still believe further can be done to support the mental health and resilience of our responders. Within my own team, we understand the importance of a resilience force, whether that be through mind or body. My management team support our health and wellbeing by offering 1:1 meetings where we can express any concern and worries and our team supports one other during an incident, so the duty officer can take frequent breaks if required, allowing us to be more robust in our response.</w:t>
      </w:r>
    </w:p>
    <w:p w14:paraId="14F0F36A" w14:textId="77777777" w:rsidR="008500C8"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Furthermore,</w:t>
      </w:r>
      <w:r w:rsidRPr="008500C8">
        <w:rPr>
          <w:rFonts w:ascii="Times New Roman" w:eastAsia="Times New Roman" w:hAnsi="Times New Roman" w:cs="Times New Roman"/>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although, our objectives are always to save lives and reduce harm by preparedness and response to an incident, further consideration is required around ‘the reduce harm’ aspect. </w:t>
      </w:r>
    </w:p>
    <w:p w14:paraId="7AB6F82E" w14:textId="77777777" w:rsidR="00984B5E" w:rsidRPr="008500C8" w:rsidRDefault="008500C8"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My belief is that more training and understanding is required towards the human response to victims &amp; casualties of an incident. With a wider understanding of the mental trauma experienced by not only the victim but the responder, the way in which both re-live those experiences can be affe</w:t>
      </w:r>
      <w:r>
        <w:rPr>
          <w:rFonts w:ascii="Times New Roman" w:eastAsia="Times New Roman" w:hAnsi="Times New Roman" w:cs="Times New Roman"/>
          <w:color w:val="212529"/>
          <w:sz w:val="24"/>
          <w:szCs w:val="24"/>
          <w:lang w:eastAsia="en-GB"/>
        </w:rPr>
        <w:t>cted in a more positive manner.</w:t>
      </w:r>
    </w:p>
    <w:p w14:paraId="585BF246" w14:textId="77777777" w:rsidR="008500C8" w:rsidRDefault="008500C8" w:rsidP="00F86AE7">
      <w:pPr>
        <w:pStyle w:val="NormalWeb"/>
        <w:rPr>
          <w:color w:val="212529"/>
        </w:rPr>
      </w:pPr>
    </w:p>
    <w:p w14:paraId="5A6A411E" w14:textId="77777777" w:rsidR="00AE1F91" w:rsidRPr="008500C8" w:rsidRDefault="00AE1F91" w:rsidP="00F86AE7">
      <w:pPr>
        <w:pStyle w:val="NormalWeb"/>
        <w:rPr>
          <w:b/>
          <w:color w:val="212529"/>
          <w:sz w:val="28"/>
          <w:u w:val="single"/>
        </w:rPr>
      </w:pPr>
      <w:r w:rsidRPr="008500C8">
        <w:rPr>
          <w:b/>
          <w:color w:val="212529"/>
          <w:sz w:val="28"/>
          <w:u w:val="single"/>
        </w:rPr>
        <w:lastRenderedPageBreak/>
        <w:t>References</w:t>
      </w:r>
    </w:p>
    <w:p w14:paraId="395105FF" w14:textId="77777777" w:rsidR="00984B5E" w:rsidRDefault="00984B5E" w:rsidP="00984B5E">
      <w:pPr>
        <w:pStyle w:val="Heading2"/>
      </w:pPr>
      <w:bookmarkStart w:id="0" w:name="_Cabinet_Statement,_Carwyn_1"/>
      <w:bookmarkEnd w:id="0"/>
      <w:r>
        <w:t xml:space="preserve">Cabinet Statement, Carwyn Jones First Minister (2018) Written Statement-The Transfer of Executive Functions under Part 1 of the Civil Contingencies Act 2004. </w:t>
      </w:r>
      <w:r w:rsidRPr="007428EE">
        <w:t xml:space="preserve">Accessed 20/10/2023 </w:t>
      </w:r>
      <w:r>
        <w:t>Available at:</w:t>
      </w:r>
      <w:r w:rsidR="00991486" w:rsidRPr="00991486">
        <w:t xml:space="preserve"> </w:t>
      </w:r>
      <w:hyperlink r:id="rId9" w:history="1">
        <w:r w:rsidR="00991486" w:rsidRPr="00991486">
          <w:rPr>
            <w:rStyle w:val="Hyperlink"/>
          </w:rPr>
          <w:t>https://www.gov.wales/written-statement-transfer-executive-functions-under-part-1-civil-contingencies-act-2004</w:t>
        </w:r>
      </w:hyperlink>
    </w:p>
    <w:p w14:paraId="745FE944" w14:textId="77777777" w:rsidR="00984B5E" w:rsidRPr="00984B5E" w:rsidRDefault="00984B5E" w:rsidP="00984B5E"/>
    <w:p w14:paraId="1E84C98B" w14:textId="77777777" w:rsidR="00984B5E" w:rsidRDefault="00984B5E" w:rsidP="00984B5E">
      <w:pPr>
        <w:pStyle w:val="Heading2"/>
      </w:pPr>
      <w:bookmarkStart w:id="1" w:name="_College_of_Policing_1"/>
      <w:bookmarkEnd w:id="1"/>
      <w:r>
        <w:t xml:space="preserve">College of Policing (no date) </w:t>
      </w:r>
      <w:r>
        <w:rPr>
          <w:i/>
          <w:iCs/>
        </w:rPr>
        <w:t>Introduction and types of critical incidents</w:t>
      </w:r>
      <w:r>
        <w:t xml:space="preserve">, </w:t>
      </w:r>
      <w:r>
        <w:rPr>
          <w:i/>
          <w:iCs/>
        </w:rPr>
        <w:t>College of Policing</w:t>
      </w:r>
      <w:r>
        <w:t xml:space="preserve">. </w:t>
      </w:r>
      <w:r w:rsidRPr="007428EE">
        <w:t xml:space="preserve">Accessed 20/10/2023 </w:t>
      </w:r>
      <w:r>
        <w:t xml:space="preserve">.Available at: </w:t>
      </w:r>
      <w:hyperlink r:id="rId10" w:history="1">
        <w:r w:rsidR="00871A2A" w:rsidRPr="00871A2A">
          <w:rPr>
            <w:rStyle w:val="Hyperlink"/>
          </w:rPr>
          <w:t xml:space="preserve">https://www.college.police.uk/app/critical-incident-management/introduction-and-types-critical-incidents#:~:text=A%20critical%20incident%20(CI)%20is,family%20and%2For%20the%20community. </w:t>
        </w:r>
      </w:hyperlink>
      <w:r w:rsidR="00871A2A" w:rsidRPr="00871A2A">
        <w:t xml:space="preserve"> </w:t>
      </w:r>
    </w:p>
    <w:p w14:paraId="6734AC71" w14:textId="77777777" w:rsidR="00984B5E" w:rsidRPr="00984B5E" w:rsidRDefault="00984B5E" w:rsidP="00984B5E"/>
    <w:p w14:paraId="6AC847CF" w14:textId="77777777" w:rsidR="00984B5E" w:rsidRDefault="00984B5E" w:rsidP="00984B5E">
      <w:pPr>
        <w:pStyle w:val="Heading2"/>
      </w:pPr>
      <w:r>
        <w:t xml:space="preserve">Dillon, B. (2014) ‘Integrated Emergency Planning’ in Blackstone’s emergency planning, crisis and disaster management. </w:t>
      </w:r>
      <w:r w:rsidRPr="00085F66">
        <w:t>Oxford University Press, pp 37.</w:t>
      </w:r>
    </w:p>
    <w:p w14:paraId="2077CB75" w14:textId="77777777" w:rsidR="00984B5E" w:rsidRPr="00984B5E" w:rsidRDefault="00984B5E" w:rsidP="00984B5E"/>
    <w:p w14:paraId="2EC519B4" w14:textId="77777777" w:rsidR="00AE1F91" w:rsidRDefault="00AE1F91" w:rsidP="00AE1F91">
      <w:pPr>
        <w:pStyle w:val="Heading2"/>
      </w:pPr>
      <w:bookmarkStart w:id="2" w:name="_Dillon,_B._(2014)"/>
      <w:bookmarkEnd w:id="2"/>
      <w:r>
        <w:t xml:space="preserve">Dillon, B. (2014) ‘Sub-national and national planning’, in </w:t>
      </w:r>
      <w:r>
        <w:rPr>
          <w:i/>
          <w:iCs/>
        </w:rPr>
        <w:t>Blackstone’s emergency planning, crisis and disaster management</w:t>
      </w:r>
      <w:r>
        <w:t xml:space="preserve">. Oxford University Press, pp. 51–51. </w:t>
      </w:r>
    </w:p>
    <w:p w14:paraId="5A77CBD5" w14:textId="77777777" w:rsidR="00A426F1" w:rsidRDefault="00A426F1" w:rsidP="00A426F1"/>
    <w:p w14:paraId="40D3821F" w14:textId="77777777" w:rsidR="00A426F1" w:rsidRPr="00A426F1" w:rsidRDefault="00A426F1" w:rsidP="00A426F1">
      <w:pPr>
        <w:pStyle w:val="Heading2"/>
      </w:pPr>
      <w:bookmarkStart w:id="3" w:name="_Kerslake_report_(2017)"/>
      <w:bookmarkEnd w:id="3"/>
      <w:r>
        <w:t xml:space="preserve">Kerslake report (2017) </w:t>
      </w:r>
      <w:r w:rsidRPr="00A426F1">
        <w:t>An independent review into the preparedness for, and emergency response to, the Manchester Arena attack on 22nd May 2017</w:t>
      </w:r>
      <w:r>
        <w:t xml:space="preserve">. Accessed 05/12/2023. Available at: </w:t>
      </w:r>
      <w:hyperlink r:id="rId11" w:history="1">
        <w:r>
          <w:rPr>
            <w:rStyle w:val="Hyperlink"/>
          </w:rPr>
          <w:t>https://allcatsrgrey.org.uk/wp/download/governance/kerslake_arena_review_printed_final.pdf</w:t>
        </w:r>
      </w:hyperlink>
    </w:p>
    <w:p w14:paraId="0D33ADA4" w14:textId="77777777" w:rsidR="00085F66" w:rsidRDefault="00085F66" w:rsidP="00085F66"/>
    <w:p w14:paraId="12991FE8" w14:textId="77777777" w:rsidR="00984B5E" w:rsidRDefault="00984B5E" w:rsidP="00984B5E">
      <w:pPr>
        <w:pStyle w:val="Heading2"/>
      </w:pPr>
      <w:bookmarkStart w:id="4" w:name="_HSE,_(2015)_Control_1"/>
      <w:bookmarkEnd w:id="4"/>
      <w:r>
        <w:t xml:space="preserve">HSE, (2015) Control </w:t>
      </w:r>
      <w:proofErr w:type="gramStart"/>
      <w:r>
        <w:t>Of</w:t>
      </w:r>
      <w:proofErr w:type="gramEnd"/>
      <w:r>
        <w:t xml:space="preserve"> Major Accident Hazards Regulations 2015 (COMAH). </w:t>
      </w:r>
      <w:r w:rsidRPr="007428EE">
        <w:t xml:space="preserve">Accessed 20/10/2023 </w:t>
      </w:r>
      <w:r>
        <w:t>.Available at:</w:t>
      </w:r>
    </w:p>
    <w:p w14:paraId="1769CB05" w14:textId="77777777" w:rsidR="00984B5E" w:rsidRDefault="00F2471D" w:rsidP="00984B5E">
      <w:pPr>
        <w:pStyle w:val="Heading2"/>
      </w:pPr>
      <w:hyperlink r:id="rId12" w:anchor="what" w:history="1">
        <w:r w:rsidR="00984B5E" w:rsidRPr="006779C4">
          <w:rPr>
            <w:rStyle w:val="Hyperlink"/>
          </w:rPr>
          <w:t>https://www.hse.gov.uk/comah/background/comah15.htm#what</w:t>
        </w:r>
      </w:hyperlink>
    </w:p>
    <w:p w14:paraId="509E3A16" w14:textId="77777777" w:rsidR="00984B5E" w:rsidRDefault="00984B5E" w:rsidP="00085F66"/>
    <w:p w14:paraId="61272B77" w14:textId="77777777" w:rsidR="00984B5E" w:rsidRDefault="00984B5E" w:rsidP="00984B5E">
      <w:pPr>
        <w:pStyle w:val="Heading2"/>
      </w:pPr>
      <w:bookmarkStart w:id="5" w:name="_Dillon,_B._(2014)_1"/>
      <w:bookmarkStart w:id="6" w:name="_JESIP,_(2021)_JOINT"/>
      <w:bookmarkEnd w:id="5"/>
      <w:bookmarkEnd w:id="6"/>
      <w:r>
        <w:t>JESIP, (2021) JOINT DOCTRINE: The Interoperability Framework. Edition 3. Accessed 20/10/2023 Available at:</w:t>
      </w:r>
    </w:p>
    <w:bookmarkStart w:id="7" w:name="_https://www.jesip.org.uk/downloads/"/>
    <w:bookmarkEnd w:id="7"/>
    <w:p w14:paraId="36BB6D64" w14:textId="77777777" w:rsidR="00984B5E" w:rsidRDefault="00984B5E" w:rsidP="00984B5E">
      <w:pPr>
        <w:pStyle w:val="Heading2"/>
      </w:pPr>
      <w:r>
        <w:fldChar w:fldCharType="begin"/>
      </w:r>
      <w:r>
        <w:instrText xml:space="preserve"> HYPERLINK "</w:instrText>
      </w:r>
      <w:r w:rsidRPr="005B0CE9">
        <w:instrText>https://www.jesip.org.uk/downloads/joint-doctrine-guide/</w:instrText>
      </w:r>
      <w:r>
        <w:instrText xml:space="preserve">" </w:instrText>
      </w:r>
      <w:r>
        <w:fldChar w:fldCharType="separate"/>
      </w:r>
      <w:r w:rsidRPr="006779C4">
        <w:rPr>
          <w:rStyle w:val="Hyperlink"/>
        </w:rPr>
        <w:t>https://www.jesip.org.uk/downloads/joint-doctrine-guide/</w:t>
      </w:r>
      <w:r>
        <w:fldChar w:fldCharType="end"/>
      </w:r>
    </w:p>
    <w:p w14:paraId="4F606427" w14:textId="77777777" w:rsidR="00984B5E" w:rsidRDefault="00984B5E" w:rsidP="00984B5E"/>
    <w:p w14:paraId="3FEF094E" w14:textId="77777777" w:rsidR="00984B5E" w:rsidRDefault="00984B5E" w:rsidP="00984B5E">
      <w:pPr>
        <w:pStyle w:val="Heading2"/>
      </w:pPr>
      <w:bookmarkStart w:id="8" w:name="_JESIP,_Principles_for"/>
      <w:bookmarkEnd w:id="8"/>
      <w:r>
        <w:t xml:space="preserve">JESIP, </w:t>
      </w:r>
      <w:r w:rsidRPr="007A541B">
        <w:t>Principles for Joint Working</w:t>
      </w:r>
      <w:r>
        <w:t>.</w:t>
      </w:r>
      <w:r w:rsidRPr="007428EE">
        <w:t xml:space="preserve"> </w:t>
      </w:r>
      <w:r>
        <w:t>Accessed 20/10/2023. Available at:</w:t>
      </w:r>
    </w:p>
    <w:bookmarkStart w:id="9" w:name="_https://www.jesip.org.uk/joint-doct"/>
    <w:bookmarkEnd w:id="9"/>
    <w:p w14:paraId="5044C6B5" w14:textId="77777777" w:rsidR="00984B5E" w:rsidRDefault="00984B5E" w:rsidP="00984B5E">
      <w:pPr>
        <w:pStyle w:val="Heading2"/>
      </w:pPr>
      <w:r>
        <w:fldChar w:fldCharType="begin"/>
      </w:r>
      <w:r>
        <w:instrText xml:space="preserve"> HYPERLINK "</w:instrText>
      </w:r>
      <w:r w:rsidRPr="007A541B">
        <w:instrText>https://www.jesip.org.uk/joint-doctrine/principles-for-joint-working/</w:instrText>
      </w:r>
      <w:r>
        <w:instrText xml:space="preserve">" </w:instrText>
      </w:r>
      <w:r>
        <w:fldChar w:fldCharType="separate"/>
      </w:r>
      <w:r w:rsidRPr="006779C4">
        <w:rPr>
          <w:rStyle w:val="Hyperlink"/>
        </w:rPr>
        <w:t>https://www.jesip.org.uk/joint-doctrine/principles-for-joint-working/</w:t>
      </w:r>
      <w:r>
        <w:fldChar w:fldCharType="end"/>
      </w:r>
    </w:p>
    <w:p w14:paraId="7987F1A1" w14:textId="77777777" w:rsidR="00984B5E" w:rsidRDefault="00984B5E" w:rsidP="00984B5E"/>
    <w:p w14:paraId="6F4DB28F" w14:textId="77777777" w:rsidR="00984B5E" w:rsidRDefault="00984B5E" w:rsidP="00984B5E">
      <w:pPr>
        <w:pStyle w:val="Heading2"/>
      </w:pPr>
      <w:bookmarkStart w:id="10" w:name="_Office_C_(2013)"/>
      <w:bookmarkEnd w:id="10"/>
      <w:r>
        <w:lastRenderedPageBreak/>
        <w:t xml:space="preserve">Office C (2013) </w:t>
      </w:r>
      <w:r w:rsidRPr="007A541B">
        <w:t xml:space="preserve">The role of Local Resilience Forums: A reference </w:t>
      </w:r>
      <w:r>
        <w:t>document.</w:t>
      </w:r>
      <w:r w:rsidRPr="007428EE">
        <w:t xml:space="preserve"> Accessed 20/10/</w:t>
      </w:r>
      <w:proofErr w:type="gramStart"/>
      <w:r w:rsidRPr="007428EE">
        <w:t xml:space="preserve">2023 </w:t>
      </w:r>
      <w:r>
        <w:t xml:space="preserve"> Available</w:t>
      </w:r>
      <w:proofErr w:type="gramEnd"/>
      <w:r>
        <w:t xml:space="preserve"> at:</w:t>
      </w:r>
    </w:p>
    <w:p w14:paraId="12C80892" w14:textId="77777777" w:rsidR="00984B5E" w:rsidRDefault="00F2471D" w:rsidP="00984B5E">
      <w:pPr>
        <w:pStyle w:val="Heading2"/>
      </w:pPr>
      <w:hyperlink r:id="rId13" w:history="1">
        <w:r w:rsidR="00984B5E" w:rsidRPr="006779C4">
          <w:rPr>
            <w:rStyle w:val="Hyperlink"/>
          </w:rPr>
          <w:t>https://assets.publishing.service.gov.uk/media/5a79ce28ed915d6b1deb379d/The_role_of_Local_Resilience_Forums-_A_reference_document_v2_July_2013.pdf</w:t>
        </w:r>
      </w:hyperlink>
    </w:p>
    <w:p w14:paraId="1EFD7CD1" w14:textId="77777777" w:rsidR="00984B5E" w:rsidRDefault="00984B5E" w:rsidP="00984B5E"/>
    <w:p w14:paraId="7DAA251B" w14:textId="77777777" w:rsidR="00984B5E" w:rsidRDefault="00984B5E" w:rsidP="00984B5E">
      <w:pPr>
        <w:pStyle w:val="Heading2"/>
      </w:pPr>
      <w:r>
        <w:t xml:space="preserve">Office C (Updated 2018) Preparation and Planning for emergencies. </w:t>
      </w:r>
      <w:r w:rsidRPr="007428EE">
        <w:t xml:space="preserve">Accessed 20/10/2023 </w:t>
      </w:r>
      <w:r>
        <w:t>Available at:</w:t>
      </w:r>
    </w:p>
    <w:p w14:paraId="035E6C15" w14:textId="77777777" w:rsidR="00984B5E" w:rsidRDefault="00F2471D" w:rsidP="00984B5E">
      <w:pPr>
        <w:pStyle w:val="Heading2"/>
      </w:pPr>
      <w:hyperlink r:id="rId14" w:history="1">
        <w:r w:rsidR="00984B5E" w:rsidRPr="006779C4">
          <w:rPr>
            <w:rStyle w:val="Hyperlink"/>
          </w:rPr>
          <w:t>https://www.gov.uk/guidance/preparation-and-planning-for-emergencies-the-capabilities-programme</w:t>
        </w:r>
      </w:hyperlink>
    </w:p>
    <w:p w14:paraId="58650B10" w14:textId="77777777" w:rsidR="00984B5E" w:rsidRPr="00984B5E" w:rsidRDefault="00984B5E" w:rsidP="00984B5E"/>
    <w:p w14:paraId="37664FD0" w14:textId="77777777" w:rsidR="00984B5E" w:rsidRPr="00605DBD" w:rsidRDefault="00984B5E" w:rsidP="00984B5E">
      <w:pPr>
        <w:pStyle w:val="Heading2"/>
      </w:pPr>
      <w:bookmarkStart w:id="11" w:name="_Office_C,_(2013)_2"/>
      <w:bookmarkEnd w:id="11"/>
      <w:r w:rsidRPr="00605DBD">
        <w:t>Office C, (2013) Emergency Response and Recovery.</w:t>
      </w:r>
      <w:r w:rsidRPr="007428EE">
        <w:t xml:space="preserve"> Accessed 20/10/</w:t>
      </w:r>
      <w:proofErr w:type="gramStart"/>
      <w:r w:rsidRPr="007428EE">
        <w:t xml:space="preserve">2023 </w:t>
      </w:r>
      <w:r w:rsidRPr="00605DBD">
        <w:t xml:space="preserve"> Available</w:t>
      </w:r>
      <w:proofErr w:type="gramEnd"/>
      <w:r w:rsidRPr="00605DBD">
        <w:t xml:space="preserve"> at:</w:t>
      </w:r>
      <w:r w:rsidR="00871A2A">
        <w:t xml:space="preserve"> </w:t>
      </w:r>
      <w:hyperlink r:id="rId15" w:history="1">
        <w:r w:rsidR="00871A2A" w:rsidRPr="00871A2A">
          <w:rPr>
            <w:rStyle w:val="Hyperlink"/>
          </w:rPr>
          <w:t>https://www.gov.uk/government/publications/emergency-response-and-recovery</w:t>
        </w:r>
      </w:hyperlink>
    </w:p>
    <w:p w14:paraId="6B10A0B9" w14:textId="77777777" w:rsidR="00984B5E" w:rsidRDefault="00984B5E" w:rsidP="00984B5E"/>
    <w:p w14:paraId="77F2C1F4" w14:textId="77777777" w:rsidR="00984B5E" w:rsidRDefault="00984B5E" w:rsidP="00984B5E">
      <w:pPr>
        <w:pStyle w:val="Heading2"/>
      </w:pPr>
      <w:bookmarkStart w:id="12" w:name="_Office_C,_(updated"/>
      <w:bookmarkEnd w:id="12"/>
      <w:r>
        <w:t>Office C, (updated 2014) Emergency Planning and preparedness: exercises and training. Accessed 20/10/2023. Available at:</w:t>
      </w:r>
    </w:p>
    <w:bookmarkStart w:id="13" w:name="_https://www.gov.uk/guidance/emergen"/>
    <w:bookmarkEnd w:id="13"/>
    <w:p w14:paraId="3707AB72" w14:textId="77777777" w:rsidR="00984B5E" w:rsidRDefault="00984B5E" w:rsidP="00984B5E">
      <w:pPr>
        <w:pStyle w:val="Heading2"/>
      </w:pPr>
      <w:r>
        <w:fldChar w:fldCharType="begin"/>
      </w:r>
      <w:r>
        <w:instrText xml:space="preserve"> HYPERLINK "</w:instrText>
      </w:r>
      <w:r w:rsidRPr="00C624B9">
        <w:instrText>https://www.gov.uk/guidance/emergency-planning-and-preparedness-exercises-and-training</w:instrText>
      </w:r>
      <w:r>
        <w:instrText xml:space="preserve">" </w:instrText>
      </w:r>
      <w:r>
        <w:fldChar w:fldCharType="separate"/>
      </w:r>
      <w:r w:rsidRPr="006779C4">
        <w:rPr>
          <w:rStyle w:val="Hyperlink"/>
        </w:rPr>
        <w:t>https://www.gov.uk/guidance/emergency-planning-and-preparedness-exercises-and-training</w:t>
      </w:r>
      <w:r>
        <w:fldChar w:fldCharType="end"/>
      </w:r>
    </w:p>
    <w:p w14:paraId="3C490D5B" w14:textId="77777777" w:rsidR="00984B5E" w:rsidRPr="00984B5E" w:rsidRDefault="00984B5E" w:rsidP="00984B5E"/>
    <w:p w14:paraId="599226D6" w14:textId="77777777" w:rsidR="00984B5E" w:rsidRDefault="00984B5E" w:rsidP="00984B5E">
      <w:pPr>
        <w:pStyle w:val="Heading2"/>
      </w:pPr>
      <w:bookmarkStart w:id="14" w:name="_Office_C,_(Updated2013)"/>
      <w:bookmarkEnd w:id="14"/>
      <w:r>
        <w:t xml:space="preserve">Office C, (Updated2013) Expectations and Indicators of Good Practice Set for Category 1 and 2 Responders. </w:t>
      </w:r>
      <w:r w:rsidRPr="007428EE">
        <w:t xml:space="preserve">Accessed 20/10/2023 </w:t>
      </w:r>
      <w:r>
        <w:t>.Available at:</w:t>
      </w:r>
    </w:p>
    <w:p w14:paraId="56E8C438" w14:textId="77777777" w:rsidR="00984B5E" w:rsidRDefault="00F2471D" w:rsidP="00984B5E">
      <w:pPr>
        <w:pStyle w:val="Heading2"/>
      </w:pPr>
      <w:hyperlink r:id="rId16" w:history="1">
        <w:r w:rsidR="00984B5E" w:rsidRPr="006779C4">
          <w:rPr>
            <w:rStyle w:val="Hyperlink"/>
          </w:rPr>
          <w:t>https://assets.publishing.service.gov.uk/media/5a7c7728e5274a559005a0de/Expectation_and_Indicators_of_Good_Practice_Set_for_category_1_2_Responders.pdf</w:t>
        </w:r>
      </w:hyperlink>
    </w:p>
    <w:p w14:paraId="3ABC8870" w14:textId="77777777" w:rsidR="00AE1F91" w:rsidRDefault="00AE1F91" w:rsidP="00AE1F91"/>
    <w:p w14:paraId="6DCB0055" w14:textId="77777777" w:rsidR="00984B5E" w:rsidRDefault="00984B5E" w:rsidP="00984B5E">
      <w:pPr>
        <w:pStyle w:val="Heading2"/>
      </w:pPr>
      <w:bookmarkStart w:id="15" w:name="_Office,_C._(no_3"/>
      <w:bookmarkEnd w:id="15"/>
      <w:r>
        <w:t xml:space="preserve">Office, C. (no date a) </w:t>
      </w:r>
      <w:r>
        <w:rPr>
          <w:i/>
          <w:iCs/>
        </w:rPr>
        <w:t>The Civil Contingencies Act 2004 - 2022 Post-Implementation Review</w:t>
      </w:r>
      <w:r>
        <w:t xml:space="preserve">. rep. Cabinet Office. </w:t>
      </w:r>
      <w:r w:rsidRPr="007428EE">
        <w:t>Accessed 20/10/</w:t>
      </w:r>
      <w:proofErr w:type="gramStart"/>
      <w:r w:rsidRPr="007428EE">
        <w:t xml:space="preserve">2023 </w:t>
      </w:r>
      <w:r>
        <w:t>.</w:t>
      </w:r>
      <w:proofErr w:type="gramEnd"/>
      <w:r>
        <w:t xml:space="preserve"> Available at: </w:t>
      </w:r>
      <w:hyperlink r:id="rId17" w:history="1">
        <w:r w:rsidRPr="00871A2A">
          <w:rPr>
            <w:rStyle w:val="Hyperlink"/>
          </w:rPr>
          <w:t>https://assets.publishing.service.gov.uk/media/6283a1a6d3bf7f1f3ef4838d/cca-pir-2022.pdf</w:t>
        </w:r>
      </w:hyperlink>
      <w:r>
        <w:t xml:space="preserve"> </w:t>
      </w:r>
    </w:p>
    <w:p w14:paraId="1FD8C04E" w14:textId="77777777" w:rsidR="00984B5E" w:rsidRPr="00AE1F91" w:rsidRDefault="00984B5E" w:rsidP="00AE1F91"/>
    <w:p w14:paraId="59563AE3" w14:textId="77777777" w:rsidR="00AE1F91" w:rsidRDefault="00AE1F91" w:rsidP="00AE1F91">
      <w:pPr>
        <w:pStyle w:val="Heading2"/>
        <w:rPr>
          <w:rFonts w:eastAsia="Times New Roman"/>
          <w:lang w:eastAsia="en-GB"/>
        </w:rPr>
      </w:pPr>
      <w:bookmarkStart w:id="16" w:name="_Office,_C._(no"/>
      <w:bookmarkEnd w:id="16"/>
      <w:r w:rsidRPr="00AE1F91">
        <w:rPr>
          <w:rFonts w:eastAsia="Times New Roman"/>
          <w:lang w:eastAsia="en-GB"/>
        </w:rPr>
        <w:t xml:space="preserve">Office, C. (no date) </w:t>
      </w:r>
      <w:r w:rsidRPr="00AE1F91">
        <w:rPr>
          <w:rFonts w:eastAsia="Times New Roman"/>
          <w:i/>
          <w:iCs/>
          <w:lang w:eastAsia="en-GB"/>
        </w:rPr>
        <w:t xml:space="preserve">Civil contingencies act 2004: A short guide (revised) - </w:t>
      </w:r>
      <w:proofErr w:type="spellStart"/>
      <w:r w:rsidRPr="00AE1F91">
        <w:rPr>
          <w:rFonts w:eastAsia="Times New Roman"/>
          <w:i/>
          <w:iCs/>
          <w:lang w:eastAsia="en-GB"/>
        </w:rPr>
        <w:t>merseyside</w:t>
      </w:r>
      <w:proofErr w:type="spellEnd"/>
      <w:r w:rsidRPr="00AE1F91">
        <w:rPr>
          <w:rFonts w:eastAsia="Times New Roman"/>
          <w:i/>
          <w:iCs/>
          <w:lang w:eastAsia="en-GB"/>
        </w:rPr>
        <w:t xml:space="preserve"> prepared</w:t>
      </w:r>
      <w:r w:rsidR="00880A5B">
        <w:rPr>
          <w:rFonts w:eastAsia="Times New Roman"/>
          <w:lang w:eastAsia="en-GB"/>
        </w:rPr>
        <w:t xml:space="preserve">. </w:t>
      </w:r>
      <w:r w:rsidR="007428EE" w:rsidRPr="007428EE">
        <w:rPr>
          <w:rFonts w:eastAsia="Times New Roman"/>
          <w:lang w:eastAsia="en-GB"/>
        </w:rPr>
        <w:t>Accessed 20/10/</w:t>
      </w:r>
      <w:proofErr w:type="gramStart"/>
      <w:r w:rsidR="007428EE" w:rsidRPr="007428EE">
        <w:rPr>
          <w:rFonts w:eastAsia="Times New Roman"/>
          <w:lang w:eastAsia="en-GB"/>
        </w:rPr>
        <w:t xml:space="preserve">2023 </w:t>
      </w:r>
      <w:r w:rsidR="007428EE">
        <w:rPr>
          <w:rFonts w:eastAsia="Times New Roman"/>
          <w:lang w:eastAsia="en-GB"/>
        </w:rPr>
        <w:t>.</w:t>
      </w:r>
      <w:proofErr w:type="gramEnd"/>
      <w:r w:rsidR="00880A5B">
        <w:rPr>
          <w:rFonts w:eastAsia="Times New Roman"/>
          <w:lang w:eastAsia="en-GB"/>
        </w:rPr>
        <w:t xml:space="preserve"> </w:t>
      </w:r>
      <w:r w:rsidRPr="00AE1F91">
        <w:rPr>
          <w:rFonts w:eastAsia="Times New Roman"/>
          <w:lang w:eastAsia="en-GB"/>
        </w:rPr>
        <w:t xml:space="preserve">Available at: </w:t>
      </w:r>
      <w:hyperlink r:id="rId18" w:history="1">
        <w:r w:rsidRPr="00871A2A">
          <w:rPr>
            <w:rStyle w:val="Hyperlink"/>
            <w:rFonts w:eastAsia="Times New Roman"/>
            <w:lang w:eastAsia="en-GB"/>
          </w:rPr>
          <w:t>https://merseysideprepared.org.uk/</w:t>
        </w:r>
        <w:r w:rsidR="007428EE" w:rsidRPr="00871A2A">
          <w:rPr>
            <w:rStyle w:val="Hyperlink"/>
            <w:rFonts w:eastAsia="Times New Roman"/>
            <w:lang w:eastAsia="en-GB"/>
          </w:rPr>
          <w:t xml:space="preserve">media/1053/15mayshortguide.pdf </w:t>
        </w:r>
      </w:hyperlink>
      <w:r w:rsidRPr="00AE1F91">
        <w:rPr>
          <w:rFonts w:eastAsia="Times New Roman"/>
          <w:lang w:eastAsia="en-GB"/>
        </w:rPr>
        <w:t xml:space="preserve"> </w:t>
      </w:r>
    </w:p>
    <w:p w14:paraId="5C1E0C67" w14:textId="77777777" w:rsidR="004A4B7D" w:rsidRDefault="004A4B7D" w:rsidP="004A4B7D">
      <w:bookmarkStart w:id="17" w:name="_Office,_C._(no_1"/>
      <w:bookmarkEnd w:id="17"/>
    </w:p>
    <w:p w14:paraId="07CEA184" w14:textId="77777777" w:rsidR="00BB1A43" w:rsidRDefault="004A4B7D" w:rsidP="004A4B7D">
      <w:pPr>
        <w:pStyle w:val="Heading2"/>
      </w:pPr>
      <w:bookmarkStart w:id="18" w:name="_Office,_C._Civil"/>
      <w:bookmarkStart w:id="19" w:name="_Office,_C._(2019)"/>
      <w:bookmarkStart w:id="20" w:name="_Office,_C._(updated"/>
      <w:bookmarkEnd w:id="18"/>
      <w:bookmarkEnd w:id="19"/>
      <w:bookmarkEnd w:id="20"/>
      <w:r>
        <w:t>Office, C. (</w:t>
      </w:r>
      <w:r w:rsidR="00C624B9">
        <w:t xml:space="preserve">updated </w:t>
      </w:r>
      <w:r>
        <w:t xml:space="preserve">2019) Civil Contingencies Act 2004, </w:t>
      </w:r>
      <w:r w:rsidR="007428EE" w:rsidRPr="007428EE">
        <w:t>Accessed 20/10/2023</w:t>
      </w:r>
      <w:r w:rsidR="007428EE">
        <w:t>.</w:t>
      </w:r>
    </w:p>
    <w:p w14:paraId="1D16ED1E" w14:textId="77777777" w:rsidR="004A4B7D" w:rsidRDefault="004A4B7D" w:rsidP="004A4B7D">
      <w:pPr>
        <w:pStyle w:val="Heading2"/>
      </w:pPr>
      <w:r>
        <w:t>Available at:</w:t>
      </w:r>
    </w:p>
    <w:p w14:paraId="1393592A" w14:textId="77777777" w:rsidR="00BB1A43" w:rsidRDefault="00F2471D" w:rsidP="00BB1A43">
      <w:pPr>
        <w:pStyle w:val="Heading2"/>
      </w:pPr>
      <w:hyperlink r:id="rId19" w:history="1">
        <w:r w:rsidR="00BB1A43" w:rsidRPr="00871A2A">
          <w:rPr>
            <w:rStyle w:val="Hyperlink"/>
          </w:rPr>
          <w:t>https://www.legislation.gov.uk/ukpga/2004/36/contents</w:t>
        </w:r>
      </w:hyperlink>
    </w:p>
    <w:p w14:paraId="16D05BC1" w14:textId="77777777" w:rsidR="004A4B7D" w:rsidRDefault="004A4B7D" w:rsidP="004A4B7D"/>
    <w:p w14:paraId="525CB721" w14:textId="77777777" w:rsidR="004A4B7D" w:rsidRDefault="00C624B9" w:rsidP="00036C06">
      <w:pPr>
        <w:pStyle w:val="Heading2"/>
      </w:pPr>
      <w:bookmarkStart w:id="21" w:name="_Office,_C._(2012)"/>
      <w:bookmarkStart w:id="22" w:name="_Office,_C.(updated2012)_Emergency"/>
      <w:bookmarkEnd w:id="21"/>
      <w:bookmarkEnd w:id="22"/>
      <w:r>
        <w:lastRenderedPageBreak/>
        <w:t>Office, C.</w:t>
      </w:r>
      <w:r w:rsidR="004A4B7D">
        <w:t>(</w:t>
      </w:r>
      <w:r>
        <w:t>updated</w:t>
      </w:r>
      <w:r w:rsidR="004A4B7D">
        <w:t>2012) Emergency Preparedness</w:t>
      </w:r>
      <w:r w:rsidR="00036C06">
        <w:t xml:space="preserve">. </w:t>
      </w:r>
      <w:r w:rsidR="007428EE" w:rsidRPr="007428EE">
        <w:t xml:space="preserve">Accessed 20/10/2023 </w:t>
      </w:r>
      <w:r w:rsidR="00036C06">
        <w:t>Available at:</w:t>
      </w:r>
    </w:p>
    <w:p w14:paraId="49EA59C9" w14:textId="77777777" w:rsidR="00036C06" w:rsidRDefault="00F2471D" w:rsidP="00036C06">
      <w:pPr>
        <w:rPr>
          <w:rFonts w:asciiTheme="majorHAnsi" w:eastAsiaTheme="majorEastAsia" w:hAnsiTheme="majorHAnsi" w:cstheme="majorBidi"/>
          <w:color w:val="2E74B5" w:themeColor="accent1" w:themeShade="BF"/>
          <w:sz w:val="26"/>
          <w:szCs w:val="26"/>
        </w:rPr>
      </w:pPr>
      <w:hyperlink r:id="rId20" w:history="1">
        <w:r w:rsidR="00A426F1" w:rsidRPr="00694833">
          <w:rPr>
            <w:rStyle w:val="Hyperlink"/>
            <w:rFonts w:asciiTheme="majorHAnsi" w:eastAsiaTheme="majorEastAsia" w:hAnsiTheme="majorHAnsi" w:cstheme="majorBidi"/>
            <w:sz w:val="26"/>
            <w:szCs w:val="26"/>
          </w:rPr>
          <w:t>https://www.gov.uk/government/publications/emergency-preparedness</w:t>
        </w:r>
      </w:hyperlink>
    </w:p>
    <w:p w14:paraId="3E8343F8" w14:textId="77777777" w:rsidR="00A426F1" w:rsidRDefault="00A426F1" w:rsidP="00036C06">
      <w:pPr>
        <w:rPr>
          <w:rFonts w:asciiTheme="majorHAnsi" w:eastAsiaTheme="majorEastAsia" w:hAnsiTheme="majorHAnsi" w:cstheme="majorBidi"/>
          <w:color w:val="2E74B5" w:themeColor="accent1" w:themeShade="BF"/>
          <w:sz w:val="26"/>
          <w:szCs w:val="26"/>
        </w:rPr>
      </w:pPr>
    </w:p>
    <w:p w14:paraId="4CD353AA" w14:textId="77777777" w:rsidR="00A426F1" w:rsidRDefault="00A426F1" w:rsidP="00A426F1">
      <w:pPr>
        <w:pStyle w:val="Heading2"/>
      </w:pPr>
      <w:bookmarkStart w:id="23" w:name="_Office,_C._(2020)"/>
      <w:bookmarkEnd w:id="23"/>
      <w:r>
        <w:t xml:space="preserve">Office, C. (2020) National Resilience Standards for Local Resilience Forums (LRFs). Accessed 20/10/2023 Available at: </w:t>
      </w:r>
    </w:p>
    <w:p w14:paraId="623D810A" w14:textId="77777777" w:rsidR="00A426F1" w:rsidRDefault="00F2471D" w:rsidP="00A426F1">
      <w:pPr>
        <w:pStyle w:val="Heading2"/>
        <w:rPr>
          <w:rStyle w:val="Hyperlink"/>
        </w:rPr>
      </w:pPr>
      <w:hyperlink r:id="rId21" w:history="1">
        <w:r w:rsidR="00A426F1" w:rsidRPr="001C6A25">
          <w:rPr>
            <w:rStyle w:val="Hyperlink"/>
          </w:rPr>
          <w:t>https://assets.publishing.service.gov.uk/media/5f4e1107e90e071c6c7d940c/NRS_for_LRFs_V3.0__Aug2020.pdf</w:t>
        </w:r>
      </w:hyperlink>
    </w:p>
    <w:p w14:paraId="6C8C4621" w14:textId="77777777" w:rsidR="00A426F1" w:rsidRDefault="00A426F1" w:rsidP="00A426F1"/>
    <w:p w14:paraId="5C6B5699" w14:textId="77777777" w:rsidR="00A426F1" w:rsidRPr="00A426F1" w:rsidRDefault="00A426F1" w:rsidP="00A426F1">
      <w:pPr>
        <w:pStyle w:val="Heading2"/>
      </w:pPr>
      <w:bookmarkStart w:id="24" w:name="_Office,_C._(2023)"/>
      <w:bookmarkEnd w:id="24"/>
      <w:r>
        <w:t>Office, C. (2023</w:t>
      </w:r>
      <w:r w:rsidRPr="00A426F1">
        <w:t xml:space="preserve">) National </w:t>
      </w:r>
      <w:r>
        <w:t xml:space="preserve">Risk Register Accessed 05/12/2023. </w:t>
      </w:r>
      <w:r w:rsidRPr="00A426F1">
        <w:t>Available at:</w:t>
      </w:r>
      <w:hyperlink r:id="rId22" w:history="1">
        <w:r w:rsidRPr="00A426F1">
          <w:rPr>
            <w:rStyle w:val="Hyperlink"/>
          </w:rPr>
          <w:t>https://assets.publishing.service.gov.uk/government/uploads/system/uploads/attachment_data/file/1175834/2023_NATIONAL_RISK_REGISTER_NRR.pdf</w:t>
        </w:r>
      </w:hyperlink>
    </w:p>
    <w:p w14:paraId="1CE61A1B" w14:textId="77777777" w:rsidR="00A426F1" w:rsidRDefault="00A426F1" w:rsidP="00036C06"/>
    <w:p w14:paraId="42842E36" w14:textId="77777777" w:rsidR="00A426F1" w:rsidRDefault="00A426F1" w:rsidP="00A426F1">
      <w:pPr>
        <w:pStyle w:val="Heading2"/>
      </w:pPr>
      <w:bookmarkStart w:id="25" w:name="_Office,_C._(2012)_1"/>
      <w:bookmarkStart w:id="26" w:name="_Skills_for_Justice,"/>
      <w:bookmarkEnd w:id="25"/>
      <w:bookmarkEnd w:id="26"/>
      <w:r>
        <w:t>Skills for Justice, Emergency Services Interoperability Research, Wave 2 Executive Summary,</w:t>
      </w:r>
      <w:r w:rsidRPr="007428EE">
        <w:t xml:space="preserve"> Accessed 20/10/</w:t>
      </w:r>
      <w:proofErr w:type="gramStart"/>
      <w:r w:rsidRPr="007428EE">
        <w:t xml:space="preserve">2023 </w:t>
      </w:r>
      <w:r>
        <w:t xml:space="preserve"> Available</w:t>
      </w:r>
      <w:proofErr w:type="gramEnd"/>
      <w:r>
        <w:t xml:space="preserve"> at:</w:t>
      </w:r>
    </w:p>
    <w:p w14:paraId="63EDB47E" w14:textId="77777777" w:rsidR="00A426F1" w:rsidRDefault="00F2471D" w:rsidP="00A426F1">
      <w:pPr>
        <w:pStyle w:val="Heading2"/>
        <w:rPr>
          <w:rStyle w:val="Hyperlink"/>
        </w:rPr>
      </w:pPr>
      <w:hyperlink r:id="rId23" w:history="1">
        <w:r w:rsidR="00A426F1" w:rsidRPr="006779C4">
          <w:rPr>
            <w:rStyle w:val="Hyperlink"/>
          </w:rPr>
          <w:t>https://www.jesip.org.uk/wp-content/uploads/2022/03/JESIP_Workforce_Survey_2_Execu.pdf</w:t>
        </w:r>
      </w:hyperlink>
    </w:p>
    <w:p w14:paraId="31322EAD" w14:textId="77777777" w:rsidR="00266E66" w:rsidRDefault="00266E66" w:rsidP="00266E66"/>
    <w:p w14:paraId="6D3561B6" w14:textId="77777777" w:rsidR="00266E66" w:rsidRPr="00266E66" w:rsidRDefault="00266E66" w:rsidP="00266E66">
      <w:pPr>
        <w:pStyle w:val="Heading2"/>
      </w:pPr>
      <w:bookmarkStart w:id="27" w:name="_South_Wales_Resilience"/>
      <w:bookmarkEnd w:id="27"/>
      <w:r>
        <w:t>South Wales Resilience Forum, March 2020, CONOPS Concept of Operations, Covid19. Available: Through permission SWLRF or by contacting ept@npt.gov.uk</w:t>
      </w:r>
    </w:p>
    <w:p w14:paraId="33F26C2B" w14:textId="77777777" w:rsidR="00036C06" w:rsidRDefault="00036C06" w:rsidP="00036C06">
      <w:pPr>
        <w:pStyle w:val="Heading2"/>
      </w:pPr>
    </w:p>
    <w:p w14:paraId="762C7A92" w14:textId="77777777" w:rsidR="00A426F1" w:rsidRDefault="00A426F1" w:rsidP="00A426F1">
      <w:pPr>
        <w:pStyle w:val="Heading2"/>
      </w:pPr>
      <w:bookmarkStart w:id="28" w:name="_College_of_Policing"/>
      <w:bookmarkStart w:id="29" w:name="_Wales_Audit_Office"/>
      <w:bookmarkEnd w:id="28"/>
      <w:bookmarkEnd w:id="29"/>
      <w:r>
        <w:t>Wales Audit Office (2012) Civil Emergencies in Wales Report.</w:t>
      </w:r>
      <w:r w:rsidRPr="007428EE">
        <w:t xml:space="preserve"> Accessed 20/10/</w:t>
      </w:r>
      <w:proofErr w:type="gramStart"/>
      <w:r w:rsidRPr="007428EE">
        <w:t xml:space="preserve">2023 </w:t>
      </w:r>
      <w:r>
        <w:t xml:space="preserve"> Available</w:t>
      </w:r>
      <w:proofErr w:type="gramEnd"/>
      <w:r>
        <w:t xml:space="preserve"> at:</w:t>
      </w:r>
    </w:p>
    <w:bookmarkStart w:id="30" w:name="_www.audit.wales/sites/default/files"/>
    <w:bookmarkEnd w:id="30"/>
    <w:p w14:paraId="236721C9" w14:textId="77777777" w:rsidR="00A426F1" w:rsidRDefault="00A426F1" w:rsidP="00A426F1">
      <w:pPr>
        <w:pStyle w:val="Heading2"/>
      </w:pPr>
      <w:r>
        <w:fldChar w:fldCharType="begin"/>
      </w:r>
      <w:r>
        <w:instrText xml:space="preserve"> HYPERLINK "http://</w:instrText>
      </w:r>
      <w:r w:rsidRPr="006E72BD">
        <w:instrText>www.audit.wales/sites/default/files/Civi__Emergencies_in_Wales_English_2012_14.pdf</w:instrText>
      </w:r>
      <w:r>
        <w:instrText xml:space="preserve">" </w:instrText>
      </w:r>
      <w:r>
        <w:fldChar w:fldCharType="separate"/>
      </w:r>
      <w:r w:rsidRPr="006779C4">
        <w:rPr>
          <w:rStyle w:val="Hyperlink"/>
        </w:rPr>
        <w:t>www.audit.wales/sites/default/files/Civi__Emergencies_in_Wales_English_2012_14.pdf</w:t>
      </w:r>
      <w:r>
        <w:fldChar w:fldCharType="end"/>
      </w:r>
    </w:p>
    <w:p w14:paraId="4687E17A" w14:textId="77777777" w:rsidR="00036C06" w:rsidRPr="00036C06" w:rsidRDefault="00036C06" w:rsidP="00036C06"/>
    <w:p w14:paraId="65E1EDC5" w14:textId="77777777" w:rsidR="00A426F1" w:rsidRDefault="00A426F1" w:rsidP="00A426F1">
      <w:pPr>
        <w:pStyle w:val="Heading2"/>
      </w:pPr>
      <w:bookmarkStart w:id="31" w:name="_Office,_C._(no_2"/>
      <w:bookmarkStart w:id="32" w:name="_Office_C,_(2013)"/>
      <w:bookmarkEnd w:id="31"/>
      <w:bookmarkEnd w:id="32"/>
      <w:r>
        <w:t>Welsh Government (2018), Statutory Instruments, 2018 No 644, Constitutional Law Devolution Wales, The Welsh Ministers (Transfer of Functions) order 2018. Accessed 20/10/2023.  Available at:</w:t>
      </w:r>
    </w:p>
    <w:p w14:paraId="276B805A" w14:textId="77777777" w:rsidR="00A426F1" w:rsidRDefault="00F2471D" w:rsidP="00A426F1">
      <w:pPr>
        <w:pStyle w:val="Heading2"/>
      </w:pPr>
      <w:hyperlink r:id="rId24" w:history="1">
        <w:r w:rsidR="00A426F1" w:rsidRPr="00584D30">
          <w:rPr>
            <w:rStyle w:val="Hyperlink"/>
          </w:rPr>
          <w:t>https://www.legislation.gov.uk/uksi/2018/644/data.xht?view=snippet&amp;wrap=true</w:t>
        </w:r>
      </w:hyperlink>
    </w:p>
    <w:p w14:paraId="6227B1BE" w14:textId="77777777" w:rsidR="005B0CE9" w:rsidRDefault="005B0CE9" w:rsidP="005B0CE9">
      <w:bookmarkStart w:id="33" w:name="_HSE,_(2015)_Control"/>
      <w:bookmarkStart w:id="34" w:name="_Office_C,_(2013)_1"/>
      <w:bookmarkEnd w:id="33"/>
      <w:bookmarkEnd w:id="34"/>
    </w:p>
    <w:p w14:paraId="27DAB6F1" w14:textId="77777777" w:rsidR="005B0CE9" w:rsidRDefault="005B0CE9" w:rsidP="005B0CE9">
      <w:pPr>
        <w:pStyle w:val="Heading2"/>
      </w:pPr>
      <w:bookmarkStart w:id="35" w:name="_Welsh_Government,_Concordat"/>
      <w:bookmarkEnd w:id="35"/>
      <w:r>
        <w:t>Welsh Government, Concordat between the UK Government and the Welsh Assembly Government on the Civil Contingencies Act 2004.</w:t>
      </w:r>
      <w:r w:rsidR="007428EE" w:rsidRPr="007428EE">
        <w:t xml:space="preserve"> Accessed 20/10/2023 </w:t>
      </w:r>
      <w:r>
        <w:t>Available at:</w:t>
      </w:r>
    </w:p>
    <w:p w14:paraId="0CA90B21" w14:textId="77777777" w:rsidR="005B0CE9" w:rsidRDefault="00F2471D" w:rsidP="005B0CE9">
      <w:pPr>
        <w:pStyle w:val="Heading2"/>
      </w:pPr>
      <w:hyperlink r:id="rId25" w:history="1">
        <w:r w:rsidR="006E72BD" w:rsidRPr="006779C4">
          <w:rPr>
            <w:rStyle w:val="Hyperlink"/>
          </w:rPr>
          <w:t>https://assets.publishing.service.gov.uk/media/5a7966a1e5274a2acd18c88d/wales_concordat.pdf</w:t>
        </w:r>
      </w:hyperlink>
    </w:p>
    <w:p w14:paraId="4C1CA0B8" w14:textId="77777777" w:rsidR="006E72BD" w:rsidRDefault="006E72BD" w:rsidP="006E72BD"/>
    <w:p w14:paraId="014E815F" w14:textId="77777777" w:rsidR="006E72BD" w:rsidRDefault="006E72BD" w:rsidP="006E72BD"/>
    <w:p w14:paraId="3BC5DAC6" w14:textId="77777777" w:rsidR="006E72BD" w:rsidRDefault="006E72BD" w:rsidP="006E72BD">
      <w:bookmarkStart w:id="36" w:name="_Cabinet_Statement,_Carwyn"/>
      <w:bookmarkEnd w:id="36"/>
    </w:p>
    <w:p w14:paraId="3066BFCA" w14:textId="77777777" w:rsidR="007428EE" w:rsidRDefault="007428EE" w:rsidP="007428EE">
      <w:bookmarkStart w:id="37" w:name="_Welsh_Government_(2018),"/>
      <w:bookmarkEnd w:id="37"/>
    </w:p>
    <w:p w14:paraId="70D86FDD" w14:textId="77777777" w:rsidR="00F97FBD" w:rsidRDefault="00F97FBD" w:rsidP="00F97FBD"/>
    <w:sectPr w:rsidR="00F97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AB4"/>
    <w:multiLevelType w:val="hybridMultilevel"/>
    <w:tmpl w:val="A224E010"/>
    <w:lvl w:ilvl="0" w:tplc="892AB700">
      <w:start w:val="1"/>
      <w:numFmt w:val="bullet"/>
      <w:lvlText w:val="•"/>
      <w:lvlJc w:val="left"/>
      <w:pPr>
        <w:tabs>
          <w:tab w:val="num" w:pos="720"/>
        </w:tabs>
        <w:ind w:left="720" w:hanging="360"/>
      </w:pPr>
      <w:rPr>
        <w:rFonts w:ascii="Arial" w:hAnsi="Arial" w:cs="Times New Roman" w:hint="default"/>
      </w:rPr>
    </w:lvl>
    <w:lvl w:ilvl="1" w:tplc="2A9CFD84">
      <w:start w:val="1"/>
      <w:numFmt w:val="bullet"/>
      <w:lvlText w:val="•"/>
      <w:lvlJc w:val="left"/>
      <w:pPr>
        <w:tabs>
          <w:tab w:val="num" w:pos="1440"/>
        </w:tabs>
        <w:ind w:left="1440" w:hanging="360"/>
      </w:pPr>
      <w:rPr>
        <w:rFonts w:ascii="Arial" w:hAnsi="Arial" w:cs="Times New Roman" w:hint="default"/>
      </w:rPr>
    </w:lvl>
    <w:lvl w:ilvl="2" w:tplc="343E7960">
      <w:start w:val="1"/>
      <w:numFmt w:val="bullet"/>
      <w:lvlText w:val="•"/>
      <w:lvlJc w:val="left"/>
      <w:pPr>
        <w:tabs>
          <w:tab w:val="num" w:pos="2160"/>
        </w:tabs>
        <w:ind w:left="2160" w:hanging="360"/>
      </w:pPr>
      <w:rPr>
        <w:rFonts w:ascii="Arial" w:hAnsi="Arial" w:cs="Times New Roman" w:hint="default"/>
      </w:rPr>
    </w:lvl>
    <w:lvl w:ilvl="3" w:tplc="C2B2DDE4">
      <w:start w:val="1"/>
      <w:numFmt w:val="bullet"/>
      <w:lvlText w:val="•"/>
      <w:lvlJc w:val="left"/>
      <w:pPr>
        <w:tabs>
          <w:tab w:val="num" w:pos="2880"/>
        </w:tabs>
        <w:ind w:left="2880" w:hanging="360"/>
      </w:pPr>
      <w:rPr>
        <w:rFonts w:ascii="Arial" w:hAnsi="Arial" w:cs="Times New Roman" w:hint="default"/>
      </w:rPr>
    </w:lvl>
    <w:lvl w:ilvl="4" w:tplc="354CFF4E">
      <w:start w:val="1"/>
      <w:numFmt w:val="bullet"/>
      <w:lvlText w:val="•"/>
      <w:lvlJc w:val="left"/>
      <w:pPr>
        <w:tabs>
          <w:tab w:val="num" w:pos="3600"/>
        </w:tabs>
        <w:ind w:left="3600" w:hanging="360"/>
      </w:pPr>
      <w:rPr>
        <w:rFonts w:ascii="Arial" w:hAnsi="Arial" w:cs="Times New Roman" w:hint="default"/>
      </w:rPr>
    </w:lvl>
    <w:lvl w:ilvl="5" w:tplc="06CE54A0">
      <w:start w:val="1"/>
      <w:numFmt w:val="bullet"/>
      <w:lvlText w:val="•"/>
      <w:lvlJc w:val="left"/>
      <w:pPr>
        <w:tabs>
          <w:tab w:val="num" w:pos="4320"/>
        </w:tabs>
        <w:ind w:left="4320" w:hanging="360"/>
      </w:pPr>
      <w:rPr>
        <w:rFonts w:ascii="Arial" w:hAnsi="Arial" w:cs="Times New Roman" w:hint="default"/>
      </w:rPr>
    </w:lvl>
    <w:lvl w:ilvl="6" w:tplc="F11C48E0">
      <w:start w:val="1"/>
      <w:numFmt w:val="bullet"/>
      <w:lvlText w:val="•"/>
      <w:lvlJc w:val="left"/>
      <w:pPr>
        <w:tabs>
          <w:tab w:val="num" w:pos="5040"/>
        </w:tabs>
        <w:ind w:left="5040" w:hanging="360"/>
      </w:pPr>
      <w:rPr>
        <w:rFonts w:ascii="Arial" w:hAnsi="Arial" w:cs="Times New Roman" w:hint="default"/>
      </w:rPr>
    </w:lvl>
    <w:lvl w:ilvl="7" w:tplc="49AA7E62">
      <w:start w:val="1"/>
      <w:numFmt w:val="bullet"/>
      <w:lvlText w:val="•"/>
      <w:lvlJc w:val="left"/>
      <w:pPr>
        <w:tabs>
          <w:tab w:val="num" w:pos="5760"/>
        </w:tabs>
        <w:ind w:left="5760" w:hanging="360"/>
      </w:pPr>
      <w:rPr>
        <w:rFonts w:ascii="Arial" w:hAnsi="Arial" w:cs="Times New Roman" w:hint="default"/>
      </w:rPr>
    </w:lvl>
    <w:lvl w:ilvl="8" w:tplc="EA86AB58">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089570CB"/>
    <w:multiLevelType w:val="hybridMultilevel"/>
    <w:tmpl w:val="B734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D0D4D"/>
    <w:multiLevelType w:val="hybridMultilevel"/>
    <w:tmpl w:val="F17A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475AA0"/>
    <w:multiLevelType w:val="hybridMultilevel"/>
    <w:tmpl w:val="DC8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6290A"/>
    <w:multiLevelType w:val="hybridMultilevel"/>
    <w:tmpl w:val="08C6F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751B1"/>
    <w:multiLevelType w:val="hybridMultilevel"/>
    <w:tmpl w:val="634E0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0688D"/>
    <w:multiLevelType w:val="hybridMultilevel"/>
    <w:tmpl w:val="8844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0240021"/>
    <w:multiLevelType w:val="hybridMultilevel"/>
    <w:tmpl w:val="45B8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20D74"/>
    <w:multiLevelType w:val="hybridMultilevel"/>
    <w:tmpl w:val="94DC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A02D09"/>
    <w:multiLevelType w:val="hybridMultilevel"/>
    <w:tmpl w:val="BD108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F82487"/>
    <w:multiLevelType w:val="hybridMultilevel"/>
    <w:tmpl w:val="220EC4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2A675F0"/>
    <w:multiLevelType w:val="hybridMultilevel"/>
    <w:tmpl w:val="9340A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05FB4"/>
    <w:multiLevelType w:val="hybridMultilevel"/>
    <w:tmpl w:val="52DAD7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3D1B73"/>
    <w:multiLevelType w:val="hybridMultilevel"/>
    <w:tmpl w:val="AF7EEE62"/>
    <w:lvl w:ilvl="0" w:tplc="CA4093A6">
      <w:numFmt w:val="bullet"/>
      <w:lvlText w:val="•"/>
      <w:lvlJc w:val="left"/>
      <w:pPr>
        <w:ind w:left="720" w:hanging="720"/>
      </w:pPr>
      <w:rPr>
        <w:rFonts w:ascii="Segoe UI" w:eastAsiaTheme="minorHAnsi" w:hAnsi="Segoe UI" w:cs="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1136F18"/>
    <w:multiLevelType w:val="hybridMultilevel"/>
    <w:tmpl w:val="9282F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3226962"/>
    <w:multiLevelType w:val="hybridMultilevel"/>
    <w:tmpl w:val="BFCA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EE1C92"/>
    <w:multiLevelType w:val="hybridMultilevel"/>
    <w:tmpl w:val="63BE0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752551"/>
    <w:multiLevelType w:val="hybridMultilevel"/>
    <w:tmpl w:val="B3704D58"/>
    <w:lvl w:ilvl="0" w:tplc="892AB700">
      <w:start w:val="1"/>
      <w:numFmt w:val="bullet"/>
      <w:lvlText w:val="•"/>
      <w:lvlJc w:val="left"/>
      <w:pPr>
        <w:tabs>
          <w:tab w:val="num" w:pos="720"/>
        </w:tabs>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C27EBE"/>
    <w:multiLevelType w:val="hybridMultilevel"/>
    <w:tmpl w:val="ECBA20BE"/>
    <w:lvl w:ilvl="0" w:tplc="CA4093A6">
      <w:numFmt w:val="bullet"/>
      <w:lvlText w:val="•"/>
      <w:lvlJc w:val="left"/>
      <w:pPr>
        <w:ind w:left="1080" w:hanging="72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37358E"/>
    <w:multiLevelType w:val="hybridMultilevel"/>
    <w:tmpl w:val="83168CF8"/>
    <w:lvl w:ilvl="0" w:tplc="892AB700">
      <w:start w:val="1"/>
      <w:numFmt w:val="bullet"/>
      <w:lvlText w:val="•"/>
      <w:lvlJc w:val="left"/>
      <w:pPr>
        <w:tabs>
          <w:tab w:val="num" w:pos="1080"/>
        </w:tabs>
        <w:ind w:left="1080" w:hanging="360"/>
      </w:pPr>
      <w:rPr>
        <w:rFonts w:ascii="Arial" w:hAnsi="Aria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60023573">
    <w:abstractNumId w:val="10"/>
  </w:num>
  <w:num w:numId="2" w16cid:durableId="1284966478">
    <w:abstractNumId w:val="7"/>
  </w:num>
  <w:num w:numId="3" w16cid:durableId="766197129">
    <w:abstractNumId w:val="18"/>
  </w:num>
  <w:num w:numId="4" w16cid:durableId="263851847">
    <w:abstractNumId w:val="15"/>
  </w:num>
  <w:num w:numId="5" w16cid:durableId="1726489413">
    <w:abstractNumId w:val="0"/>
  </w:num>
  <w:num w:numId="6" w16cid:durableId="2103648746">
    <w:abstractNumId w:val="6"/>
  </w:num>
  <w:num w:numId="7" w16cid:durableId="1413698721">
    <w:abstractNumId w:val="6"/>
  </w:num>
  <w:num w:numId="8" w16cid:durableId="195197993">
    <w:abstractNumId w:val="11"/>
  </w:num>
  <w:num w:numId="9" w16cid:durableId="393479385">
    <w:abstractNumId w:val="2"/>
  </w:num>
  <w:num w:numId="10" w16cid:durableId="717709254">
    <w:abstractNumId w:val="2"/>
  </w:num>
  <w:num w:numId="11" w16cid:durableId="301539528">
    <w:abstractNumId w:val="5"/>
  </w:num>
  <w:num w:numId="12" w16cid:durableId="291208191">
    <w:abstractNumId w:val="14"/>
  </w:num>
  <w:num w:numId="13" w16cid:durableId="1919440384">
    <w:abstractNumId w:val="8"/>
  </w:num>
  <w:num w:numId="14" w16cid:durableId="1004211798">
    <w:abstractNumId w:val="4"/>
  </w:num>
  <w:num w:numId="15" w16cid:durableId="1559508596">
    <w:abstractNumId w:val="3"/>
  </w:num>
  <w:num w:numId="16" w16cid:durableId="1525173180">
    <w:abstractNumId w:val="17"/>
  </w:num>
  <w:num w:numId="17" w16cid:durableId="1141921105">
    <w:abstractNumId w:val="19"/>
  </w:num>
  <w:num w:numId="18" w16cid:durableId="1887061420">
    <w:abstractNumId w:val="13"/>
  </w:num>
  <w:num w:numId="19" w16cid:durableId="90199429">
    <w:abstractNumId w:val="12"/>
  </w:num>
  <w:num w:numId="20" w16cid:durableId="742338725">
    <w:abstractNumId w:val="9"/>
  </w:num>
  <w:num w:numId="21" w16cid:durableId="1217855970">
    <w:abstractNumId w:val="16"/>
  </w:num>
  <w:num w:numId="22" w16cid:durableId="190731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C97"/>
    <w:rsid w:val="00001362"/>
    <w:rsid w:val="000066DC"/>
    <w:rsid w:val="00010D89"/>
    <w:rsid w:val="000125B5"/>
    <w:rsid w:val="000317DF"/>
    <w:rsid w:val="00036C06"/>
    <w:rsid w:val="00046E3C"/>
    <w:rsid w:val="000566E7"/>
    <w:rsid w:val="00060997"/>
    <w:rsid w:val="00065F0E"/>
    <w:rsid w:val="000673C0"/>
    <w:rsid w:val="00070DF0"/>
    <w:rsid w:val="00075245"/>
    <w:rsid w:val="000819A1"/>
    <w:rsid w:val="00085F66"/>
    <w:rsid w:val="00086D3B"/>
    <w:rsid w:val="000A4AFB"/>
    <w:rsid w:val="000A6813"/>
    <w:rsid w:val="000B258A"/>
    <w:rsid w:val="000B2D29"/>
    <w:rsid w:val="000B52E0"/>
    <w:rsid w:val="000D27D6"/>
    <w:rsid w:val="000D29C8"/>
    <w:rsid w:val="000D391C"/>
    <w:rsid w:val="000D41FA"/>
    <w:rsid w:val="000E715F"/>
    <w:rsid w:val="000F4C07"/>
    <w:rsid w:val="00107E1B"/>
    <w:rsid w:val="00125F01"/>
    <w:rsid w:val="00127BAA"/>
    <w:rsid w:val="00134975"/>
    <w:rsid w:val="001355DF"/>
    <w:rsid w:val="00143800"/>
    <w:rsid w:val="00144BE0"/>
    <w:rsid w:val="00174943"/>
    <w:rsid w:val="0018541E"/>
    <w:rsid w:val="001855BE"/>
    <w:rsid w:val="00186F91"/>
    <w:rsid w:val="00194849"/>
    <w:rsid w:val="00196BB7"/>
    <w:rsid w:val="001A0C32"/>
    <w:rsid w:val="001A4C02"/>
    <w:rsid w:val="001B0185"/>
    <w:rsid w:val="001B7026"/>
    <w:rsid w:val="001C6F1D"/>
    <w:rsid w:val="001D2050"/>
    <w:rsid w:val="001D305F"/>
    <w:rsid w:val="001F4961"/>
    <w:rsid w:val="001F5CCA"/>
    <w:rsid w:val="002076F6"/>
    <w:rsid w:val="00207A38"/>
    <w:rsid w:val="002130B9"/>
    <w:rsid w:val="00215A01"/>
    <w:rsid w:val="00215D1A"/>
    <w:rsid w:val="00222FAE"/>
    <w:rsid w:val="00223F71"/>
    <w:rsid w:val="00224338"/>
    <w:rsid w:val="002244A0"/>
    <w:rsid w:val="002272F7"/>
    <w:rsid w:val="00230933"/>
    <w:rsid w:val="00232762"/>
    <w:rsid w:val="0023697C"/>
    <w:rsid w:val="0024453B"/>
    <w:rsid w:val="00253BA6"/>
    <w:rsid w:val="00254BC4"/>
    <w:rsid w:val="00255502"/>
    <w:rsid w:val="002560FD"/>
    <w:rsid w:val="00262B82"/>
    <w:rsid w:val="00266973"/>
    <w:rsid w:val="00266E66"/>
    <w:rsid w:val="00267304"/>
    <w:rsid w:val="002754C0"/>
    <w:rsid w:val="002777FE"/>
    <w:rsid w:val="00283A8E"/>
    <w:rsid w:val="00286C7C"/>
    <w:rsid w:val="00295042"/>
    <w:rsid w:val="002B0B3B"/>
    <w:rsid w:val="002E0882"/>
    <w:rsid w:val="002E50C6"/>
    <w:rsid w:val="00310145"/>
    <w:rsid w:val="0031115D"/>
    <w:rsid w:val="0031131D"/>
    <w:rsid w:val="003259F6"/>
    <w:rsid w:val="0033356E"/>
    <w:rsid w:val="00340706"/>
    <w:rsid w:val="003622A7"/>
    <w:rsid w:val="003637DA"/>
    <w:rsid w:val="00365300"/>
    <w:rsid w:val="00367608"/>
    <w:rsid w:val="00367D5A"/>
    <w:rsid w:val="0038011D"/>
    <w:rsid w:val="00395B5A"/>
    <w:rsid w:val="003A253F"/>
    <w:rsid w:val="003A279C"/>
    <w:rsid w:val="003B099E"/>
    <w:rsid w:val="003B0BA9"/>
    <w:rsid w:val="003B369B"/>
    <w:rsid w:val="003C59E4"/>
    <w:rsid w:val="003D7F70"/>
    <w:rsid w:val="003E02B1"/>
    <w:rsid w:val="003F1527"/>
    <w:rsid w:val="003F15EC"/>
    <w:rsid w:val="003F20D1"/>
    <w:rsid w:val="003F30CC"/>
    <w:rsid w:val="003F5528"/>
    <w:rsid w:val="00410B43"/>
    <w:rsid w:val="00414FD2"/>
    <w:rsid w:val="00414FFA"/>
    <w:rsid w:val="00416526"/>
    <w:rsid w:val="00421586"/>
    <w:rsid w:val="00437F2F"/>
    <w:rsid w:val="004413B9"/>
    <w:rsid w:val="004532CD"/>
    <w:rsid w:val="0045336C"/>
    <w:rsid w:val="0045595E"/>
    <w:rsid w:val="0046655D"/>
    <w:rsid w:val="0049011F"/>
    <w:rsid w:val="00490BD7"/>
    <w:rsid w:val="00496EB0"/>
    <w:rsid w:val="004A11E6"/>
    <w:rsid w:val="004A301A"/>
    <w:rsid w:val="004A4B7D"/>
    <w:rsid w:val="004A6471"/>
    <w:rsid w:val="004A7911"/>
    <w:rsid w:val="004B0AAD"/>
    <w:rsid w:val="004B6DA0"/>
    <w:rsid w:val="004C087A"/>
    <w:rsid w:val="004C518C"/>
    <w:rsid w:val="004C5BFA"/>
    <w:rsid w:val="004D2F3A"/>
    <w:rsid w:val="004E2093"/>
    <w:rsid w:val="004E7510"/>
    <w:rsid w:val="004F0810"/>
    <w:rsid w:val="004F0B34"/>
    <w:rsid w:val="004F6C2E"/>
    <w:rsid w:val="00516E21"/>
    <w:rsid w:val="005301E3"/>
    <w:rsid w:val="005342B1"/>
    <w:rsid w:val="00545BD8"/>
    <w:rsid w:val="00550778"/>
    <w:rsid w:val="00554EDE"/>
    <w:rsid w:val="00567E3C"/>
    <w:rsid w:val="00583F55"/>
    <w:rsid w:val="00585F54"/>
    <w:rsid w:val="00595BEF"/>
    <w:rsid w:val="0059763F"/>
    <w:rsid w:val="00597746"/>
    <w:rsid w:val="005A1DAD"/>
    <w:rsid w:val="005A4163"/>
    <w:rsid w:val="005A52AA"/>
    <w:rsid w:val="005B0CE9"/>
    <w:rsid w:val="005B3204"/>
    <w:rsid w:val="005B798D"/>
    <w:rsid w:val="005C6047"/>
    <w:rsid w:val="005D5632"/>
    <w:rsid w:val="005E049A"/>
    <w:rsid w:val="005E2710"/>
    <w:rsid w:val="005E2E99"/>
    <w:rsid w:val="005E7793"/>
    <w:rsid w:val="005F2E8E"/>
    <w:rsid w:val="005F4309"/>
    <w:rsid w:val="005F472F"/>
    <w:rsid w:val="005F76F9"/>
    <w:rsid w:val="00601276"/>
    <w:rsid w:val="00605DBD"/>
    <w:rsid w:val="00613A33"/>
    <w:rsid w:val="00625662"/>
    <w:rsid w:val="00634FB5"/>
    <w:rsid w:val="00636226"/>
    <w:rsid w:val="00636E7D"/>
    <w:rsid w:val="006543F0"/>
    <w:rsid w:val="00656203"/>
    <w:rsid w:val="00661CD9"/>
    <w:rsid w:val="00664006"/>
    <w:rsid w:val="006668B6"/>
    <w:rsid w:val="00667D38"/>
    <w:rsid w:val="00670D65"/>
    <w:rsid w:val="00683B38"/>
    <w:rsid w:val="00692AF6"/>
    <w:rsid w:val="006A1742"/>
    <w:rsid w:val="006A668E"/>
    <w:rsid w:val="006B0A00"/>
    <w:rsid w:val="006C03A5"/>
    <w:rsid w:val="006C41B9"/>
    <w:rsid w:val="006C6C46"/>
    <w:rsid w:val="006D4533"/>
    <w:rsid w:val="006D7C1A"/>
    <w:rsid w:val="006E72BD"/>
    <w:rsid w:val="00707889"/>
    <w:rsid w:val="00711948"/>
    <w:rsid w:val="00713FF7"/>
    <w:rsid w:val="00715622"/>
    <w:rsid w:val="00723B2A"/>
    <w:rsid w:val="00734B99"/>
    <w:rsid w:val="007422D3"/>
    <w:rsid w:val="007428EE"/>
    <w:rsid w:val="00755BAC"/>
    <w:rsid w:val="00764350"/>
    <w:rsid w:val="00766075"/>
    <w:rsid w:val="00767329"/>
    <w:rsid w:val="0077086E"/>
    <w:rsid w:val="00775B24"/>
    <w:rsid w:val="007763B4"/>
    <w:rsid w:val="00776A95"/>
    <w:rsid w:val="007841DA"/>
    <w:rsid w:val="00785330"/>
    <w:rsid w:val="00793A95"/>
    <w:rsid w:val="007A15DE"/>
    <w:rsid w:val="007A541B"/>
    <w:rsid w:val="007A731F"/>
    <w:rsid w:val="007B0829"/>
    <w:rsid w:val="007E438C"/>
    <w:rsid w:val="00802D33"/>
    <w:rsid w:val="0080718E"/>
    <w:rsid w:val="00807521"/>
    <w:rsid w:val="008101DB"/>
    <w:rsid w:val="00812913"/>
    <w:rsid w:val="00816913"/>
    <w:rsid w:val="00841AE3"/>
    <w:rsid w:val="00843C42"/>
    <w:rsid w:val="00844A42"/>
    <w:rsid w:val="008500C8"/>
    <w:rsid w:val="008514A6"/>
    <w:rsid w:val="008601BA"/>
    <w:rsid w:val="00871A2A"/>
    <w:rsid w:val="00873318"/>
    <w:rsid w:val="00880A5B"/>
    <w:rsid w:val="008A17EF"/>
    <w:rsid w:val="008A3A81"/>
    <w:rsid w:val="008A49FB"/>
    <w:rsid w:val="008C2A98"/>
    <w:rsid w:val="008C4A13"/>
    <w:rsid w:val="008D3EA6"/>
    <w:rsid w:val="008D5240"/>
    <w:rsid w:val="008D7CE8"/>
    <w:rsid w:val="008E52C4"/>
    <w:rsid w:val="008E5D2A"/>
    <w:rsid w:val="008F0B15"/>
    <w:rsid w:val="008F22F6"/>
    <w:rsid w:val="008F34BB"/>
    <w:rsid w:val="00905076"/>
    <w:rsid w:val="00910BA0"/>
    <w:rsid w:val="00924C46"/>
    <w:rsid w:val="00926B82"/>
    <w:rsid w:val="009305D8"/>
    <w:rsid w:val="00942E5C"/>
    <w:rsid w:val="00946F3F"/>
    <w:rsid w:val="00953CF2"/>
    <w:rsid w:val="009623CB"/>
    <w:rsid w:val="00982922"/>
    <w:rsid w:val="009844D5"/>
    <w:rsid w:val="00984B5E"/>
    <w:rsid w:val="00986186"/>
    <w:rsid w:val="00986FC5"/>
    <w:rsid w:val="00991486"/>
    <w:rsid w:val="00991871"/>
    <w:rsid w:val="0099317B"/>
    <w:rsid w:val="009B08CA"/>
    <w:rsid w:val="009B1490"/>
    <w:rsid w:val="009C50EA"/>
    <w:rsid w:val="009C6033"/>
    <w:rsid w:val="009D128F"/>
    <w:rsid w:val="009E0335"/>
    <w:rsid w:val="009E5E83"/>
    <w:rsid w:val="009F0C45"/>
    <w:rsid w:val="009F546E"/>
    <w:rsid w:val="00A04893"/>
    <w:rsid w:val="00A07669"/>
    <w:rsid w:val="00A13E93"/>
    <w:rsid w:val="00A1794A"/>
    <w:rsid w:val="00A24A4E"/>
    <w:rsid w:val="00A257D0"/>
    <w:rsid w:val="00A37F8E"/>
    <w:rsid w:val="00A426F1"/>
    <w:rsid w:val="00A82CB8"/>
    <w:rsid w:val="00A93F5D"/>
    <w:rsid w:val="00A96693"/>
    <w:rsid w:val="00AA3370"/>
    <w:rsid w:val="00AB4B8B"/>
    <w:rsid w:val="00AB6DD1"/>
    <w:rsid w:val="00AB798C"/>
    <w:rsid w:val="00AC7A99"/>
    <w:rsid w:val="00AD47ED"/>
    <w:rsid w:val="00AD4CED"/>
    <w:rsid w:val="00AE1F91"/>
    <w:rsid w:val="00AE498E"/>
    <w:rsid w:val="00B04A19"/>
    <w:rsid w:val="00B05C82"/>
    <w:rsid w:val="00B068B0"/>
    <w:rsid w:val="00B1021F"/>
    <w:rsid w:val="00B13CF2"/>
    <w:rsid w:val="00B14C97"/>
    <w:rsid w:val="00B177AE"/>
    <w:rsid w:val="00B22DD2"/>
    <w:rsid w:val="00B250E0"/>
    <w:rsid w:val="00B430CA"/>
    <w:rsid w:val="00B50524"/>
    <w:rsid w:val="00B54802"/>
    <w:rsid w:val="00B635F9"/>
    <w:rsid w:val="00B70BBA"/>
    <w:rsid w:val="00B91A17"/>
    <w:rsid w:val="00B93819"/>
    <w:rsid w:val="00B94DE8"/>
    <w:rsid w:val="00BB1A43"/>
    <w:rsid w:val="00BB1D9D"/>
    <w:rsid w:val="00BB29D9"/>
    <w:rsid w:val="00BB754A"/>
    <w:rsid w:val="00BC5C99"/>
    <w:rsid w:val="00BD1E97"/>
    <w:rsid w:val="00BD5044"/>
    <w:rsid w:val="00BD7B35"/>
    <w:rsid w:val="00BE3865"/>
    <w:rsid w:val="00C1303E"/>
    <w:rsid w:val="00C27B70"/>
    <w:rsid w:val="00C30159"/>
    <w:rsid w:val="00C4015B"/>
    <w:rsid w:val="00C42D20"/>
    <w:rsid w:val="00C4334E"/>
    <w:rsid w:val="00C46AED"/>
    <w:rsid w:val="00C5243A"/>
    <w:rsid w:val="00C53F18"/>
    <w:rsid w:val="00C624B9"/>
    <w:rsid w:val="00C64F66"/>
    <w:rsid w:val="00C71EED"/>
    <w:rsid w:val="00C7209D"/>
    <w:rsid w:val="00C76370"/>
    <w:rsid w:val="00C8297D"/>
    <w:rsid w:val="00C82AEF"/>
    <w:rsid w:val="00C847A6"/>
    <w:rsid w:val="00C87D27"/>
    <w:rsid w:val="00CD1EF1"/>
    <w:rsid w:val="00CD5C71"/>
    <w:rsid w:val="00CD7764"/>
    <w:rsid w:val="00CE79B3"/>
    <w:rsid w:val="00CF0D58"/>
    <w:rsid w:val="00CF3680"/>
    <w:rsid w:val="00D1421E"/>
    <w:rsid w:val="00D157F9"/>
    <w:rsid w:val="00D15D1B"/>
    <w:rsid w:val="00D20D06"/>
    <w:rsid w:val="00D352D8"/>
    <w:rsid w:val="00D64123"/>
    <w:rsid w:val="00D65932"/>
    <w:rsid w:val="00D6678A"/>
    <w:rsid w:val="00D82F67"/>
    <w:rsid w:val="00D94686"/>
    <w:rsid w:val="00D95B38"/>
    <w:rsid w:val="00DA291B"/>
    <w:rsid w:val="00DA34F3"/>
    <w:rsid w:val="00DB1DAD"/>
    <w:rsid w:val="00DB61E4"/>
    <w:rsid w:val="00DF3FD5"/>
    <w:rsid w:val="00DF5DF3"/>
    <w:rsid w:val="00E120C0"/>
    <w:rsid w:val="00E12FE8"/>
    <w:rsid w:val="00E2000D"/>
    <w:rsid w:val="00E21CCB"/>
    <w:rsid w:val="00E25456"/>
    <w:rsid w:val="00E3028D"/>
    <w:rsid w:val="00E43F33"/>
    <w:rsid w:val="00E45610"/>
    <w:rsid w:val="00E55326"/>
    <w:rsid w:val="00E60DC3"/>
    <w:rsid w:val="00E61591"/>
    <w:rsid w:val="00E6628C"/>
    <w:rsid w:val="00E91DDB"/>
    <w:rsid w:val="00E92D12"/>
    <w:rsid w:val="00E97CFE"/>
    <w:rsid w:val="00E97F99"/>
    <w:rsid w:val="00EA03A9"/>
    <w:rsid w:val="00EA6BE3"/>
    <w:rsid w:val="00EC5592"/>
    <w:rsid w:val="00EC7BFD"/>
    <w:rsid w:val="00ED539B"/>
    <w:rsid w:val="00EF0A5B"/>
    <w:rsid w:val="00EF30A8"/>
    <w:rsid w:val="00EF7463"/>
    <w:rsid w:val="00F049EF"/>
    <w:rsid w:val="00F059B0"/>
    <w:rsid w:val="00F11897"/>
    <w:rsid w:val="00F17E6F"/>
    <w:rsid w:val="00F22093"/>
    <w:rsid w:val="00F2312E"/>
    <w:rsid w:val="00F2471D"/>
    <w:rsid w:val="00F260AD"/>
    <w:rsid w:val="00F262B6"/>
    <w:rsid w:val="00F40AE8"/>
    <w:rsid w:val="00F4252B"/>
    <w:rsid w:val="00F46CAC"/>
    <w:rsid w:val="00F5071E"/>
    <w:rsid w:val="00F547D3"/>
    <w:rsid w:val="00F55BEA"/>
    <w:rsid w:val="00F61CDC"/>
    <w:rsid w:val="00F67255"/>
    <w:rsid w:val="00F70326"/>
    <w:rsid w:val="00F71DCF"/>
    <w:rsid w:val="00F72A02"/>
    <w:rsid w:val="00F74E0B"/>
    <w:rsid w:val="00F86AE7"/>
    <w:rsid w:val="00F9371F"/>
    <w:rsid w:val="00F94435"/>
    <w:rsid w:val="00F95960"/>
    <w:rsid w:val="00F97FBD"/>
    <w:rsid w:val="00FA3E1F"/>
    <w:rsid w:val="00FA752B"/>
    <w:rsid w:val="00FB210B"/>
    <w:rsid w:val="00FB2128"/>
    <w:rsid w:val="00FC0B80"/>
    <w:rsid w:val="00FD7E93"/>
    <w:rsid w:val="00FE5CD8"/>
    <w:rsid w:val="00FF2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BEF5"/>
  <w15:chartTrackingRefBased/>
  <w15:docId w15:val="{9201E8C0-6A1D-4088-BFBF-A1093320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E1F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A4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66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0326"/>
    <w:pPr>
      <w:ind w:left="720"/>
      <w:contextualSpacing/>
    </w:pPr>
  </w:style>
  <w:style w:type="character" w:styleId="Hyperlink">
    <w:name w:val="Hyperlink"/>
    <w:basedOn w:val="DefaultParagraphFont"/>
    <w:uiPriority w:val="99"/>
    <w:unhideWhenUsed/>
    <w:rsid w:val="00B13CF2"/>
    <w:rPr>
      <w:color w:val="0563C1" w:themeColor="hyperlink"/>
      <w:u w:val="single"/>
    </w:rPr>
  </w:style>
  <w:style w:type="character" w:styleId="FollowedHyperlink">
    <w:name w:val="FollowedHyperlink"/>
    <w:basedOn w:val="DefaultParagraphFont"/>
    <w:uiPriority w:val="99"/>
    <w:semiHidden/>
    <w:unhideWhenUsed/>
    <w:rsid w:val="00B068B0"/>
    <w:rPr>
      <w:color w:val="954F72" w:themeColor="followedHyperlink"/>
      <w:u w:val="single"/>
    </w:rPr>
  </w:style>
  <w:style w:type="character" w:customStyle="1" w:styleId="ui-provider">
    <w:name w:val="ui-provider"/>
    <w:basedOn w:val="DefaultParagraphFont"/>
    <w:rsid w:val="00F9371F"/>
  </w:style>
  <w:style w:type="character" w:customStyle="1" w:styleId="Heading2Char">
    <w:name w:val="Heading 2 Char"/>
    <w:basedOn w:val="DefaultParagraphFont"/>
    <w:link w:val="Heading2"/>
    <w:uiPriority w:val="9"/>
    <w:rsid w:val="00AE1F9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A4B7D"/>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DF3FD5"/>
    <w:pPr>
      <w:spacing w:after="0" w:line="240" w:lineRule="auto"/>
    </w:pPr>
  </w:style>
  <w:style w:type="table" w:styleId="TableGrid">
    <w:name w:val="Table Grid"/>
    <w:basedOn w:val="TableNormal"/>
    <w:uiPriority w:val="39"/>
    <w:rsid w:val="005E2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50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37518">
      <w:bodyDiv w:val="1"/>
      <w:marLeft w:val="0"/>
      <w:marRight w:val="0"/>
      <w:marTop w:val="0"/>
      <w:marBottom w:val="0"/>
      <w:divBdr>
        <w:top w:val="none" w:sz="0" w:space="0" w:color="auto"/>
        <w:left w:val="none" w:sz="0" w:space="0" w:color="auto"/>
        <w:bottom w:val="none" w:sz="0" w:space="0" w:color="auto"/>
        <w:right w:val="none" w:sz="0" w:space="0" w:color="auto"/>
      </w:divBdr>
    </w:div>
    <w:div w:id="95445221">
      <w:bodyDiv w:val="1"/>
      <w:marLeft w:val="0"/>
      <w:marRight w:val="0"/>
      <w:marTop w:val="0"/>
      <w:marBottom w:val="0"/>
      <w:divBdr>
        <w:top w:val="none" w:sz="0" w:space="0" w:color="auto"/>
        <w:left w:val="none" w:sz="0" w:space="0" w:color="auto"/>
        <w:bottom w:val="none" w:sz="0" w:space="0" w:color="auto"/>
        <w:right w:val="none" w:sz="0" w:space="0" w:color="auto"/>
      </w:divBdr>
    </w:div>
    <w:div w:id="132918405">
      <w:bodyDiv w:val="1"/>
      <w:marLeft w:val="0"/>
      <w:marRight w:val="0"/>
      <w:marTop w:val="0"/>
      <w:marBottom w:val="0"/>
      <w:divBdr>
        <w:top w:val="none" w:sz="0" w:space="0" w:color="auto"/>
        <w:left w:val="none" w:sz="0" w:space="0" w:color="auto"/>
        <w:bottom w:val="none" w:sz="0" w:space="0" w:color="auto"/>
        <w:right w:val="none" w:sz="0" w:space="0" w:color="auto"/>
      </w:divBdr>
    </w:div>
    <w:div w:id="286399662">
      <w:bodyDiv w:val="1"/>
      <w:marLeft w:val="0"/>
      <w:marRight w:val="0"/>
      <w:marTop w:val="0"/>
      <w:marBottom w:val="0"/>
      <w:divBdr>
        <w:top w:val="none" w:sz="0" w:space="0" w:color="auto"/>
        <w:left w:val="none" w:sz="0" w:space="0" w:color="auto"/>
        <w:bottom w:val="none" w:sz="0" w:space="0" w:color="auto"/>
        <w:right w:val="none" w:sz="0" w:space="0" w:color="auto"/>
      </w:divBdr>
    </w:div>
    <w:div w:id="649212227">
      <w:bodyDiv w:val="1"/>
      <w:marLeft w:val="0"/>
      <w:marRight w:val="0"/>
      <w:marTop w:val="0"/>
      <w:marBottom w:val="0"/>
      <w:divBdr>
        <w:top w:val="none" w:sz="0" w:space="0" w:color="auto"/>
        <w:left w:val="none" w:sz="0" w:space="0" w:color="auto"/>
        <w:bottom w:val="none" w:sz="0" w:space="0" w:color="auto"/>
        <w:right w:val="none" w:sz="0" w:space="0" w:color="auto"/>
      </w:divBdr>
    </w:div>
    <w:div w:id="1231841827">
      <w:bodyDiv w:val="1"/>
      <w:marLeft w:val="0"/>
      <w:marRight w:val="0"/>
      <w:marTop w:val="0"/>
      <w:marBottom w:val="0"/>
      <w:divBdr>
        <w:top w:val="none" w:sz="0" w:space="0" w:color="auto"/>
        <w:left w:val="none" w:sz="0" w:space="0" w:color="auto"/>
        <w:bottom w:val="none" w:sz="0" w:space="0" w:color="auto"/>
        <w:right w:val="none" w:sz="0" w:space="0" w:color="auto"/>
      </w:divBdr>
    </w:div>
    <w:div w:id="1233464032">
      <w:bodyDiv w:val="1"/>
      <w:marLeft w:val="0"/>
      <w:marRight w:val="0"/>
      <w:marTop w:val="0"/>
      <w:marBottom w:val="0"/>
      <w:divBdr>
        <w:top w:val="none" w:sz="0" w:space="0" w:color="auto"/>
        <w:left w:val="none" w:sz="0" w:space="0" w:color="auto"/>
        <w:bottom w:val="none" w:sz="0" w:space="0" w:color="auto"/>
        <w:right w:val="none" w:sz="0" w:space="0" w:color="auto"/>
      </w:divBdr>
    </w:div>
    <w:div w:id="1319194093">
      <w:bodyDiv w:val="1"/>
      <w:marLeft w:val="0"/>
      <w:marRight w:val="0"/>
      <w:marTop w:val="0"/>
      <w:marBottom w:val="0"/>
      <w:divBdr>
        <w:top w:val="none" w:sz="0" w:space="0" w:color="auto"/>
        <w:left w:val="none" w:sz="0" w:space="0" w:color="auto"/>
        <w:bottom w:val="none" w:sz="0" w:space="0" w:color="auto"/>
        <w:right w:val="none" w:sz="0" w:space="0" w:color="auto"/>
      </w:divBdr>
    </w:div>
    <w:div w:id="1405446849">
      <w:bodyDiv w:val="1"/>
      <w:marLeft w:val="0"/>
      <w:marRight w:val="0"/>
      <w:marTop w:val="0"/>
      <w:marBottom w:val="0"/>
      <w:divBdr>
        <w:top w:val="none" w:sz="0" w:space="0" w:color="auto"/>
        <w:left w:val="none" w:sz="0" w:space="0" w:color="auto"/>
        <w:bottom w:val="none" w:sz="0" w:space="0" w:color="auto"/>
        <w:right w:val="none" w:sz="0" w:space="0" w:color="auto"/>
      </w:divBdr>
    </w:div>
    <w:div w:id="1648972714">
      <w:bodyDiv w:val="1"/>
      <w:marLeft w:val="0"/>
      <w:marRight w:val="0"/>
      <w:marTop w:val="0"/>
      <w:marBottom w:val="0"/>
      <w:divBdr>
        <w:top w:val="none" w:sz="0" w:space="0" w:color="auto"/>
        <w:left w:val="none" w:sz="0" w:space="0" w:color="auto"/>
        <w:bottom w:val="none" w:sz="0" w:space="0" w:color="auto"/>
        <w:right w:val="none" w:sz="0" w:space="0" w:color="auto"/>
      </w:divBdr>
    </w:div>
    <w:div w:id="1659654969">
      <w:bodyDiv w:val="1"/>
      <w:marLeft w:val="0"/>
      <w:marRight w:val="0"/>
      <w:marTop w:val="0"/>
      <w:marBottom w:val="0"/>
      <w:divBdr>
        <w:top w:val="none" w:sz="0" w:space="0" w:color="auto"/>
        <w:left w:val="none" w:sz="0" w:space="0" w:color="auto"/>
        <w:bottom w:val="none" w:sz="0" w:space="0" w:color="auto"/>
        <w:right w:val="none" w:sz="0" w:space="0" w:color="auto"/>
      </w:divBdr>
    </w:div>
    <w:div w:id="205923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sets.publishing.service.gov.uk/media/5a79ce28ed915d6b1deb379d/The_role_of_Local_Resilience_Forums-_A_reference_document_v2_July_2013.pdf" TargetMode="External"/><Relationship Id="rId18" Type="http://schemas.openxmlformats.org/officeDocument/2006/relationships/hyperlink" Target="https://merseysideprepared.org.uk/media/1053/15mayshortguide.pdf%20%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ssets.publishing.service.gov.uk/media/5f4e1107e90e071c6c7d940c/NRS_for_LRFs_V3.0__Aug2020.pdf" TargetMode="External"/><Relationship Id="rId7" Type="http://schemas.openxmlformats.org/officeDocument/2006/relationships/image" Target="media/image2.png"/><Relationship Id="rId12" Type="http://schemas.openxmlformats.org/officeDocument/2006/relationships/hyperlink" Target="https://www.hse.gov.uk/comah/background/comah15.htm" TargetMode="External"/><Relationship Id="rId17" Type="http://schemas.openxmlformats.org/officeDocument/2006/relationships/hyperlink" Target="https://assets.publishing.service.gov.uk/media/6283a1a6d3bf7f1f3ef4838d/cca-pir-2022.pdf%20" TargetMode="External"/><Relationship Id="rId25" Type="http://schemas.openxmlformats.org/officeDocument/2006/relationships/hyperlink" Target="https://assets.publishing.service.gov.uk/media/5a7966a1e5274a2acd18c88d/wales_concordat.pdf" TargetMode="External"/><Relationship Id="rId2" Type="http://schemas.openxmlformats.org/officeDocument/2006/relationships/numbering" Target="numbering.xml"/><Relationship Id="rId16" Type="http://schemas.openxmlformats.org/officeDocument/2006/relationships/hyperlink" Target="https://assets.publishing.service.gov.uk/media/5a7c7728e5274a559005a0de/Expectation_and_Indicators_of_Good_Practice_Set_for_category_1_2_Responders.pdf" TargetMode="External"/><Relationship Id="rId20" Type="http://schemas.openxmlformats.org/officeDocument/2006/relationships/hyperlink" Target="https://www.gov.uk/government/publications/emergency-preparednes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llcatsrgrey.org.uk/wp/download/governance/kerslake_arena_review_printed_final.pdf" TargetMode="External"/><Relationship Id="rId24" Type="http://schemas.openxmlformats.org/officeDocument/2006/relationships/hyperlink" Target="https://www.legislation.gov.uk/uksi/2018/644/data.xht?view=snippet&amp;wrap=true" TargetMode="External"/><Relationship Id="rId5" Type="http://schemas.openxmlformats.org/officeDocument/2006/relationships/webSettings" Target="webSettings.xml"/><Relationship Id="rId15" Type="http://schemas.openxmlformats.org/officeDocument/2006/relationships/hyperlink" Target="https://www.gov.uk/government/publications/emergency-response-and-recovery" TargetMode="External"/><Relationship Id="rId23" Type="http://schemas.openxmlformats.org/officeDocument/2006/relationships/hyperlink" Target="https://www.jesip.org.uk/wp-content/uploads/2022/03/JESIP_Workforce_Survey_2_Execu.pdf" TargetMode="External"/><Relationship Id="rId10" Type="http://schemas.openxmlformats.org/officeDocument/2006/relationships/hyperlink" Target="https://www.college.police.uk/app/critical-incident-management/introduction-and-types-critical-incidents%23:~:text=A%20critical%20incident%20(CI)%20is,family%20and%2For%20the%20community.%20%20" TargetMode="External"/><Relationship Id="rId19" Type="http://schemas.openxmlformats.org/officeDocument/2006/relationships/hyperlink" Target="https://www.legislation.gov.uk/ukpga/2004/36/contents" TargetMode="External"/><Relationship Id="rId4" Type="http://schemas.openxmlformats.org/officeDocument/2006/relationships/settings" Target="settings.xml"/><Relationship Id="rId9" Type="http://schemas.openxmlformats.org/officeDocument/2006/relationships/hyperlink" Target="https://www.gov.wales/written-statement-transfer-executive-functions-under-part-1-civil-contingencies-act-2004" TargetMode="External"/><Relationship Id="rId14" Type="http://schemas.openxmlformats.org/officeDocument/2006/relationships/hyperlink" Target="https://www.gov.uk/guidance/preparation-and-planning-for-emergencies-the-capabilities-programme" TargetMode="External"/><Relationship Id="rId22" Type="http://schemas.openxmlformats.org/officeDocument/2006/relationships/hyperlink" Target="https://assets.publishing.service.gov.uk/government/uploads/system/uploads/attachment_data/file/1175834/2023_NATIONAL_RISK_REGISTER_NRR.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FB239-4631-48DB-8ABC-E150C3234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7769</Words>
  <Characters>44285</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51951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Clarke</dc:creator>
  <cp:keywords/>
  <dc:description/>
  <cp:lastModifiedBy>Patrick Rees</cp:lastModifiedBy>
  <cp:revision>2</cp:revision>
  <dcterms:created xsi:type="dcterms:W3CDTF">2023-12-05T17:27:00Z</dcterms:created>
  <dcterms:modified xsi:type="dcterms:W3CDTF">2023-12-05T17:27:00Z</dcterms:modified>
</cp:coreProperties>
</file>