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kern w:val="2"/>
          <w:sz w:val="24"/>
          <w:szCs w:val="24"/>
          <w14:ligatures w14:val="standardContextual"/>
        </w:rPr>
        <w:id w:val="499703955"/>
        <w:docPartObj>
          <w:docPartGallery w:val="Cover Pages"/>
          <w:docPartUnique/>
        </w:docPartObj>
      </w:sdtPr>
      <w:sdtEndPr>
        <w:rPr>
          <w:rFonts w:cs="Times New Roman"/>
        </w:rPr>
      </w:sdtEndPr>
      <w:sdtContent>
        <w:p w14:paraId="3BEA6ABA" w14:textId="120D657F" w:rsidR="00CE35A5" w:rsidRDefault="002636DD">
          <w:pPr>
            <w:pStyle w:val="NoSpacing"/>
          </w:pPr>
          <w:r>
            <w:rPr>
              <w:noProof/>
              <w14:ligatures w14:val="standardContextual"/>
            </w:rPr>
            <w:drawing>
              <wp:inline distT="0" distB="0" distL="0" distR="0" wp14:anchorId="70941E67" wp14:editId="66FD9FC6">
                <wp:extent cx="5200650" cy="2009775"/>
                <wp:effectExtent l="0" t="0" r="0" b="9525"/>
                <wp:docPr id="182883668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836684" name="Picture 1"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00650" cy="2009775"/>
                        </a:xfrm>
                        <a:prstGeom prst="rect">
                          <a:avLst/>
                        </a:prstGeom>
                      </pic:spPr>
                    </pic:pic>
                  </a:graphicData>
                </a:graphic>
              </wp:inline>
            </w:drawing>
          </w:r>
        </w:p>
        <w:p w14:paraId="2A5DA808" w14:textId="26FB79F4" w:rsidR="00CE35A5" w:rsidRPr="00782053" w:rsidRDefault="002636DD" w:rsidP="00782053">
          <w:pPr>
            <w:rPr>
              <w:rFonts w:cs="Times New Roman"/>
            </w:rPr>
          </w:pPr>
          <w:r>
            <w:rPr>
              <w:noProof/>
            </w:rPr>
            <mc:AlternateContent>
              <mc:Choice Requires="wps">
                <w:drawing>
                  <wp:anchor distT="0" distB="0" distL="114300" distR="114300" simplePos="0" relativeHeight="251660288" behindDoc="0" locked="0" layoutInCell="1" allowOverlap="1" wp14:anchorId="26679FA9" wp14:editId="7F90179A">
                    <wp:simplePos x="0" y="0"/>
                    <wp:positionH relativeFrom="margin">
                      <wp:align>left</wp:align>
                    </wp:positionH>
                    <wp:positionV relativeFrom="margin">
                      <wp:align>center</wp:align>
                    </wp:positionV>
                    <wp:extent cx="4667250" cy="3443605"/>
                    <wp:effectExtent l="0" t="0" r="0" b="4445"/>
                    <wp:wrapNone/>
                    <wp:docPr id="1" name="Text Box 30"/>
                    <wp:cNvGraphicFramePr/>
                    <a:graphic xmlns:a="http://schemas.openxmlformats.org/drawingml/2006/main">
                      <a:graphicData uri="http://schemas.microsoft.com/office/word/2010/wordprocessingShape">
                        <wps:wsp>
                          <wps:cNvSpPr txBox="1"/>
                          <wps:spPr>
                            <a:xfrm>
                              <a:off x="0" y="0"/>
                              <a:ext cx="4667250" cy="3443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8B99CA" w14:textId="77777777" w:rsidR="00F84580" w:rsidRPr="00F84580" w:rsidRDefault="00F84580" w:rsidP="00F84580">
                                <w:pPr>
                                  <w:pStyle w:val="NoSpacing"/>
                                  <w:jc w:val="center"/>
                                  <w:rPr>
                                    <w:rFonts w:ascii="Times New Roman" w:eastAsiaTheme="majorEastAsia" w:hAnsi="Times New Roman" w:cs="Times New Roman"/>
                                    <w:b/>
                                    <w:bCs/>
                                    <w:color w:val="262626" w:themeColor="text1" w:themeTint="D9"/>
                                    <w:sz w:val="52"/>
                                    <w:szCs w:val="52"/>
                                  </w:rPr>
                                </w:pPr>
                              </w:p>
                              <w:p w14:paraId="20665A5B" w14:textId="0231B68D" w:rsidR="00CE35A5" w:rsidRPr="002636DD" w:rsidRDefault="00F84580" w:rsidP="002636DD">
                                <w:pPr>
                                  <w:pStyle w:val="NoSpacing"/>
                                  <w:jc w:val="center"/>
                                  <w:rPr>
                                    <w:rFonts w:ascii="Times New Roman" w:eastAsiaTheme="majorEastAsia" w:hAnsi="Times New Roman" w:cs="Times New Roman"/>
                                    <w:b/>
                                    <w:bCs/>
                                    <w:color w:val="262626" w:themeColor="text1" w:themeTint="D9"/>
                                    <w:sz w:val="52"/>
                                    <w:szCs w:val="52"/>
                                  </w:rPr>
                                </w:pPr>
                                <w:r w:rsidRPr="00F84580">
                                  <w:rPr>
                                    <w:rFonts w:ascii="Times New Roman" w:eastAsiaTheme="majorEastAsia" w:hAnsi="Times New Roman" w:cs="Times New Roman"/>
                                    <w:b/>
                                    <w:bCs/>
                                    <w:color w:val="262626" w:themeColor="text1" w:themeTint="D9"/>
                                    <w:sz w:val="52"/>
                                    <w:szCs w:val="52"/>
                                  </w:rPr>
                                  <w:t>Essa</w:t>
                                </w:r>
                                <w:r w:rsidR="002636DD">
                                  <w:rPr>
                                    <w:rFonts w:ascii="Times New Roman" w:eastAsiaTheme="majorEastAsia" w:hAnsi="Times New Roman" w:cs="Times New Roman"/>
                                    <w:b/>
                                    <w:bCs/>
                                    <w:color w:val="262626" w:themeColor="text1" w:themeTint="D9"/>
                                    <w:sz w:val="52"/>
                                    <w:szCs w:val="52"/>
                                  </w:rPr>
                                  <w:t>y</w:t>
                                </w:r>
                              </w:p>
                              <w:p w14:paraId="05EBA2ED" w14:textId="77777777" w:rsidR="00CE35A5" w:rsidRDefault="00CE35A5" w:rsidP="00CE35A5">
                                <w:pPr>
                                  <w:pStyle w:val="NoSpacing"/>
                                  <w:jc w:val="center"/>
                                  <w:rPr>
                                    <w:rFonts w:ascii="Times New Roman" w:eastAsiaTheme="majorEastAsia" w:hAnsi="Times New Roman" w:cs="Times New Roman"/>
                                    <w:color w:val="262626" w:themeColor="text1" w:themeTint="D9"/>
                                    <w:sz w:val="72"/>
                                  </w:rPr>
                                </w:pPr>
                              </w:p>
                              <w:p w14:paraId="1C565E22" w14:textId="77777777" w:rsidR="00CE35A5" w:rsidRPr="00CE35A5" w:rsidRDefault="00CE35A5" w:rsidP="00CE35A5">
                                <w:pPr>
                                  <w:pStyle w:val="NoSpacing"/>
                                  <w:jc w:val="center"/>
                                  <w:rPr>
                                    <w:rFonts w:ascii="Times New Roman" w:eastAsiaTheme="majorEastAsia" w:hAnsi="Times New Roman" w:cs="Times New Roman"/>
                                    <w:color w:val="262626" w:themeColor="text1" w:themeTint="D9"/>
                                    <w:sz w:val="72"/>
                                  </w:rPr>
                                </w:pPr>
                              </w:p>
                              <w:p w14:paraId="7FE467C4" w14:textId="6CAD4803" w:rsidR="00CE35A5" w:rsidRPr="002636DD" w:rsidRDefault="00CE35A5" w:rsidP="002636DD">
                                <w:pPr>
                                  <w:pStyle w:val="NoSpacing"/>
                                  <w:rPr>
                                    <w:rFonts w:ascii="Times New Roman" w:eastAsiaTheme="majorEastAsia" w:hAnsi="Times New Roman" w:cs="Times New Roman"/>
                                    <w:b/>
                                    <w:bCs/>
                                    <w:i/>
                                    <w:iCs/>
                                    <w:color w:val="262626" w:themeColor="text1" w:themeTint="D9"/>
                                    <w:sz w:val="32"/>
                                    <w:szCs w:val="32"/>
                                    <w:u w:val="single"/>
                                  </w:rPr>
                                </w:pPr>
                                <w:r w:rsidRPr="002636DD">
                                  <w:rPr>
                                    <w:rFonts w:ascii="Times New Roman" w:eastAsiaTheme="majorEastAsia" w:hAnsi="Times New Roman" w:cs="Times New Roman"/>
                                    <w:b/>
                                    <w:bCs/>
                                    <w:i/>
                                    <w:iCs/>
                                    <w:color w:val="262626" w:themeColor="text1" w:themeTint="D9"/>
                                    <w:sz w:val="32"/>
                                    <w:szCs w:val="32"/>
                                    <w:u w:val="single"/>
                                  </w:rPr>
                                  <w:t>Student name:</w:t>
                                </w:r>
                                <w:r w:rsidR="002636DD" w:rsidRPr="002636DD">
                                  <w:rPr>
                                    <w:rFonts w:ascii="Times New Roman" w:eastAsiaTheme="majorEastAsia" w:hAnsi="Times New Roman" w:cs="Times New Roman"/>
                                    <w:b/>
                                    <w:bCs/>
                                    <w:i/>
                                    <w:iCs/>
                                    <w:color w:val="262626" w:themeColor="text1" w:themeTint="D9"/>
                                    <w:sz w:val="32"/>
                                    <w:szCs w:val="32"/>
                                    <w:u w:val="single"/>
                                  </w:rPr>
                                  <w:t xml:space="preserve"> </w:t>
                                </w:r>
                                <w:proofErr w:type="spellStart"/>
                                <w:r w:rsidR="002636DD" w:rsidRPr="002636DD">
                                  <w:rPr>
                                    <w:rFonts w:ascii="Times New Roman" w:eastAsiaTheme="majorEastAsia" w:hAnsi="Times New Roman" w:cs="Times New Roman"/>
                                    <w:b/>
                                    <w:bCs/>
                                    <w:i/>
                                    <w:iCs/>
                                    <w:color w:val="262626" w:themeColor="text1" w:themeTint="D9"/>
                                    <w:sz w:val="32"/>
                                    <w:szCs w:val="32"/>
                                    <w:u w:val="single"/>
                                  </w:rPr>
                                  <w:t>AnaMaria</w:t>
                                </w:r>
                                <w:proofErr w:type="spellEnd"/>
                                <w:r w:rsidR="002636DD" w:rsidRPr="002636DD">
                                  <w:rPr>
                                    <w:rFonts w:ascii="Times New Roman" w:eastAsiaTheme="majorEastAsia" w:hAnsi="Times New Roman" w:cs="Times New Roman"/>
                                    <w:b/>
                                    <w:bCs/>
                                    <w:i/>
                                    <w:iCs/>
                                    <w:color w:val="262626" w:themeColor="text1" w:themeTint="D9"/>
                                    <w:sz w:val="32"/>
                                    <w:szCs w:val="32"/>
                                    <w:u w:val="single"/>
                                  </w:rPr>
                                  <w:t xml:space="preserve">-Doris Andrita </w:t>
                                </w:r>
                              </w:p>
                              <w:p w14:paraId="564AFA9D" w14:textId="4F20BB10" w:rsidR="00CE35A5" w:rsidRDefault="00CE35A5" w:rsidP="002636DD">
                                <w:pPr>
                                  <w:pStyle w:val="NoSpacing"/>
                                  <w:rPr>
                                    <w:rFonts w:ascii="Times New Roman" w:eastAsiaTheme="majorEastAsia" w:hAnsi="Times New Roman" w:cs="Times New Roman"/>
                                    <w:b/>
                                    <w:bCs/>
                                    <w:i/>
                                    <w:iCs/>
                                    <w:color w:val="262626" w:themeColor="text1" w:themeTint="D9"/>
                                    <w:sz w:val="32"/>
                                    <w:szCs w:val="32"/>
                                    <w:u w:val="single"/>
                                  </w:rPr>
                                </w:pPr>
                                <w:r w:rsidRPr="002636DD">
                                  <w:rPr>
                                    <w:rFonts w:ascii="Times New Roman" w:eastAsiaTheme="majorEastAsia" w:hAnsi="Times New Roman" w:cs="Times New Roman"/>
                                    <w:b/>
                                    <w:bCs/>
                                    <w:i/>
                                    <w:iCs/>
                                    <w:color w:val="262626" w:themeColor="text1" w:themeTint="D9"/>
                                    <w:sz w:val="32"/>
                                    <w:szCs w:val="32"/>
                                    <w:u w:val="single"/>
                                  </w:rPr>
                                  <w:t>Student ID:</w:t>
                                </w:r>
                                <w:r w:rsidR="002636DD" w:rsidRPr="002636DD">
                                  <w:rPr>
                                    <w:rFonts w:ascii="Times New Roman" w:eastAsiaTheme="majorEastAsia" w:hAnsi="Times New Roman" w:cs="Times New Roman"/>
                                    <w:b/>
                                    <w:bCs/>
                                    <w:i/>
                                    <w:iCs/>
                                    <w:color w:val="262626" w:themeColor="text1" w:themeTint="D9"/>
                                    <w:sz w:val="32"/>
                                    <w:szCs w:val="32"/>
                                    <w:u w:val="single"/>
                                  </w:rPr>
                                  <w:t xml:space="preserve"> 2241033</w:t>
                                </w:r>
                              </w:p>
                              <w:p w14:paraId="116BAE98" w14:textId="64552394" w:rsidR="00EA1380" w:rsidRPr="002636DD" w:rsidRDefault="00EA1380" w:rsidP="002636DD">
                                <w:pPr>
                                  <w:pStyle w:val="NoSpacing"/>
                                  <w:rPr>
                                    <w:rFonts w:ascii="Times New Roman" w:eastAsiaTheme="majorEastAsia" w:hAnsi="Times New Roman" w:cs="Times New Roman"/>
                                    <w:b/>
                                    <w:bCs/>
                                    <w:i/>
                                    <w:iCs/>
                                    <w:color w:val="262626" w:themeColor="text1" w:themeTint="D9"/>
                                    <w:sz w:val="32"/>
                                    <w:szCs w:val="32"/>
                                    <w:u w:val="single"/>
                                  </w:rPr>
                                </w:pPr>
                                <w:r>
                                  <w:rPr>
                                    <w:rFonts w:ascii="Times New Roman" w:eastAsiaTheme="majorEastAsia" w:hAnsi="Times New Roman" w:cs="Times New Roman"/>
                                    <w:b/>
                                    <w:bCs/>
                                    <w:i/>
                                    <w:iCs/>
                                    <w:color w:val="262626" w:themeColor="text1" w:themeTint="D9"/>
                                    <w:sz w:val="32"/>
                                    <w:szCs w:val="32"/>
                                    <w:u w:val="single"/>
                                  </w:rPr>
                                  <w:t xml:space="preserve">Module: </w:t>
                                </w:r>
                                <w:r w:rsidR="00A0701A">
                                  <w:rPr>
                                    <w:rFonts w:ascii="Times New Roman" w:eastAsiaTheme="majorEastAsia" w:hAnsi="Times New Roman" w:cs="Times New Roman"/>
                                    <w:b/>
                                    <w:bCs/>
                                    <w:i/>
                                    <w:iCs/>
                                    <w:color w:val="262626" w:themeColor="text1" w:themeTint="D9"/>
                                    <w:sz w:val="32"/>
                                    <w:szCs w:val="32"/>
                                    <w:u w:val="single"/>
                                  </w:rPr>
                                  <w:t>LCBB5004</w:t>
                                </w:r>
                              </w:p>
                              <w:p w14:paraId="0446634D" w14:textId="4080A9C2" w:rsidR="00CE35A5" w:rsidRDefault="00CE35A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6679FA9" id="_x0000_t202" coordsize="21600,21600" o:spt="202" path="m,l,21600r21600,l21600,xe">
                    <v:stroke joinstyle="miter"/>
                    <v:path gradientshapeok="t" o:connecttype="rect"/>
                  </v:shapetype>
                  <v:shape id="Text Box 30" o:spid="_x0000_s1026" type="#_x0000_t202" style="position:absolute;left:0;text-align:left;margin-left:0;margin-top:0;width:367.5pt;height:271.15pt;z-index:251660288;visibility:visible;mso-wrap-style:square;mso-width-percent:0;mso-height-percent:0;mso-wrap-distance-left:9pt;mso-wrap-distance-top:0;mso-wrap-distance-right:9pt;mso-wrap-distance-bottom:0;mso-position-horizontal:left;mso-position-horizontal-relative:margin;mso-position-vertical:center;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" filled="f" stroked="f" strokeweight=".5pt">
                    <v:textbox inset="0,0,0,0">
                      <w:txbxContent>
                        <w:p w14:paraId="5C8B99CA" w14:textId="77777777" w:rsidR="00F84580" w:rsidRPr="00F84580" w:rsidRDefault="00F84580" w:rsidP="00F84580">
                          <w:pPr>
                            <w:pStyle w:val="NoSpacing"/>
                            <w:jc w:val="center"/>
                            <w:rPr>
                              <w:rFonts w:ascii="Times New Roman" w:eastAsiaTheme="majorEastAsia" w:hAnsi="Times New Roman" w:cs="Times New Roman"/>
                              <w:b/>
                              <w:bCs/>
                              <w:color w:val="262626" w:themeColor="text1" w:themeTint="D9"/>
                              <w:sz w:val="52"/>
                              <w:szCs w:val="52"/>
                            </w:rPr>
                          </w:pPr>
                        </w:p>
                        <w:p w14:paraId="20665A5B" w14:textId="0231B68D" w:rsidR="00CE35A5" w:rsidRPr="002636DD" w:rsidRDefault="00F84580" w:rsidP="002636DD">
                          <w:pPr>
                            <w:pStyle w:val="NoSpacing"/>
                            <w:jc w:val="center"/>
                            <w:rPr>
                              <w:rFonts w:ascii="Times New Roman" w:eastAsiaTheme="majorEastAsia" w:hAnsi="Times New Roman" w:cs="Times New Roman"/>
                              <w:b/>
                              <w:bCs/>
                              <w:color w:val="262626" w:themeColor="text1" w:themeTint="D9"/>
                              <w:sz w:val="52"/>
                              <w:szCs w:val="52"/>
                            </w:rPr>
                          </w:pPr>
                          <w:r w:rsidRPr="00F84580">
                            <w:rPr>
                              <w:rFonts w:ascii="Times New Roman" w:eastAsiaTheme="majorEastAsia" w:hAnsi="Times New Roman" w:cs="Times New Roman"/>
                              <w:b/>
                              <w:bCs/>
                              <w:color w:val="262626" w:themeColor="text1" w:themeTint="D9"/>
                              <w:sz w:val="52"/>
                              <w:szCs w:val="52"/>
                            </w:rPr>
                            <w:t>Essa</w:t>
                          </w:r>
                          <w:r w:rsidR="002636DD">
                            <w:rPr>
                              <w:rFonts w:ascii="Times New Roman" w:eastAsiaTheme="majorEastAsia" w:hAnsi="Times New Roman" w:cs="Times New Roman"/>
                              <w:b/>
                              <w:bCs/>
                              <w:color w:val="262626" w:themeColor="text1" w:themeTint="D9"/>
                              <w:sz w:val="52"/>
                              <w:szCs w:val="52"/>
                            </w:rPr>
                            <w:t>y</w:t>
                          </w:r>
                        </w:p>
                        <w:p w14:paraId="05EBA2ED" w14:textId="77777777" w:rsidR="00CE35A5" w:rsidRDefault="00CE35A5" w:rsidP="00CE35A5">
                          <w:pPr>
                            <w:pStyle w:val="NoSpacing"/>
                            <w:jc w:val="center"/>
                            <w:rPr>
                              <w:rFonts w:ascii="Times New Roman" w:eastAsiaTheme="majorEastAsia" w:hAnsi="Times New Roman" w:cs="Times New Roman"/>
                              <w:color w:val="262626" w:themeColor="text1" w:themeTint="D9"/>
                              <w:sz w:val="72"/>
                            </w:rPr>
                          </w:pPr>
                        </w:p>
                        <w:p w14:paraId="1C565E22" w14:textId="77777777" w:rsidR="00CE35A5" w:rsidRPr="00CE35A5" w:rsidRDefault="00CE35A5" w:rsidP="00CE35A5">
                          <w:pPr>
                            <w:pStyle w:val="NoSpacing"/>
                            <w:jc w:val="center"/>
                            <w:rPr>
                              <w:rFonts w:ascii="Times New Roman" w:eastAsiaTheme="majorEastAsia" w:hAnsi="Times New Roman" w:cs="Times New Roman"/>
                              <w:color w:val="262626" w:themeColor="text1" w:themeTint="D9"/>
                              <w:sz w:val="72"/>
                            </w:rPr>
                          </w:pPr>
                        </w:p>
                        <w:p w14:paraId="7FE467C4" w14:textId="6CAD4803" w:rsidR="00CE35A5" w:rsidRPr="002636DD" w:rsidRDefault="00CE35A5" w:rsidP="002636DD">
                          <w:pPr>
                            <w:pStyle w:val="NoSpacing"/>
                            <w:rPr>
                              <w:rFonts w:ascii="Times New Roman" w:eastAsiaTheme="majorEastAsia" w:hAnsi="Times New Roman" w:cs="Times New Roman"/>
                              <w:b/>
                              <w:bCs/>
                              <w:i/>
                              <w:iCs/>
                              <w:color w:val="262626" w:themeColor="text1" w:themeTint="D9"/>
                              <w:sz w:val="32"/>
                              <w:szCs w:val="32"/>
                              <w:u w:val="single"/>
                            </w:rPr>
                          </w:pPr>
                          <w:r w:rsidRPr="002636DD">
                            <w:rPr>
                              <w:rFonts w:ascii="Times New Roman" w:eastAsiaTheme="majorEastAsia" w:hAnsi="Times New Roman" w:cs="Times New Roman"/>
                              <w:b/>
                              <w:bCs/>
                              <w:i/>
                              <w:iCs/>
                              <w:color w:val="262626" w:themeColor="text1" w:themeTint="D9"/>
                              <w:sz w:val="32"/>
                              <w:szCs w:val="32"/>
                              <w:u w:val="single"/>
                            </w:rPr>
                            <w:t>Student name:</w:t>
                          </w:r>
                          <w:r w:rsidR="002636DD" w:rsidRPr="002636DD">
                            <w:rPr>
                              <w:rFonts w:ascii="Times New Roman" w:eastAsiaTheme="majorEastAsia" w:hAnsi="Times New Roman" w:cs="Times New Roman"/>
                              <w:b/>
                              <w:bCs/>
                              <w:i/>
                              <w:iCs/>
                              <w:color w:val="262626" w:themeColor="text1" w:themeTint="D9"/>
                              <w:sz w:val="32"/>
                              <w:szCs w:val="32"/>
                              <w:u w:val="single"/>
                            </w:rPr>
                            <w:t xml:space="preserve"> </w:t>
                          </w:r>
                          <w:proofErr w:type="spellStart"/>
                          <w:r w:rsidR="002636DD" w:rsidRPr="002636DD">
                            <w:rPr>
                              <w:rFonts w:ascii="Times New Roman" w:eastAsiaTheme="majorEastAsia" w:hAnsi="Times New Roman" w:cs="Times New Roman"/>
                              <w:b/>
                              <w:bCs/>
                              <w:i/>
                              <w:iCs/>
                              <w:color w:val="262626" w:themeColor="text1" w:themeTint="D9"/>
                              <w:sz w:val="32"/>
                              <w:szCs w:val="32"/>
                              <w:u w:val="single"/>
                            </w:rPr>
                            <w:t>AnaMaria</w:t>
                          </w:r>
                          <w:proofErr w:type="spellEnd"/>
                          <w:r w:rsidR="002636DD" w:rsidRPr="002636DD">
                            <w:rPr>
                              <w:rFonts w:ascii="Times New Roman" w:eastAsiaTheme="majorEastAsia" w:hAnsi="Times New Roman" w:cs="Times New Roman"/>
                              <w:b/>
                              <w:bCs/>
                              <w:i/>
                              <w:iCs/>
                              <w:color w:val="262626" w:themeColor="text1" w:themeTint="D9"/>
                              <w:sz w:val="32"/>
                              <w:szCs w:val="32"/>
                              <w:u w:val="single"/>
                            </w:rPr>
                            <w:t xml:space="preserve">-Doris Andrita </w:t>
                          </w:r>
                        </w:p>
                        <w:p w14:paraId="564AFA9D" w14:textId="4F20BB10" w:rsidR="00CE35A5" w:rsidRDefault="00CE35A5" w:rsidP="002636DD">
                          <w:pPr>
                            <w:pStyle w:val="NoSpacing"/>
                            <w:rPr>
                              <w:rFonts w:ascii="Times New Roman" w:eastAsiaTheme="majorEastAsia" w:hAnsi="Times New Roman" w:cs="Times New Roman"/>
                              <w:b/>
                              <w:bCs/>
                              <w:i/>
                              <w:iCs/>
                              <w:color w:val="262626" w:themeColor="text1" w:themeTint="D9"/>
                              <w:sz w:val="32"/>
                              <w:szCs w:val="32"/>
                              <w:u w:val="single"/>
                            </w:rPr>
                          </w:pPr>
                          <w:r w:rsidRPr="002636DD">
                            <w:rPr>
                              <w:rFonts w:ascii="Times New Roman" w:eastAsiaTheme="majorEastAsia" w:hAnsi="Times New Roman" w:cs="Times New Roman"/>
                              <w:b/>
                              <w:bCs/>
                              <w:i/>
                              <w:iCs/>
                              <w:color w:val="262626" w:themeColor="text1" w:themeTint="D9"/>
                              <w:sz w:val="32"/>
                              <w:szCs w:val="32"/>
                              <w:u w:val="single"/>
                            </w:rPr>
                            <w:t>Student ID:</w:t>
                          </w:r>
                          <w:r w:rsidR="002636DD" w:rsidRPr="002636DD">
                            <w:rPr>
                              <w:rFonts w:ascii="Times New Roman" w:eastAsiaTheme="majorEastAsia" w:hAnsi="Times New Roman" w:cs="Times New Roman"/>
                              <w:b/>
                              <w:bCs/>
                              <w:i/>
                              <w:iCs/>
                              <w:color w:val="262626" w:themeColor="text1" w:themeTint="D9"/>
                              <w:sz w:val="32"/>
                              <w:szCs w:val="32"/>
                              <w:u w:val="single"/>
                            </w:rPr>
                            <w:t xml:space="preserve"> 2241033</w:t>
                          </w:r>
                        </w:p>
                        <w:p w14:paraId="116BAE98" w14:textId="64552394" w:rsidR="00EA1380" w:rsidRPr="002636DD" w:rsidRDefault="00EA1380" w:rsidP="002636DD">
                          <w:pPr>
                            <w:pStyle w:val="NoSpacing"/>
                            <w:rPr>
                              <w:rFonts w:ascii="Times New Roman" w:eastAsiaTheme="majorEastAsia" w:hAnsi="Times New Roman" w:cs="Times New Roman"/>
                              <w:b/>
                              <w:bCs/>
                              <w:i/>
                              <w:iCs/>
                              <w:color w:val="262626" w:themeColor="text1" w:themeTint="D9"/>
                              <w:sz w:val="32"/>
                              <w:szCs w:val="32"/>
                              <w:u w:val="single"/>
                            </w:rPr>
                          </w:pPr>
                          <w:r>
                            <w:rPr>
                              <w:rFonts w:ascii="Times New Roman" w:eastAsiaTheme="majorEastAsia" w:hAnsi="Times New Roman" w:cs="Times New Roman"/>
                              <w:b/>
                              <w:bCs/>
                              <w:i/>
                              <w:iCs/>
                              <w:color w:val="262626" w:themeColor="text1" w:themeTint="D9"/>
                              <w:sz w:val="32"/>
                              <w:szCs w:val="32"/>
                              <w:u w:val="single"/>
                            </w:rPr>
                            <w:t xml:space="preserve">Module: </w:t>
                          </w:r>
                          <w:r w:rsidR="00A0701A">
                            <w:rPr>
                              <w:rFonts w:ascii="Times New Roman" w:eastAsiaTheme="majorEastAsia" w:hAnsi="Times New Roman" w:cs="Times New Roman"/>
                              <w:b/>
                              <w:bCs/>
                              <w:i/>
                              <w:iCs/>
                              <w:color w:val="262626" w:themeColor="text1" w:themeTint="D9"/>
                              <w:sz w:val="32"/>
                              <w:szCs w:val="32"/>
                              <w:u w:val="single"/>
                            </w:rPr>
                            <w:t>LCBB5004</w:t>
                          </w:r>
                        </w:p>
                        <w:p w14:paraId="0446634D" w14:textId="4080A9C2" w:rsidR="00CE35A5" w:rsidRDefault="00CE35A5">
                          <w:pPr>
                            <w:spacing w:before="120"/>
                            <w:rPr>
                              <w:color w:val="404040" w:themeColor="text1" w:themeTint="BF"/>
                              <w:sz w:val="36"/>
                              <w:szCs w:val="36"/>
                            </w:rPr>
                          </w:pPr>
                        </w:p>
                      </w:txbxContent>
                    </v:textbox>
                    <w10:wrap anchorx="margin" anchory="margin"/>
                  </v:shape>
                </w:pict>
              </mc:Fallback>
            </mc:AlternateContent>
          </w:r>
          <w:r w:rsidR="00782053">
            <w:rPr>
              <w:rFonts w:cs="Times New Roman"/>
            </w:rPr>
            <w:br w:type="page"/>
          </w:r>
        </w:p>
      </w:sdtContent>
    </w:sdt>
    <w:sdt>
      <w:sdtPr>
        <w:rPr>
          <w:rFonts w:ascii="Times New Roman" w:eastAsiaTheme="minorHAnsi" w:hAnsi="Times New Roman" w:cs="Times New Roman"/>
          <w:color w:val="auto"/>
          <w:kern w:val="2"/>
          <w:sz w:val="24"/>
          <w:szCs w:val="24"/>
          <w14:ligatures w14:val="standardContextual"/>
        </w:rPr>
        <w:id w:val="214165469"/>
        <w:docPartObj>
          <w:docPartGallery w:val="Table of Contents"/>
          <w:docPartUnique/>
        </w:docPartObj>
      </w:sdtPr>
      <w:sdtEndPr>
        <w:rPr>
          <w:b/>
          <w:bCs/>
          <w:noProof/>
        </w:rPr>
      </w:sdtEndPr>
      <w:sdtContent>
        <w:p w14:paraId="1F480C0D" w14:textId="0845A36D" w:rsidR="00F44DA6" w:rsidRPr="00F44DA6" w:rsidRDefault="00CE35A5" w:rsidP="00F44DA6">
          <w:pPr>
            <w:pStyle w:val="TOCHeading"/>
            <w:spacing w:line="360" w:lineRule="auto"/>
            <w:rPr>
              <w:rFonts w:ascii="Times New Roman" w:hAnsi="Times New Roman" w:cs="Times New Roman"/>
              <w:b/>
              <w:bCs/>
            </w:rPr>
          </w:pPr>
          <w:r w:rsidRPr="00CE35A5">
            <w:rPr>
              <w:rFonts w:ascii="Times New Roman" w:hAnsi="Times New Roman" w:cs="Times New Roman"/>
              <w:b/>
              <w:bCs/>
            </w:rPr>
            <w:t>Contents</w:t>
          </w:r>
        </w:p>
        <w:p w14:paraId="7412673E" w14:textId="6F0958AE" w:rsidR="00A0701A" w:rsidRDefault="00CE35A5">
          <w:pPr>
            <w:pStyle w:val="TOC1"/>
            <w:tabs>
              <w:tab w:val="right" w:leader="dot" w:pos="9350"/>
            </w:tabs>
            <w:rPr>
              <w:rFonts w:asciiTheme="minorHAnsi" w:eastAsiaTheme="minorEastAsia" w:hAnsiTheme="minorHAnsi"/>
              <w:noProof/>
            </w:rPr>
          </w:pPr>
          <w:r w:rsidRPr="00CE35A5">
            <w:rPr>
              <w:rFonts w:cs="Times New Roman"/>
            </w:rPr>
            <w:fldChar w:fldCharType="begin"/>
          </w:r>
          <w:r w:rsidRPr="00CE35A5">
            <w:rPr>
              <w:rFonts w:cs="Times New Roman"/>
            </w:rPr>
            <w:instrText xml:space="preserve"> TOC \o "1-3" \h \z \u </w:instrText>
          </w:r>
          <w:r w:rsidRPr="00CE35A5">
            <w:rPr>
              <w:rFonts w:cs="Times New Roman"/>
            </w:rPr>
            <w:fldChar w:fldCharType="separate"/>
          </w:r>
          <w:hyperlink w:anchor="_Toc197090562" w:history="1">
            <w:r w:rsidR="00A0701A" w:rsidRPr="00677A68">
              <w:rPr>
                <w:rStyle w:val="Hyperlink"/>
                <w:noProof/>
              </w:rPr>
              <w:t>Introduction</w:t>
            </w:r>
            <w:r w:rsidR="00A0701A">
              <w:rPr>
                <w:noProof/>
                <w:webHidden/>
              </w:rPr>
              <w:tab/>
            </w:r>
            <w:r w:rsidR="00A0701A">
              <w:rPr>
                <w:noProof/>
                <w:webHidden/>
              </w:rPr>
              <w:fldChar w:fldCharType="begin"/>
            </w:r>
            <w:r w:rsidR="00A0701A">
              <w:rPr>
                <w:noProof/>
                <w:webHidden/>
              </w:rPr>
              <w:instrText xml:space="preserve"> PAGEREF _Toc197090562 \h </w:instrText>
            </w:r>
            <w:r w:rsidR="00A0701A">
              <w:rPr>
                <w:noProof/>
                <w:webHidden/>
              </w:rPr>
            </w:r>
            <w:r w:rsidR="00A0701A">
              <w:rPr>
                <w:noProof/>
                <w:webHidden/>
              </w:rPr>
              <w:fldChar w:fldCharType="separate"/>
            </w:r>
            <w:r w:rsidR="00A0701A">
              <w:rPr>
                <w:noProof/>
                <w:webHidden/>
              </w:rPr>
              <w:t>2</w:t>
            </w:r>
            <w:r w:rsidR="00A0701A">
              <w:rPr>
                <w:noProof/>
                <w:webHidden/>
              </w:rPr>
              <w:fldChar w:fldCharType="end"/>
            </w:r>
          </w:hyperlink>
        </w:p>
        <w:p w14:paraId="010FB7D4" w14:textId="40DA30B5" w:rsidR="00A0701A" w:rsidRDefault="00A0701A">
          <w:pPr>
            <w:pStyle w:val="TOC1"/>
            <w:tabs>
              <w:tab w:val="right" w:leader="dot" w:pos="9350"/>
            </w:tabs>
            <w:rPr>
              <w:rFonts w:asciiTheme="minorHAnsi" w:eastAsiaTheme="minorEastAsia" w:hAnsiTheme="minorHAnsi"/>
              <w:noProof/>
            </w:rPr>
          </w:pPr>
          <w:hyperlink w:anchor="_Toc197090563" w:history="1">
            <w:r w:rsidRPr="00677A68">
              <w:rPr>
                <w:rStyle w:val="Hyperlink"/>
                <w:rFonts w:eastAsia="Times New Roman"/>
                <w:noProof/>
              </w:rPr>
              <w:t>The Role of Technology in Appraising the Performance of Remote Workers</w:t>
            </w:r>
            <w:r>
              <w:rPr>
                <w:noProof/>
                <w:webHidden/>
              </w:rPr>
              <w:tab/>
            </w:r>
            <w:r>
              <w:rPr>
                <w:noProof/>
                <w:webHidden/>
              </w:rPr>
              <w:fldChar w:fldCharType="begin"/>
            </w:r>
            <w:r>
              <w:rPr>
                <w:noProof/>
                <w:webHidden/>
              </w:rPr>
              <w:instrText xml:space="preserve"> PAGEREF _Toc197090563 \h </w:instrText>
            </w:r>
            <w:r>
              <w:rPr>
                <w:noProof/>
                <w:webHidden/>
              </w:rPr>
            </w:r>
            <w:r>
              <w:rPr>
                <w:noProof/>
                <w:webHidden/>
              </w:rPr>
              <w:fldChar w:fldCharType="separate"/>
            </w:r>
            <w:r>
              <w:rPr>
                <w:noProof/>
                <w:webHidden/>
              </w:rPr>
              <w:t>3</w:t>
            </w:r>
            <w:r>
              <w:rPr>
                <w:noProof/>
                <w:webHidden/>
              </w:rPr>
              <w:fldChar w:fldCharType="end"/>
            </w:r>
          </w:hyperlink>
        </w:p>
        <w:p w14:paraId="530BEEB2" w14:textId="39A57EB6" w:rsidR="00A0701A" w:rsidRDefault="00A0701A">
          <w:pPr>
            <w:pStyle w:val="TOC1"/>
            <w:tabs>
              <w:tab w:val="right" w:leader="dot" w:pos="9350"/>
            </w:tabs>
            <w:rPr>
              <w:rFonts w:asciiTheme="minorHAnsi" w:eastAsiaTheme="minorEastAsia" w:hAnsiTheme="minorHAnsi"/>
              <w:noProof/>
            </w:rPr>
          </w:pPr>
          <w:hyperlink w:anchor="_Toc197090564" w:history="1">
            <w:r w:rsidRPr="00677A68">
              <w:rPr>
                <w:rStyle w:val="Hyperlink"/>
                <w:rFonts w:eastAsia="Times New Roman"/>
                <w:noProof/>
              </w:rPr>
              <w:t>Performance Measurement Techniques for Remote Workers</w:t>
            </w:r>
            <w:r>
              <w:rPr>
                <w:noProof/>
                <w:webHidden/>
              </w:rPr>
              <w:tab/>
            </w:r>
            <w:r>
              <w:rPr>
                <w:noProof/>
                <w:webHidden/>
              </w:rPr>
              <w:fldChar w:fldCharType="begin"/>
            </w:r>
            <w:r>
              <w:rPr>
                <w:noProof/>
                <w:webHidden/>
              </w:rPr>
              <w:instrText xml:space="preserve"> PAGEREF _Toc197090564 \h </w:instrText>
            </w:r>
            <w:r>
              <w:rPr>
                <w:noProof/>
                <w:webHidden/>
              </w:rPr>
            </w:r>
            <w:r>
              <w:rPr>
                <w:noProof/>
                <w:webHidden/>
              </w:rPr>
              <w:fldChar w:fldCharType="separate"/>
            </w:r>
            <w:r>
              <w:rPr>
                <w:noProof/>
                <w:webHidden/>
              </w:rPr>
              <w:t>4</w:t>
            </w:r>
            <w:r>
              <w:rPr>
                <w:noProof/>
                <w:webHidden/>
              </w:rPr>
              <w:fldChar w:fldCharType="end"/>
            </w:r>
          </w:hyperlink>
        </w:p>
        <w:p w14:paraId="0BD102BA" w14:textId="665E85B1" w:rsidR="00A0701A" w:rsidRDefault="00A0701A">
          <w:pPr>
            <w:pStyle w:val="TOC1"/>
            <w:tabs>
              <w:tab w:val="right" w:leader="dot" w:pos="9350"/>
            </w:tabs>
            <w:rPr>
              <w:rFonts w:asciiTheme="minorHAnsi" w:eastAsiaTheme="minorEastAsia" w:hAnsiTheme="minorHAnsi"/>
              <w:noProof/>
            </w:rPr>
          </w:pPr>
          <w:hyperlink w:anchor="_Toc197090565" w:history="1">
            <w:r w:rsidRPr="00677A68">
              <w:rPr>
                <w:rStyle w:val="Hyperlink"/>
                <w:rFonts w:eastAsia="Times New Roman"/>
                <w:noProof/>
              </w:rPr>
              <w:t>Performance Appraisal Tools for Remote workers</w:t>
            </w:r>
            <w:r>
              <w:rPr>
                <w:noProof/>
                <w:webHidden/>
              </w:rPr>
              <w:tab/>
            </w:r>
            <w:r>
              <w:rPr>
                <w:noProof/>
                <w:webHidden/>
              </w:rPr>
              <w:fldChar w:fldCharType="begin"/>
            </w:r>
            <w:r>
              <w:rPr>
                <w:noProof/>
                <w:webHidden/>
              </w:rPr>
              <w:instrText xml:space="preserve"> PAGEREF _Toc197090565 \h </w:instrText>
            </w:r>
            <w:r>
              <w:rPr>
                <w:noProof/>
                <w:webHidden/>
              </w:rPr>
            </w:r>
            <w:r>
              <w:rPr>
                <w:noProof/>
                <w:webHidden/>
              </w:rPr>
              <w:fldChar w:fldCharType="separate"/>
            </w:r>
            <w:r>
              <w:rPr>
                <w:noProof/>
                <w:webHidden/>
              </w:rPr>
              <w:t>7</w:t>
            </w:r>
            <w:r>
              <w:rPr>
                <w:noProof/>
                <w:webHidden/>
              </w:rPr>
              <w:fldChar w:fldCharType="end"/>
            </w:r>
          </w:hyperlink>
        </w:p>
        <w:p w14:paraId="6C625343" w14:textId="7798CD5D" w:rsidR="00A0701A" w:rsidRDefault="00A0701A">
          <w:pPr>
            <w:pStyle w:val="TOC1"/>
            <w:tabs>
              <w:tab w:val="right" w:leader="dot" w:pos="9350"/>
            </w:tabs>
            <w:rPr>
              <w:rFonts w:asciiTheme="minorHAnsi" w:eastAsiaTheme="minorEastAsia" w:hAnsiTheme="minorHAnsi"/>
              <w:noProof/>
            </w:rPr>
          </w:pPr>
          <w:hyperlink w:anchor="_Toc197090566" w:history="1">
            <w:r w:rsidRPr="00677A68">
              <w:rPr>
                <w:rStyle w:val="Hyperlink"/>
                <w:rFonts w:eastAsia="Times New Roman"/>
                <w:noProof/>
              </w:rPr>
              <w:t>Conclusion</w:t>
            </w:r>
            <w:r>
              <w:rPr>
                <w:noProof/>
                <w:webHidden/>
              </w:rPr>
              <w:tab/>
            </w:r>
            <w:r>
              <w:rPr>
                <w:noProof/>
                <w:webHidden/>
              </w:rPr>
              <w:fldChar w:fldCharType="begin"/>
            </w:r>
            <w:r>
              <w:rPr>
                <w:noProof/>
                <w:webHidden/>
              </w:rPr>
              <w:instrText xml:space="preserve"> PAGEREF _Toc197090566 \h </w:instrText>
            </w:r>
            <w:r>
              <w:rPr>
                <w:noProof/>
                <w:webHidden/>
              </w:rPr>
            </w:r>
            <w:r>
              <w:rPr>
                <w:noProof/>
                <w:webHidden/>
              </w:rPr>
              <w:fldChar w:fldCharType="separate"/>
            </w:r>
            <w:r>
              <w:rPr>
                <w:noProof/>
                <w:webHidden/>
              </w:rPr>
              <w:t>8</w:t>
            </w:r>
            <w:r>
              <w:rPr>
                <w:noProof/>
                <w:webHidden/>
              </w:rPr>
              <w:fldChar w:fldCharType="end"/>
            </w:r>
          </w:hyperlink>
        </w:p>
        <w:p w14:paraId="13212C4D" w14:textId="0818CB4D" w:rsidR="00A0701A" w:rsidRDefault="00A0701A">
          <w:pPr>
            <w:pStyle w:val="TOC1"/>
            <w:tabs>
              <w:tab w:val="right" w:leader="dot" w:pos="9350"/>
            </w:tabs>
            <w:rPr>
              <w:rFonts w:asciiTheme="minorHAnsi" w:eastAsiaTheme="minorEastAsia" w:hAnsiTheme="minorHAnsi"/>
              <w:noProof/>
            </w:rPr>
          </w:pPr>
          <w:hyperlink w:anchor="_Toc197090567" w:history="1">
            <w:r w:rsidRPr="00677A68">
              <w:rPr>
                <w:rStyle w:val="Hyperlink"/>
                <w:rFonts w:eastAsia="Times New Roman"/>
                <w:noProof/>
              </w:rPr>
              <w:t>References</w:t>
            </w:r>
            <w:r>
              <w:rPr>
                <w:noProof/>
                <w:webHidden/>
              </w:rPr>
              <w:tab/>
            </w:r>
            <w:r>
              <w:rPr>
                <w:noProof/>
                <w:webHidden/>
              </w:rPr>
              <w:fldChar w:fldCharType="begin"/>
            </w:r>
            <w:r>
              <w:rPr>
                <w:noProof/>
                <w:webHidden/>
              </w:rPr>
              <w:instrText xml:space="preserve"> PAGEREF _Toc197090567 \h </w:instrText>
            </w:r>
            <w:r>
              <w:rPr>
                <w:noProof/>
                <w:webHidden/>
              </w:rPr>
            </w:r>
            <w:r>
              <w:rPr>
                <w:noProof/>
                <w:webHidden/>
              </w:rPr>
              <w:fldChar w:fldCharType="separate"/>
            </w:r>
            <w:r>
              <w:rPr>
                <w:noProof/>
                <w:webHidden/>
              </w:rPr>
              <w:t>9</w:t>
            </w:r>
            <w:r>
              <w:rPr>
                <w:noProof/>
                <w:webHidden/>
              </w:rPr>
              <w:fldChar w:fldCharType="end"/>
            </w:r>
          </w:hyperlink>
        </w:p>
        <w:p w14:paraId="6D759894" w14:textId="7AAD3C4B" w:rsidR="00CE35A5" w:rsidRPr="00CE35A5" w:rsidRDefault="00CE35A5" w:rsidP="00CE35A5">
          <w:pPr>
            <w:rPr>
              <w:rFonts w:cs="Times New Roman"/>
            </w:rPr>
          </w:pPr>
          <w:r w:rsidRPr="00CE35A5">
            <w:rPr>
              <w:rFonts w:cs="Times New Roman"/>
              <w:b/>
              <w:bCs/>
              <w:noProof/>
            </w:rPr>
            <w:fldChar w:fldCharType="end"/>
          </w:r>
        </w:p>
      </w:sdtContent>
    </w:sdt>
    <w:p w14:paraId="09DEBDE1" w14:textId="77777777" w:rsidR="00CE35A5" w:rsidRPr="00CE35A5" w:rsidRDefault="00CE35A5" w:rsidP="00CE35A5">
      <w:pPr>
        <w:rPr>
          <w:rFonts w:eastAsiaTheme="majorEastAsia" w:cs="Times New Roman"/>
          <w:b/>
          <w:color w:val="0F4761" w:themeColor="accent1" w:themeShade="BF"/>
          <w:sz w:val="32"/>
          <w:szCs w:val="40"/>
        </w:rPr>
      </w:pPr>
      <w:r w:rsidRPr="00CE35A5">
        <w:rPr>
          <w:rFonts w:cs="Times New Roman"/>
        </w:rPr>
        <w:br w:type="page"/>
      </w:r>
    </w:p>
    <w:p w14:paraId="48E20E87" w14:textId="4336015A" w:rsidR="00CE35A5" w:rsidRDefault="00CE35A5" w:rsidP="00D17616">
      <w:pPr>
        <w:pStyle w:val="Heading1"/>
      </w:pPr>
      <w:bookmarkStart w:id="0" w:name="_Toc197090562"/>
      <w:r>
        <w:lastRenderedPageBreak/>
        <w:t>Introduction</w:t>
      </w:r>
      <w:bookmarkEnd w:id="0"/>
      <w:r>
        <w:t xml:space="preserve"> </w:t>
      </w:r>
    </w:p>
    <w:p w14:paraId="63C98C90" w14:textId="24349569" w:rsidR="005A1ED0" w:rsidRPr="005A1ED0" w:rsidRDefault="005A1ED0" w:rsidP="005A1ED0">
      <w:r w:rsidRPr="005A1ED0">
        <w:t xml:space="preserve">The widespread adoption of remote </w:t>
      </w:r>
      <w:r w:rsidR="000404A5" w:rsidRPr="005A1ED0">
        <w:t>work</w:t>
      </w:r>
      <w:r w:rsidRPr="005A1ED0">
        <w:t xml:space="preserve"> has redefined the nature of employment, shifting it from a once-privileged option to a standard arrangement across many global sectors. The COVID-19 pandemic acted as a catalyst for this transformation, but even in its aftermath, remote work remains prevalent. Data from the Office for National Statistics (ONS, 2023) indicates that approximately 40% of adults in Great Britain continued to work from home in 2023, highlighting the enduring nature of this structural change. This transition has brought about significant implications for </w:t>
      </w:r>
      <w:r w:rsidR="000404A5" w:rsidRPr="005A1ED0">
        <w:t>organizational</w:t>
      </w:r>
      <w:r w:rsidRPr="005A1ED0">
        <w:t xml:space="preserve"> management, particularly in the domain of employee performance. Traditional performance management systems, often reliant on direct supervision and in-person assessments, have become less viable. In their place, </w:t>
      </w:r>
      <w:r w:rsidR="00992A73" w:rsidRPr="005A1ED0">
        <w:t>organizations</w:t>
      </w:r>
      <w:r w:rsidRPr="005A1ED0">
        <w:t xml:space="preserve"> increasingly depend on technology to bridge the gap between physical distance and managerial oversight. Digital tools now play a pivotal role in monitoring productivity, facilitating communication, and supporting the appraisal of employee outcomes.</w:t>
      </w:r>
    </w:p>
    <w:p w14:paraId="46224C79" w14:textId="0409EF16" w:rsidR="005A1ED0" w:rsidRPr="005A1ED0" w:rsidRDefault="005A1ED0" w:rsidP="005A1ED0">
      <w:r w:rsidRPr="005A1ED0">
        <w:t xml:space="preserve">This essay critically explores the integral role of technology in managing employee performance within remote work environments. It examines how </w:t>
      </w:r>
      <w:r w:rsidR="00992A73" w:rsidRPr="005A1ED0">
        <w:t>organizations</w:t>
      </w:r>
      <w:r w:rsidRPr="005A1ED0">
        <w:t xml:space="preserve"> are leveraging performance management systems, productivity tracking software, and communication platforms to ensure accountability and transparency. Furthermore, the essay evaluates a range of performance measurement techniques and appraisal tools that are specifically tailored to remote settings. By </w:t>
      </w:r>
      <w:r w:rsidR="00992A73" w:rsidRPr="005A1ED0">
        <w:t>analyzing</w:t>
      </w:r>
      <w:r w:rsidRPr="005A1ED0">
        <w:t xml:space="preserve"> these developments, the essay aims to provide a comprehensive understanding of how technology supports effective remote performance management and what constitutes best practice in this evolving area of human resource strategy.</w:t>
      </w:r>
    </w:p>
    <w:p w14:paraId="4FF29139" w14:textId="14A2E254" w:rsidR="00AD7F51" w:rsidRPr="002D53DD" w:rsidRDefault="00AD7F51" w:rsidP="00D17616">
      <w:r>
        <w:br w:type="page"/>
      </w:r>
    </w:p>
    <w:p w14:paraId="0734C25F" w14:textId="6D20DB37" w:rsidR="00AD7F51" w:rsidRDefault="009624A9" w:rsidP="00D17616">
      <w:pPr>
        <w:pStyle w:val="Heading1"/>
        <w:rPr>
          <w:rFonts w:eastAsia="Times New Roman"/>
        </w:rPr>
      </w:pPr>
      <w:bookmarkStart w:id="1" w:name="_Toc197090563"/>
      <w:r>
        <w:rPr>
          <w:rFonts w:eastAsia="Times New Roman"/>
        </w:rPr>
        <w:lastRenderedPageBreak/>
        <w:t xml:space="preserve">The </w:t>
      </w:r>
      <w:r w:rsidR="00DF7674">
        <w:rPr>
          <w:rFonts w:eastAsia="Times New Roman"/>
        </w:rPr>
        <w:t>R</w:t>
      </w:r>
      <w:r>
        <w:rPr>
          <w:rFonts w:eastAsia="Times New Roman"/>
        </w:rPr>
        <w:t>ole of Technology in Appraising the Performance of Remo</w:t>
      </w:r>
      <w:r w:rsidR="002D4BBF">
        <w:rPr>
          <w:rFonts w:eastAsia="Times New Roman"/>
        </w:rPr>
        <w:t>te Workers</w:t>
      </w:r>
      <w:bookmarkEnd w:id="1"/>
    </w:p>
    <w:p w14:paraId="2E24ED8A" w14:textId="77777777" w:rsidR="00D73266" w:rsidRPr="00D73266" w:rsidRDefault="00D73266" w:rsidP="00D73266">
      <w:r w:rsidRPr="00D73266">
        <w:t>Technology acts as a critical enabler in managing the performance of remote workers by facilitating real-time communication, data-driven assessment, and continuous feedback loops. In the absence of physical oversight, digital tools provide managers with visibility into employee activities and outcomes.</w:t>
      </w:r>
    </w:p>
    <w:p w14:paraId="59B982D9" w14:textId="77777777" w:rsidR="00D73266" w:rsidRPr="00D73266" w:rsidRDefault="00D73266" w:rsidP="00D73266">
      <w:r w:rsidRPr="00D73266">
        <w:t xml:space="preserve">Firstly, </w:t>
      </w:r>
      <w:r w:rsidRPr="00D73266">
        <w:rPr>
          <w:b/>
          <w:bCs/>
        </w:rPr>
        <w:t>real-time performance tracking</w:t>
      </w:r>
      <w:r w:rsidRPr="00D73266">
        <w:t xml:space="preserve"> is achieved through cloud-based platforms such as Trello, Asana, and Microsoft Teams, allowing managers to monitor task progress and deadlines consistently (Maruping et al., 2021). These tools offer transparency and accountability in remote working environments.</w:t>
      </w:r>
    </w:p>
    <w:p w14:paraId="3CDDB61E" w14:textId="77777777" w:rsidR="00D73266" w:rsidRPr="00D73266" w:rsidRDefault="00D73266" w:rsidP="00D73266">
      <w:r w:rsidRPr="00D73266">
        <w:t xml:space="preserve">Secondly, technology enhances </w:t>
      </w:r>
      <w:r w:rsidRPr="00D73266">
        <w:rPr>
          <w:b/>
          <w:bCs/>
        </w:rPr>
        <w:t>communication and feedback mechanisms</w:t>
      </w:r>
      <w:r w:rsidRPr="00D73266">
        <w:t>. Applications like Zoom and Slack foster continuous dialogue between managers and employees, ensuring that feedback remains timely and relevant (</w:t>
      </w:r>
      <w:proofErr w:type="spellStart"/>
      <w:r w:rsidRPr="00D73266">
        <w:t>Waizenegger</w:t>
      </w:r>
      <w:proofErr w:type="spellEnd"/>
      <w:r w:rsidRPr="00D73266">
        <w:t xml:space="preserve"> et al., 2020). Research shows that ongoing communication is vital for maintaining engagement among remote workers (Charalampous et al., 2019).</w:t>
      </w:r>
    </w:p>
    <w:p w14:paraId="20A07D55" w14:textId="77777777" w:rsidR="00D73266" w:rsidRPr="00D73266" w:rsidRDefault="00D73266" w:rsidP="00D73266">
      <w:r w:rsidRPr="00D73266">
        <w:t xml:space="preserve">Thirdly, technology supports </w:t>
      </w:r>
      <w:r w:rsidRPr="00D73266">
        <w:rPr>
          <w:b/>
          <w:bCs/>
        </w:rPr>
        <w:t>objective, data-driven performance assessments</w:t>
      </w:r>
      <w:r w:rsidRPr="00D73266">
        <w:t>. Systems such as SAP SuccessFactors and BambooHR compile performance data and analytics, allowing for unbiased evaluations based on key metrics (CIPD, 2022). These platforms also facilitate the setting and tracking of individual development goals.</w:t>
      </w:r>
    </w:p>
    <w:p w14:paraId="47F4F6F3" w14:textId="77777777" w:rsidR="00D73266" w:rsidRPr="00D73266" w:rsidRDefault="00D73266" w:rsidP="00D73266">
      <w:r w:rsidRPr="00D73266">
        <w:t>However, there are challenges. Excessive monitoring via surveillance tools can diminish employee trust and morale (Ball, 2010). Ethical considerations, including transparency about data collection and respecting employee privacy, are essential to mitigating negative effects.</w:t>
      </w:r>
    </w:p>
    <w:p w14:paraId="1BB2B6A6" w14:textId="77777777" w:rsidR="00D73266" w:rsidRPr="00D73266" w:rsidRDefault="00D73266" w:rsidP="00D73266">
      <w:r w:rsidRPr="00D73266">
        <w:t>Overall, technology plays a pivotal role not only in bridging the physical gap between managers and remote employees but also in promoting fairness, accountability, and continuous development.</w:t>
      </w:r>
    </w:p>
    <w:p w14:paraId="0442B8A4" w14:textId="77777777" w:rsidR="002D4BBF" w:rsidRPr="002D4BBF" w:rsidRDefault="002D4BBF" w:rsidP="002D4BBF"/>
    <w:p w14:paraId="08BB11DA" w14:textId="61C6D5E0" w:rsidR="00F44DA6" w:rsidRPr="00531237" w:rsidRDefault="00F44DA6" w:rsidP="00D17616">
      <w:pPr>
        <w:rPr>
          <w:rFonts w:ascii="Calibri" w:hAnsi="Calibri" w:cs="Calibri"/>
        </w:rPr>
      </w:pPr>
    </w:p>
    <w:p w14:paraId="6B8E6C59" w14:textId="77777777" w:rsidR="00F44DA6" w:rsidRDefault="00F44DA6" w:rsidP="00D17616">
      <w:pPr>
        <w:rPr>
          <w:shd w:val="clear" w:color="auto" w:fill="FFFFFF"/>
        </w:rPr>
      </w:pPr>
    </w:p>
    <w:p w14:paraId="7105E634" w14:textId="50B2B694" w:rsidR="00F44DA6" w:rsidRDefault="00384BE5" w:rsidP="00D17616">
      <w:pPr>
        <w:pStyle w:val="Heading1"/>
        <w:rPr>
          <w:rFonts w:eastAsia="Times New Roman"/>
        </w:rPr>
      </w:pPr>
      <w:r>
        <w:rPr>
          <w:rFonts w:eastAsia="Times New Roman"/>
        </w:rPr>
        <w:lastRenderedPageBreak/>
        <w:t xml:space="preserve"> </w:t>
      </w:r>
      <w:bookmarkStart w:id="2" w:name="_Toc197090564"/>
      <w:r w:rsidR="00D73266">
        <w:rPr>
          <w:rFonts w:eastAsia="Times New Roman"/>
        </w:rPr>
        <w:t>Performance Measurement Techniques for Remote Workers</w:t>
      </w:r>
      <w:bookmarkEnd w:id="2"/>
    </w:p>
    <w:p w14:paraId="37F3315C" w14:textId="160AE5CD" w:rsidR="00C34FC4" w:rsidRDefault="00C34FC4" w:rsidP="002142E0">
      <w:r w:rsidRPr="00C34FC4">
        <w:t xml:space="preserve">The ascendance of remote work has prompted a profound rethinking of how employee performance is measured, evaluated, and interpreted. Traditional models, which often presuppose physical co-presence and direct oversight, are increasingly inadequate in virtual contexts. In their place, </w:t>
      </w:r>
      <w:r w:rsidR="00992A73" w:rsidRPr="00C34FC4">
        <w:t>organizations</w:t>
      </w:r>
      <w:r w:rsidRPr="00C34FC4">
        <w:t xml:space="preserve"> are embracing performance measurement techniques that </w:t>
      </w:r>
      <w:r w:rsidR="00992A73" w:rsidRPr="00C34FC4">
        <w:t>prioritize</w:t>
      </w:r>
      <w:r w:rsidRPr="00C34FC4">
        <w:t xml:space="preserve"> clarity, flexibility, and strategic alignment. Among these, four approaches stand out as particularly salient in remote environments.</w:t>
      </w:r>
    </w:p>
    <w:p w14:paraId="621E725E" w14:textId="4CB6433F" w:rsidR="002142E0" w:rsidRPr="002142E0" w:rsidRDefault="002142E0" w:rsidP="002142E0">
      <w:pPr>
        <w:rPr>
          <w:b/>
          <w:bCs/>
        </w:rPr>
      </w:pPr>
      <w:r w:rsidRPr="002142E0">
        <w:rPr>
          <w:b/>
          <w:bCs/>
        </w:rPr>
        <w:t>Key Performance Indicators (KPIs)</w:t>
      </w:r>
    </w:p>
    <w:p w14:paraId="671EC98A" w14:textId="5819F700" w:rsidR="002142E0" w:rsidRPr="002142E0" w:rsidRDefault="002142E0" w:rsidP="00FD3E67">
      <w:r w:rsidRPr="002142E0">
        <w:t xml:space="preserve">KPIs </w:t>
      </w:r>
      <w:r w:rsidR="009322FB">
        <w:t xml:space="preserve">- </w:t>
      </w:r>
      <w:r w:rsidR="009322FB" w:rsidRPr="009322FB">
        <w:t xml:space="preserve">serve as the quantitative backbone of performance assessment, translating </w:t>
      </w:r>
      <w:r w:rsidR="00992A73" w:rsidRPr="009322FB">
        <w:t>organizational</w:t>
      </w:r>
      <w:r w:rsidR="009322FB" w:rsidRPr="009322FB">
        <w:t xml:space="preserve"> objectives into measurable individual outputs. As Parmenter (2015) suggests, KPIs such as project completion rates, customer satisfaction scores, and revenue figures provide managers with clear, digestible data for evaluating progress. In virtual settings, the transparency afforded by digital dashboards enhances visibility and allows for timely interventions. Yet, this numerical precision comes at a cost: it risks </w:t>
      </w:r>
      <w:r w:rsidR="00992A73" w:rsidRPr="009322FB">
        <w:t>marginalizing</w:t>
      </w:r>
      <w:r w:rsidR="009322FB" w:rsidRPr="009322FB">
        <w:t xml:space="preserve"> less tangible contributions such as creative problem-solving, team cohesion, or adaptive collaboration—qualities essential in remote, often fragmented, work settings (Cascio &amp; </w:t>
      </w:r>
      <w:proofErr w:type="spellStart"/>
      <w:r w:rsidR="009322FB" w:rsidRPr="009322FB">
        <w:t>Shurygailo</w:t>
      </w:r>
      <w:proofErr w:type="spellEnd"/>
      <w:r w:rsidR="009322FB" w:rsidRPr="009322FB">
        <w:t>, 2003).</w:t>
      </w:r>
    </w:p>
    <w:p w14:paraId="6C48AB4C" w14:textId="18BC2CC3" w:rsidR="00904CC7" w:rsidRPr="00992A73" w:rsidRDefault="00904CC7" w:rsidP="002142E0">
      <w:r w:rsidRPr="00904CC7">
        <w:rPr>
          <w:b/>
          <w:bCs/>
        </w:rPr>
        <w:t xml:space="preserve">Objectives and Key Results (OKRs) </w:t>
      </w:r>
      <w:r w:rsidRPr="00992A73">
        <w:t xml:space="preserve">offer a more aspirational framework, in which employees articulate bold goals underpinned by concrete results. As Doerr (2018) notes, OKRs foster a culture of accountability and innovation, particularly when reviewed at regular intervals. This method grants individuals autonomy while reinforcing strategic alignment. However, it is not without limitations. Unrealistic targets can engender anxiety or disengagement, and without structured follow-ups, objectives may drift from </w:t>
      </w:r>
      <w:r w:rsidR="008C46F2" w:rsidRPr="00992A73">
        <w:t>organizational</w:t>
      </w:r>
      <w:r w:rsidRPr="00992A73">
        <w:t xml:space="preserve"> priorities.</w:t>
      </w:r>
    </w:p>
    <w:p w14:paraId="7D7E9493" w14:textId="410029DC" w:rsidR="002142E0" w:rsidRPr="00992A73" w:rsidRDefault="009F5962" w:rsidP="009F5962">
      <w:r w:rsidRPr="00992A73">
        <w:t xml:space="preserve">A key advantage of the Objectives and Key Results (OKRs) framework is its capacity to foster aspirational </w:t>
      </w:r>
      <w:r w:rsidR="008C46F2" w:rsidRPr="00992A73">
        <w:t>goal setting</w:t>
      </w:r>
      <w:r w:rsidRPr="00992A73">
        <w:t xml:space="preserve"> while enhancing </w:t>
      </w:r>
      <w:r w:rsidR="008C46F2" w:rsidRPr="00992A73">
        <w:t>organizational</w:t>
      </w:r>
      <w:r w:rsidRPr="00992A73">
        <w:t xml:space="preserve"> transparency. By explicitly defining outcomes and linking them to strategic objectives, this method cultivates clarity and accountability across remote teams. Moreover, the approach facilitates a sense of autonomy among employees, thereby enabling innovation and self-directed problem-solving within a flexible structure. However, the effectiveness of OKRs is contingent upon consistent engagement. In the absence of regular review and recalibration, there is a risk that objectives may lose relevance or alignment </w:t>
      </w:r>
      <w:r w:rsidRPr="00992A73">
        <w:lastRenderedPageBreak/>
        <w:t xml:space="preserve">with </w:t>
      </w:r>
      <w:proofErr w:type="spellStart"/>
      <w:r w:rsidRPr="00992A73">
        <w:t>organisational</w:t>
      </w:r>
      <w:proofErr w:type="spellEnd"/>
      <w:r w:rsidRPr="00992A73">
        <w:t xml:space="preserve"> priorities. Additionally, if the targets established through OKRs are perceived as excessively demanding or unattainable, they may inadvertently generate heightened stress and diminish employee morale. As such, while the OKR methodology presents considerable potential for enhancing performance in distributed work environments, it necessitates careful implementation and managerial sensitivity to individual and team capacities.</w:t>
      </w:r>
    </w:p>
    <w:p w14:paraId="66E5B65A" w14:textId="77777777" w:rsidR="009F5962" w:rsidRDefault="003115E1" w:rsidP="002142E0">
      <w:r w:rsidRPr="003115E1">
        <w:rPr>
          <w:b/>
          <w:bCs/>
        </w:rPr>
        <w:t>360-Degree Feedback</w:t>
      </w:r>
      <w:r w:rsidRPr="003115E1">
        <w:t xml:space="preserve"> introduces a multidimensional perspective by soliciting performance insights from a constellation of stakeholders—supervisors, peers, subordinates, and even clients. This approach captures interpersonal dynamics and collaborative competencies that conventional assessments may overlook (Bracken, Rose, &amp; Church, 2016). Particularly in distributed teams, where communication nuances are easily lost, such holistic feedback can illuminate unseen dimensions of performance. Nonetheless, the process is inherently time-intensive and can be compromised by biases unless anonymity and trust are carefully managed.</w:t>
      </w:r>
    </w:p>
    <w:p w14:paraId="1EE91A20" w14:textId="157AF959" w:rsidR="00F5560A" w:rsidRDefault="00F5560A" w:rsidP="002142E0">
      <w:r w:rsidRPr="00F5560A">
        <w:t xml:space="preserve">One of the principal advantages of the 360-degree feedback approach is its ability to provide a comprehensive and multidimensional assessment of employee performance. By drawing on evaluations from a range of sources—including supervisors, peers, subordinates, and, in some cases, </w:t>
      </w:r>
      <w:r w:rsidR="008C46F2" w:rsidRPr="00F5560A">
        <w:t xml:space="preserve">clients, </w:t>
      </w:r>
      <w:r w:rsidRPr="00F5560A">
        <w:t xml:space="preserve">this method captures diverse perspectives that contribute to a more nuanced understanding of individual contributions. Notably, it allows for the appraisal of interpersonal skills and team-based </w:t>
      </w:r>
      <w:r w:rsidR="008C46F2" w:rsidRPr="00F5560A">
        <w:t>behaviors</w:t>
      </w:r>
      <w:r w:rsidRPr="00F5560A">
        <w:t>, which are often difficult to assess through traditional, top-down evaluations. Such insights are particularly valuable in remote settings, where informal cues and social dynamics may otherwise go unnoticed. However, the implementation of 360-degree feedback can be resource-intensive, requiring substantial time for data collection, synthesis, and analysis. Furthermore, its effectiveness is contingent upon the assurance of confidentiality; without a guarantee of anonymity, respondents may withhold honest feedback or introduce bias, thereby compromising the reliability of the results. Consequently, while this method offers significant potential for enriching performance evaluation, it must be carefully managed to mitigate its inherent limitations.</w:t>
      </w:r>
    </w:p>
    <w:p w14:paraId="4240405E" w14:textId="66E2E268" w:rsidR="005C168F" w:rsidRPr="00992A73" w:rsidRDefault="002142E0" w:rsidP="002142E0">
      <w:r w:rsidRPr="002142E0">
        <w:rPr>
          <w:b/>
          <w:bCs/>
        </w:rPr>
        <w:t>Outcome-Based Performance Measurement</w:t>
      </w:r>
      <w:r w:rsidR="009F64CA">
        <w:rPr>
          <w:b/>
          <w:bCs/>
        </w:rPr>
        <w:t xml:space="preserve"> </w:t>
      </w:r>
      <w:r w:rsidR="009F64CA" w:rsidRPr="00992A73">
        <w:t xml:space="preserve">reorients assessment away from process toward product, </w:t>
      </w:r>
      <w:r w:rsidR="008C46F2" w:rsidRPr="00992A73">
        <w:t>emphasizing</w:t>
      </w:r>
      <w:r w:rsidR="009F64CA" w:rsidRPr="00992A73">
        <w:t xml:space="preserve"> what employees deliver rather than how they deliver it. This technique aligns well with knowledge work, where outputs are often more important than adherence to rigid workflows (Grant, Wallace, &amp; Spurgeon, 2013). It empowers remote workers by offering </w:t>
      </w:r>
      <w:r w:rsidR="009F64CA" w:rsidRPr="00992A73">
        <w:lastRenderedPageBreak/>
        <w:t xml:space="preserve">flexibility and reducing micromanagement. However, it may underappreciate essential yet informal roles such as mentoring, collaboration, or idea incubation, which resist quantification but enrich </w:t>
      </w:r>
      <w:r w:rsidR="008C46F2" w:rsidRPr="00992A73">
        <w:t>organizational</w:t>
      </w:r>
      <w:r w:rsidR="009F64CA" w:rsidRPr="00992A73">
        <w:t xml:space="preserve"> culture.</w:t>
      </w:r>
    </w:p>
    <w:p w14:paraId="57DF21B4" w14:textId="4C94F788" w:rsidR="00517A11" w:rsidRPr="00517A11" w:rsidRDefault="00517A11" w:rsidP="00517A11">
      <w:r w:rsidRPr="00517A11">
        <w:t xml:space="preserve">Outcome-based performance measurement offers distinct advantages within remote and knowledge-driven work environments. By focusing on results rather than processes, this approach promotes flexibility and reinforces a results-oriented culture, allowing employees to exercise autonomy in how they achieve predefined objectives. It is particularly effective in knowledge-based roles, where performance is often best reflected in the quality and impact of deliverables rather than adherence to rigid procedures. However, this method is less suited to contexts where ongoing collaboration, process compliance, or iterative interactions are critical to success. In such cases, an exclusive focus on outcomes may obscure the importance of day-to-day contributions and process-oriented </w:t>
      </w:r>
      <w:r w:rsidR="008C46F2" w:rsidRPr="00517A11">
        <w:t>behaviors</w:t>
      </w:r>
      <w:r w:rsidRPr="00517A11">
        <w:t xml:space="preserve">. Additionally, outcome-based assessments may undervalue developmental activities—such as mentoring, peer support, or </w:t>
      </w:r>
      <w:r w:rsidR="008C46F2" w:rsidRPr="00517A11">
        <w:t>organizational</w:t>
      </w:r>
      <w:r w:rsidRPr="00517A11">
        <w:t xml:space="preserve"> citizenship </w:t>
      </w:r>
      <w:r w:rsidR="008C46F2" w:rsidRPr="00517A11">
        <w:t>behaviors</w:t>
      </w:r>
      <w:r w:rsidRPr="00517A11">
        <w:t>—that, while not directly measurable, are essential to long-term team cohesion and capability building. Therefore, while outcome-based measurement can enhance performance accountability in remote work, it must be applied judiciously to avoid overlooking broader, process-related contributions.</w:t>
      </w:r>
    </w:p>
    <w:p w14:paraId="0E081269" w14:textId="77777777" w:rsidR="00A5552E" w:rsidRDefault="00A5552E" w:rsidP="00D17616"/>
    <w:p w14:paraId="71751DB1" w14:textId="77777777" w:rsidR="00517A11" w:rsidRDefault="00517A11" w:rsidP="00D17616"/>
    <w:p w14:paraId="05BC6E07" w14:textId="77777777" w:rsidR="00517A11" w:rsidRDefault="00517A11" w:rsidP="00D17616"/>
    <w:p w14:paraId="62D1D0CA" w14:textId="77777777" w:rsidR="00992A73" w:rsidRDefault="00992A73" w:rsidP="00D17616"/>
    <w:p w14:paraId="113AE621" w14:textId="77777777" w:rsidR="00992A73" w:rsidRDefault="00992A73" w:rsidP="00D17616"/>
    <w:p w14:paraId="47DE67EE" w14:textId="77777777" w:rsidR="00992A73" w:rsidRDefault="00992A73" w:rsidP="00D17616"/>
    <w:p w14:paraId="39258971" w14:textId="77777777" w:rsidR="00517A11" w:rsidRDefault="00517A11" w:rsidP="00D17616"/>
    <w:p w14:paraId="3F2A9FAA" w14:textId="77777777" w:rsidR="00517A11" w:rsidRPr="00A5552E" w:rsidRDefault="00517A11" w:rsidP="00D17616"/>
    <w:p w14:paraId="7F9E9E7A" w14:textId="2503D89F" w:rsidR="002142E0" w:rsidRPr="002142E0" w:rsidRDefault="002142E0" w:rsidP="002142E0">
      <w:pPr>
        <w:pStyle w:val="Heading1"/>
        <w:rPr>
          <w:rFonts w:eastAsia="Times New Roman"/>
        </w:rPr>
      </w:pPr>
      <w:bookmarkStart w:id="3" w:name="_Toc197090565"/>
      <w:r>
        <w:rPr>
          <w:rFonts w:eastAsia="Times New Roman"/>
        </w:rPr>
        <w:lastRenderedPageBreak/>
        <w:t>Performance Appraisal Tools for Remote workers</w:t>
      </w:r>
      <w:bookmarkEnd w:id="3"/>
    </w:p>
    <w:p w14:paraId="6B1C82D7" w14:textId="77777777" w:rsidR="00244703" w:rsidRPr="00244703" w:rsidRDefault="00244703" w:rsidP="00244703">
      <w:pPr>
        <w:rPr>
          <w:rFonts w:ascii="Calibri" w:hAnsi="Calibri" w:cs="Calibri"/>
        </w:rPr>
      </w:pPr>
      <w:r w:rsidRPr="00244703">
        <w:rPr>
          <w:rFonts w:ascii="Calibri" w:hAnsi="Calibri" w:cs="Calibri"/>
        </w:rPr>
        <w:t>If performance measurement constitutes the ‘what’ of evaluation, then appraisal tools represent the ‘how’. In remote contexts, where the informal touchstones of feedback—corridor conversations, spontaneous check-ins—are largely absent, technology becomes the medium through which performance is documented and discussed.</w:t>
      </w:r>
    </w:p>
    <w:p w14:paraId="3FD45F5A" w14:textId="145505E9" w:rsidR="00244703" w:rsidRPr="00244703" w:rsidRDefault="00244703" w:rsidP="00244703">
      <w:pPr>
        <w:rPr>
          <w:rFonts w:ascii="Calibri" w:hAnsi="Calibri" w:cs="Calibri"/>
        </w:rPr>
      </w:pPr>
      <w:r w:rsidRPr="00244703">
        <w:rPr>
          <w:rFonts w:ascii="Calibri" w:hAnsi="Calibri" w:cs="Calibri"/>
          <w:b/>
          <w:bCs/>
        </w:rPr>
        <w:t>Online Performance Management Systems</w:t>
      </w:r>
      <w:r w:rsidRPr="00244703">
        <w:rPr>
          <w:rFonts w:ascii="Calibri" w:hAnsi="Calibri" w:cs="Calibri"/>
        </w:rPr>
        <w:t xml:space="preserve">, including platforms like BambooHR and SAP SuccessFactors, offer integrated environments for setting goals, capturing feedback, and tracking progress. Their capacity to </w:t>
      </w:r>
      <w:r w:rsidR="008C46F2" w:rsidRPr="00244703">
        <w:rPr>
          <w:rFonts w:ascii="Calibri" w:hAnsi="Calibri" w:cs="Calibri"/>
        </w:rPr>
        <w:t>centralize</w:t>
      </w:r>
      <w:r w:rsidRPr="00244703">
        <w:rPr>
          <w:rFonts w:ascii="Calibri" w:hAnsi="Calibri" w:cs="Calibri"/>
        </w:rPr>
        <w:t xml:space="preserve"> data reduces administrative burden and mitigates subjective bias (</w:t>
      </w:r>
      <w:proofErr w:type="spellStart"/>
      <w:r w:rsidRPr="00244703">
        <w:rPr>
          <w:rFonts w:ascii="Calibri" w:hAnsi="Calibri" w:cs="Calibri"/>
        </w:rPr>
        <w:t>Pulakos</w:t>
      </w:r>
      <w:proofErr w:type="spellEnd"/>
      <w:r w:rsidRPr="00244703">
        <w:rPr>
          <w:rFonts w:ascii="Calibri" w:hAnsi="Calibri" w:cs="Calibri"/>
        </w:rPr>
        <w:t>, 2009). Yet, these systems may alienate employees if perceived as overly bureaucratic, and their successful deployment demands sustained training and adaptation.</w:t>
      </w:r>
    </w:p>
    <w:p w14:paraId="515AD33D" w14:textId="77777777" w:rsidR="00244703" w:rsidRPr="00244703" w:rsidRDefault="00244703" w:rsidP="00244703">
      <w:pPr>
        <w:rPr>
          <w:rFonts w:ascii="Calibri" w:hAnsi="Calibri" w:cs="Calibri"/>
        </w:rPr>
      </w:pPr>
      <w:r w:rsidRPr="00244703">
        <w:rPr>
          <w:rFonts w:ascii="Calibri" w:hAnsi="Calibri" w:cs="Calibri"/>
          <w:b/>
          <w:bCs/>
        </w:rPr>
        <w:t>Continuous Feedback Applications</w:t>
      </w:r>
      <w:r w:rsidRPr="00244703">
        <w:rPr>
          <w:rFonts w:ascii="Calibri" w:hAnsi="Calibri" w:cs="Calibri"/>
        </w:rPr>
        <w:t xml:space="preserve"> such as 15Five and Lattice are designed to create a culture of ongoing dialogue. By facilitating weekly reflections and light-touch check-ins, they enhance relational transparency between managers and employees. However, without strategic anchoring, feedback may devolve into platitudes, lacking the depth needed for genuine growth.</w:t>
      </w:r>
    </w:p>
    <w:p w14:paraId="2466B94F" w14:textId="04941ACE" w:rsidR="00244703" w:rsidRPr="00244703" w:rsidRDefault="00244703" w:rsidP="00244703">
      <w:pPr>
        <w:rPr>
          <w:rFonts w:ascii="Calibri" w:hAnsi="Calibri" w:cs="Calibri"/>
        </w:rPr>
      </w:pPr>
      <w:r w:rsidRPr="00244703">
        <w:rPr>
          <w:rFonts w:ascii="Calibri" w:hAnsi="Calibri" w:cs="Calibri"/>
          <w:b/>
          <w:bCs/>
        </w:rPr>
        <w:t>Video-Based Appraisal Interviews</w:t>
      </w:r>
      <w:r w:rsidRPr="00244703">
        <w:rPr>
          <w:rFonts w:ascii="Calibri" w:hAnsi="Calibri" w:cs="Calibri"/>
        </w:rPr>
        <w:t xml:space="preserve"> offer a return to human connection, albeit mediated through screens. They enable evaluators to perceive nuance in tone, expression, and </w:t>
      </w:r>
      <w:r w:rsidR="008C46F2" w:rsidRPr="00244703">
        <w:rPr>
          <w:rFonts w:ascii="Calibri" w:hAnsi="Calibri" w:cs="Calibri"/>
        </w:rPr>
        <w:t>gestures</w:t>
      </w:r>
      <w:r w:rsidRPr="00244703">
        <w:rPr>
          <w:rFonts w:ascii="Calibri" w:hAnsi="Calibri" w:cs="Calibri"/>
        </w:rPr>
        <w:t xml:space="preserve"> often lost in text-based communication (Nguyen &amp; McDonald, 2020). This format nurtures empathy and rapport, though it also introduces new challenges, including screen fatigue and the need for advanced digital communication skills.</w:t>
      </w:r>
    </w:p>
    <w:p w14:paraId="13DFBFA1" w14:textId="77777777" w:rsidR="00244703" w:rsidRPr="00244703" w:rsidRDefault="00244703" w:rsidP="00244703">
      <w:pPr>
        <w:rPr>
          <w:rFonts w:ascii="Calibri" w:hAnsi="Calibri" w:cs="Calibri"/>
        </w:rPr>
      </w:pPr>
      <w:r w:rsidRPr="00244703">
        <w:rPr>
          <w:rFonts w:ascii="Calibri" w:hAnsi="Calibri" w:cs="Calibri"/>
          <w:b/>
          <w:bCs/>
        </w:rPr>
        <w:t>Project Management Software with Integrated Reporting</w:t>
      </w:r>
      <w:r w:rsidRPr="00244703">
        <w:rPr>
          <w:rFonts w:ascii="Calibri" w:hAnsi="Calibri" w:cs="Calibri"/>
        </w:rPr>
        <w:t>, exemplified by Asana and Trello, allows for the granular tracking of task ownership and completion. These tools render visible the workflows of remote teams, enabling timely intervention and support. However, a risk persists that emphasis on task metrics may overshadow long-term innovation or strategic insight, encouraging a narrow focus on execution at the expense of vision.</w:t>
      </w:r>
    </w:p>
    <w:p w14:paraId="38034680" w14:textId="77777777" w:rsidR="005C5B9E" w:rsidRDefault="005C5B9E" w:rsidP="00D17616">
      <w:pPr>
        <w:rPr>
          <w:rFonts w:ascii="Calibri" w:hAnsi="Calibri" w:cs="Calibri"/>
        </w:rPr>
      </w:pPr>
    </w:p>
    <w:p w14:paraId="7EA7DC82" w14:textId="77777777" w:rsidR="00244703" w:rsidRDefault="00244703" w:rsidP="00D17616">
      <w:pPr>
        <w:rPr>
          <w:rFonts w:ascii="Calibri" w:hAnsi="Calibri" w:cs="Calibri"/>
        </w:rPr>
      </w:pPr>
    </w:p>
    <w:p w14:paraId="6C0C1D88" w14:textId="127CCE05" w:rsidR="00E3388C" w:rsidRDefault="00E3388C" w:rsidP="00D17616">
      <w:pPr>
        <w:pStyle w:val="Heading1"/>
        <w:rPr>
          <w:rFonts w:eastAsia="Times New Roman"/>
        </w:rPr>
      </w:pPr>
      <w:bookmarkStart w:id="4" w:name="_Toc197090566"/>
      <w:r>
        <w:rPr>
          <w:rFonts w:eastAsia="Times New Roman"/>
        </w:rPr>
        <w:lastRenderedPageBreak/>
        <w:t>Conclusion</w:t>
      </w:r>
      <w:bookmarkEnd w:id="4"/>
    </w:p>
    <w:p w14:paraId="5A9237AD" w14:textId="2A1247F4" w:rsidR="008C46F2" w:rsidRPr="008C46F2" w:rsidRDefault="008C46F2" w:rsidP="008C46F2">
      <w:r w:rsidRPr="008C46F2">
        <w:t xml:space="preserve">In the evolving context of remote work, technology has emerged as a central enabler of modern performance management. It facilitates continuous feedback, real-time monitoring, and data-informed appraisal processes, offering </w:t>
      </w:r>
      <w:r w:rsidRPr="008C46F2">
        <w:t>organizations</w:t>
      </w:r>
      <w:r w:rsidRPr="008C46F2">
        <w:t xml:space="preserve"> the opportunity to build systems that are not only more efficient but also potentially more equitable. Through digital platforms and tools, managers can maintain visibility over employee contributions, support distributed teams, and foster a culture of accountability and transparency despite physical distance.</w:t>
      </w:r>
    </w:p>
    <w:p w14:paraId="366EC822" w14:textId="5F39A4CE" w:rsidR="008C46F2" w:rsidRPr="008C46F2" w:rsidRDefault="008C46F2" w:rsidP="008C46F2">
      <w:r w:rsidRPr="008C46F2">
        <w:t xml:space="preserve">However, the integration of technology into performance management is not without challenges. Overreliance on digital metrics can risk reducing complex human </w:t>
      </w:r>
      <w:r w:rsidRPr="008C46F2">
        <w:t>behaviors</w:t>
      </w:r>
      <w:r w:rsidRPr="008C46F2">
        <w:t xml:space="preserve"> to simplistic data points, overlooking the nuanced, qualitative dimensions of employee performance. Furthermore, ethical considerations—such as privacy, consent, and the psychological impact of constant surveillance—must be addressed to avoid eroding trust and morale in virtual environments.</w:t>
      </w:r>
    </w:p>
    <w:p w14:paraId="5300837D" w14:textId="742D7CBB" w:rsidR="008C46F2" w:rsidRPr="008C46F2" w:rsidRDefault="008C46F2" w:rsidP="008C46F2">
      <w:r w:rsidRPr="008C46F2">
        <w:t xml:space="preserve">To navigate these complexities, </w:t>
      </w:r>
      <w:r w:rsidRPr="008C46F2">
        <w:t>organizations</w:t>
      </w:r>
      <w:r w:rsidRPr="008C46F2">
        <w:t xml:space="preserve"> must adopt a multi-dimensional approach that draws on a combination of performance measurement techniques. Key Performance Indicators (KPIs) provide objective benchmarks aligned with </w:t>
      </w:r>
      <w:r w:rsidRPr="008C46F2">
        <w:t>organizational</w:t>
      </w:r>
      <w:r w:rsidRPr="008C46F2">
        <w:t xml:space="preserve"> goals, while Objectives and Key Results (OKRs) promote aspirational goal-setting and strategic alignment. 360-degree feedback offers a richer, more holistic view of performance by incorporating diverse perspectives, and outcome-based assessments shift the focus to results, particularly valuable in knowledge-intensive roles.</w:t>
      </w:r>
    </w:p>
    <w:p w14:paraId="55C122A8" w14:textId="57F2D6DF" w:rsidR="008C46F2" w:rsidRPr="008C46F2" w:rsidRDefault="008C46F2" w:rsidP="008C46F2">
      <w:r w:rsidRPr="008C46F2">
        <w:t xml:space="preserve">When complemented by appropriate digital tools—such as online performance management systems, continuous feedback applications, video-based appraisals, and integrated project management </w:t>
      </w:r>
      <w:r w:rsidRPr="008C46F2">
        <w:t xml:space="preserve">software, </w:t>
      </w:r>
      <w:r w:rsidRPr="008C46F2">
        <w:t xml:space="preserve">these frameworks can enhance the validity, responsiveness, and fairness of remote performance evaluation. Ultimately, the effective use of technology in this context requires thoughtful implementation that respects employee autonomy and fosters a culture of trust. By blending quantitative precision with qualitative insight, </w:t>
      </w:r>
      <w:r w:rsidRPr="008C46F2">
        <w:t>organizations</w:t>
      </w:r>
      <w:r w:rsidRPr="008C46F2">
        <w:t xml:space="preserve"> can establish performance management systems that are not only technologically advanced but also human-</w:t>
      </w:r>
      <w:r w:rsidRPr="008C46F2">
        <w:t>centered</w:t>
      </w:r>
      <w:r w:rsidRPr="008C46F2">
        <w:t xml:space="preserve"> and adaptable to the future of work.</w:t>
      </w:r>
    </w:p>
    <w:p w14:paraId="67B20CDF" w14:textId="77777777" w:rsidR="003375CB" w:rsidRDefault="003375CB" w:rsidP="00D17616"/>
    <w:p w14:paraId="7C3C251C" w14:textId="7476B63D" w:rsidR="00695062" w:rsidRDefault="00695062" w:rsidP="00D17616">
      <w:pPr>
        <w:pStyle w:val="Heading1"/>
        <w:rPr>
          <w:rFonts w:eastAsia="Times New Roman"/>
        </w:rPr>
      </w:pPr>
      <w:bookmarkStart w:id="5" w:name="_Toc197090567"/>
      <w:r>
        <w:rPr>
          <w:rFonts w:eastAsia="Times New Roman"/>
        </w:rPr>
        <w:lastRenderedPageBreak/>
        <w:t>References</w:t>
      </w:r>
      <w:bookmarkEnd w:id="5"/>
    </w:p>
    <w:p w14:paraId="12DEA788" w14:textId="77777777" w:rsidR="003375CB" w:rsidRPr="003375CB" w:rsidRDefault="003375CB" w:rsidP="003375CB">
      <w:pPr>
        <w:rPr>
          <w:shd w:val="clear" w:color="auto" w:fill="FFFFFF"/>
        </w:rPr>
      </w:pPr>
      <w:r w:rsidRPr="003375CB">
        <w:rPr>
          <w:shd w:val="clear" w:color="auto" w:fill="FFFFFF"/>
        </w:rPr>
        <w:t xml:space="preserve">Ball, K. (2010). </w:t>
      </w:r>
      <w:r w:rsidRPr="003375CB">
        <w:rPr>
          <w:i/>
          <w:iCs/>
          <w:shd w:val="clear" w:color="auto" w:fill="FFFFFF"/>
        </w:rPr>
        <w:t>Workplace surveillance: An overview</w:t>
      </w:r>
      <w:r w:rsidRPr="003375CB">
        <w:rPr>
          <w:shd w:val="clear" w:color="auto" w:fill="FFFFFF"/>
        </w:rPr>
        <w:t xml:space="preserve">. </w:t>
      </w:r>
      <w:proofErr w:type="spellStart"/>
      <w:r w:rsidRPr="003375CB">
        <w:rPr>
          <w:shd w:val="clear" w:color="auto" w:fill="FFFFFF"/>
        </w:rPr>
        <w:t>Labour</w:t>
      </w:r>
      <w:proofErr w:type="spellEnd"/>
      <w:r w:rsidRPr="003375CB">
        <w:rPr>
          <w:shd w:val="clear" w:color="auto" w:fill="FFFFFF"/>
        </w:rPr>
        <w:t xml:space="preserve"> History, 51(1), 87–106.</w:t>
      </w:r>
      <w:r w:rsidRPr="003375CB">
        <w:rPr>
          <w:shd w:val="clear" w:color="auto" w:fill="FFFFFF"/>
        </w:rPr>
        <w:br/>
        <w:t xml:space="preserve">Bracken, D.W., Rose, D.S., &amp; Church, A.H. (2016). The Evolution and Devolution of 360° Feedback. </w:t>
      </w:r>
      <w:r w:rsidRPr="003375CB">
        <w:rPr>
          <w:i/>
          <w:iCs/>
          <w:shd w:val="clear" w:color="auto" w:fill="FFFFFF"/>
        </w:rPr>
        <w:t>Industrial and Organizational Psychology</w:t>
      </w:r>
      <w:r w:rsidRPr="003375CB">
        <w:rPr>
          <w:shd w:val="clear" w:color="auto" w:fill="FFFFFF"/>
        </w:rPr>
        <w:t>, 9(4), 761-794.</w:t>
      </w:r>
      <w:r w:rsidRPr="003375CB">
        <w:rPr>
          <w:shd w:val="clear" w:color="auto" w:fill="FFFFFF"/>
        </w:rPr>
        <w:br/>
        <w:t xml:space="preserve">Cascio, W.F., &amp; </w:t>
      </w:r>
      <w:proofErr w:type="spellStart"/>
      <w:r w:rsidRPr="003375CB">
        <w:rPr>
          <w:shd w:val="clear" w:color="auto" w:fill="FFFFFF"/>
        </w:rPr>
        <w:t>Shurygailo</w:t>
      </w:r>
      <w:proofErr w:type="spellEnd"/>
      <w:r w:rsidRPr="003375CB">
        <w:rPr>
          <w:shd w:val="clear" w:color="auto" w:fill="FFFFFF"/>
        </w:rPr>
        <w:t xml:space="preserve">, S. (2003). E-Leadership and Virtual Teams. </w:t>
      </w:r>
      <w:r w:rsidRPr="003375CB">
        <w:rPr>
          <w:i/>
          <w:iCs/>
          <w:shd w:val="clear" w:color="auto" w:fill="FFFFFF"/>
        </w:rPr>
        <w:t>Organizational Dynamics</w:t>
      </w:r>
      <w:r w:rsidRPr="003375CB">
        <w:rPr>
          <w:shd w:val="clear" w:color="auto" w:fill="FFFFFF"/>
        </w:rPr>
        <w:t>, 31(4), 362-376.</w:t>
      </w:r>
      <w:r w:rsidRPr="003375CB">
        <w:rPr>
          <w:shd w:val="clear" w:color="auto" w:fill="FFFFFF"/>
        </w:rPr>
        <w:br/>
        <w:t xml:space="preserve">Charalampous, M., Grant, C.A., Tramontano, C., &amp; Michailidis, E. (2019). Systematically reviewing remote e-working and mental health. </w:t>
      </w:r>
      <w:r w:rsidRPr="003375CB">
        <w:rPr>
          <w:i/>
          <w:iCs/>
          <w:shd w:val="clear" w:color="auto" w:fill="FFFFFF"/>
        </w:rPr>
        <w:t>European Journal of Work and Organizational Psychology</w:t>
      </w:r>
      <w:r w:rsidRPr="003375CB">
        <w:rPr>
          <w:shd w:val="clear" w:color="auto" w:fill="FFFFFF"/>
        </w:rPr>
        <w:t>, 28(1), 51–73.</w:t>
      </w:r>
      <w:r w:rsidRPr="003375CB">
        <w:rPr>
          <w:shd w:val="clear" w:color="auto" w:fill="FFFFFF"/>
        </w:rPr>
        <w:br/>
        <w:t xml:space="preserve">CIPD. (2022). </w:t>
      </w:r>
      <w:r w:rsidRPr="003375CB">
        <w:rPr>
          <w:i/>
          <w:iCs/>
          <w:shd w:val="clear" w:color="auto" w:fill="FFFFFF"/>
        </w:rPr>
        <w:t>Performance management that works: The evidence</w:t>
      </w:r>
      <w:r w:rsidRPr="003375CB">
        <w:rPr>
          <w:shd w:val="clear" w:color="auto" w:fill="FFFFFF"/>
        </w:rPr>
        <w:t>. Chartered Institute of Personnel and Development.</w:t>
      </w:r>
      <w:r w:rsidRPr="003375CB">
        <w:rPr>
          <w:shd w:val="clear" w:color="auto" w:fill="FFFFFF"/>
        </w:rPr>
        <w:br/>
        <w:t xml:space="preserve">Doerr, J. (2018). </w:t>
      </w:r>
      <w:r w:rsidRPr="003375CB">
        <w:rPr>
          <w:i/>
          <w:iCs/>
          <w:shd w:val="clear" w:color="auto" w:fill="FFFFFF"/>
        </w:rPr>
        <w:t>Measure What Matters: How Google, Bono, and the Gates Foundation Rock the World with OKRs</w:t>
      </w:r>
      <w:r w:rsidRPr="003375CB">
        <w:rPr>
          <w:shd w:val="clear" w:color="auto" w:fill="FFFFFF"/>
        </w:rPr>
        <w:t>. Penguin.</w:t>
      </w:r>
      <w:r w:rsidRPr="003375CB">
        <w:rPr>
          <w:shd w:val="clear" w:color="auto" w:fill="FFFFFF"/>
        </w:rPr>
        <w:br/>
        <w:t xml:space="preserve">Grant, C.A., Wallace, L.M., &amp; Spurgeon, P.C. (2013). An exploration of the psychological factors affecting remote e-worker's job effectiveness, well-being and work-life balance. </w:t>
      </w:r>
      <w:r w:rsidRPr="003375CB">
        <w:rPr>
          <w:i/>
          <w:iCs/>
          <w:shd w:val="clear" w:color="auto" w:fill="FFFFFF"/>
        </w:rPr>
        <w:t>Employee Relations</w:t>
      </w:r>
      <w:r w:rsidRPr="003375CB">
        <w:rPr>
          <w:shd w:val="clear" w:color="auto" w:fill="FFFFFF"/>
        </w:rPr>
        <w:t>, 35(5), 527-546.</w:t>
      </w:r>
      <w:r w:rsidRPr="003375CB">
        <w:rPr>
          <w:shd w:val="clear" w:color="auto" w:fill="FFFFFF"/>
        </w:rPr>
        <w:br/>
        <w:t xml:space="preserve">Maruping, L.M., Venkatesh, V., Thatcher, S.M.B., &amp; Patel, P.C. (2021). Folding under pressure or rising to the occasion? </w:t>
      </w:r>
      <w:r w:rsidRPr="003375CB">
        <w:rPr>
          <w:i/>
          <w:iCs/>
          <w:shd w:val="clear" w:color="auto" w:fill="FFFFFF"/>
        </w:rPr>
        <w:t>Organizational Science</w:t>
      </w:r>
      <w:r w:rsidRPr="003375CB">
        <w:rPr>
          <w:shd w:val="clear" w:color="auto" w:fill="FFFFFF"/>
        </w:rPr>
        <w:t>, 32(5), 1085-1105.</w:t>
      </w:r>
      <w:r w:rsidRPr="003375CB">
        <w:rPr>
          <w:shd w:val="clear" w:color="auto" w:fill="FFFFFF"/>
        </w:rPr>
        <w:br/>
        <w:t xml:space="preserve">Nguyen, M.H., &amp; McDonald, P. (2020). Video conferencing in performance appraisals. </w:t>
      </w:r>
      <w:r w:rsidRPr="003375CB">
        <w:rPr>
          <w:i/>
          <w:iCs/>
          <w:shd w:val="clear" w:color="auto" w:fill="FFFFFF"/>
        </w:rPr>
        <w:t>Human Resource Management Journal</w:t>
      </w:r>
      <w:r w:rsidRPr="003375CB">
        <w:rPr>
          <w:shd w:val="clear" w:color="auto" w:fill="FFFFFF"/>
        </w:rPr>
        <w:t>, 30(2), 314-330.</w:t>
      </w:r>
      <w:r w:rsidRPr="003375CB">
        <w:rPr>
          <w:shd w:val="clear" w:color="auto" w:fill="FFFFFF"/>
        </w:rPr>
        <w:br/>
        <w:t xml:space="preserve">Office for National Statistics (ONS). (2023). </w:t>
      </w:r>
      <w:r w:rsidRPr="003375CB">
        <w:rPr>
          <w:i/>
          <w:iCs/>
          <w:shd w:val="clear" w:color="auto" w:fill="FFFFFF"/>
        </w:rPr>
        <w:t>Characteristics of home workers, Great Britain: September 2022 to January 2023</w:t>
      </w:r>
      <w:r w:rsidRPr="003375CB">
        <w:rPr>
          <w:shd w:val="clear" w:color="auto" w:fill="FFFFFF"/>
        </w:rPr>
        <w:t xml:space="preserve">. Available at: </w:t>
      </w:r>
      <w:hyperlink r:id="rId9" w:tgtFrame="_new" w:history="1">
        <w:r w:rsidRPr="003375CB">
          <w:rPr>
            <w:rStyle w:val="Hyperlink"/>
            <w:shd w:val="clear" w:color="auto" w:fill="FFFFFF"/>
          </w:rPr>
          <w:t>https://www.ons.gov.uk</w:t>
        </w:r>
      </w:hyperlink>
      <w:r w:rsidRPr="003375CB">
        <w:rPr>
          <w:shd w:val="clear" w:color="auto" w:fill="FFFFFF"/>
        </w:rPr>
        <w:t xml:space="preserve"> [Accessed 25 April 2025].</w:t>
      </w:r>
      <w:r w:rsidRPr="003375CB">
        <w:rPr>
          <w:shd w:val="clear" w:color="auto" w:fill="FFFFFF"/>
        </w:rPr>
        <w:br/>
      </w:r>
      <w:proofErr w:type="spellStart"/>
      <w:r w:rsidRPr="003375CB">
        <w:rPr>
          <w:shd w:val="clear" w:color="auto" w:fill="FFFFFF"/>
        </w:rPr>
        <w:t>Pulakos</w:t>
      </w:r>
      <w:proofErr w:type="spellEnd"/>
      <w:r w:rsidRPr="003375CB">
        <w:rPr>
          <w:shd w:val="clear" w:color="auto" w:fill="FFFFFF"/>
        </w:rPr>
        <w:t xml:space="preserve">, E.D. (2009). </w:t>
      </w:r>
      <w:r w:rsidRPr="003375CB">
        <w:rPr>
          <w:i/>
          <w:iCs/>
          <w:shd w:val="clear" w:color="auto" w:fill="FFFFFF"/>
        </w:rPr>
        <w:t>Performance Management: A New Approach for Driving Business Results</w:t>
      </w:r>
      <w:r w:rsidRPr="003375CB">
        <w:rPr>
          <w:shd w:val="clear" w:color="auto" w:fill="FFFFFF"/>
        </w:rPr>
        <w:t>. Wiley-Blackwell.</w:t>
      </w:r>
      <w:r w:rsidRPr="003375CB">
        <w:rPr>
          <w:shd w:val="clear" w:color="auto" w:fill="FFFFFF"/>
        </w:rPr>
        <w:br/>
        <w:t xml:space="preserve">Parmenter, D. (2015). </w:t>
      </w:r>
      <w:r w:rsidRPr="003375CB">
        <w:rPr>
          <w:i/>
          <w:iCs/>
          <w:shd w:val="clear" w:color="auto" w:fill="FFFFFF"/>
        </w:rPr>
        <w:t>Key Performance Indicators: Developing, Implementing, and Using Winning KPIs</w:t>
      </w:r>
      <w:r w:rsidRPr="003375CB">
        <w:rPr>
          <w:shd w:val="clear" w:color="auto" w:fill="FFFFFF"/>
        </w:rPr>
        <w:t xml:space="preserve"> (3rd ed.). Wiley.</w:t>
      </w:r>
    </w:p>
    <w:p w14:paraId="5682BFD3" w14:textId="77777777" w:rsidR="00F44DA6" w:rsidRDefault="00F44DA6" w:rsidP="00AD7F51">
      <w:pPr>
        <w:rPr>
          <w:shd w:val="clear" w:color="auto" w:fill="FFFFFF"/>
        </w:rPr>
      </w:pPr>
    </w:p>
    <w:sectPr w:rsidR="00F44DA6" w:rsidSect="00CE35A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63EF8B" w14:textId="77777777" w:rsidR="004F32A6" w:rsidRDefault="004F32A6" w:rsidP="00D74941">
      <w:pPr>
        <w:spacing w:after="0" w:line="240" w:lineRule="auto"/>
      </w:pPr>
      <w:r>
        <w:separator/>
      </w:r>
    </w:p>
  </w:endnote>
  <w:endnote w:type="continuationSeparator" w:id="0">
    <w:p w14:paraId="534955E8" w14:textId="77777777" w:rsidR="004F32A6" w:rsidRDefault="004F32A6" w:rsidP="00D74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2D5C3" w14:textId="77777777" w:rsidR="004F32A6" w:rsidRDefault="004F32A6" w:rsidP="00D74941">
      <w:pPr>
        <w:spacing w:after="0" w:line="240" w:lineRule="auto"/>
      </w:pPr>
      <w:r>
        <w:separator/>
      </w:r>
    </w:p>
  </w:footnote>
  <w:footnote w:type="continuationSeparator" w:id="0">
    <w:p w14:paraId="58D053B7" w14:textId="77777777" w:rsidR="004F32A6" w:rsidRDefault="004F32A6" w:rsidP="00D74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907F8"/>
    <w:multiLevelType w:val="multilevel"/>
    <w:tmpl w:val="E91213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C0CB5"/>
    <w:multiLevelType w:val="multilevel"/>
    <w:tmpl w:val="5FC0A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654DC"/>
    <w:multiLevelType w:val="multilevel"/>
    <w:tmpl w:val="A5FC3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56759"/>
    <w:multiLevelType w:val="multilevel"/>
    <w:tmpl w:val="3B7C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71EE5"/>
    <w:multiLevelType w:val="multilevel"/>
    <w:tmpl w:val="E864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F27746"/>
    <w:multiLevelType w:val="multilevel"/>
    <w:tmpl w:val="223E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D8515E"/>
    <w:multiLevelType w:val="multilevel"/>
    <w:tmpl w:val="99001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3610F0"/>
    <w:multiLevelType w:val="multilevel"/>
    <w:tmpl w:val="F364F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4249BC"/>
    <w:multiLevelType w:val="multilevel"/>
    <w:tmpl w:val="E2429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E3376B"/>
    <w:multiLevelType w:val="multilevel"/>
    <w:tmpl w:val="7CC40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A71E50"/>
    <w:multiLevelType w:val="multilevel"/>
    <w:tmpl w:val="49F46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02449C"/>
    <w:multiLevelType w:val="multilevel"/>
    <w:tmpl w:val="BE36B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F15985"/>
    <w:multiLevelType w:val="multilevel"/>
    <w:tmpl w:val="F844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1426A8"/>
    <w:multiLevelType w:val="multilevel"/>
    <w:tmpl w:val="47EEF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1D22DA"/>
    <w:multiLevelType w:val="multilevel"/>
    <w:tmpl w:val="875A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CB5AD9"/>
    <w:multiLevelType w:val="multilevel"/>
    <w:tmpl w:val="DBB8B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6B4A53"/>
    <w:multiLevelType w:val="multilevel"/>
    <w:tmpl w:val="41C8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B81B10"/>
    <w:multiLevelType w:val="multilevel"/>
    <w:tmpl w:val="ED30D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4E726D"/>
    <w:multiLevelType w:val="multilevel"/>
    <w:tmpl w:val="20D05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3735EE"/>
    <w:multiLevelType w:val="multilevel"/>
    <w:tmpl w:val="49E2C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BD210C"/>
    <w:multiLevelType w:val="multilevel"/>
    <w:tmpl w:val="F174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947B2D"/>
    <w:multiLevelType w:val="multilevel"/>
    <w:tmpl w:val="71E6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026911"/>
    <w:multiLevelType w:val="multilevel"/>
    <w:tmpl w:val="13C82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301FE6"/>
    <w:multiLevelType w:val="multilevel"/>
    <w:tmpl w:val="EF0E7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875A56"/>
    <w:multiLevelType w:val="multilevel"/>
    <w:tmpl w:val="C714C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E13276"/>
    <w:multiLevelType w:val="multilevel"/>
    <w:tmpl w:val="3A541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B83BFE"/>
    <w:multiLevelType w:val="multilevel"/>
    <w:tmpl w:val="61E05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4130375">
    <w:abstractNumId w:val="12"/>
  </w:num>
  <w:num w:numId="2" w16cid:durableId="1338339131">
    <w:abstractNumId w:val="17"/>
  </w:num>
  <w:num w:numId="3" w16cid:durableId="1762754453">
    <w:abstractNumId w:val="23"/>
  </w:num>
  <w:num w:numId="4" w16cid:durableId="27536330">
    <w:abstractNumId w:val="15"/>
  </w:num>
  <w:num w:numId="5" w16cid:durableId="150415799">
    <w:abstractNumId w:val="8"/>
  </w:num>
  <w:num w:numId="6" w16cid:durableId="1320184398">
    <w:abstractNumId w:val="0"/>
  </w:num>
  <w:num w:numId="7" w16cid:durableId="1556771404">
    <w:abstractNumId w:val="1"/>
  </w:num>
  <w:num w:numId="8" w16cid:durableId="362900967">
    <w:abstractNumId w:val="7"/>
  </w:num>
  <w:num w:numId="9" w16cid:durableId="881164130">
    <w:abstractNumId w:val="19"/>
  </w:num>
  <w:num w:numId="10" w16cid:durableId="1070687375">
    <w:abstractNumId w:val="9"/>
  </w:num>
  <w:num w:numId="11" w16cid:durableId="708726832">
    <w:abstractNumId w:val="2"/>
  </w:num>
  <w:num w:numId="12" w16cid:durableId="1039016340">
    <w:abstractNumId w:val="26"/>
  </w:num>
  <w:num w:numId="13" w16cid:durableId="128859048">
    <w:abstractNumId w:val="18"/>
  </w:num>
  <w:num w:numId="14" w16cid:durableId="454755850">
    <w:abstractNumId w:val="21"/>
  </w:num>
  <w:num w:numId="15" w16cid:durableId="1917477413">
    <w:abstractNumId w:val="20"/>
  </w:num>
  <w:num w:numId="16" w16cid:durableId="1443498398">
    <w:abstractNumId w:val="25"/>
  </w:num>
  <w:num w:numId="17" w16cid:durableId="841505461">
    <w:abstractNumId w:val="3"/>
  </w:num>
  <w:num w:numId="18" w16cid:durableId="790905723">
    <w:abstractNumId w:val="10"/>
  </w:num>
  <w:num w:numId="19" w16cid:durableId="1540973562">
    <w:abstractNumId w:val="5"/>
  </w:num>
  <w:num w:numId="20" w16cid:durableId="1440444367">
    <w:abstractNumId w:val="4"/>
  </w:num>
  <w:num w:numId="21" w16cid:durableId="1871643975">
    <w:abstractNumId w:val="11"/>
  </w:num>
  <w:num w:numId="22" w16cid:durableId="1184588745">
    <w:abstractNumId w:val="6"/>
  </w:num>
  <w:num w:numId="23" w16cid:durableId="1366902179">
    <w:abstractNumId w:val="22"/>
  </w:num>
  <w:num w:numId="24" w16cid:durableId="1801340581">
    <w:abstractNumId w:val="16"/>
  </w:num>
  <w:num w:numId="25" w16cid:durableId="970088275">
    <w:abstractNumId w:val="24"/>
  </w:num>
  <w:num w:numId="26" w16cid:durableId="2009477207">
    <w:abstractNumId w:val="14"/>
  </w:num>
  <w:num w:numId="27" w16cid:durableId="149541567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5A5"/>
    <w:rsid w:val="00015234"/>
    <w:rsid w:val="00020D79"/>
    <w:rsid w:val="00026C28"/>
    <w:rsid w:val="00037AF0"/>
    <w:rsid w:val="000404A5"/>
    <w:rsid w:val="000C3DBC"/>
    <w:rsid w:val="001011B8"/>
    <w:rsid w:val="00140F70"/>
    <w:rsid w:val="00147E30"/>
    <w:rsid w:val="00174455"/>
    <w:rsid w:val="00183E7E"/>
    <w:rsid w:val="00196302"/>
    <w:rsid w:val="001A0759"/>
    <w:rsid w:val="001E0CA2"/>
    <w:rsid w:val="00207C4C"/>
    <w:rsid w:val="002142E0"/>
    <w:rsid w:val="00216A0D"/>
    <w:rsid w:val="00224326"/>
    <w:rsid w:val="00244703"/>
    <w:rsid w:val="002636DD"/>
    <w:rsid w:val="00282036"/>
    <w:rsid w:val="002962AD"/>
    <w:rsid w:val="002A6289"/>
    <w:rsid w:val="002D4BBF"/>
    <w:rsid w:val="002D53DD"/>
    <w:rsid w:val="0030424A"/>
    <w:rsid w:val="003115E1"/>
    <w:rsid w:val="00312F0F"/>
    <w:rsid w:val="003318B1"/>
    <w:rsid w:val="003375CB"/>
    <w:rsid w:val="00342096"/>
    <w:rsid w:val="00384BE5"/>
    <w:rsid w:val="003C7FE4"/>
    <w:rsid w:val="003D03C0"/>
    <w:rsid w:val="004714E2"/>
    <w:rsid w:val="004849D7"/>
    <w:rsid w:val="004A63D8"/>
    <w:rsid w:val="004B119D"/>
    <w:rsid w:val="004F32A6"/>
    <w:rsid w:val="00501C58"/>
    <w:rsid w:val="00517A11"/>
    <w:rsid w:val="00537386"/>
    <w:rsid w:val="00553BD9"/>
    <w:rsid w:val="00584DE0"/>
    <w:rsid w:val="005A1ED0"/>
    <w:rsid w:val="005C168F"/>
    <w:rsid w:val="005C5B9E"/>
    <w:rsid w:val="005E4516"/>
    <w:rsid w:val="00662D21"/>
    <w:rsid w:val="00695062"/>
    <w:rsid w:val="00697039"/>
    <w:rsid w:val="006B16E1"/>
    <w:rsid w:val="006C5A19"/>
    <w:rsid w:val="006E530D"/>
    <w:rsid w:val="00782053"/>
    <w:rsid w:val="007D5CDD"/>
    <w:rsid w:val="00801ABD"/>
    <w:rsid w:val="00826465"/>
    <w:rsid w:val="00827368"/>
    <w:rsid w:val="008C46F2"/>
    <w:rsid w:val="008E18C1"/>
    <w:rsid w:val="00904CC7"/>
    <w:rsid w:val="0091524C"/>
    <w:rsid w:val="0091645F"/>
    <w:rsid w:val="009322FB"/>
    <w:rsid w:val="009624A9"/>
    <w:rsid w:val="00992A73"/>
    <w:rsid w:val="009B2232"/>
    <w:rsid w:val="009B2271"/>
    <w:rsid w:val="009C68DE"/>
    <w:rsid w:val="009F5962"/>
    <w:rsid w:val="009F64CA"/>
    <w:rsid w:val="00A0701A"/>
    <w:rsid w:val="00A5552E"/>
    <w:rsid w:val="00A64730"/>
    <w:rsid w:val="00A967F9"/>
    <w:rsid w:val="00AA0355"/>
    <w:rsid w:val="00AD0549"/>
    <w:rsid w:val="00AD7F51"/>
    <w:rsid w:val="00B43185"/>
    <w:rsid w:val="00B508B2"/>
    <w:rsid w:val="00B56C8A"/>
    <w:rsid w:val="00B7657A"/>
    <w:rsid w:val="00BB0981"/>
    <w:rsid w:val="00C03984"/>
    <w:rsid w:val="00C34FC4"/>
    <w:rsid w:val="00C44479"/>
    <w:rsid w:val="00C674CF"/>
    <w:rsid w:val="00CE35A5"/>
    <w:rsid w:val="00CF382A"/>
    <w:rsid w:val="00D17616"/>
    <w:rsid w:val="00D46ED4"/>
    <w:rsid w:val="00D73266"/>
    <w:rsid w:val="00D74941"/>
    <w:rsid w:val="00D94028"/>
    <w:rsid w:val="00DA7A70"/>
    <w:rsid w:val="00DF7674"/>
    <w:rsid w:val="00E03CE7"/>
    <w:rsid w:val="00E2417D"/>
    <w:rsid w:val="00E3388C"/>
    <w:rsid w:val="00E53F4F"/>
    <w:rsid w:val="00EA1380"/>
    <w:rsid w:val="00EB26C0"/>
    <w:rsid w:val="00EC19F1"/>
    <w:rsid w:val="00EE0B9A"/>
    <w:rsid w:val="00EE5BD5"/>
    <w:rsid w:val="00EE714C"/>
    <w:rsid w:val="00EF78F1"/>
    <w:rsid w:val="00F40604"/>
    <w:rsid w:val="00F44DA6"/>
    <w:rsid w:val="00F5560A"/>
    <w:rsid w:val="00F57DEB"/>
    <w:rsid w:val="00F84580"/>
    <w:rsid w:val="00FB62D3"/>
    <w:rsid w:val="00FD3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033669"/>
  <w15:chartTrackingRefBased/>
  <w15:docId w15:val="{AC0E4042-AE08-4CC9-953A-445048070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5A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E35A5"/>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semiHidden/>
    <w:unhideWhenUsed/>
    <w:qFormat/>
    <w:rsid w:val="00CE35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35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5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5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5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5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5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5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5A5"/>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semiHidden/>
    <w:rsid w:val="00CE35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35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5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5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5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5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5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5A5"/>
    <w:rPr>
      <w:rFonts w:eastAsiaTheme="majorEastAsia" w:cstheme="majorBidi"/>
      <w:color w:val="272727" w:themeColor="text1" w:themeTint="D8"/>
    </w:rPr>
  </w:style>
  <w:style w:type="paragraph" w:styleId="Title">
    <w:name w:val="Title"/>
    <w:basedOn w:val="Normal"/>
    <w:next w:val="Normal"/>
    <w:link w:val="TitleChar"/>
    <w:uiPriority w:val="10"/>
    <w:qFormat/>
    <w:rsid w:val="00CE35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5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5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5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5A5"/>
    <w:pPr>
      <w:spacing w:before="160"/>
      <w:jc w:val="center"/>
    </w:pPr>
    <w:rPr>
      <w:i/>
      <w:iCs/>
      <w:color w:val="404040" w:themeColor="text1" w:themeTint="BF"/>
    </w:rPr>
  </w:style>
  <w:style w:type="character" w:customStyle="1" w:styleId="QuoteChar">
    <w:name w:val="Quote Char"/>
    <w:basedOn w:val="DefaultParagraphFont"/>
    <w:link w:val="Quote"/>
    <w:uiPriority w:val="29"/>
    <w:rsid w:val="00CE35A5"/>
    <w:rPr>
      <w:i/>
      <w:iCs/>
      <w:color w:val="404040" w:themeColor="text1" w:themeTint="BF"/>
    </w:rPr>
  </w:style>
  <w:style w:type="paragraph" w:styleId="ListParagraph">
    <w:name w:val="List Paragraph"/>
    <w:basedOn w:val="Normal"/>
    <w:uiPriority w:val="34"/>
    <w:qFormat/>
    <w:rsid w:val="00CE35A5"/>
    <w:pPr>
      <w:ind w:left="720"/>
      <w:contextualSpacing/>
    </w:pPr>
  </w:style>
  <w:style w:type="character" w:styleId="IntenseEmphasis">
    <w:name w:val="Intense Emphasis"/>
    <w:basedOn w:val="DefaultParagraphFont"/>
    <w:uiPriority w:val="21"/>
    <w:qFormat/>
    <w:rsid w:val="00CE35A5"/>
    <w:rPr>
      <w:i/>
      <w:iCs/>
      <w:color w:val="0F4761" w:themeColor="accent1" w:themeShade="BF"/>
    </w:rPr>
  </w:style>
  <w:style w:type="paragraph" w:styleId="IntenseQuote">
    <w:name w:val="Intense Quote"/>
    <w:basedOn w:val="Normal"/>
    <w:next w:val="Normal"/>
    <w:link w:val="IntenseQuoteChar"/>
    <w:uiPriority w:val="30"/>
    <w:qFormat/>
    <w:rsid w:val="00CE35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5A5"/>
    <w:rPr>
      <w:i/>
      <w:iCs/>
      <w:color w:val="0F4761" w:themeColor="accent1" w:themeShade="BF"/>
    </w:rPr>
  </w:style>
  <w:style w:type="character" w:styleId="IntenseReference">
    <w:name w:val="Intense Reference"/>
    <w:basedOn w:val="DefaultParagraphFont"/>
    <w:uiPriority w:val="32"/>
    <w:qFormat/>
    <w:rsid w:val="00CE35A5"/>
    <w:rPr>
      <w:b/>
      <w:bCs/>
      <w:smallCaps/>
      <w:color w:val="0F4761" w:themeColor="accent1" w:themeShade="BF"/>
      <w:spacing w:val="5"/>
    </w:rPr>
  </w:style>
  <w:style w:type="paragraph" w:styleId="TOCHeading">
    <w:name w:val="TOC Heading"/>
    <w:basedOn w:val="Heading1"/>
    <w:next w:val="Normal"/>
    <w:uiPriority w:val="39"/>
    <w:unhideWhenUsed/>
    <w:qFormat/>
    <w:rsid w:val="00CE35A5"/>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CE35A5"/>
    <w:pPr>
      <w:spacing w:after="100"/>
    </w:pPr>
  </w:style>
  <w:style w:type="character" w:styleId="Hyperlink">
    <w:name w:val="Hyperlink"/>
    <w:basedOn w:val="DefaultParagraphFont"/>
    <w:uiPriority w:val="99"/>
    <w:unhideWhenUsed/>
    <w:rsid w:val="00CE35A5"/>
    <w:rPr>
      <w:color w:val="467886" w:themeColor="hyperlink"/>
      <w:u w:val="single"/>
    </w:rPr>
  </w:style>
  <w:style w:type="paragraph" w:styleId="NoSpacing">
    <w:name w:val="No Spacing"/>
    <w:link w:val="NoSpacingChar"/>
    <w:uiPriority w:val="1"/>
    <w:qFormat/>
    <w:rsid w:val="00CE35A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E35A5"/>
    <w:rPr>
      <w:rFonts w:eastAsiaTheme="minorEastAsia"/>
      <w:kern w:val="0"/>
      <w:sz w:val="22"/>
      <w:szCs w:val="22"/>
      <w14:ligatures w14:val="none"/>
    </w:rPr>
  </w:style>
  <w:style w:type="table" w:styleId="TableGrid">
    <w:name w:val="Table Grid"/>
    <w:basedOn w:val="TableNormal"/>
    <w:uiPriority w:val="39"/>
    <w:rsid w:val="00C674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49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4941"/>
    <w:rPr>
      <w:rFonts w:ascii="Times New Roman" w:hAnsi="Times New Roman"/>
    </w:rPr>
  </w:style>
  <w:style w:type="paragraph" w:styleId="Footer">
    <w:name w:val="footer"/>
    <w:basedOn w:val="Normal"/>
    <w:link w:val="FooterChar"/>
    <w:uiPriority w:val="99"/>
    <w:unhideWhenUsed/>
    <w:rsid w:val="00D749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4941"/>
    <w:rPr>
      <w:rFonts w:ascii="Times New Roman" w:hAnsi="Times New Roman"/>
    </w:rPr>
  </w:style>
  <w:style w:type="paragraph" w:styleId="NormalWeb">
    <w:name w:val="Normal (Web)"/>
    <w:basedOn w:val="Normal"/>
    <w:uiPriority w:val="99"/>
    <w:unhideWhenUsed/>
    <w:rsid w:val="00F57DEB"/>
    <w:pPr>
      <w:spacing w:before="100" w:beforeAutospacing="1" w:after="100" w:afterAutospacing="1" w:line="240" w:lineRule="auto"/>
      <w:jc w:val="left"/>
    </w:pPr>
    <w:rPr>
      <w:rFonts w:eastAsia="Times New Roman" w:cs="Times New Roman"/>
      <w:kern w:val="0"/>
      <w14:ligatures w14:val="none"/>
    </w:rPr>
  </w:style>
  <w:style w:type="character" w:styleId="Strong">
    <w:name w:val="Strong"/>
    <w:basedOn w:val="DefaultParagraphFont"/>
    <w:uiPriority w:val="22"/>
    <w:qFormat/>
    <w:rsid w:val="00F57DEB"/>
    <w:rPr>
      <w:b/>
      <w:bCs/>
    </w:rPr>
  </w:style>
  <w:style w:type="character" w:styleId="UnresolvedMention">
    <w:name w:val="Unresolved Mention"/>
    <w:basedOn w:val="DefaultParagraphFont"/>
    <w:uiPriority w:val="99"/>
    <w:semiHidden/>
    <w:unhideWhenUsed/>
    <w:rsid w:val="003375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94246">
      <w:bodyDiv w:val="1"/>
      <w:marLeft w:val="0"/>
      <w:marRight w:val="0"/>
      <w:marTop w:val="0"/>
      <w:marBottom w:val="0"/>
      <w:divBdr>
        <w:top w:val="none" w:sz="0" w:space="0" w:color="auto"/>
        <w:left w:val="none" w:sz="0" w:space="0" w:color="auto"/>
        <w:bottom w:val="none" w:sz="0" w:space="0" w:color="auto"/>
        <w:right w:val="none" w:sz="0" w:space="0" w:color="auto"/>
      </w:divBdr>
    </w:div>
    <w:div w:id="149254389">
      <w:bodyDiv w:val="1"/>
      <w:marLeft w:val="0"/>
      <w:marRight w:val="0"/>
      <w:marTop w:val="0"/>
      <w:marBottom w:val="0"/>
      <w:divBdr>
        <w:top w:val="none" w:sz="0" w:space="0" w:color="auto"/>
        <w:left w:val="none" w:sz="0" w:space="0" w:color="auto"/>
        <w:bottom w:val="none" w:sz="0" w:space="0" w:color="auto"/>
        <w:right w:val="none" w:sz="0" w:space="0" w:color="auto"/>
      </w:divBdr>
    </w:div>
    <w:div w:id="295795077">
      <w:bodyDiv w:val="1"/>
      <w:marLeft w:val="0"/>
      <w:marRight w:val="0"/>
      <w:marTop w:val="0"/>
      <w:marBottom w:val="0"/>
      <w:divBdr>
        <w:top w:val="none" w:sz="0" w:space="0" w:color="auto"/>
        <w:left w:val="none" w:sz="0" w:space="0" w:color="auto"/>
        <w:bottom w:val="none" w:sz="0" w:space="0" w:color="auto"/>
        <w:right w:val="none" w:sz="0" w:space="0" w:color="auto"/>
      </w:divBdr>
    </w:div>
    <w:div w:id="501967986">
      <w:bodyDiv w:val="1"/>
      <w:marLeft w:val="0"/>
      <w:marRight w:val="0"/>
      <w:marTop w:val="0"/>
      <w:marBottom w:val="0"/>
      <w:divBdr>
        <w:top w:val="none" w:sz="0" w:space="0" w:color="auto"/>
        <w:left w:val="none" w:sz="0" w:space="0" w:color="auto"/>
        <w:bottom w:val="none" w:sz="0" w:space="0" w:color="auto"/>
        <w:right w:val="none" w:sz="0" w:space="0" w:color="auto"/>
      </w:divBdr>
    </w:div>
    <w:div w:id="594099773">
      <w:bodyDiv w:val="1"/>
      <w:marLeft w:val="0"/>
      <w:marRight w:val="0"/>
      <w:marTop w:val="0"/>
      <w:marBottom w:val="0"/>
      <w:divBdr>
        <w:top w:val="none" w:sz="0" w:space="0" w:color="auto"/>
        <w:left w:val="none" w:sz="0" w:space="0" w:color="auto"/>
        <w:bottom w:val="none" w:sz="0" w:space="0" w:color="auto"/>
        <w:right w:val="none" w:sz="0" w:space="0" w:color="auto"/>
      </w:divBdr>
    </w:div>
    <w:div w:id="621233493">
      <w:bodyDiv w:val="1"/>
      <w:marLeft w:val="0"/>
      <w:marRight w:val="0"/>
      <w:marTop w:val="0"/>
      <w:marBottom w:val="0"/>
      <w:divBdr>
        <w:top w:val="none" w:sz="0" w:space="0" w:color="auto"/>
        <w:left w:val="none" w:sz="0" w:space="0" w:color="auto"/>
        <w:bottom w:val="none" w:sz="0" w:space="0" w:color="auto"/>
        <w:right w:val="none" w:sz="0" w:space="0" w:color="auto"/>
      </w:divBdr>
    </w:div>
    <w:div w:id="789739603">
      <w:bodyDiv w:val="1"/>
      <w:marLeft w:val="0"/>
      <w:marRight w:val="0"/>
      <w:marTop w:val="0"/>
      <w:marBottom w:val="0"/>
      <w:divBdr>
        <w:top w:val="none" w:sz="0" w:space="0" w:color="auto"/>
        <w:left w:val="none" w:sz="0" w:space="0" w:color="auto"/>
        <w:bottom w:val="none" w:sz="0" w:space="0" w:color="auto"/>
        <w:right w:val="none" w:sz="0" w:space="0" w:color="auto"/>
      </w:divBdr>
    </w:div>
    <w:div w:id="877936555">
      <w:bodyDiv w:val="1"/>
      <w:marLeft w:val="0"/>
      <w:marRight w:val="0"/>
      <w:marTop w:val="0"/>
      <w:marBottom w:val="0"/>
      <w:divBdr>
        <w:top w:val="none" w:sz="0" w:space="0" w:color="auto"/>
        <w:left w:val="none" w:sz="0" w:space="0" w:color="auto"/>
        <w:bottom w:val="none" w:sz="0" w:space="0" w:color="auto"/>
        <w:right w:val="none" w:sz="0" w:space="0" w:color="auto"/>
      </w:divBdr>
    </w:div>
    <w:div w:id="933318123">
      <w:bodyDiv w:val="1"/>
      <w:marLeft w:val="0"/>
      <w:marRight w:val="0"/>
      <w:marTop w:val="0"/>
      <w:marBottom w:val="0"/>
      <w:divBdr>
        <w:top w:val="none" w:sz="0" w:space="0" w:color="auto"/>
        <w:left w:val="none" w:sz="0" w:space="0" w:color="auto"/>
        <w:bottom w:val="none" w:sz="0" w:space="0" w:color="auto"/>
        <w:right w:val="none" w:sz="0" w:space="0" w:color="auto"/>
      </w:divBdr>
      <w:divsChild>
        <w:div w:id="1306276982">
          <w:marLeft w:val="0"/>
          <w:marRight w:val="0"/>
          <w:marTop w:val="0"/>
          <w:marBottom w:val="0"/>
          <w:divBdr>
            <w:top w:val="none" w:sz="0" w:space="0" w:color="auto"/>
            <w:left w:val="none" w:sz="0" w:space="0" w:color="auto"/>
            <w:bottom w:val="none" w:sz="0" w:space="0" w:color="auto"/>
            <w:right w:val="none" w:sz="0" w:space="0" w:color="auto"/>
          </w:divBdr>
        </w:div>
      </w:divsChild>
    </w:div>
    <w:div w:id="1002077994">
      <w:bodyDiv w:val="1"/>
      <w:marLeft w:val="0"/>
      <w:marRight w:val="0"/>
      <w:marTop w:val="0"/>
      <w:marBottom w:val="0"/>
      <w:divBdr>
        <w:top w:val="none" w:sz="0" w:space="0" w:color="auto"/>
        <w:left w:val="none" w:sz="0" w:space="0" w:color="auto"/>
        <w:bottom w:val="none" w:sz="0" w:space="0" w:color="auto"/>
        <w:right w:val="none" w:sz="0" w:space="0" w:color="auto"/>
      </w:divBdr>
    </w:div>
    <w:div w:id="1005782874">
      <w:bodyDiv w:val="1"/>
      <w:marLeft w:val="0"/>
      <w:marRight w:val="0"/>
      <w:marTop w:val="0"/>
      <w:marBottom w:val="0"/>
      <w:divBdr>
        <w:top w:val="none" w:sz="0" w:space="0" w:color="auto"/>
        <w:left w:val="none" w:sz="0" w:space="0" w:color="auto"/>
        <w:bottom w:val="none" w:sz="0" w:space="0" w:color="auto"/>
        <w:right w:val="none" w:sz="0" w:space="0" w:color="auto"/>
      </w:divBdr>
    </w:div>
    <w:div w:id="1022365662">
      <w:bodyDiv w:val="1"/>
      <w:marLeft w:val="0"/>
      <w:marRight w:val="0"/>
      <w:marTop w:val="0"/>
      <w:marBottom w:val="0"/>
      <w:divBdr>
        <w:top w:val="none" w:sz="0" w:space="0" w:color="auto"/>
        <w:left w:val="none" w:sz="0" w:space="0" w:color="auto"/>
        <w:bottom w:val="none" w:sz="0" w:space="0" w:color="auto"/>
        <w:right w:val="none" w:sz="0" w:space="0" w:color="auto"/>
      </w:divBdr>
    </w:div>
    <w:div w:id="1064992336">
      <w:bodyDiv w:val="1"/>
      <w:marLeft w:val="0"/>
      <w:marRight w:val="0"/>
      <w:marTop w:val="0"/>
      <w:marBottom w:val="0"/>
      <w:divBdr>
        <w:top w:val="none" w:sz="0" w:space="0" w:color="auto"/>
        <w:left w:val="none" w:sz="0" w:space="0" w:color="auto"/>
        <w:bottom w:val="none" w:sz="0" w:space="0" w:color="auto"/>
        <w:right w:val="none" w:sz="0" w:space="0" w:color="auto"/>
      </w:divBdr>
    </w:div>
    <w:div w:id="1076781357">
      <w:bodyDiv w:val="1"/>
      <w:marLeft w:val="0"/>
      <w:marRight w:val="0"/>
      <w:marTop w:val="0"/>
      <w:marBottom w:val="0"/>
      <w:divBdr>
        <w:top w:val="none" w:sz="0" w:space="0" w:color="auto"/>
        <w:left w:val="none" w:sz="0" w:space="0" w:color="auto"/>
        <w:bottom w:val="none" w:sz="0" w:space="0" w:color="auto"/>
        <w:right w:val="none" w:sz="0" w:space="0" w:color="auto"/>
      </w:divBdr>
    </w:div>
    <w:div w:id="1137800860">
      <w:bodyDiv w:val="1"/>
      <w:marLeft w:val="0"/>
      <w:marRight w:val="0"/>
      <w:marTop w:val="0"/>
      <w:marBottom w:val="0"/>
      <w:divBdr>
        <w:top w:val="none" w:sz="0" w:space="0" w:color="auto"/>
        <w:left w:val="none" w:sz="0" w:space="0" w:color="auto"/>
        <w:bottom w:val="none" w:sz="0" w:space="0" w:color="auto"/>
        <w:right w:val="none" w:sz="0" w:space="0" w:color="auto"/>
      </w:divBdr>
    </w:div>
    <w:div w:id="1171868026">
      <w:bodyDiv w:val="1"/>
      <w:marLeft w:val="0"/>
      <w:marRight w:val="0"/>
      <w:marTop w:val="0"/>
      <w:marBottom w:val="0"/>
      <w:divBdr>
        <w:top w:val="none" w:sz="0" w:space="0" w:color="auto"/>
        <w:left w:val="none" w:sz="0" w:space="0" w:color="auto"/>
        <w:bottom w:val="none" w:sz="0" w:space="0" w:color="auto"/>
        <w:right w:val="none" w:sz="0" w:space="0" w:color="auto"/>
      </w:divBdr>
    </w:div>
    <w:div w:id="1336304406">
      <w:bodyDiv w:val="1"/>
      <w:marLeft w:val="0"/>
      <w:marRight w:val="0"/>
      <w:marTop w:val="0"/>
      <w:marBottom w:val="0"/>
      <w:divBdr>
        <w:top w:val="none" w:sz="0" w:space="0" w:color="auto"/>
        <w:left w:val="none" w:sz="0" w:space="0" w:color="auto"/>
        <w:bottom w:val="none" w:sz="0" w:space="0" w:color="auto"/>
        <w:right w:val="none" w:sz="0" w:space="0" w:color="auto"/>
      </w:divBdr>
    </w:div>
    <w:div w:id="1346252281">
      <w:bodyDiv w:val="1"/>
      <w:marLeft w:val="0"/>
      <w:marRight w:val="0"/>
      <w:marTop w:val="0"/>
      <w:marBottom w:val="0"/>
      <w:divBdr>
        <w:top w:val="none" w:sz="0" w:space="0" w:color="auto"/>
        <w:left w:val="none" w:sz="0" w:space="0" w:color="auto"/>
        <w:bottom w:val="none" w:sz="0" w:space="0" w:color="auto"/>
        <w:right w:val="none" w:sz="0" w:space="0" w:color="auto"/>
      </w:divBdr>
    </w:div>
    <w:div w:id="1363096523">
      <w:bodyDiv w:val="1"/>
      <w:marLeft w:val="0"/>
      <w:marRight w:val="0"/>
      <w:marTop w:val="0"/>
      <w:marBottom w:val="0"/>
      <w:divBdr>
        <w:top w:val="none" w:sz="0" w:space="0" w:color="auto"/>
        <w:left w:val="none" w:sz="0" w:space="0" w:color="auto"/>
        <w:bottom w:val="none" w:sz="0" w:space="0" w:color="auto"/>
        <w:right w:val="none" w:sz="0" w:space="0" w:color="auto"/>
      </w:divBdr>
    </w:div>
    <w:div w:id="1373650155">
      <w:bodyDiv w:val="1"/>
      <w:marLeft w:val="0"/>
      <w:marRight w:val="0"/>
      <w:marTop w:val="0"/>
      <w:marBottom w:val="0"/>
      <w:divBdr>
        <w:top w:val="none" w:sz="0" w:space="0" w:color="auto"/>
        <w:left w:val="none" w:sz="0" w:space="0" w:color="auto"/>
        <w:bottom w:val="none" w:sz="0" w:space="0" w:color="auto"/>
        <w:right w:val="none" w:sz="0" w:space="0" w:color="auto"/>
      </w:divBdr>
    </w:div>
    <w:div w:id="1413700140">
      <w:bodyDiv w:val="1"/>
      <w:marLeft w:val="0"/>
      <w:marRight w:val="0"/>
      <w:marTop w:val="0"/>
      <w:marBottom w:val="0"/>
      <w:divBdr>
        <w:top w:val="none" w:sz="0" w:space="0" w:color="auto"/>
        <w:left w:val="none" w:sz="0" w:space="0" w:color="auto"/>
        <w:bottom w:val="none" w:sz="0" w:space="0" w:color="auto"/>
        <w:right w:val="none" w:sz="0" w:space="0" w:color="auto"/>
      </w:divBdr>
    </w:div>
    <w:div w:id="1413939218">
      <w:bodyDiv w:val="1"/>
      <w:marLeft w:val="0"/>
      <w:marRight w:val="0"/>
      <w:marTop w:val="0"/>
      <w:marBottom w:val="0"/>
      <w:divBdr>
        <w:top w:val="none" w:sz="0" w:space="0" w:color="auto"/>
        <w:left w:val="none" w:sz="0" w:space="0" w:color="auto"/>
        <w:bottom w:val="none" w:sz="0" w:space="0" w:color="auto"/>
        <w:right w:val="none" w:sz="0" w:space="0" w:color="auto"/>
      </w:divBdr>
    </w:div>
    <w:div w:id="1438209738">
      <w:bodyDiv w:val="1"/>
      <w:marLeft w:val="0"/>
      <w:marRight w:val="0"/>
      <w:marTop w:val="0"/>
      <w:marBottom w:val="0"/>
      <w:divBdr>
        <w:top w:val="none" w:sz="0" w:space="0" w:color="auto"/>
        <w:left w:val="none" w:sz="0" w:space="0" w:color="auto"/>
        <w:bottom w:val="none" w:sz="0" w:space="0" w:color="auto"/>
        <w:right w:val="none" w:sz="0" w:space="0" w:color="auto"/>
      </w:divBdr>
    </w:div>
    <w:div w:id="1472021749">
      <w:bodyDiv w:val="1"/>
      <w:marLeft w:val="0"/>
      <w:marRight w:val="0"/>
      <w:marTop w:val="0"/>
      <w:marBottom w:val="0"/>
      <w:divBdr>
        <w:top w:val="none" w:sz="0" w:space="0" w:color="auto"/>
        <w:left w:val="none" w:sz="0" w:space="0" w:color="auto"/>
        <w:bottom w:val="none" w:sz="0" w:space="0" w:color="auto"/>
        <w:right w:val="none" w:sz="0" w:space="0" w:color="auto"/>
      </w:divBdr>
    </w:div>
    <w:div w:id="1490167809">
      <w:bodyDiv w:val="1"/>
      <w:marLeft w:val="0"/>
      <w:marRight w:val="0"/>
      <w:marTop w:val="0"/>
      <w:marBottom w:val="0"/>
      <w:divBdr>
        <w:top w:val="none" w:sz="0" w:space="0" w:color="auto"/>
        <w:left w:val="none" w:sz="0" w:space="0" w:color="auto"/>
        <w:bottom w:val="none" w:sz="0" w:space="0" w:color="auto"/>
        <w:right w:val="none" w:sz="0" w:space="0" w:color="auto"/>
      </w:divBdr>
      <w:divsChild>
        <w:div w:id="24252800">
          <w:marLeft w:val="0"/>
          <w:marRight w:val="0"/>
          <w:marTop w:val="0"/>
          <w:marBottom w:val="0"/>
          <w:divBdr>
            <w:top w:val="none" w:sz="0" w:space="0" w:color="auto"/>
            <w:left w:val="none" w:sz="0" w:space="0" w:color="auto"/>
            <w:bottom w:val="none" w:sz="0" w:space="0" w:color="auto"/>
            <w:right w:val="none" w:sz="0" w:space="0" w:color="auto"/>
          </w:divBdr>
        </w:div>
      </w:divsChild>
    </w:div>
    <w:div w:id="1575703341">
      <w:bodyDiv w:val="1"/>
      <w:marLeft w:val="0"/>
      <w:marRight w:val="0"/>
      <w:marTop w:val="0"/>
      <w:marBottom w:val="0"/>
      <w:divBdr>
        <w:top w:val="none" w:sz="0" w:space="0" w:color="auto"/>
        <w:left w:val="none" w:sz="0" w:space="0" w:color="auto"/>
        <w:bottom w:val="none" w:sz="0" w:space="0" w:color="auto"/>
        <w:right w:val="none" w:sz="0" w:space="0" w:color="auto"/>
      </w:divBdr>
    </w:div>
    <w:div w:id="1637564899">
      <w:bodyDiv w:val="1"/>
      <w:marLeft w:val="0"/>
      <w:marRight w:val="0"/>
      <w:marTop w:val="0"/>
      <w:marBottom w:val="0"/>
      <w:divBdr>
        <w:top w:val="none" w:sz="0" w:space="0" w:color="auto"/>
        <w:left w:val="none" w:sz="0" w:space="0" w:color="auto"/>
        <w:bottom w:val="none" w:sz="0" w:space="0" w:color="auto"/>
        <w:right w:val="none" w:sz="0" w:space="0" w:color="auto"/>
      </w:divBdr>
      <w:divsChild>
        <w:div w:id="888956421">
          <w:marLeft w:val="0"/>
          <w:marRight w:val="0"/>
          <w:marTop w:val="0"/>
          <w:marBottom w:val="0"/>
          <w:divBdr>
            <w:top w:val="none" w:sz="0" w:space="0" w:color="auto"/>
            <w:left w:val="none" w:sz="0" w:space="0" w:color="auto"/>
            <w:bottom w:val="none" w:sz="0" w:space="0" w:color="auto"/>
            <w:right w:val="none" w:sz="0" w:space="0" w:color="auto"/>
          </w:divBdr>
        </w:div>
      </w:divsChild>
    </w:div>
    <w:div w:id="1657105552">
      <w:bodyDiv w:val="1"/>
      <w:marLeft w:val="0"/>
      <w:marRight w:val="0"/>
      <w:marTop w:val="0"/>
      <w:marBottom w:val="0"/>
      <w:divBdr>
        <w:top w:val="none" w:sz="0" w:space="0" w:color="auto"/>
        <w:left w:val="none" w:sz="0" w:space="0" w:color="auto"/>
        <w:bottom w:val="none" w:sz="0" w:space="0" w:color="auto"/>
        <w:right w:val="none" w:sz="0" w:space="0" w:color="auto"/>
      </w:divBdr>
    </w:div>
    <w:div w:id="1666779189">
      <w:bodyDiv w:val="1"/>
      <w:marLeft w:val="0"/>
      <w:marRight w:val="0"/>
      <w:marTop w:val="0"/>
      <w:marBottom w:val="0"/>
      <w:divBdr>
        <w:top w:val="none" w:sz="0" w:space="0" w:color="auto"/>
        <w:left w:val="none" w:sz="0" w:space="0" w:color="auto"/>
        <w:bottom w:val="none" w:sz="0" w:space="0" w:color="auto"/>
        <w:right w:val="none" w:sz="0" w:space="0" w:color="auto"/>
      </w:divBdr>
    </w:div>
    <w:div w:id="1669746772">
      <w:bodyDiv w:val="1"/>
      <w:marLeft w:val="0"/>
      <w:marRight w:val="0"/>
      <w:marTop w:val="0"/>
      <w:marBottom w:val="0"/>
      <w:divBdr>
        <w:top w:val="none" w:sz="0" w:space="0" w:color="auto"/>
        <w:left w:val="none" w:sz="0" w:space="0" w:color="auto"/>
        <w:bottom w:val="none" w:sz="0" w:space="0" w:color="auto"/>
        <w:right w:val="none" w:sz="0" w:space="0" w:color="auto"/>
      </w:divBdr>
    </w:div>
    <w:div w:id="1670256342">
      <w:bodyDiv w:val="1"/>
      <w:marLeft w:val="0"/>
      <w:marRight w:val="0"/>
      <w:marTop w:val="0"/>
      <w:marBottom w:val="0"/>
      <w:divBdr>
        <w:top w:val="none" w:sz="0" w:space="0" w:color="auto"/>
        <w:left w:val="none" w:sz="0" w:space="0" w:color="auto"/>
        <w:bottom w:val="none" w:sz="0" w:space="0" w:color="auto"/>
        <w:right w:val="none" w:sz="0" w:space="0" w:color="auto"/>
      </w:divBdr>
    </w:div>
    <w:div w:id="1676112423">
      <w:bodyDiv w:val="1"/>
      <w:marLeft w:val="0"/>
      <w:marRight w:val="0"/>
      <w:marTop w:val="0"/>
      <w:marBottom w:val="0"/>
      <w:divBdr>
        <w:top w:val="none" w:sz="0" w:space="0" w:color="auto"/>
        <w:left w:val="none" w:sz="0" w:space="0" w:color="auto"/>
        <w:bottom w:val="none" w:sz="0" w:space="0" w:color="auto"/>
        <w:right w:val="none" w:sz="0" w:space="0" w:color="auto"/>
      </w:divBdr>
    </w:div>
    <w:div w:id="1687907326">
      <w:bodyDiv w:val="1"/>
      <w:marLeft w:val="0"/>
      <w:marRight w:val="0"/>
      <w:marTop w:val="0"/>
      <w:marBottom w:val="0"/>
      <w:divBdr>
        <w:top w:val="none" w:sz="0" w:space="0" w:color="auto"/>
        <w:left w:val="none" w:sz="0" w:space="0" w:color="auto"/>
        <w:bottom w:val="none" w:sz="0" w:space="0" w:color="auto"/>
        <w:right w:val="none" w:sz="0" w:space="0" w:color="auto"/>
      </w:divBdr>
    </w:div>
    <w:div w:id="1734810366">
      <w:bodyDiv w:val="1"/>
      <w:marLeft w:val="0"/>
      <w:marRight w:val="0"/>
      <w:marTop w:val="0"/>
      <w:marBottom w:val="0"/>
      <w:divBdr>
        <w:top w:val="none" w:sz="0" w:space="0" w:color="auto"/>
        <w:left w:val="none" w:sz="0" w:space="0" w:color="auto"/>
        <w:bottom w:val="none" w:sz="0" w:space="0" w:color="auto"/>
        <w:right w:val="none" w:sz="0" w:space="0" w:color="auto"/>
      </w:divBdr>
    </w:div>
    <w:div w:id="1870484934">
      <w:bodyDiv w:val="1"/>
      <w:marLeft w:val="0"/>
      <w:marRight w:val="0"/>
      <w:marTop w:val="0"/>
      <w:marBottom w:val="0"/>
      <w:divBdr>
        <w:top w:val="none" w:sz="0" w:space="0" w:color="auto"/>
        <w:left w:val="none" w:sz="0" w:space="0" w:color="auto"/>
        <w:bottom w:val="none" w:sz="0" w:space="0" w:color="auto"/>
        <w:right w:val="none" w:sz="0" w:space="0" w:color="auto"/>
      </w:divBdr>
    </w:div>
    <w:div w:id="1885292615">
      <w:bodyDiv w:val="1"/>
      <w:marLeft w:val="0"/>
      <w:marRight w:val="0"/>
      <w:marTop w:val="0"/>
      <w:marBottom w:val="0"/>
      <w:divBdr>
        <w:top w:val="none" w:sz="0" w:space="0" w:color="auto"/>
        <w:left w:val="none" w:sz="0" w:space="0" w:color="auto"/>
        <w:bottom w:val="none" w:sz="0" w:space="0" w:color="auto"/>
        <w:right w:val="none" w:sz="0" w:space="0" w:color="auto"/>
      </w:divBdr>
    </w:div>
    <w:div w:id="1932817189">
      <w:bodyDiv w:val="1"/>
      <w:marLeft w:val="0"/>
      <w:marRight w:val="0"/>
      <w:marTop w:val="0"/>
      <w:marBottom w:val="0"/>
      <w:divBdr>
        <w:top w:val="none" w:sz="0" w:space="0" w:color="auto"/>
        <w:left w:val="none" w:sz="0" w:space="0" w:color="auto"/>
        <w:bottom w:val="none" w:sz="0" w:space="0" w:color="auto"/>
        <w:right w:val="none" w:sz="0" w:space="0" w:color="auto"/>
      </w:divBdr>
    </w:div>
    <w:div w:id="2002849328">
      <w:bodyDiv w:val="1"/>
      <w:marLeft w:val="0"/>
      <w:marRight w:val="0"/>
      <w:marTop w:val="0"/>
      <w:marBottom w:val="0"/>
      <w:divBdr>
        <w:top w:val="none" w:sz="0" w:space="0" w:color="auto"/>
        <w:left w:val="none" w:sz="0" w:space="0" w:color="auto"/>
        <w:bottom w:val="none" w:sz="0" w:space="0" w:color="auto"/>
        <w:right w:val="none" w:sz="0" w:space="0" w:color="auto"/>
      </w:divBdr>
      <w:divsChild>
        <w:div w:id="2110463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4402F-F2EF-42C9-984F-2A8AED8E2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10</Pages>
  <Words>2540</Words>
  <Characters>14480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Andrita</dc:creator>
  <cp:keywords/>
  <dc:description/>
  <cp:lastModifiedBy>Anamaria Andrita</cp:lastModifiedBy>
  <cp:revision>23</cp:revision>
  <dcterms:created xsi:type="dcterms:W3CDTF">2025-04-28T11:37:00Z</dcterms:created>
  <dcterms:modified xsi:type="dcterms:W3CDTF">2025-05-02T14:02:00Z</dcterms:modified>
</cp:coreProperties>
</file>