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CE8522" w14:textId="77777777" w:rsidR="00F95E66" w:rsidRDefault="0009723A">
      <w:pPr>
        <w:rPr>
          <w:sz w:val="32"/>
          <w:szCs w:val="32"/>
          <w:u w:val="single"/>
        </w:rPr>
      </w:pPr>
      <w:r>
        <w:rPr>
          <w:sz w:val="32"/>
          <w:szCs w:val="32"/>
          <w:u w:val="single"/>
        </w:rPr>
        <w:t>Discuss the Nature of God’s revelations to Muhammad</w:t>
      </w:r>
    </w:p>
    <w:p w14:paraId="45D61B07" w14:textId="77777777" w:rsidR="00F95E66" w:rsidRDefault="0009723A">
      <w:r>
        <w:t xml:space="preserve">The revelations in Islam are not considered to be limited only to Muhammad, but rather that there have been many revelations throughout history that can be traced back to Adam. </w:t>
      </w:r>
      <w:r>
        <w:t>Although each set of revelations have given the same principle message, they all correspond to the specific time and place that they were revealed.</w:t>
      </w:r>
      <w:r>
        <w:rPr>
          <w:rStyle w:val="FootnoteReference"/>
        </w:rPr>
        <w:footnoteReference w:id="1"/>
      </w:r>
      <w:r>
        <w:t xml:space="preserve"> The revelations to Muhammad took place arou</w:t>
      </w:r>
      <w:r>
        <w:t>nd once a year, until later in Muhammad’s life when they became more frequent. All of the surahs begin with “In the name of God, the Lord of Mercy, the giver of Mercy”</w:t>
      </w:r>
      <w:r>
        <w:rPr>
          <w:rStyle w:val="FootnoteReference"/>
        </w:rPr>
        <w:footnoteReference w:id="2"/>
      </w:r>
      <w:r>
        <w:t xml:space="preserve"> with the exception of </w:t>
      </w:r>
      <w:r>
        <w:rPr>
          <w:i/>
          <w:iCs/>
        </w:rPr>
        <w:t>Al-Tawba</w:t>
      </w:r>
      <w:r>
        <w:t xml:space="preserve">, the ninth surah. The first revelation that was given to Muhammad was the first five verses of </w:t>
      </w:r>
      <w:bookmarkStart w:id="0" w:name="_Hlk55993770"/>
      <w:r>
        <w:rPr>
          <w:i/>
          <w:iCs/>
        </w:rPr>
        <w:t>Al-‘Alaq</w:t>
      </w:r>
      <w:bookmarkEnd w:id="0"/>
      <w:r>
        <w:t>; the fact that the surahs were not disclosed as one revelation highlights how complex the nature of th</w:t>
      </w:r>
      <w:r>
        <w:t xml:space="preserve">e revelations to Muhammad can be. In this essay I am going to look at three themes that the revelations can be split into: a declaration of God’s existence, a reflection on events that have taken place, and as a method to stipulate rules. </w:t>
      </w:r>
    </w:p>
    <w:p w14:paraId="41D7C5CB" w14:textId="4AB0E60A" w:rsidR="00F95E66" w:rsidRDefault="0009723A">
      <w:r>
        <w:t xml:space="preserve">The first group </w:t>
      </w:r>
      <w:r>
        <w:t>that the revelations can be placed into is that they were a method of declaring the existence of a single God, and thus contradicted the pagan religion that was common within Mecca and the surrounding areas.</w:t>
      </w:r>
      <w:r>
        <w:rPr>
          <w:rStyle w:val="FootnoteReference"/>
        </w:rPr>
        <w:footnoteReference w:id="3"/>
      </w:r>
      <w:r>
        <w:t xml:space="preserve"> These revelations tended to be more general than others and were a common theme in earlier revelations that were given in Mecca. One example of this type of revelation is surah </w:t>
      </w:r>
      <w:r>
        <w:rPr>
          <w:i/>
          <w:iCs/>
        </w:rPr>
        <w:t xml:space="preserve">Al-‘Alaq </w:t>
      </w:r>
      <w:r>
        <w:t>(surah 96), the first surah to be revealed.</w:t>
      </w:r>
      <w:r>
        <w:rPr>
          <w:rStyle w:val="FootnoteReference"/>
        </w:rPr>
        <w:footnoteReference w:id="4"/>
      </w:r>
      <w:r>
        <w:t xml:space="preserve"> In the first part of this surah it states that God is responsible for creation: “Read! In the name of your Lord who created”.</w:t>
      </w:r>
      <w:r>
        <w:rPr>
          <w:rStyle w:val="FootnoteReference"/>
        </w:rPr>
        <w:footnoteReference w:id="5"/>
      </w:r>
      <w:r>
        <w:t xml:space="preserve"> This high</w:t>
      </w:r>
      <w:r>
        <w:t>lights that some of the earlier revelations were a method for God to tell Muhammad, and therefore others, that it was He that had power rather than any of the idols that people had been worshiping, and thus emphasizing the main belief within Islam. However</w:t>
      </w:r>
      <w:r>
        <w:t>, the first revelation from God was only the first five verses of the surah. This highlights that the nature of the revelations can be complex, as some surahs were not revealed in a single revelation, but rather over a period of time. This can make it more</w:t>
      </w:r>
      <w:r>
        <w:t xml:space="preserve"> difficult to understand the context of the revelation which in turn makes it more challenging to understand if there was a specific reason for a revelation or whether it was given for a more broad</w:t>
      </w:r>
      <w:r w:rsidR="0088329B">
        <w:t xml:space="preserve"> purpose</w:t>
      </w:r>
      <w:r>
        <w:t>. Another surah that is an example of the declaratio</w:t>
      </w:r>
      <w:r>
        <w:t>n of a single God, and therefore another</w:t>
      </w:r>
      <w:r w:rsidR="0088329B">
        <w:t xml:space="preserve"> instance</w:t>
      </w:r>
      <w:r>
        <w:t xml:space="preserve"> of a more general revelation is the first surah, </w:t>
      </w:r>
      <w:r>
        <w:rPr>
          <w:i/>
          <w:iCs/>
        </w:rPr>
        <w:t>Al-Fatiha</w:t>
      </w:r>
      <w:r>
        <w:t>. This surah also highlights that there is a single God and places the emphasis on God’s compassionate nature, “the Lord of Mercy, the Giver of Mercy</w:t>
      </w:r>
      <w:r>
        <w:t>”</w:t>
      </w:r>
      <w:r>
        <w:rPr>
          <w:rStyle w:val="FootnoteReference"/>
        </w:rPr>
        <w:footnoteReference w:id="6"/>
      </w:r>
      <w:r>
        <w:t xml:space="preserve"> which again highlights the fundamental belief of God’s nature and is an important aspect within Islam. </w:t>
      </w:r>
      <w:r>
        <w:rPr>
          <w:i/>
          <w:iCs/>
        </w:rPr>
        <w:t xml:space="preserve">Al-Fatiha </w:t>
      </w:r>
      <w:r>
        <w:t>is also significant as it conveys the fundamental principles of Islam</w:t>
      </w:r>
      <w:r>
        <w:rPr>
          <w:rStyle w:val="FootnoteReference"/>
        </w:rPr>
        <w:footnoteReference w:id="7"/>
      </w:r>
      <w:r>
        <w:t xml:space="preserve"> and is recited before prayer. As a result, both </w:t>
      </w:r>
      <w:r>
        <w:rPr>
          <w:i/>
          <w:iCs/>
        </w:rPr>
        <w:t xml:space="preserve">Al-‘Alaq </w:t>
      </w:r>
      <w:r>
        <w:t xml:space="preserve">and </w:t>
      </w:r>
      <w:r>
        <w:rPr>
          <w:i/>
          <w:iCs/>
        </w:rPr>
        <w:t xml:space="preserve">Al-Fatiha </w:t>
      </w:r>
      <w:r>
        <w:t>highlight how some of the revelations were given in order to inform Muhammad that there</w:t>
      </w:r>
      <w:r>
        <w:t xml:space="preserve"> is only one God and also to present the characteristics of God. Therefore, these revelations gave the basic beliefs of Islam but do not necessarily go into details of the type of lifestyle that a Muslim should follow, which came later in revelations from </w:t>
      </w:r>
      <w:r>
        <w:t xml:space="preserve">the Medina period when Islam became more assertive. </w:t>
      </w:r>
    </w:p>
    <w:p w14:paraId="0DCBC5F4" w14:textId="77777777" w:rsidR="00F95E66" w:rsidRDefault="0009723A">
      <w:r>
        <w:t xml:space="preserve">Furthermore, the fifth line of the first surah, </w:t>
      </w:r>
      <w:r>
        <w:rPr>
          <w:i/>
          <w:iCs/>
        </w:rPr>
        <w:t>Al-Fatiha</w:t>
      </w:r>
      <w:r>
        <w:t>, states “guide us to the straight path”.</w:t>
      </w:r>
      <w:r>
        <w:rPr>
          <w:rStyle w:val="FootnoteReference"/>
        </w:rPr>
        <w:footnoteReference w:id="8"/>
      </w:r>
      <w:r>
        <w:t xml:space="preserve"> This highlights that the revelations place emphasis on the pers</w:t>
      </w:r>
      <w:r>
        <w:t xml:space="preserve">onal aspect of God and thus the relationship between God and people, in particular to Muhammad, is a personal one. The personal </w:t>
      </w:r>
      <w:r>
        <w:lastRenderedPageBreak/>
        <w:t xml:space="preserve">nature of the revelations can also be highlighted by surah </w:t>
      </w:r>
      <w:r>
        <w:rPr>
          <w:i/>
          <w:iCs/>
        </w:rPr>
        <w:t>‘Abasa</w:t>
      </w:r>
      <w:r>
        <w:t xml:space="preserve"> (surah 80) that can be translated to ‘He frowned’.</w:t>
      </w:r>
      <w:r>
        <w:rPr>
          <w:rStyle w:val="FootnoteReference"/>
        </w:rPr>
        <w:footnoteReference w:id="9"/>
      </w:r>
      <w:r>
        <w:t xml:space="preserve"> This surah is considered to be a direct response from God on Muhammad's behaviour in regard to the time that the prophet frowned at a blind man when he asked Muhammad to recite part of the Qur’an.</w:t>
      </w:r>
      <w:r>
        <w:rPr>
          <w:rStyle w:val="FootnoteReference"/>
        </w:rPr>
        <w:footnoteReference w:id="10"/>
      </w:r>
      <w:r>
        <w:t xml:space="preserve"> This is because Muhammad was too concerned with trying to convert other people, in particular anyone that had influence, to Islam, rather than focusing and trying to help those who have already converted to Islam. As a result, God gave a re</w:t>
      </w:r>
      <w:r>
        <w:t>velation to Muhammad soon after condemning this behaviour: “but from the one who has come to you in full eagerness and awe you are distracted. Never again”.</w:t>
      </w:r>
      <w:r>
        <w:rPr>
          <w:rStyle w:val="FootnoteReference"/>
        </w:rPr>
        <w:footnoteReference w:id="11"/>
      </w:r>
      <w:r>
        <w:t xml:space="preserve"> This highlights the personal nature of God as it is a</w:t>
      </w:r>
      <w:r>
        <w:t>n example of a specific time that God has communicated in regard to a particular event and it had an effect on the Muslim community.</w:t>
      </w:r>
      <w:r>
        <w:rPr>
          <w:rStyle w:val="FootnoteReference"/>
        </w:rPr>
        <w:footnoteReference w:id="12"/>
      </w:r>
      <w:r>
        <w:t xml:space="preserve"> However, although this surah highlights the personal nature </w:t>
      </w:r>
      <w:r>
        <w:t xml:space="preserve">of the revelations, there was not a direct dialogue between Muhammad and God, but rather any dialogue that took place was through a veil or an angel: </w:t>
      </w:r>
    </w:p>
    <w:p w14:paraId="5D75E6DF" w14:textId="77777777" w:rsidR="00F95E66" w:rsidRDefault="0009723A">
      <w:pPr>
        <w:ind w:left="720"/>
      </w:pPr>
      <w:r>
        <w:rPr>
          <w:rFonts w:cs="Calibri"/>
        </w:rPr>
        <w:t>“</w:t>
      </w:r>
      <w:r>
        <w:rPr>
          <w:rFonts w:cs="Calibri"/>
          <w:color w:val="000000"/>
          <w:shd w:val="clear" w:color="auto" w:fill="FFFFFF"/>
        </w:rPr>
        <w:t xml:space="preserve">It is not granted to any mortal that God should speak to him except through revelation or from behind a </w:t>
      </w:r>
      <w:r>
        <w:rPr>
          <w:rFonts w:cs="Calibri"/>
          <w:color w:val="000000"/>
          <w:shd w:val="clear" w:color="auto" w:fill="FFFFFF"/>
        </w:rPr>
        <w:t>veil, or by sending a messenger to reveal by His command what He will: He is exalted and wise”.</w:t>
      </w:r>
      <w:r>
        <w:rPr>
          <w:rStyle w:val="FootnoteReference"/>
          <w:rFonts w:cs="Calibri"/>
          <w:color w:val="000000"/>
          <w:shd w:val="clear" w:color="auto" w:fill="FFFFFF"/>
        </w:rPr>
        <w:footnoteReference w:id="13"/>
      </w:r>
      <w:r>
        <w:rPr>
          <w:rFonts w:cs="Calibri"/>
          <w:color w:val="000000"/>
          <w:shd w:val="clear" w:color="auto" w:fill="FFFFFF"/>
        </w:rPr>
        <w:t xml:space="preserve"> </w:t>
      </w:r>
    </w:p>
    <w:p w14:paraId="0F26F2EC" w14:textId="22BD152F" w:rsidR="00F95E66" w:rsidRDefault="0009723A">
      <w:r>
        <w:rPr>
          <w:rFonts w:cs="Calibri"/>
          <w:color w:val="000000"/>
          <w:shd w:val="clear" w:color="auto" w:fill="FFFFFF"/>
        </w:rPr>
        <w:t>This can sometimes be translated as “except by inspiration (</w:t>
      </w:r>
      <w:r>
        <w:rPr>
          <w:rFonts w:cs="Calibri"/>
          <w:i/>
          <w:iCs/>
          <w:color w:val="000000"/>
          <w:shd w:val="clear" w:color="auto" w:fill="FFFFFF"/>
        </w:rPr>
        <w:t>wahy)</w:t>
      </w:r>
      <w:r>
        <w:rPr>
          <w:rFonts w:cs="Calibri"/>
          <w:color w:val="000000"/>
          <w:shd w:val="clear" w:color="auto" w:fill="FFFFFF"/>
        </w:rPr>
        <w:t>”</w:t>
      </w:r>
      <w:r>
        <w:rPr>
          <w:rStyle w:val="FootnoteReference"/>
          <w:rFonts w:cs="Calibri"/>
          <w:color w:val="000000"/>
          <w:shd w:val="clear" w:color="auto" w:fill="FFFFFF"/>
        </w:rPr>
        <w:footnoteReference w:id="14"/>
      </w:r>
      <w:r>
        <w:rPr>
          <w:rFonts w:cs="Calibri"/>
          <w:color w:val="000000"/>
          <w:shd w:val="clear" w:color="auto" w:fill="FFFFFF"/>
        </w:rPr>
        <w:t xml:space="preserve"> and</w:t>
      </w:r>
      <w:r>
        <w:rPr>
          <w:rFonts w:cs="Calibri"/>
          <w:i/>
          <w:iCs/>
          <w:color w:val="000000"/>
          <w:shd w:val="clear" w:color="auto" w:fill="FFFFFF"/>
        </w:rPr>
        <w:t xml:space="preserve"> </w:t>
      </w:r>
      <w:r>
        <w:rPr>
          <w:rFonts w:cs="Calibri"/>
          <w:color w:val="000000"/>
          <w:shd w:val="clear" w:color="auto" w:fill="FFFFFF"/>
        </w:rPr>
        <w:t xml:space="preserve">although this is a method of revelation it refers mainly to revelations that have been inspired by dreams, and as a result the nature is </w:t>
      </w:r>
      <w:r>
        <w:rPr>
          <w:rFonts w:cs="Calibri"/>
          <w:color w:val="000000"/>
          <w:shd w:val="clear" w:color="auto" w:fill="FFFFFF"/>
        </w:rPr>
        <w:t>different to that of the revelations received from angels. This is because it is Muhammad that has to translate the revelation so that people can understand, rather than the angel.</w:t>
      </w:r>
      <w:r>
        <w:rPr>
          <w:rStyle w:val="FootnoteReference"/>
          <w:rFonts w:cs="Calibri"/>
          <w:color w:val="000000"/>
          <w:shd w:val="clear" w:color="auto" w:fill="FFFFFF"/>
        </w:rPr>
        <w:footnoteReference w:id="15"/>
      </w:r>
      <w:r>
        <w:rPr>
          <w:rFonts w:cs="Calibri"/>
          <w:color w:val="000000"/>
          <w:shd w:val="clear" w:color="auto" w:fill="FFFFFF"/>
        </w:rPr>
        <w:t xml:space="preserve"> Muhammad is also reported to have said that he would receive revelations through different methods such as by a ringing bell or through an angel.</w:t>
      </w:r>
      <w:r>
        <w:rPr>
          <w:rStyle w:val="FootnoteReference"/>
          <w:rFonts w:cs="Calibri"/>
          <w:color w:val="000000"/>
          <w:shd w:val="clear" w:color="auto" w:fill="FFFFFF"/>
        </w:rPr>
        <w:footnoteReference w:id="16"/>
      </w:r>
      <w:r>
        <w:rPr>
          <w:rFonts w:cs="Calibri"/>
          <w:color w:val="000000"/>
          <w:shd w:val="clear" w:color="auto" w:fill="FFFFFF"/>
        </w:rPr>
        <w:t xml:space="preserve"> This highlights that the nature of revelations can b</w:t>
      </w:r>
      <w:r>
        <w:rPr>
          <w:rFonts w:cs="Calibri"/>
          <w:color w:val="000000"/>
          <w:shd w:val="clear" w:color="auto" w:fill="FFFFFF"/>
        </w:rPr>
        <w:t>e complex, not only because there are different reasons for the revelations to take place but also because there are different ways that the revelations can be presented.</w:t>
      </w:r>
      <w:r>
        <w:t xml:space="preserve"> </w:t>
      </w:r>
      <w:r>
        <w:rPr>
          <w:rFonts w:cs="Calibri"/>
          <w:color w:val="000000"/>
          <w:shd w:val="clear" w:color="auto" w:fill="FFFFFF"/>
        </w:rPr>
        <w:t>A further example of a revelation that highlights the personal aspect of the revelati</w:t>
      </w:r>
      <w:r>
        <w:rPr>
          <w:rFonts w:cs="Calibri"/>
          <w:color w:val="000000"/>
          <w:shd w:val="clear" w:color="auto" w:fill="FFFFFF"/>
        </w:rPr>
        <w:t xml:space="preserve">ons to Muhammad is the third surah, </w:t>
      </w:r>
      <w:r>
        <w:rPr>
          <w:rFonts w:cs="Calibri"/>
          <w:i/>
          <w:iCs/>
          <w:color w:val="000000"/>
          <w:shd w:val="clear" w:color="auto" w:fill="FFFFFF"/>
        </w:rPr>
        <w:t>Al-‘Imran</w:t>
      </w:r>
      <w:r>
        <w:rPr>
          <w:rFonts w:cs="Calibri"/>
          <w:color w:val="000000"/>
          <w:shd w:val="clear" w:color="auto" w:fill="FFFFFF"/>
        </w:rPr>
        <w:t>. The latter half of this surah (ayahs 121 onwards) revolves around the event of the Battle of Uhud in 3AH (625 CE).</w:t>
      </w:r>
      <w:r>
        <w:rPr>
          <w:rStyle w:val="FootnoteReference"/>
          <w:rFonts w:cs="Calibri"/>
          <w:color w:val="000000"/>
          <w:shd w:val="clear" w:color="auto" w:fill="FFFFFF"/>
        </w:rPr>
        <w:footnoteReference w:id="17"/>
      </w:r>
      <w:r>
        <w:rPr>
          <w:rFonts w:cs="Calibri"/>
          <w:color w:val="000000"/>
          <w:shd w:val="clear" w:color="auto" w:fill="FFFFFF"/>
        </w:rPr>
        <w:t xml:space="preserve"> In this the revelation explai</w:t>
      </w:r>
      <w:r>
        <w:rPr>
          <w:rFonts w:cs="Calibri"/>
          <w:color w:val="000000"/>
          <w:shd w:val="clear" w:color="auto" w:fill="FFFFFF"/>
        </w:rPr>
        <w:t>ns why God did not help the Muslim army in beating the</w:t>
      </w:r>
      <w:r w:rsidR="0088329B">
        <w:rPr>
          <w:rFonts w:cs="Calibri"/>
          <w:color w:val="000000"/>
          <w:shd w:val="clear" w:color="auto" w:fill="FFFFFF"/>
        </w:rPr>
        <w:t xml:space="preserve"> Quraysh </w:t>
      </w:r>
      <w:r>
        <w:rPr>
          <w:rFonts w:cs="Calibri"/>
          <w:color w:val="000000"/>
          <w:shd w:val="clear" w:color="auto" w:fill="FFFFFF"/>
        </w:rPr>
        <w:t>army like he had in the Battle of Badr the previous year: “He prevented you from [defeating] them as a punishment. He has now forgiven you: God is most gracious to the believers”.</w:t>
      </w:r>
      <w:r>
        <w:rPr>
          <w:rStyle w:val="FootnoteReference"/>
          <w:rFonts w:cs="Calibri"/>
          <w:color w:val="000000"/>
          <w:shd w:val="clear" w:color="auto" w:fill="FFFFFF"/>
        </w:rPr>
        <w:footnoteReference w:id="18"/>
      </w:r>
      <w:r>
        <w:rPr>
          <w:rFonts w:cs="Calibri"/>
          <w:color w:val="000000"/>
          <w:shd w:val="clear" w:color="auto" w:fill="FFFFFF"/>
        </w:rPr>
        <w:t xml:space="preserve"> This relates directly to the archers who disobeyed Muhammad's orders to stay at their posts, which led to the battle turning against the Muslim army as there was now an opportunity for the</w:t>
      </w:r>
      <w:r w:rsidR="0088329B">
        <w:rPr>
          <w:rFonts w:cs="Calibri"/>
          <w:color w:val="000000"/>
          <w:shd w:val="clear" w:color="auto" w:fill="FFFFFF"/>
        </w:rPr>
        <w:t xml:space="preserve"> Quraysh</w:t>
      </w:r>
      <w:r>
        <w:rPr>
          <w:rFonts w:cs="Calibri"/>
          <w:color w:val="000000"/>
          <w:shd w:val="clear" w:color="auto" w:fill="FFFFFF"/>
        </w:rPr>
        <w:t xml:space="preserve"> cavalry to advance.</w:t>
      </w:r>
      <w:r>
        <w:rPr>
          <w:rStyle w:val="FootnoteReference"/>
          <w:rFonts w:cs="Calibri"/>
          <w:color w:val="000000"/>
          <w:shd w:val="clear" w:color="auto" w:fill="FFFFFF"/>
        </w:rPr>
        <w:footnoteReference w:id="19"/>
      </w:r>
      <w:r>
        <w:rPr>
          <w:rFonts w:cs="Calibri"/>
          <w:color w:val="000000"/>
          <w:shd w:val="clear" w:color="auto" w:fill="FFFFFF"/>
        </w:rPr>
        <w:t xml:space="preserve"> This revelation therefore demonstrates how the personal nature of God can be highlighted through the revelations, by making a comment on events that have taken place as well as highlighting how t</w:t>
      </w:r>
      <w:r>
        <w:rPr>
          <w:rFonts w:cs="Calibri"/>
          <w:color w:val="000000"/>
          <w:shd w:val="clear" w:color="auto" w:fill="FFFFFF"/>
        </w:rPr>
        <w:t>he revelations have the underlying theme of expressing the importance of belief in God.</w:t>
      </w:r>
    </w:p>
    <w:p w14:paraId="64420F84" w14:textId="49AEB511" w:rsidR="00F95E66" w:rsidRDefault="0009723A">
      <w:r>
        <w:rPr>
          <w:rFonts w:cs="Calibri"/>
          <w:color w:val="000000"/>
          <w:shd w:val="clear" w:color="auto" w:fill="FFFFFF"/>
        </w:rPr>
        <w:t xml:space="preserve">The third group that revelations can be placed into is to provide laws. These revelations were generally given within the Medina period, when Islam became more </w:t>
      </w:r>
      <w:r>
        <w:rPr>
          <w:rFonts w:cs="Calibri"/>
          <w:color w:val="000000"/>
          <w:shd w:val="clear" w:color="auto" w:fill="FFFFFF"/>
        </w:rPr>
        <w:t xml:space="preserve">assertive and the Muslim community became more structured, therefore needing more laws.  These revelations were often </w:t>
      </w:r>
      <w:r>
        <w:rPr>
          <w:rFonts w:cs="Calibri"/>
          <w:color w:val="000000"/>
          <w:shd w:val="clear" w:color="auto" w:fill="FFFFFF"/>
        </w:rPr>
        <w:lastRenderedPageBreak/>
        <w:t xml:space="preserve">still connected to what had happened in Muhammad’s life, however provided laws for the community rather than being specific to one event. </w:t>
      </w:r>
      <w:r>
        <w:rPr>
          <w:rFonts w:cs="Calibri"/>
          <w:color w:val="000000"/>
          <w:shd w:val="clear" w:color="auto" w:fill="FFFFFF"/>
        </w:rPr>
        <w:t xml:space="preserve">The main example of a revelation providing laws for the Muslim community are those that made up the second surah, </w:t>
      </w:r>
      <w:r>
        <w:rPr>
          <w:rFonts w:cs="Calibri"/>
          <w:i/>
          <w:iCs/>
          <w:color w:val="000000"/>
          <w:shd w:val="clear" w:color="auto" w:fill="FFFFFF"/>
        </w:rPr>
        <w:t>Al-Baqara</w:t>
      </w:r>
      <w:r>
        <w:rPr>
          <w:rFonts w:cs="Calibri"/>
          <w:color w:val="000000"/>
          <w:shd w:val="clear" w:color="auto" w:fill="FFFFFF"/>
        </w:rPr>
        <w:t>. This is a significant surah as it provides an extensive set of pre-sets that highlight the main beliefs in Islam such as dietary re</w:t>
      </w:r>
      <w:r>
        <w:rPr>
          <w:rFonts w:cs="Calibri"/>
          <w:color w:val="000000"/>
          <w:shd w:val="clear" w:color="auto" w:fill="FFFFFF"/>
        </w:rPr>
        <w:t>quirements (ayahs 168 to 203), ideas of Jihad (ayahs 216 to 218) as well as rules surrounding prayer (</w:t>
      </w:r>
      <w:bookmarkStart w:id="1" w:name="_Hlk56164800"/>
      <w:r>
        <w:rPr>
          <w:rFonts w:cs="Calibri"/>
          <w:color w:val="000000"/>
          <w:shd w:val="clear" w:color="auto" w:fill="FFFFFF"/>
        </w:rPr>
        <w:t>ayahs</w:t>
      </w:r>
      <w:bookmarkEnd w:id="1"/>
      <w:r>
        <w:rPr>
          <w:rFonts w:cs="Calibri"/>
          <w:color w:val="000000"/>
          <w:shd w:val="clear" w:color="auto" w:fill="FFFFFF"/>
        </w:rPr>
        <w:t xml:space="preserve"> 149 to 167).</w:t>
      </w:r>
      <w:r>
        <w:rPr>
          <w:rStyle w:val="FootnoteReference"/>
          <w:rFonts w:cs="Calibri"/>
          <w:color w:val="000000"/>
          <w:shd w:val="clear" w:color="auto" w:fill="FFFFFF"/>
        </w:rPr>
        <w:footnoteReference w:id="20"/>
      </w:r>
      <w:r>
        <w:rPr>
          <w:rFonts w:cs="Calibri"/>
          <w:color w:val="000000"/>
          <w:shd w:val="clear" w:color="auto" w:fill="FFFFFF"/>
        </w:rPr>
        <w:t xml:space="preserve"> This</w:t>
      </w:r>
      <w:r w:rsidR="0088329B">
        <w:rPr>
          <w:rFonts w:cs="Calibri"/>
          <w:color w:val="000000"/>
          <w:shd w:val="clear" w:color="auto" w:fill="FFFFFF"/>
        </w:rPr>
        <w:t xml:space="preserve"> indicates </w:t>
      </w:r>
      <w:r>
        <w:rPr>
          <w:rFonts w:cs="Calibri"/>
          <w:color w:val="000000"/>
          <w:shd w:val="clear" w:color="auto" w:fill="FFFFFF"/>
        </w:rPr>
        <w:t xml:space="preserve">how the </w:t>
      </w:r>
      <w:r>
        <w:rPr>
          <w:rFonts w:cs="Calibri"/>
          <w:color w:val="000000"/>
          <w:shd w:val="clear" w:color="auto" w:fill="FFFFFF"/>
        </w:rPr>
        <w:t xml:space="preserve">revelations were important in shaping the Muslim community by introducing rules that are connected within the Five Pillars of Islam: </w:t>
      </w:r>
      <w:r>
        <w:rPr>
          <w:rFonts w:cs="Calibri"/>
          <w:i/>
          <w:iCs/>
          <w:color w:val="000000"/>
          <w:shd w:val="clear" w:color="auto" w:fill="FFFFFF"/>
        </w:rPr>
        <w:t xml:space="preserve">zakat </w:t>
      </w:r>
      <w:r>
        <w:rPr>
          <w:rFonts w:cs="Calibri"/>
          <w:color w:val="000000"/>
          <w:shd w:val="clear" w:color="auto" w:fill="FFFFFF"/>
        </w:rPr>
        <w:t xml:space="preserve">(charity), </w:t>
      </w:r>
      <w:r>
        <w:rPr>
          <w:rFonts w:cs="Calibri"/>
          <w:i/>
          <w:iCs/>
          <w:color w:val="000000"/>
          <w:shd w:val="clear" w:color="auto" w:fill="FFFFFF"/>
        </w:rPr>
        <w:t xml:space="preserve">sawm </w:t>
      </w:r>
      <w:r>
        <w:rPr>
          <w:rFonts w:cs="Calibri"/>
          <w:color w:val="000000"/>
          <w:shd w:val="clear" w:color="auto" w:fill="FFFFFF"/>
        </w:rPr>
        <w:t xml:space="preserve">(fasting), </w:t>
      </w:r>
      <w:r>
        <w:rPr>
          <w:rFonts w:cs="Calibri"/>
          <w:i/>
          <w:iCs/>
          <w:color w:val="000000"/>
          <w:shd w:val="clear" w:color="auto" w:fill="FFFFFF"/>
        </w:rPr>
        <w:t xml:space="preserve">hajj </w:t>
      </w:r>
      <w:r>
        <w:rPr>
          <w:rFonts w:cs="Calibri"/>
          <w:color w:val="000000"/>
          <w:shd w:val="clear" w:color="auto" w:fill="FFFFFF"/>
        </w:rPr>
        <w:t xml:space="preserve">(pilgrimage) and </w:t>
      </w:r>
      <w:r>
        <w:rPr>
          <w:rFonts w:cs="Calibri"/>
          <w:i/>
          <w:iCs/>
          <w:color w:val="000000"/>
          <w:shd w:val="clear" w:color="auto" w:fill="FFFFFF"/>
        </w:rPr>
        <w:t xml:space="preserve">salat </w:t>
      </w:r>
      <w:r>
        <w:rPr>
          <w:rFonts w:cs="Calibri"/>
          <w:color w:val="000000"/>
          <w:shd w:val="clear" w:color="auto" w:fill="FFFFFF"/>
        </w:rPr>
        <w:t xml:space="preserve">(prayer). Despite this surah providing detailed rules in some </w:t>
      </w:r>
      <w:r>
        <w:rPr>
          <w:rFonts w:cs="Calibri"/>
          <w:color w:val="000000"/>
          <w:shd w:val="clear" w:color="auto" w:fill="FFFFFF"/>
        </w:rPr>
        <w:t>topics there are still parts of the revelations that were more general. For example although the surah does discuss different ideas of prayer it is still vague on the direction of prayer, as highlighted by “goodness does not consist in turning your face to</w:t>
      </w:r>
      <w:r>
        <w:rPr>
          <w:rFonts w:cs="Calibri"/>
          <w:color w:val="000000"/>
          <w:shd w:val="clear" w:color="auto" w:fill="FFFFFF"/>
        </w:rPr>
        <w:t>wards East or West”</w:t>
      </w:r>
      <w:r>
        <w:rPr>
          <w:rStyle w:val="FootnoteReference"/>
          <w:rFonts w:cs="Calibri"/>
          <w:color w:val="000000"/>
          <w:shd w:val="clear" w:color="auto" w:fill="FFFFFF"/>
        </w:rPr>
        <w:footnoteReference w:id="21"/>
      </w:r>
      <w:r>
        <w:rPr>
          <w:rFonts w:cs="Calibri"/>
          <w:color w:val="000000"/>
          <w:shd w:val="clear" w:color="auto" w:fill="FFFFFF"/>
        </w:rPr>
        <w:t xml:space="preserve"> or “</w:t>
      </w:r>
      <w:r>
        <w:rPr>
          <w:rFonts w:cs="Calibri"/>
          <w:shd w:val="clear" w:color="auto" w:fill="FFFFFF"/>
        </w:rPr>
        <w:t>Many a time We have seen you [Prophet] turn your face towards Heaven, so We are turning you towards a prayer direction that pleases you”.</w:t>
      </w:r>
      <w:r>
        <w:rPr>
          <w:rStyle w:val="FootnoteReference"/>
          <w:rFonts w:cs="Calibri"/>
          <w:shd w:val="clear" w:color="auto" w:fill="FFFFFF"/>
        </w:rPr>
        <w:footnoteReference w:id="22"/>
      </w:r>
      <w:r>
        <w:rPr>
          <w:rFonts w:cs="Calibri"/>
          <w:shd w:val="clear" w:color="auto" w:fill="FFFFFF"/>
        </w:rPr>
        <w:t xml:space="preserve"> This can</w:t>
      </w:r>
      <w:r>
        <w:rPr>
          <w:rFonts w:cs="Calibri"/>
          <w:shd w:val="clear" w:color="auto" w:fill="FFFFFF"/>
        </w:rPr>
        <w:t xml:space="preserve"> again</w:t>
      </w:r>
      <w:r w:rsidR="0088329B">
        <w:rPr>
          <w:rFonts w:cs="Calibri"/>
          <w:shd w:val="clear" w:color="auto" w:fill="FFFFFF"/>
        </w:rPr>
        <w:t xml:space="preserve"> shows </w:t>
      </w:r>
      <w:r>
        <w:rPr>
          <w:rFonts w:cs="Calibri"/>
          <w:shd w:val="clear" w:color="auto" w:fill="FFFFFF"/>
        </w:rPr>
        <w:t>the complex nature of the revelations to Muhammad because even in more detailed revelations there are still areas that are more vague, and may require the Hadith to provide more detail on what is expected by following the example of Muhamm</w:t>
      </w:r>
      <w:r>
        <w:rPr>
          <w:rFonts w:cs="Calibri"/>
          <w:shd w:val="clear" w:color="auto" w:fill="FFFFFF"/>
        </w:rPr>
        <w:t xml:space="preserve">ad rather than relying exclusively on the revelations. </w:t>
      </w:r>
    </w:p>
    <w:p w14:paraId="555A153E" w14:textId="77777777" w:rsidR="00F95E66" w:rsidRDefault="0009723A">
      <w:r>
        <w:rPr>
          <w:rFonts w:cs="Calibri"/>
          <w:shd w:val="clear" w:color="auto" w:fill="FFFFFF"/>
        </w:rPr>
        <w:t xml:space="preserve">A further example of a surah that was revealed that provided laws was surah 24, </w:t>
      </w:r>
      <w:r>
        <w:rPr>
          <w:rFonts w:cs="Calibri"/>
          <w:i/>
          <w:iCs/>
          <w:shd w:val="clear" w:color="auto" w:fill="FFFFFF"/>
        </w:rPr>
        <w:t>Al-Nur.</w:t>
      </w:r>
      <w:r>
        <w:rPr>
          <w:rFonts w:cs="Calibri"/>
          <w:shd w:val="clear" w:color="auto" w:fill="FFFFFF"/>
        </w:rPr>
        <w:t xml:space="preserve"> This surah was also revealed in the Medina period, after there were false allegations of adultery towards one of</w:t>
      </w:r>
      <w:r>
        <w:rPr>
          <w:rFonts w:cs="Calibri"/>
          <w:shd w:val="clear" w:color="auto" w:fill="FFFFFF"/>
        </w:rPr>
        <w:t xml:space="preserve"> Muhammad's wives, ‘Aisha.</w:t>
      </w:r>
      <w:r>
        <w:rPr>
          <w:rStyle w:val="FootnoteReference"/>
          <w:rFonts w:cs="Calibri"/>
          <w:shd w:val="clear" w:color="auto" w:fill="FFFFFF"/>
        </w:rPr>
        <w:footnoteReference w:id="23"/>
      </w:r>
      <w:r>
        <w:rPr>
          <w:rFonts w:cs="Calibri"/>
          <w:shd w:val="clear" w:color="auto" w:fill="FFFFFF"/>
        </w:rPr>
        <w:t xml:space="preserve"> As a result this surah placed particular attention on providing laws regarding the relationship between men and women, especially the punishment for adultery or falsely accusing </w:t>
      </w:r>
      <w:r>
        <w:rPr>
          <w:rFonts w:cs="Calibri"/>
          <w:shd w:val="clear" w:color="auto" w:fill="FFFFFF"/>
        </w:rPr>
        <w:t>someone of adultery, and thus protecting against corruption within the community.</w:t>
      </w:r>
      <w:r>
        <w:rPr>
          <w:rStyle w:val="FootnoteReference"/>
          <w:rFonts w:cs="Calibri"/>
          <w:shd w:val="clear" w:color="auto" w:fill="FFFFFF"/>
        </w:rPr>
        <w:footnoteReference w:id="24"/>
      </w:r>
      <w:r>
        <w:rPr>
          <w:rFonts w:cs="Calibri"/>
          <w:shd w:val="clear" w:color="auto" w:fill="FFFFFF"/>
        </w:rPr>
        <w:t xml:space="preserve"> For example, “The adulterer is only [fit] to marry an adulteress or an idolatress, and the adulteress is only [</w:t>
      </w:r>
      <w:r>
        <w:rPr>
          <w:rFonts w:cs="Calibri"/>
          <w:shd w:val="clear" w:color="auto" w:fill="FFFFFF"/>
        </w:rPr>
        <w:t>fit] to marry an adulterer or an idolater: such behaviour is forbidden to believers”.</w:t>
      </w:r>
      <w:r>
        <w:rPr>
          <w:rStyle w:val="FootnoteReference"/>
          <w:rFonts w:cs="Calibri"/>
          <w:shd w:val="clear" w:color="auto" w:fill="FFFFFF"/>
        </w:rPr>
        <w:footnoteReference w:id="25"/>
      </w:r>
      <w:r>
        <w:rPr>
          <w:rFonts w:cs="Calibri"/>
          <w:shd w:val="clear" w:color="auto" w:fill="FFFFFF"/>
        </w:rPr>
        <w:t xml:space="preserve"> This surah also highlights the complex nature of the revelations as a result of how the revelations were given to Muhammad. This</w:t>
      </w:r>
      <w:r>
        <w:rPr>
          <w:rFonts w:cs="Calibri"/>
          <w:shd w:val="clear" w:color="auto" w:fill="FFFFFF"/>
        </w:rPr>
        <w:t xml:space="preserve"> is because when this revelation was given to him, he was not on his own, unlike he was for earlier surahs. As a result, there are reports of how Muhammad reacted when he heard the revelation, for example ‘Aisha reported “Verily I saw the Prophet being ins</w:t>
      </w:r>
      <w:r>
        <w:rPr>
          <w:rFonts w:cs="Calibri"/>
          <w:shd w:val="clear" w:color="auto" w:fill="FFFFFF"/>
        </w:rPr>
        <w:t>pired Divinely on a very cold day and noticed the Sweat dropping from his forehead (as the Inspiration was over)”.</w:t>
      </w:r>
      <w:r>
        <w:rPr>
          <w:rStyle w:val="FootnoteReference"/>
          <w:rFonts w:cs="Calibri"/>
          <w:shd w:val="clear" w:color="auto" w:fill="FFFFFF"/>
        </w:rPr>
        <w:footnoteReference w:id="26"/>
      </w:r>
      <w:r>
        <w:rPr>
          <w:rFonts w:cs="Calibri"/>
          <w:shd w:val="clear" w:color="auto" w:fill="FFFFFF"/>
        </w:rPr>
        <w:t xml:space="preserve"> This highlights that the nature of the revelations can be complex, as there are different way</w:t>
      </w:r>
      <w:r>
        <w:rPr>
          <w:rFonts w:cs="Calibri"/>
          <w:shd w:val="clear" w:color="auto" w:fill="FFFFFF"/>
        </w:rPr>
        <w:t>s that Muhammad reacted to the revelations, for example when he received the first revelation he ran back to Khadija for support</w:t>
      </w:r>
      <w:r>
        <w:rPr>
          <w:rStyle w:val="FootnoteReference"/>
          <w:rFonts w:cs="Calibri"/>
          <w:shd w:val="clear" w:color="auto" w:fill="FFFFFF"/>
        </w:rPr>
        <w:footnoteReference w:id="27"/>
      </w:r>
      <w:r>
        <w:rPr>
          <w:rFonts w:cs="Calibri"/>
          <w:shd w:val="clear" w:color="auto" w:fill="FFFFFF"/>
        </w:rPr>
        <w:t xml:space="preserve"> whereas for later revelations he no longer needed comfor</w:t>
      </w:r>
      <w:r>
        <w:rPr>
          <w:rFonts w:cs="Calibri"/>
          <w:shd w:val="clear" w:color="auto" w:fill="FFFFFF"/>
        </w:rPr>
        <w:t>ting but still appeared to have a negative outwards reaction “sweat dropping from his forehead”.</w:t>
      </w:r>
      <w:r>
        <w:rPr>
          <w:rStyle w:val="FootnoteReference"/>
          <w:rFonts w:cs="Calibri"/>
          <w:shd w:val="clear" w:color="auto" w:fill="FFFFFF"/>
        </w:rPr>
        <w:footnoteReference w:id="28"/>
      </w:r>
    </w:p>
    <w:p w14:paraId="7BEDC0A3" w14:textId="7F75DE2D" w:rsidR="00F95E66" w:rsidRDefault="0009723A">
      <w:r>
        <w:rPr>
          <w:rFonts w:cs="Calibri"/>
          <w:shd w:val="clear" w:color="auto" w:fill="FFFFFF"/>
        </w:rPr>
        <w:t>In conclusion, the nature of the revelations to Muhammad is complex. Although the revelations can be divided in</w:t>
      </w:r>
      <w:r>
        <w:rPr>
          <w:rFonts w:cs="Calibri"/>
          <w:shd w:val="clear" w:color="auto" w:fill="FFFFFF"/>
        </w:rPr>
        <w:t xml:space="preserve">to different topics such as providing laws or reflecting on events that have taken place, each revelation often falls into multiple categories rather than being able to be easily categorised, for example </w:t>
      </w:r>
      <w:r>
        <w:rPr>
          <w:rFonts w:cs="Calibri"/>
          <w:i/>
          <w:iCs/>
          <w:shd w:val="clear" w:color="auto" w:fill="FFFFFF"/>
        </w:rPr>
        <w:t xml:space="preserve">Al-Nur </w:t>
      </w:r>
      <w:r>
        <w:rPr>
          <w:rFonts w:cs="Calibri"/>
          <w:shd w:val="clear" w:color="auto" w:fill="FFFFFF"/>
        </w:rPr>
        <w:t>(surah 24)</w:t>
      </w:r>
      <w:r>
        <w:rPr>
          <w:rFonts w:cs="Calibri"/>
          <w:i/>
          <w:iCs/>
          <w:shd w:val="clear" w:color="auto" w:fill="FFFFFF"/>
        </w:rPr>
        <w:t xml:space="preserve"> or </w:t>
      </w:r>
      <w:r>
        <w:rPr>
          <w:rFonts w:cs="Calibri"/>
          <w:i/>
          <w:iCs/>
          <w:color w:val="000000"/>
          <w:shd w:val="clear" w:color="auto" w:fill="FFFFFF"/>
        </w:rPr>
        <w:t>Al-‘Imran</w:t>
      </w:r>
      <w:r>
        <w:rPr>
          <w:rFonts w:cs="Calibri"/>
          <w:color w:val="000000"/>
          <w:shd w:val="clear" w:color="auto" w:fill="FFFFFF"/>
        </w:rPr>
        <w:t xml:space="preserve"> (surah 3)</w:t>
      </w:r>
      <w:r>
        <w:rPr>
          <w:rFonts w:cs="Calibri"/>
          <w:shd w:val="clear" w:color="auto" w:fill="FFFFFF"/>
        </w:rPr>
        <w:t>. This is be</w:t>
      </w:r>
      <w:r>
        <w:rPr>
          <w:rFonts w:cs="Calibri"/>
          <w:shd w:val="clear" w:color="auto" w:fill="FFFFFF"/>
        </w:rPr>
        <w:t>cause many of the surahs are comprised of different revelations given at different times and as a result the context to the revelation in not always known. This is further complicated as the Qur’an was not collected into one volume until 12 AH (633</w:t>
      </w:r>
      <w:r w:rsidR="0088329B">
        <w:rPr>
          <w:rFonts w:cs="Calibri"/>
          <w:shd w:val="clear" w:color="auto" w:fill="FFFFFF"/>
        </w:rPr>
        <w:t xml:space="preserve"> </w:t>
      </w:r>
      <w:r>
        <w:rPr>
          <w:rFonts w:cs="Calibri"/>
          <w:shd w:val="clear" w:color="auto" w:fill="FFFFFF"/>
        </w:rPr>
        <w:t>CE).</w:t>
      </w:r>
      <w:r>
        <w:rPr>
          <w:rStyle w:val="FootnoteReference"/>
          <w:rFonts w:cs="Calibri"/>
          <w:shd w:val="clear" w:color="auto" w:fill="FFFFFF"/>
        </w:rPr>
        <w:footnoteReference w:id="29"/>
      </w:r>
      <w:r>
        <w:rPr>
          <w:rFonts w:cs="Calibri"/>
          <w:shd w:val="clear" w:color="auto" w:fill="FFFFFF"/>
        </w:rPr>
        <w:t xml:space="preserve"> Despite this, the revelations given to Muhammad provided a </w:t>
      </w:r>
      <w:r>
        <w:rPr>
          <w:rFonts w:cs="Calibri"/>
          <w:shd w:val="clear" w:color="auto" w:fill="FFFFFF"/>
        </w:rPr>
        <w:lastRenderedPageBreak/>
        <w:t>structure for Muslim society that allowed it to function by providing laws, both specific and more general, and outlined the core beliefs that are essential</w:t>
      </w:r>
      <w:r>
        <w:rPr>
          <w:rFonts w:cs="Calibri"/>
          <w:shd w:val="clear" w:color="auto" w:fill="FFFFFF"/>
        </w:rPr>
        <w:t xml:space="preserve"> within Islam. As a result the nature of the revelations to Muhammad do vary slightly, especially between the early revelations in Mecca compared to the later revelations given in Medina, however the overarching message that there is only one God was the m</w:t>
      </w:r>
      <w:r>
        <w:rPr>
          <w:rFonts w:cs="Calibri"/>
          <w:shd w:val="clear" w:color="auto" w:fill="FFFFFF"/>
        </w:rPr>
        <w:t xml:space="preserve">ain aim of the revelations and was demonstrated and reiterated throughout all of the revelations to Muhammad.  </w:t>
      </w:r>
    </w:p>
    <w:p w14:paraId="6B043A9A" w14:textId="1B775597" w:rsidR="00F95E66" w:rsidRDefault="0009723A">
      <w:pPr>
        <w:jc w:val="right"/>
        <w:rPr>
          <w:rFonts w:cs="Calibri"/>
          <w:shd w:val="clear" w:color="auto" w:fill="FFFFFF"/>
        </w:rPr>
      </w:pPr>
      <w:r>
        <w:rPr>
          <w:rFonts w:cs="Calibri"/>
          <w:shd w:val="clear" w:color="auto" w:fill="FFFFFF"/>
        </w:rPr>
        <w:t>Word Count: 190</w:t>
      </w:r>
      <w:r w:rsidR="0088329B">
        <w:rPr>
          <w:rFonts w:cs="Calibri"/>
          <w:shd w:val="clear" w:color="auto" w:fill="FFFFFF"/>
        </w:rPr>
        <w:t>0</w:t>
      </w:r>
    </w:p>
    <w:p w14:paraId="1C491CDC" w14:textId="77777777" w:rsidR="00F95E66" w:rsidRDefault="0009723A">
      <w:pPr>
        <w:rPr>
          <w:rFonts w:cs="Calibri"/>
          <w:u w:val="single"/>
          <w:shd w:val="clear" w:color="auto" w:fill="FFFFFF"/>
        </w:rPr>
      </w:pPr>
      <w:r>
        <w:rPr>
          <w:rFonts w:cs="Calibri"/>
          <w:u w:val="single"/>
          <w:shd w:val="clear" w:color="auto" w:fill="FFFFFF"/>
        </w:rPr>
        <w:t>Bibliography:</w:t>
      </w:r>
    </w:p>
    <w:p w14:paraId="3BE4E197" w14:textId="77777777" w:rsidR="00F95E66" w:rsidRDefault="0009723A">
      <w:pPr>
        <w:pStyle w:val="FootnoteText"/>
        <w:numPr>
          <w:ilvl w:val="0"/>
          <w:numId w:val="1"/>
        </w:numPr>
        <w:spacing w:after="240"/>
      </w:pPr>
      <w:r>
        <w:t xml:space="preserve">Al-Ghazali, S. </w:t>
      </w:r>
      <w:r>
        <w:rPr>
          <w:i/>
          <w:iCs/>
        </w:rPr>
        <w:t>A Thematic Commentary on the Qur’an</w:t>
      </w:r>
      <w:r>
        <w:t xml:space="preserve"> (London: International Institute of Islamic Thought, </w:t>
      </w:r>
      <w:r>
        <w:t>2000)</w:t>
      </w:r>
    </w:p>
    <w:p w14:paraId="56AF2423" w14:textId="77777777" w:rsidR="00F95E66" w:rsidRDefault="0009723A">
      <w:pPr>
        <w:pStyle w:val="FootnoteText"/>
        <w:numPr>
          <w:ilvl w:val="0"/>
          <w:numId w:val="1"/>
        </w:numPr>
        <w:spacing w:after="240"/>
      </w:pPr>
      <w:r>
        <w:t xml:space="preserve">Haleem, A (trans.), </w:t>
      </w:r>
      <w:r>
        <w:rPr>
          <w:i/>
          <w:iCs/>
        </w:rPr>
        <w:t xml:space="preserve">The Qur’an. </w:t>
      </w:r>
      <w:r>
        <w:t>(Oxford: Oxford University Press, 2016)</w:t>
      </w:r>
    </w:p>
    <w:p w14:paraId="180A3B18" w14:textId="77777777" w:rsidR="00F95E66" w:rsidRDefault="0009723A">
      <w:pPr>
        <w:pStyle w:val="FootnoteText"/>
        <w:numPr>
          <w:ilvl w:val="0"/>
          <w:numId w:val="1"/>
        </w:numPr>
        <w:spacing w:after="240"/>
      </w:pPr>
      <w:r>
        <w:t xml:space="preserve">Khan, M (trans.), </w:t>
      </w:r>
      <w:r>
        <w:rPr>
          <w:i/>
          <w:iCs/>
        </w:rPr>
        <w:t>Sahih Bukhari</w:t>
      </w:r>
    </w:p>
    <w:p w14:paraId="5B89BC2B" w14:textId="77777777" w:rsidR="00F95E66" w:rsidRDefault="0009723A">
      <w:pPr>
        <w:pStyle w:val="FootnoteText"/>
        <w:numPr>
          <w:ilvl w:val="0"/>
          <w:numId w:val="1"/>
        </w:numPr>
        <w:spacing w:after="240"/>
      </w:pPr>
      <w:r>
        <w:t xml:space="preserve">Lings, M. </w:t>
      </w:r>
      <w:r>
        <w:rPr>
          <w:i/>
          <w:iCs/>
        </w:rPr>
        <w:t>Muhammad: His Life Based on the Earliest Sources</w:t>
      </w:r>
      <w:r>
        <w:t xml:space="preserve"> (London: Islamic Texts Society, 1991) </w:t>
      </w:r>
    </w:p>
    <w:p w14:paraId="4E049D27" w14:textId="77777777" w:rsidR="00F95E66" w:rsidRDefault="0009723A">
      <w:pPr>
        <w:pStyle w:val="FootnoteText"/>
        <w:numPr>
          <w:ilvl w:val="0"/>
          <w:numId w:val="1"/>
        </w:numPr>
        <w:spacing w:after="240"/>
      </w:pPr>
      <w:r>
        <w:t xml:space="preserve">Radscheit, M. ‘Word and Revelation’, in </w:t>
      </w:r>
      <w:r>
        <w:t>Encyclopaedia of the Qur’an vol. 5 (Boston: Brill, 2006)</w:t>
      </w:r>
    </w:p>
    <w:p w14:paraId="220DD1B6" w14:textId="77777777" w:rsidR="00F95E66" w:rsidRDefault="0009723A">
      <w:pPr>
        <w:pStyle w:val="FootnoteText"/>
        <w:numPr>
          <w:ilvl w:val="0"/>
          <w:numId w:val="1"/>
        </w:numPr>
        <w:spacing w:after="240"/>
      </w:pPr>
      <w:r>
        <w:t xml:space="preserve">Rippin, A. </w:t>
      </w:r>
      <w:r>
        <w:rPr>
          <w:i/>
          <w:iCs/>
        </w:rPr>
        <w:t>Muslims: Their Religious Beliefs and Practices</w:t>
      </w:r>
      <w:r>
        <w:t xml:space="preserve"> 4</w:t>
      </w:r>
      <w:r>
        <w:rPr>
          <w:vertAlign w:val="superscript"/>
        </w:rPr>
        <w:t>th</w:t>
      </w:r>
      <w:r>
        <w:t xml:space="preserve"> Edition (Oxon: Routledge, 2012)</w:t>
      </w:r>
    </w:p>
    <w:p w14:paraId="07330637" w14:textId="77777777" w:rsidR="00F95E66" w:rsidRDefault="0009723A">
      <w:pPr>
        <w:pStyle w:val="FootnoteText"/>
        <w:numPr>
          <w:ilvl w:val="0"/>
          <w:numId w:val="1"/>
        </w:numPr>
        <w:spacing w:after="240"/>
      </w:pPr>
      <w:proofErr w:type="spellStart"/>
      <w:r>
        <w:t>Wadud-Muhin</w:t>
      </w:r>
      <w:proofErr w:type="spellEnd"/>
      <w:r>
        <w:t xml:space="preserve">, A. ‘Revelation’ in The Oxford </w:t>
      </w:r>
      <w:r>
        <w:rPr>
          <w:i/>
          <w:iCs/>
        </w:rPr>
        <w:t xml:space="preserve">Encyclopaedia of the Modern Islamic World. </w:t>
      </w:r>
      <w:r>
        <w:t>Oxford Islamic Stud</w:t>
      </w:r>
      <w:r>
        <w:t xml:space="preserve">ies Online. &lt; </w:t>
      </w:r>
      <w:hyperlink r:id="rId7" w:history="1">
        <w:r>
          <w:rPr>
            <w:rStyle w:val="Hyperlink"/>
          </w:rPr>
          <w:t>http://www.oxfordislamicstudies.com/article/opr/t236MIW/e0681?_hi=5&amp;_pos=2</w:t>
        </w:r>
      </w:hyperlink>
      <w:r>
        <w:t>&gt; [Accessed 10</w:t>
      </w:r>
      <w:r>
        <w:rPr>
          <w:vertAlign w:val="superscript"/>
        </w:rPr>
        <w:t>th</w:t>
      </w:r>
      <w:r>
        <w:t xml:space="preserve"> November 2020]</w:t>
      </w:r>
    </w:p>
    <w:p w14:paraId="4B823051" w14:textId="77777777" w:rsidR="00F95E66" w:rsidRDefault="00F95E66">
      <w:pPr>
        <w:rPr>
          <w:u w:val="single"/>
        </w:rPr>
      </w:pPr>
    </w:p>
    <w:sectPr w:rsidR="00F95E66">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8F98C1" w14:textId="77777777" w:rsidR="0009723A" w:rsidRDefault="0009723A">
      <w:pPr>
        <w:spacing w:after="0"/>
      </w:pPr>
      <w:r>
        <w:separator/>
      </w:r>
    </w:p>
  </w:endnote>
  <w:endnote w:type="continuationSeparator" w:id="0">
    <w:p w14:paraId="5F875C04" w14:textId="77777777" w:rsidR="0009723A" w:rsidRDefault="0009723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9C1B1B" w14:textId="77777777" w:rsidR="0009723A" w:rsidRDefault="0009723A">
      <w:pPr>
        <w:spacing w:after="0"/>
      </w:pPr>
      <w:r>
        <w:rPr>
          <w:color w:val="000000"/>
        </w:rPr>
        <w:separator/>
      </w:r>
    </w:p>
  </w:footnote>
  <w:footnote w:type="continuationSeparator" w:id="0">
    <w:p w14:paraId="6A19EFC5" w14:textId="77777777" w:rsidR="0009723A" w:rsidRDefault="0009723A">
      <w:pPr>
        <w:spacing w:after="0"/>
      </w:pPr>
      <w:r>
        <w:continuationSeparator/>
      </w:r>
    </w:p>
  </w:footnote>
  <w:footnote w:id="1">
    <w:p w14:paraId="1D777B36" w14:textId="77777777" w:rsidR="00F95E66" w:rsidRDefault="0009723A">
      <w:pPr>
        <w:pStyle w:val="FootnoteText"/>
      </w:pPr>
      <w:r>
        <w:rPr>
          <w:rStyle w:val="FootnoteReference"/>
        </w:rPr>
        <w:footnoteRef/>
      </w:r>
      <w:r>
        <w:t xml:space="preserve"> A. </w:t>
      </w:r>
      <w:proofErr w:type="spellStart"/>
      <w:r>
        <w:t>Wadud-Muhin</w:t>
      </w:r>
      <w:proofErr w:type="spellEnd"/>
      <w:r>
        <w:t xml:space="preserve">, ‘Revelation’ in The Oxford </w:t>
      </w:r>
      <w:r>
        <w:rPr>
          <w:i/>
          <w:iCs/>
        </w:rPr>
        <w:t xml:space="preserve">Encyclopaedia of the Modern Islamic World. </w:t>
      </w:r>
      <w:r>
        <w:t>Oxford Islamic Stu</w:t>
      </w:r>
      <w:r>
        <w:t xml:space="preserve">dies Online. &lt; </w:t>
      </w:r>
      <w:hyperlink r:id="rId1" w:history="1">
        <w:r>
          <w:rPr>
            <w:rStyle w:val="Hyperlink"/>
          </w:rPr>
          <w:t>http://www.oxfordislamicstudies.com/article/opr/t236MIW/e0681?_hi=5&amp;_pos=2</w:t>
        </w:r>
      </w:hyperlink>
      <w:r>
        <w:t>&gt; [Accessed 10</w:t>
      </w:r>
      <w:r>
        <w:rPr>
          <w:vertAlign w:val="superscript"/>
        </w:rPr>
        <w:t>th</w:t>
      </w:r>
      <w:r>
        <w:t xml:space="preserve"> November 2020]</w:t>
      </w:r>
    </w:p>
  </w:footnote>
  <w:footnote w:id="2">
    <w:p w14:paraId="0BBE76A6" w14:textId="77777777" w:rsidR="00F95E66" w:rsidRDefault="0009723A">
      <w:pPr>
        <w:pStyle w:val="FootnoteText"/>
      </w:pPr>
      <w:r>
        <w:rPr>
          <w:rStyle w:val="FootnoteReference"/>
        </w:rPr>
        <w:footnoteRef/>
      </w:r>
      <w:r>
        <w:t xml:space="preserve"> M. Lings, </w:t>
      </w:r>
      <w:r>
        <w:rPr>
          <w:i/>
          <w:iCs/>
        </w:rPr>
        <w:t>Muhammad: His Life Based on the Earliest Sources</w:t>
      </w:r>
      <w:r>
        <w:t xml:space="preserve"> (London: Islamic Texts So</w:t>
      </w:r>
      <w:r>
        <w:t>ciety, 1991) p.49.</w:t>
      </w:r>
    </w:p>
  </w:footnote>
  <w:footnote w:id="3">
    <w:p w14:paraId="24DA8257" w14:textId="77777777" w:rsidR="00F95E66" w:rsidRDefault="0009723A">
      <w:pPr>
        <w:pStyle w:val="FootnoteText"/>
      </w:pPr>
      <w:r>
        <w:rPr>
          <w:rStyle w:val="FootnoteReference"/>
        </w:rPr>
        <w:footnoteRef/>
      </w:r>
      <w:r>
        <w:t xml:space="preserve"> M. Lings, </w:t>
      </w:r>
      <w:r>
        <w:rPr>
          <w:i/>
          <w:iCs/>
        </w:rPr>
        <w:t>Muhammad: His Life Based on the Ea</w:t>
      </w:r>
      <w:r>
        <w:rPr>
          <w:i/>
          <w:iCs/>
        </w:rPr>
        <w:t>rliest Sources,</w:t>
      </w:r>
      <w:r>
        <w:t xml:space="preserve"> p.16.</w:t>
      </w:r>
    </w:p>
  </w:footnote>
  <w:footnote w:id="4">
    <w:p w14:paraId="6DC71ABF" w14:textId="77777777" w:rsidR="00F95E66" w:rsidRDefault="0009723A">
      <w:pPr>
        <w:pStyle w:val="FootnoteText"/>
      </w:pPr>
      <w:r>
        <w:rPr>
          <w:rStyle w:val="FootnoteReference"/>
        </w:rPr>
        <w:footnoteRef/>
      </w:r>
      <w:r>
        <w:t xml:space="preserve"> </w:t>
      </w:r>
      <w:r>
        <w:t xml:space="preserve">Haleem, A (trans.), </w:t>
      </w:r>
      <w:r>
        <w:rPr>
          <w:i/>
          <w:iCs/>
        </w:rPr>
        <w:t xml:space="preserve">The Qur’an. </w:t>
      </w:r>
      <w:r>
        <w:t>(Oxford: Oxford University Press, 2016) p.428.</w:t>
      </w:r>
    </w:p>
  </w:footnote>
  <w:footnote w:id="5">
    <w:p w14:paraId="0A59F4BF" w14:textId="77777777" w:rsidR="00F95E66" w:rsidRDefault="0009723A">
      <w:pPr>
        <w:pStyle w:val="FootnoteText"/>
      </w:pPr>
      <w:r>
        <w:rPr>
          <w:rStyle w:val="FootnoteReference"/>
        </w:rPr>
        <w:footnoteRef/>
      </w:r>
      <w:r>
        <w:t xml:space="preserve"> Haleem, A (trans.), </w:t>
      </w:r>
      <w:r>
        <w:rPr>
          <w:i/>
          <w:iCs/>
        </w:rPr>
        <w:t>The Qur’an,</w:t>
      </w:r>
      <w:r>
        <w:t xml:space="preserve"> 96:1.</w:t>
      </w:r>
    </w:p>
  </w:footnote>
  <w:footnote w:id="6">
    <w:p w14:paraId="380EF178" w14:textId="77777777" w:rsidR="00F95E66" w:rsidRDefault="0009723A">
      <w:pPr>
        <w:pStyle w:val="FootnoteText"/>
      </w:pPr>
      <w:r>
        <w:rPr>
          <w:rStyle w:val="FootnoteReference"/>
        </w:rPr>
        <w:footnoteRef/>
      </w:r>
      <w:r>
        <w:t xml:space="preserve"> Haleem, A (trans.), </w:t>
      </w:r>
      <w:r>
        <w:rPr>
          <w:i/>
          <w:iCs/>
        </w:rPr>
        <w:t>The Qur’an</w:t>
      </w:r>
      <w:r>
        <w:t>, 1: 3.</w:t>
      </w:r>
    </w:p>
  </w:footnote>
  <w:footnote w:id="7">
    <w:p w14:paraId="30525745" w14:textId="77777777" w:rsidR="00F95E66" w:rsidRDefault="0009723A">
      <w:pPr>
        <w:pStyle w:val="FootnoteText"/>
      </w:pPr>
      <w:r>
        <w:rPr>
          <w:rStyle w:val="FootnoteReference"/>
        </w:rPr>
        <w:footnoteRef/>
      </w:r>
      <w:r>
        <w:t xml:space="preserve"> S. Al-Ghazali, </w:t>
      </w:r>
      <w:r>
        <w:rPr>
          <w:i/>
          <w:iCs/>
        </w:rPr>
        <w:t xml:space="preserve">A </w:t>
      </w:r>
      <w:r>
        <w:rPr>
          <w:i/>
          <w:iCs/>
        </w:rPr>
        <w:t>Thematic Commentary on the Qur’an</w:t>
      </w:r>
      <w:r>
        <w:t xml:space="preserve"> (London: International Institute of Islamic Thought, 2000) p. 1</w:t>
      </w:r>
    </w:p>
  </w:footnote>
  <w:footnote w:id="8">
    <w:p w14:paraId="61EAC144" w14:textId="77777777" w:rsidR="00F95E66" w:rsidRDefault="0009723A">
      <w:pPr>
        <w:pStyle w:val="FootnoteText"/>
      </w:pPr>
      <w:r>
        <w:rPr>
          <w:rStyle w:val="FootnoteReference"/>
        </w:rPr>
        <w:footnoteRef/>
      </w:r>
      <w:r>
        <w:t xml:space="preserve"> Haleem, A (trans.), </w:t>
      </w:r>
      <w:r>
        <w:rPr>
          <w:i/>
          <w:iCs/>
        </w:rPr>
        <w:t>The Qur’an</w:t>
      </w:r>
      <w:r>
        <w:t>, 1:6.</w:t>
      </w:r>
    </w:p>
  </w:footnote>
  <w:footnote w:id="9">
    <w:p w14:paraId="06052752" w14:textId="77777777" w:rsidR="00F95E66" w:rsidRDefault="0009723A">
      <w:pPr>
        <w:pStyle w:val="FootnoteText"/>
      </w:pPr>
      <w:r>
        <w:rPr>
          <w:rStyle w:val="FootnoteReference"/>
        </w:rPr>
        <w:footnoteRef/>
      </w:r>
      <w:r>
        <w:t xml:space="preserve"> Haleem,</w:t>
      </w:r>
      <w:r>
        <w:t xml:space="preserve"> A (trans.), </w:t>
      </w:r>
      <w:r>
        <w:rPr>
          <w:i/>
          <w:iCs/>
        </w:rPr>
        <w:t>The Qur’an</w:t>
      </w:r>
      <w:r>
        <w:t>, p.409.</w:t>
      </w:r>
    </w:p>
  </w:footnote>
  <w:footnote w:id="10">
    <w:p w14:paraId="0EC2318F" w14:textId="77777777" w:rsidR="00F95E66" w:rsidRDefault="0009723A">
      <w:pPr>
        <w:pStyle w:val="FootnoteText"/>
      </w:pPr>
      <w:r>
        <w:rPr>
          <w:rStyle w:val="FootnoteReference"/>
        </w:rPr>
        <w:footnoteRef/>
      </w:r>
      <w:r>
        <w:t xml:space="preserve"> Haleem, A (trans.), </w:t>
      </w:r>
      <w:r>
        <w:rPr>
          <w:i/>
          <w:iCs/>
        </w:rPr>
        <w:t>The</w:t>
      </w:r>
      <w:r>
        <w:rPr>
          <w:i/>
          <w:iCs/>
        </w:rPr>
        <w:t xml:space="preserve"> Qur’an. </w:t>
      </w:r>
      <w:r>
        <w:t>p.409.</w:t>
      </w:r>
    </w:p>
  </w:footnote>
  <w:footnote w:id="11">
    <w:p w14:paraId="4AF3FA57" w14:textId="77777777" w:rsidR="00F95E66" w:rsidRDefault="0009723A">
      <w:pPr>
        <w:pStyle w:val="FootnoteText"/>
      </w:pPr>
      <w:r>
        <w:rPr>
          <w:rStyle w:val="FootnoteReference"/>
        </w:rPr>
        <w:footnoteRef/>
      </w:r>
      <w:r>
        <w:t xml:space="preserve"> Haleem, A (trans.), </w:t>
      </w:r>
      <w:r>
        <w:rPr>
          <w:i/>
          <w:iCs/>
        </w:rPr>
        <w:t xml:space="preserve">The Qur’an. </w:t>
      </w:r>
      <w:r>
        <w:t xml:space="preserve"> 80:8-11.</w:t>
      </w:r>
    </w:p>
  </w:footnote>
  <w:footnote w:id="12">
    <w:p w14:paraId="0CD7A8B6" w14:textId="77777777" w:rsidR="00F95E66" w:rsidRDefault="0009723A">
      <w:pPr>
        <w:pStyle w:val="FootnoteText"/>
      </w:pPr>
      <w:r>
        <w:rPr>
          <w:rStyle w:val="FootnoteReference"/>
        </w:rPr>
        <w:footnoteRef/>
      </w:r>
      <w:r>
        <w:t xml:space="preserve"> S. Al-Ghazali, </w:t>
      </w:r>
      <w:r>
        <w:rPr>
          <w:i/>
          <w:iCs/>
        </w:rPr>
        <w:t>A Thematic Commentary on the Qur’an</w:t>
      </w:r>
      <w:r>
        <w:t>, p.699.</w:t>
      </w:r>
    </w:p>
  </w:footnote>
  <w:footnote w:id="13">
    <w:p w14:paraId="486FFE12" w14:textId="77777777" w:rsidR="00F95E66" w:rsidRDefault="0009723A">
      <w:pPr>
        <w:pStyle w:val="FootnoteText"/>
      </w:pPr>
      <w:r>
        <w:rPr>
          <w:rStyle w:val="FootnoteReference"/>
        </w:rPr>
        <w:footnoteRef/>
      </w:r>
      <w:r>
        <w:t xml:space="preserve"> Haleem, A (trans.), </w:t>
      </w:r>
      <w:r>
        <w:rPr>
          <w:i/>
          <w:iCs/>
        </w:rPr>
        <w:t xml:space="preserve">The Qur’an. </w:t>
      </w:r>
      <w:r>
        <w:t>(Oxford: Oxford University Press, 2016) 42:51.</w:t>
      </w:r>
    </w:p>
  </w:footnote>
  <w:footnote w:id="14">
    <w:p w14:paraId="0B72DBF9" w14:textId="77777777" w:rsidR="00F95E66" w:rsidRDefault="0009723A">
      <w:pPr>
        <w:pStyle w:val="FootnoteText"/>
      </w:pPr>
      <w:r>
        <w:rPr>
          <w:rStyle w:val="FootnoteReference"/>
        </w:rPr>
        <w:footnoteRef/>
      </w:r>
      <w:r>
        <w:t xml:space="preserve"> M. Ra</w:t>
      </w:r>
      <w:r>
        <w:t>dscheit, ‘Word and Revelation’</w:t>
      </w:r>
      <w:r>
        <w:rPr>
          <w:i/>
          <w:iCs/>
        </w:rPr>
        <w:t>, in</w:t>
      </w:r>
      <w:r>
        <w:t xml:space="preserve"> </w:t>
      </w:r>
      <w:r>
        <w:rPr>
          <w:i/>
          <w:iCs/>
        </w:rPr>
        <w:t>Encyclopaedia of the Qur’an</w:t>
      </w:r>
      <w:r>
        <w:t xml:space="preserve"> vol. 5 (Boston: Brill, 2006) p.546.</w:t>
      </w:r>
    </w:p>
  </w:footnote>
  <w:footnote w:id="15">
    <w:p w14:paraId="506D945B" w14:textId="77777777" w:rsidR="00F95E66" w:rsidRDefault="0009723A">
      <w:pPr>
        <w:pStyle w:val="FootnoteText"/>
      </w:pPr>
      <w:r>
        <w:rPr>
          <w:rStyle w:val="FootnoteReference"/>
        </w:rPr>
        <w:footnoteRef/>
      </w:r>
      <w:r>
        <w:t xml:space="preserve"> M. Radscheit, ‘Word and Revelation’</w:t>
      </w:r>
      <w:r>
        <w:rPr>
          <w:i/>
          <w:iCs/>
        </w:rPr>
        <w:t>, in</w:t>
      </w:r>
      <w:r>
        <w:t xml:space="preserve"> </w:t>
      </w:r>
      <w:r>
        <w:rPr>
          <w:i/>
          <w:iCs/>
        </w:rPr>
        <w:t>Encyclopaedia of the Qur’an</w:t>
      </w:r>
      <w:r>
        <w:t xml:space="preserve"> vol</w:t>
      </w:r>
      <w:r>
        <w:t>. 5  p.546.</w:t>
      </w:r>
    </w:p>
  </w:footnote>
  <w:footnote w:id="16">
    <w:p w14:paraId="16E14A0B" w14:textId="77777777" w:rsidR="00F95E66" w:rsidRDefault="0009723A">
      <w:pPr>
        <w:pStyle w:val="FootnoteText"/>
      </w:pPr>
      <w:r>
        <w:rPr>
          <w:rStyle w:val="FootnoteReference"/>
        </w:rPr>
        <w:footnoteRef/>
      </w:r>
      <w:r>
        <w:t xml:space="preserve"> M. Khan (trans.), </w:t>
      </w:r>
      <w:r>
        <w:rPr>
          <w:i/>
          <w:iCs/>
        </w:rPr>
        <w:t>Sahih Bukhari</w:t>
      </w:r>
      <w:r>
        <w:t xml:space="preserve"> i.i.2 p.7</w:t>
      </w:r>
    </w:p>
  </w:footnote>
  <w:footnote w:id="17">
    <w:p w14:paraId="5BE23973" w14:textId="77777777" w:rsidR="00F95E66" w:rsidRDefault="0009723A">
      <w:pPr>
        <w:pStyle w:val="FootnoteText"/>
      </w:pPr>
      <w:r>
        <w:rPr>
          <w:rStyle w:val="FootnoteReference"/>
        </w:rPr>
        <w:footnoteRef/>
      </w:r>
      <w:r>
        <w:t xml:space="preserve"> A. </w:t>
      </w:r>
      <w:proofErr w:type="spellStart"/>
      <w:r>
        <w:t>Wadud-Muhin</w:t>
      </w:r>
      <w:proofErr w:type="spellEnd"/>
      <w:r>
        <w:t xml:space="preserve">, ‘Revelation’ in The Oxford </w:t>
      </w:r>
      <w:r>
        <w:rPr>
          <w:i/>
          <w:iCs/>
        </w:rPr>
        <w:t xml:space="preserve">Encyclopaedia of the Modern Islamic World. </w:t>
      </w:r>
      <w:r>
        <w:t>Oxfo</w:t>
      </w:r>
      <w:r>
        <w:t xml:space="preserve">rd Islamic Studies Online. &lt; </w:t>
      </w:r>
      <w:hyperlink r:id="rId2" w:history="1">
        <w:r>
          <w:rPr>
            <w:rStyle w:val="Hyperlink"/>
          </w:rPr>
          <w:t>http://www.oxfordislamicstudies.com/article/opr/t236MIW/e0681?_hi=5&amp;_pos=2</w:t>
        </w:r>
      </w:hyperlink>
      <w:r>
        <w:t>&gt; [Accessed 10</w:t>
      </w:r>
      <w:r>
        <w:rPr>
          <w:vertAlign w:val="superscript"/>
        </w:rPr>
        <w:t>th</w:t>
      </w:r>
      <w:r>
        <w:t xml:space="preserve"> November 2020]</w:t>
      </w:r>
    </w:p>
  </w:footnote>
  <w:footnote w:id="18">
    <w:p w14:paraId="10C2C620" w14:textId="77777777" w:rsidR="00F95E66" w:rsidRDefault="0009723A">
      <w:pPr>
        <w:pStyle w:val="FootnoteText"/>
      </w:pPr>
      <w:r>
        <w:rPr>
          <w:rStyle w:val="FootnoteReference"/>
        </w:rPr>
        <w:footnoteRef/>
      </w:r>
      <w:r>
        <w:t xml:space="preserve"> Haleem, A</w:t>
      </w:r>
      <w:r>
        <w:t xml:space="preserve"> (trans.), </w:t>
      </w:r>
      <w:r>
        <w:rPr>
          <w:i/>
          <w:iCs/>
        </w:rPr>
        <w:t>The Qur’an</w:t>
      </w:r>
      <w:r>
        <w:t>, 3:153.</w:t>
      </w:r>
    </w:p>
  </w:footnote>
  <w:footnote w:id="19">
    <w:p w14:paraId="1B3768D5" w14:textId="77777777" w:rsidR="00F95E66" w:rsidRDefault="0009723A">
      <w:pPr>
        <w:pStyle w:val="FootnoteText"/>
      </w:pPr>
      <w:r>
        <w:rPr>
          <w:rStyle w:val="FootnoteReference"/>
        </w:rPr>
        <w:footnoteRef/>
      </w:r>
      <w:r>
        <w:t xml:space="preserve"> M. Lin</w:t>
      </w:r>
      <w:r>
        <w:t xml:space="preserve">gs, </w:t>
      </w:r>
      <w:r>
        <w:rPr>
          <w:i/>
          <w:iCs/>
        </w:rPr>
        <w:t>Muhammad: His Life Based on the Earliest Sources,</w:t>
      </w:r>
      <w:r>
        <w:t xml:space="preserve"> p.183.</w:t>
      </w:r>
    </w:p>
  </w:footnote>
  <w:footnote w:id="20">
    <w:p w14:paraId="37BD777D" w14:textId="77777777" w:rsidR="00F95E66" w:rsidRDefault="0009723A">
      <w:pPr>
        <w:pStyle w:val="FootnoteText"/>
      </w:pPr>
      <w:r>
        <w:rPr>
          <w:rStyle w:val="FootnoteReference"/>
        </w:rPr>
        <w:footnoteRef/>
      </w:r>
      <w:r>
        <w:t xml:space="preserve"> A. Rippin, </w:t>
      </w:r>
      <w:r>
        <w:rPr>
          <w:i/>
          <w:iCs/>
        </w:rPr>
        <w:t>Muslims: Their Religious Beliefs and Practices</w:t>
      </w:r>
      <w:r>
        <w:t xml:space="preserve"> 4</w:t>
      </w:r>
      <w:r>
        <w:rPr>
          <w:vertAlign w:val="superscript"/>
        </w:rPr>
        <w:t>th</w:t>
      </w:r>
      <w:r>
        <w:t xml:space="preserve"> Edition (Oxon: Routledge, 2012) p.28</w:t>
      </w:r>
    </w:p>
  </w:footnote>
  <w:footnote w:id="21">
    <w:p w14:paraId="7A9DD484" w14:textId="77777777" w:rsidR="00F95E66" w:rsidRDefault="0009723A">
      <w:pPr>
        <w:pStyle w:val="FootnoteText"/>
      </w:pPr>
      <w:r>
        <w:rPr>
          <w:rStyle w:val="FootnoteReference"/>
        </w:rPr>
        <w:footnoteRef/>
      </w:r>
      <w:r>
        <w:t xml:space="preserve"> Haleem, A (trans.), </w:t>
      </w:r>
      <w:r>
        <w:rPr>
          <w:i/>
          <w:iCs/>
        </w:rPr>
        <w:t>The Qur’an</w:t>
      </w:r>
      <w:r>
        <w:t>, 2:177.</w:t>
      </w:r>
    </w:p>
  </w:footnote>
  <w:footnote w:id="22">
    <w:p w14:paraId="13EED18E" w14:textId="77777777" w:rsidR="00F95E66" w:rsidRDefault="0009723A">
      <w:pPr>
        <w:pStyle w:val="FootnoteText"/>
      </w:pPr>
      <w:r>
        <w:rPr>
          <w:rStyle w:val="FootnoteReference"/>
        </w:rPr>
        <w:footnoteRef/>
      </w:r>
      <w:r>
        <w:t xml:space="preserve"> Haleem, A (trans.), </w:t>
      </w:r>
      <w:r>
        <w:rPr>
          <w:i/>
          <w:iCs/>
        </w:rPr>
        <w:t>The Qur’an</w:t>
      </w:r>
      <w:r>
        <w:t>, 2:144.</w:t>
      </w:r>
    </w:p>
  </w:footnote>
  <w:footnote w:id="23">
    <w:p w14:paraId="4BE9E2F7" w14:textId="77777777" w:rsidR="00F95E66" w:rsidRDefault="0009723A">
      <w:pPr>
        <w:pStyle w:val="FootnoteText"/>
      </w:pPr>
      <w:r>
        <w:rPr>
          <w:rStyle w:val="FootnoteReference"/>
        </w:rPr>
        <w:footnoteRef/>
      </w:r>
      <w:r>
        <w:t xml:space="preserve"> Haleem, A (trans.), </w:t>
      </w:r>
      <w:r>
        <w:rPr>
          <w:i/>
          <w:iCs/>
        </w:rPr>
        <w:t>The Qur’an</w:t>
      </w:r>
      <w:r>
        <w:t>, p.200.</w:t>
      </w:r>
    </w:p>
  </w:footnote>
  <w:footnote w:id="24">
    <w:p w14:paraId="66B50847" w14:textId="77777777" w:rsidR="00F95E66" w:rsidRDefault="0009723A">
      <w:pPr>
        <w:pStyle w:val="FootnoteText"/>
      </w:pPr>
      <w:r>
        <w:rPr>
          <w:rStyle w:val="FootnoteReference"/>
        </w:rPr>
        <w:footnoteRef/>
      </w:r>
      <w:r>
        <w:t xml:space="preserve"> S. Al-Ghazali, </w:t>
      </w:r>
      <w:r>
        <w:rPr>
          <w:i/>
          <w:iCs/>
        </w:rPr>
        <w:t>A Thematic Commentary on the Qur’an</w:t>
      </w:r>
      <w:r>
        <w:t>, p. 376</w:t>
      </w:r>
    </w:p>
  </w:footnote>
  <w:footnote w:id="25">
    <w:p w14:paraId="4A0B70DF" w14:textId="77777777" w:rsidR="00F95E66" w:rsidRDefault="0009723A">
      <w:pPr>
        <w:pStyle w:val="FootnoteText"/>
      </w:pPr>
      <w:r>
        <w:rPr>
          <w:rStyle w:val="FootnoteReference"/>
        </w:rPr>
        <w:footnoteRef/>
      </w:r>
      <w:r>
        <w:t xml:space="preserve"> Haleem, A (trans.), </w:t>
      </w:r>
      <w:r>
        <w:rPr>
          <w:i/>
          <w:iCs/>
        </w:rPr>
        <w:t>The Qur’an</w:t>
      </w:r>
      <w:r>
        <w:t>, 24: 3</w:t>
      </w:r>
    </w:p>
  </w:footnote>
  <w:footnote w:id="26">
    <w:p w14:paraId="33F5F620" w14:textId="77777777" w:rsidR="00F95E66" w:rsidRDefault="0009723A">
      <w:pPr>
        <w:pStyle w:val="FootnoteText"/>
      </w:pPr>
      <w:r>
        <w:rPr>
          <w:rStyle w:val="FootnoteReference"/>
        </w:rPr>
        <w:footnoteRef/>
      </w:r>
      <w:r>
        <w:t xml:space="preserve"> M. Khan (trans.), </w:t>
      </w:r>
      <w:r>
        <w:rPr>
          <w:i/>
          <w:iCs/>
        </w:rPr>
        <w:t>Sahih Bukhari</w:t>
      </w:r>
      <w:r>
        <w:t xml:space="preserve"> i.i.2, p. 7</w:t>
      </w:r>
    </w:p>
  </w:footnote>
  <w:footnote w:id="27">
    <w:p w14:paraId="7DEFFEAA" w14:textId="77777777" w:rsidR="00F95E66" w:rsidRDefault="0009723A">
      <w:pPr>
        <w:pStyle w:val="FootnoteText"/>
      </w:pPr>
      <w:r>
        <w:rPr>
          <w:rStyle w:val="FootnoteReference"/>
        </w:rPr>
        <w:footnoteRef/>
      </w:r>
      <w:r>
        <w:t xml:space="preserve"> M. Lings, </w:t>
      </w:r>
      <w:r>
        <w:rPr>
          <w:i/>
          <w:iCs/>
        </w:rPr>
        <w:t>Muhammad: His Life Based on the Earliest Sources,</w:t>
      </w:r>
      <w:r>
        <w:t xml:space="preserve"> p. 44.</w:t>
      </w:r>
    </w:p>
  </w:footnote>
  <w:footnote w:id="28">
    <w:p w14:paraId="7B09C62D" w14:textId="77777777" w:rsidR="00F95E66" w:rsidRDefault="0009723A">
      <w:pPr>
        <w:pStyle w:val="FootnoteText"/>
      </w:pPr>
      <w:r>
        <w:rPr>
          <w:rStyle w:val="FootnoteReference"/>
        </w:rPr>
        <w:footnoteRef/>
      </w:r>
      <w:r>
        <w:t xml:space="preserve"> M. Khan (trans.), </w:t>
      </w:r>
      <w:r>
        <w:rPr>
          <w:i/>
          <w:iCs/>
        </w:rPr>
        <w:t>Sahih Bukhari</w:t>
      </w:r>
      <w:r>
        <w:t xml:space="preserve"> i.i.2, p. 7</w:t>
      </w:r>
    </w:p>
  </w:footnote>
  <w:footnote w:id="29">
    <w:p w14:paraId="4104A775" w14:textId="77777777" w:rsidR="00F95E66" w:rsidRDefault="0009723A">
      <w:pPr>
        <w:pStyle w:val="FootnoteText"/>
      </w:pPr>
      <w:r>
        <w:rPr>
          <w:rStyle w:val="FootnoteReference"/>
        </w:rPr>
        <w:footnoteRef/>
      </w:r>
      <w:r>
        <w:t xml:space="preserve"> Haleem, A (trans.), </w:t>
      </w:r>
      <w:r>
        <w:rPr>
          <w:i/>
          <w:iCs/>
        </w:rPr>
        <w:t>The Qur’an</w:t>
      </w:r>
      <w:r>
        <w:t>, xxxvii.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BF748E"/>
    <w:multiLevelType w:val="multilevel"/>
    <w:tmpl w:val="94A2B6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docVars>
    <w:docVar w:name="__Grammarly_42____i" w:val="H4sIAAAAAAAEAKtWckksSQxILCpxzi/NK1GyMqwFAAEhoTITAAAA"/>
    <w:docVar w:name="__Grammarly_42___1" w:val="H4sIAAAAAAAEAKtWcslP9kxRslIyNDYyNTAyNzIwMzIzNzO2tDBV0lEKTi0uzszPAykwrAUAsH7+vywAAAA="/>
  </w:docVars>
  <w:rsids>
    <w:rsidRoot w:val="00F95E66"/>
    <w:rsid w:val="0009723A"/>
    <w:rsid w:val="0088329B"/>
    <w:rsid w:val="00A81C3D"/>
    <w:rsid w:val="00F95E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4ADE75"/>
  <w15:docId w15:val="{7923B309-D25F-44B3-9001-7C48EDA60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pPr>
      <w:spacing w:after="0"/>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oxfordislamicstudies.com/article/opr/t236MIW/e0681?_hi=5&amp;_pos=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oxfordislamicstudies.com/article/opr/t236MIW/e0681?_hi=5&amp;_pos=2" TargetMode="External"/><Relationship Id="rId1" Type="http://schemas.openxmlformats.org/officeDocument/2006/relationships/hyperlink" Target="http://www.oxfordislamicstudies.com/article/opr/t236MIW/e0681?_hi=5&amp;_pos=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1814</Words>
  <Characters>10344</Characters>
  <Application>Microsoft Office Word</Application>
  <DocSecurity>0</DocSecurity>
  <Lines>86</Lines>
  <Paragraphs>24</Paragraphs>
  <ScaleCrop>false</ScaleCrop>
  <Company/>
  <LinksUpToDate>false</LinksUpToDate>
  <CharactersWithSpaces>12134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Watts (1901401)</dc:creator>
  <dc:description/>
  <cp:lastModifiedBy>Caitlin Rhiannon Watts (1901401)</cp:lastModifiedBy>
  <cp:revision>2</cp:revision>
  <dcterms:created xsi:type="dcterms:W3CDTF">2020-11-19T15:15:00Z</dcterms:created>
  <dcterms:modified xsi:type="dcterms:W3CDTF">2020-11-19T15:15:00Z</dcterms:modified>
</cp:coreProperties>
</file>