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D8D8BA" w14:textId="77777777" w:rsidR="00EA6CDF" w:rsidRPr="001322DE" w:rsidRDefault="00EA6CDF" w:rsidP="001322DE">
      <w:pPr>
        <w:spacing w:line="360" w:lineRule="auto"/>
        <w:jc w:val="both"/>
        <w:rPr>
          <w:rFonts w:ascii="Arial" w:hAnsi="Arial" w:cs="Arial"/>
        </w:rPr>
      </w:pPr>
    </w:p>
    <w:p w14:paraId="34BA5DA1" w14:textId="77777777" w:rsidR="00EA6CDF" w:rsidRPr="001322DE" w:rsidRDefault="00EA6CDF" w:rsidP="001322DE">
      <w:pPr>
        <w:spacing w:line="360" w:lineRule="auto"/>
        <w:jc w:val="both"/>
        <w:rPr>
          <w:rFonts w:ascii="Arial" w:hAnsi="Arial" w:cs="Arial"/>
        </w:rPr>
      </w:pPr>
    </w:p>
    <w:p w14:paraId="514A8599" w14:textId="77777777" w:rsidR="00EA6CDF" w:rsidRPr="001322DE" w:rsidRDefault="00EA6CDF" w:rsidP="001322DE">
      <w:pPr>
        <w:spacing w:line="360" w:lineRule="auto"/>
        <w:jc w:val="both"/>
        <w:rPr>
          <w:rFonts w:ascii="Arial" w:hAnsi="Arial" w:cs="Arial"/>
        </w:rPr>
      </w:pPr>
    </w:p>
    <w:p w14:paraId="58BE7FE3" w14:textId="77777777" w:rsidR="00EA6CDF" w:rsidRPr="001322DE" w:rsidRDefault="00EA6CDF" w:rsidP="001322DE">
      <w:pPr>
        <w:spacing w:line="360" w:lineRule="auto"/>
        <w:jc w:val="both"/>
        <w:rPr>
          <w:rFonts w:ascii="Arial" w:hAnsi="Arial" w:cs="Arial"/>
        </w:rPr>
      </w:pPr>
    </w:p>
    <w:p w14:paraId="06F12AC4" w14:textId="77777777" w:rsidR="00EA6CDF" w:rsidRPr="001322DE" w:rsidRDefault="00EA6CDF" w:rsidP="001322DE">
      <w:pPr>
        <w:spacing w:line="360" w:lineRule="auto"/>
        <w:jc w:val="both"/>
        <w:rPr>
          <w:rFonts w:ascii="Arial" w:hAnsi="Arial" w:cs="Arial"/>
        </w:rPr>
      </w:pPr>
    </w:p>
    <w:p w14:paraId="49C4862F" w14:textId="05D94D9A" w:rsidR="00344A29" w:rsidRPr="001322DE" w:rsidRDefault="00344A29" w:rsidP="001322DE">
      <w:pPr>
        <w:spacing w:line="720" w:lineRule="auto"/>
        <w:jc w:val="center"/>
        <w:rPr>
          <w:rFonts w:ascii="Arial" w:hAnsi="Arial" w:cs="Arial"/>
          <w:color w:val="000000"/>
          <w:kern w:val="0"/>
        </w:rPr>
      </w:pPr>
      <w:r w:rsidRPr="001322DE">
        <w:rPr>
          <w:rFonts w:ascii="Arial" w:hAnsi="Arial" w:cs="Arial"/>
        </w:rPr>
        <w:t xml:space="preserve">Programme: </w:t>
      </w:r>
      <w:r w:rsidRPr="001322DE">
        <w:rPr>
          <w:rFonts w:ascii="Arial" w:hAnsi="Arial" w:cs="Arial"/>
          <w:color w:val="000000"/>
          <w:kern w:val="0"/>
        </w:rPr>
        <w:t>BA (Hons) Leadership and Management Skills for the Workplace</w:t>
      </w:r>
    </w:p>
    <w:p w14:paraId="37E5D0B2" w14:textId="68AF71BE" w:rsidR="00344A29" w:rsidRPr="001322DE" w:rsidRDefault="006B6AB0" w:rsidP="001322DE">
      <w:pPr>
        <w:spacing w:line="720" w:lineRule="auto"/>
        <w:jc w:val="center"/>
        <w:rPr>
          <w:rFonts w:ascii="Arial" w:hAnsi="Arial" w:cs="Arial"/>
          <w:color w:val="000000"/>
          <w:kern w:val="0"/>
        </w:rPr>
      </w:pPr>
      <w:r w:rsidRPr="001322DE">
        <w:rPr>
          <w:rFonts w:ascii="Arial" w:hAnsi="Arial" w:cs="Arial"/>
          <w:color w:val="000000"/>
          <w:kern w:val="0"/>
        </w:rPr>
        <w:t xml:space="preserve">Module </w:t>
      </w:r>
      <w:r w:rsidR="00AD1C57" w:rsidRPr="001322DE">
        <w:rPr>
          <w:rFonts w:ascii="Arial" w:hAnsi="Arial" w:cs="Arial"/>
          <w:color w:val="000000"/>
          <w:kern w:val="0"/>
        </w:rPr>
        <w:t>C</w:t>
      </w:r>
      <w:r w:rsidRPr="001322DE">
        <w:rPr>
          <w:rFonts w:ascii="Arial" w:hAnsi="Arial" w:cs="Arial"/>
          <w:color w:val="000000"/>
          <w:kern w:val="0"/>
        </w:rPr>
        <w:t xml:space="preserve">ode and </w:t>
      </w:r>
      <w:r w:rsidR="00AD1C57" w:rsidRPr="001322DE">
        <w:rPr>
          <w:rFonts w:ascii="Arial" w:hAnsi="Arial" w:cs="Arial"/>
          <w:color w:val="000000"/>
          <w:kern w:val="0"/>
        </w:rPr>
        <w:t>T</w:t>
      </w:r>
      <w:r w:rsidRPr="001322DE">
        <w:rPr>
          <w:rFonts w:ascii="Arial" w:hAnsi="Arial" w:cs="Arial"/>
          <w:color w:val="000000"/>
          <w:kern w:val="0"/>
        </w:rPr>
        <w:t>itle: LCLM 5005 Organisational Culture</w:t>
      </w:r>
    </w:p>
    <w:p w14:paraId="62EDC49A" w14:textId="08FCE5CB" w:rsidR="006B6AB0" w:rsidRPr="001322DE" w:rsidRDefault="003206F3"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720" w:lineRule="auto"/>
        <w:jc w:val="center"/>
        <w:rPr>
          <w:rFonts w:ascii="Arial" w:hAnsi="Arial" w:cs="Arial"/>
          <w:color w:val="000000"/>
          <w:kern w:val="0"/>
        </w:rPr>
      </w:pPr>
      <w:r w:rsidRPr="001322DE">
        <w:rPr>
          <w:rFonts w:ascii="Arial" w:hAnsi="Arial" w:cs="Arial"/>
          <w:color w:val="000000"/>
          <w:kern w:val="0"/>
        </w:rPr>
        <w:t>Assessment Title: Organisational Culture: Individual Report (Tesco)</w:t>
      </w:r>
    </w:p>
    <w:p w14:paraId="50EC2EA8" w14:textId="1578ABE5" w:rsidR="00AD1C57" w:rsidRPr="001322DE" w:rsidRDefault="00AD1C57"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720" w:lineRule="auto"/>
        <w:jc w:val="center"/>
        <w:rPr>
          <w:rFonts w:ascii="Arial" w:hAnsi="Arial" w:cs="Arial"/>
          <w:color w:val="000000"/>
          <w:kern w:val="0"/>
        </w:rPr>
      </w:pPr>
      <w:r w:rsidRPr="001322DE">
        <w:rPr>
          <w:rFonts w:ascii="Arial" w:hAnsi="Arial" w:cs="Arial"/>
          <w:color w:val="000000"/>
          <w:kern w:val="0"/>
        </w:rPr>
        <w:t xml:space="preserve">Student Name: Camelia </w:t>
      </w:r>
      <w:proofErr w:type="spellStart"/>
      <w:r w:rsidRPr="001322DE">
        <w:rPr>
          <w:rFonts w:ascii="Arial" w:hAnsi="Arial" w:cs="Arial"/>
          <w:color w:val="000000"/>
          <w:kern w:val="0"/>
        </w:rPr>
        <w:t>Cenusa</w:t>
      </w:r>
      <w:proofErr w:type="spellEnd"/>
    </w:p>
    <w:p w14:paraId="390F542F" w14:textId="26E1550E" w:rsidR="008F6B98" w:rsidRPr="001322DE" w:rsidRDefault="008F6B98"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720" w:lineRule="auto"/>
        <w:jc w:val="center"/>
        <w:rPr>
          <w:rFonts w:ascii="Arial" w:hAnsi="Arial" w:cs="Arial"/>
          <w:color w:val="000000"/>
          <w:kern w:val="0"/>
        </w:rPr>
      </w:pPr>
      <w:r w:rsidRPr="001322DE">
        <w:rPr>
          <w:rFonts w:ascii="Arial" w:hAnsi="Arial" w:cs="Arial"/>
          <w:color w:val="000000"/>
          <w:kern w:val="0"/>
        </w:rPr>
        <w:t>Word Count: 3,1</w:t>
      </w:r>
      <w:r w:rsidR="00021564">
        <w:rPr>
          <w:rFonts w:ascii="Arial" w:hAnsi="Arial" w:cs="Arial"/>
          <w:color w:val="000000"/>
          <w:kern w:val="0"/>
        </w:rPr>
        <w:t>56</w:t>
      </w:r>
    </w:p>
    <w:p w14:paraId="4E24AF7B" w14:textId="77777777" w:rsidR="003206F3" w:rsidRDefault="003206F3"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052D2896"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6C1CF9DD"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5C120BD2"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6147BDA6"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6D61A70D"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358DB7CE"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290C4FD0"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3FBEF3AD"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0AF261C3"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1C85EBBF" w14:textId="77777777" w:rsid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346018B1" w14:textId="77777777" w:rsidR="001322DE" w:rsidRPr="001322DE" w:rsidRDefault="001322DE" w:rsidP="001322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kern w:val="0"/>
        </w:rPr>
      </w:pPr>
    </w:p>
    <w:p w14:paraId="2E151270" w14:textId="77777777" w:rsidR="006B6AB0" w:rsidRPr="001322DE" w:rsidRDefault="006B6AB0" w:rsidP="001322DE">
      <w:pPr>
        <w:spacing w:line="360" w:lineRule="auto"/>
        <w:jc w:val="both"/>
        <w:rPr>
          <w:rFonts w:ascii="Arial" w:hAnsi="Arial" w:cs="Arial"/>
        </w:rPr>
      </w:pPr>
    </w:p>
    <w:p w14:paraId="30F81343" w14:textId="77777777" w:rsidR="00EA6CDF" w:rsidRPr="001322DE" w:rsidRDefault="00EA6CDF" w:rsidP="001322DE">
      <w:pPr>
        <w:spacing w:line="360" w:lineRule="auto"/>
        <w:jc w:val="both"/>
        <w:rPr>
          <w:rFonts w:ascii="Arial" w:hAnsi="Arial" w:cs="Arial"/>
        </w:rPr>
      </w:pPr>
    </w:p>
    <w:p w14:paraId="19F70455" w14:textId="77777777" w:rsidR="00EA6CDF" w:rsidRPr="001322DE" w:rsidRDefault="00EA6CDF" w:rsidP="001322DE">
      <w:pPr>
        <w:spacing w:line="360" w:lineRule="auto"/>
        <w:jc w:val="both"/>
        <w:rPr>
          <w:rFonts w:ascii="Arial" w:hAnsi="Arial" w:cs="Arial"/>
        </w:rPr>
      </w:pPr>
    </w:p>
    <w:p w14:paraId="76C469E4" w14:textId="77777777" w:rsidR="00EA6CDF" w:rsidRPr="001322DE" w:rsidRDefault="00EA6CDF" w:rsidP="001322DE">
      <w:pPr>
        <w:spacing w:line="360" w:lineRule="auto"/>
        <w:jc w:val="both"/>
        <w:rPr>
          <w:rFonts w:ascii="Arial" w:hAnsi="Arial" w:cs="Arial"/>
        </w:rPr>
      </w:pPr>
    </w:p>
    <w:p w14:paraId="140BF78E" w14:textId="77777777" w:rsidR="00EA6CDF" w:rsidRPr="001322DE" w:rsidRDefault="00EA6CDF" w:rsidP="001322DE">
      <w:pPr>
        <w:spacing w:line="360" w:lineRule="auto"/>
        <w:jc w:val="both"/>
        <w:rPr>
          <w:rFonts w:ascii="Arial" w:hAnsi="Arial" w:cs="Arial"/>
        </w:rPr>
      </w:pPr>
    </w:p>
    <w:p w14:paraId="600CD717" w14:textId="77777777" w:rsidR="00EA6CDF" w:rsidRPr="001322DE" w:rsidRDefault="00EA6CDF" w:rsidP="001322DE">
      <w:pPr>
        <w:spacing w:line="360" w:lineRule="auto"/>
        <w:jc w:val="both"/>
        <w:rPr>
          <w:rFonts w:ascii="Arial" w:hAnsi="Arial" w:cs="Arial"/>
        </w:rPr>
      </w:pPr>
    </w:p>
    <w:p w14:paraId="2D5EE990" w14:textId="77777777" w:rsidR="00EA6CDF" w:rsidRPr="001322DE" w:rsidRDefault="00EA6CDF" w:rsidP="001322DE">
      <w:pPr>
        <w:spacing w:line="360" w:lineRule="auto"/>
        <w:jc w:val="both"/>
        <w:rPr>
          <w:rFonts w:ascii="Arial" w:hAnsi="Arial" w:cs="Arial"/>
        </w:rPr>
      </w:pPr>
    </w:p>
    <w:sdt>
      <w:sdtPr>
        <w:rPr>
          <w:rFonts w:ascii="Arial" w:eastAsiaTheme="minorHAnsi" w:hAnsi="Arial" w:cs="Arial"/>
          <w:b w:val="0"/>
          <w:bCs w:val="0"/>
          <w:color w:val="auto"/>
          <w:kern w:val="2"/>
          <w:sz w:val="24"/>
          <w:szCs w:val="24"/>
          <w:lang w:val="en-GB"/>
          <w14:ligatures w14:val="standardContextual"/>
        </w:rPr>
        <w:id w:val="-1307394812"/>
        <w:docPartObj>
          <w:docPartGallery w:val="Table of Contents"/>
          <w:docPartUnique/>
        </w:docPartObj>
      </w:sdtPr>
      <w:sdtEndPr>
        <w:rPr>
          <w:noProof/>
        </w:rPr>
      </w:sdtEndPr>
      <w:sdtContent>
        <w:p w14:paraId="1EEDA348" w14:textId="11788EC3" w:rsidR="001322DE" w:rsidRPr="001322DE" w:rsidRDefault="001322DE" w:rsidP="001322DE">
          <w:pPr>
            <w:pStyle w:val="TOCHeading"/>
            <w:spacing w:line="360" w:lineRule="auto"/>
            <w:jc w:val="both"/>
            <w:rPr>
              <w:rFonts w:ascii="Arial" w:hAnsi="Arial" w:cs="Arial"/>
              <w:sz w:val="36"/>
              <w:szCs w:val="36"/>
            </w:rPr>
          </w:pPr>
          <w:r w:rsidRPr="001322DE">
            <w:rPr>
              <w:rFonts w:ascii="Arial" w:hAnsi="Arial" w:cs="Arial"/>
              <w:sz w:val="36"/>
              <w:szCs w:val="36"/>
            </w:rPr>
            <w:t>Table of Contents</w:t>
          </w:r>
        </w:p>
        <w:p w14:paraId="6B9E8368" w14:textId="68374FE2" w:rsidR="001322DE" w:rsidRPr="001322DE" w:rsidRDefault="001322DE" w:rsidP="001322DE">
          <w:pPr>
            <w:pStyle w:val="TOC1"/>
            <w:tabs>
              <w:tab w:val="right" w:leader="dot" w:pos="9016"/>
            </w:tabs>
            <w:spacing w:line="360" w:lineRule="auto"/>
            <w:jc w:val="both"/>
            <w:rPr>
              <w:rFonts w:ascii="Arial" w:hAnsi="Arial" w:cs="Arial"/>
              <w:noProof/>
              <w:sz w:val="24"/>
              <w:szCs w:val="24"/>
            </w:rPr>
          </w:pPr>
          <w:r w:rsidRPr="001322DE">
            <w:rPr>
              <w:rFonts w:ascii="Arial" w:hAnsi="Arial" w:cs="Arial"/>
              <w:b w:val="0"/>
              <w:bCs w:val="0"/>
              <w:sz w:val="24"/>
              <w:szCs w:val="24"/>
            </w:rPr>
            <w:fldChar w:fldCharType="begin"/>
          </w:r>
          <w:r w:rsidRPr="001322DE">
            <w:rPr>
              <w:rFonts w:ascii="Arial" w:hAnsi="Arial" w:cs="Arial"/>
              <w:sz w:val="24"/>
              <w:szCs w:val="24"/>
            </w:rPr>
            <w:instrText xml:space="preserve"> TOC \o "1-3" \h \z \u </w:instrText>
          </w:r>
          <w:r w:rsidRPr="001322DE">
            <w:rPr>
              <w:rFonts w:ascii="Arial" w:hAnsi="Arial" w:cs="Arial"/>
              <w:b w:val="0"/>
              <w:bCs w:val="0"/>
              <w:sz w:val="24"/>
              <w:szCs w:val="24"/>
            </w:rPr>
            <w:fldChar w:fldCharType="separate"/>
          </w:r>
          <w:hyperlink w:anchor="_Toc227167170" w:history="1">
            <w:r w:rsidRPr="001322DE">
              <w:rPr>
                <w:rStyle w:val="Hyperlink"/>
                <w:rFonts w:ascii="Arial" w:hAnsi="Arial" w:cs="Arial"/>
                <w:noProof/>
                <w:sz w:val="24"/>
                <w:szCs w:val="24"/>
              </w:rPr>
              <w:t>1. Introduction</w:t>
            </w:r>
            <w:r w:rsidRPr="001322DE">
              <w:rPr>
                <w:rFonts w:ascii="Arial" w:hAnsi="Arial" w:cs="Arial"/>
                <w:noProof/>
                <w:webHidden/>
                <w:sz w:val="24"/>
                <w:szCs w:val="24"/>
              </w:rPr>
              <w:tab/>
            </w:r>
            <w:r w:rsidRPr="001322DE">
              <w:rPr>
                <w:rFonts w:ascii="Arial" w:hAnsi="Arial" w:cs="Arial"/>
                <w:noProof/>
                <w:webHidden/>
                <w:sz w:val="24"/>
                <w:szCs w:val="24"/>
              </w:rPr>
              <w:fldChar w:fldCharType="begin"/>
            </w:r>
            <w:r w:rsidRPr="001322DE">
              <w:rPr>
                <w:rFonts w:ascii="Arial" w:hAnsi="Arial" w:cs="Arial"/>
                <w:noProof/>
                <w:webHidden/>
                <w:sz w:val="24"/>
                <w:szCs w:val="24"/>
              </w:rPr>
              <w:instrText xml:space="preserve"> PAGEREF _Toc227167170 \h </w:instrText>
            </w:r>
            <w:r w:rsidRPr="001322DE">
              <w:rPr>
                <w:rFonts w:ascii="Arial" w:hAnsi="Arial" w:cs="Arial"/>
                <w:noProof/>
                <w:webHidden/>
                <w:sz w:val="24"/>
                <w:szCs w:val="24"/>
              </w:rPr>
            </w:r>
            <w:r w:rsidRPr="001322DE">
              <w:rPr>
                <w:rFonts w:ascii="Arial" w:hAnsi="Arial" w:cs="Arial"/>
                <w:noProof/>
                <w:webHidden/>
                <w:sz w:val="24"/>
                <w:szCs w:val="24"/>
              </w:rPr>
              <w:fldChar w:fldCharType="separate"/>
            </w:r>
            <w:r w:rsidR="00132643">
              <w:rPr>
                <w:rFonts w:ascii="Arial" w:hAnsi="Arial" w:cs="Arial"/>
                <w:noProof/>
                <w:webHidden/>
                <w:sz w:val="24"/>
                <w:szCs w:val="24"/>
              </w:rPr>
              <w:t>3</w:t>
            </w:r>
            <w:r w:rsidRPr="001322DE">
              <w:rPr>
                <w:rFonts w:ascii="Arial" w:hAnsi="Arial" w:cs="Arial"/>
                <w:noProof/>
                <w:webHidden/>
                <w:sz w:val="24"/>
                <w:szCs w:val="24"/>
              </w:rPr>
              <w:fldChar w:fldCharType="end"/>
            </w:r>
          </w:hyperlink>
        </w:p>
        <w:p w14:paraId="3B241276" w14:textId="04586E1F" w:rsidR="001322DE" w:rsidRPr="001322DE" w:rsidRDefault="00000000" w:rsidP="001322DE">
          <w:pPr>
            <w:pStyle w:val="TOC1"/>
            <w:tabs>
              <w:tab w:val="right" w:leader="dot" w:pos="9016"/>
            </w:tabs>
            <w:spacing w:line="360" w:lineRule="auto"/>
            <w:jc w:val="both"/>
            <w:rPr>
              <w:rFonts w:ascii="Arial" w:hAnsi="Arial" w:cs="Arial"/>
              <w:noProof/>
              <w:sz w:val="24"/>
              <w:szCs w:val="24"/>
            </w:rPr>
          </w:pPr>
          <w:hyperlink w:anchor="_Toc227167171" w:history="1">
            <w:r w:rsidR="001322DE" w:rsidRPr="001322DE">
              <w:rPr>
                <w:rStyle w:val="Hyperlink"/>
                <w:rFonts w:ascii="Arial" w:hAnsi="Arial" w:cs="Arial"/>
                <w:noProof/>
                <w:sz w:val="24"/>
                <w:szCs w:val="24"/>
              </w:rPr>
              <w:t>2. Organisational Culture, Structure and Decision-Making</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_Toc227167171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3</w:t>
            </w:r>
            <w:r w:rsidR="001322DE" w:rsidRPr="001322DE">
              <w:rPr>
                <w:rFonts w:ascii="Arial" w:hAnsi="Arial" w:cs="Arial"/>
                <w:noProof/>
                <w:webHidden/>
                <w:sz w:val="24"/>
                <w:szCs w:val="24"/>
              </w:rPr>
              <w:fldChar w:fldCharType="end"/>
            </w:r>
          </w:hyperlink>
        </w:p>
        <w:p w14:paraId="71E4FF13" w14:textId="4A861F2C"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72" w:history="1">
            <w:r w:rsidR="001322DE" w:rsidRPr="001322DE">
              <w:rPr>
                <w:rStyle w:val="Hyperlink"/>
                <w:rFonts w:ascii="Arial" w:hAnsi="Arial" w:cs="Arial"/>
                <w:b/>
                <w:bCs/>
                <w:noProof/>
                <w:sz w:val="24"/>
                <w:szCs w:val="24"/>
              </w:rPr>
              <w:t>2.1 The Cultural Foundation at Tesco</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_Toc227167172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3</w:t>
            </w:r>
            <w:r w:rsidR="001322DE" w:rsidRPr="001322DE">
              <w:rPr>
                <w:rFonts w:ascii="Arial" w:hAnsi="Arial" w:cs="Arial"/>
                <w:noProof/>
                <w:webHidden/>
                <w:sz w:val="24"/>
                <w:szCs w:val="24"/>
              </w:rPr>
              <w:fldChar w:fldCharType="end"/>
            </w:r>
          </w:hyperlink>
        </w:p>
        <w:p w14:paraId="791A5D4E" w14:textId="7FAC37DE"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73" w:history="1">
            <w:r w:rsidR="001322DE" w:rsidRPr="001322DE">
              <w:rPr>
                <w:rStyle w:val="Hyperlink"/>
                <w:rFonts w:ascii="Arial" w:hAnsi="Arial" w:cs="Arial"/>
                <w:b/>
                <w:bCs/>
                <w:noProof/>
                <w:sz w:val="24"/>
                <w:szCs w:val="24"/>
              </w:rPr>
              <w:t>2.2 Culture and Organisational Structure</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_Toc227167173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4</w:t>
            </w:r>
            <w:r w:rsidR="001322DE" w:rsidRPr="001322DE">
              <w:rPr>
                <w:rFonts w:ascii="Arial" w:hAnsi="Arial" w:cs="Arial"/>
                <w:noProof/>
                <w:webHidden/>
                <w:sz w:val="24"/>
                <w:szCs w:val="24"/>
              </w:rPr>
              <w:fldChar w:fldCharType="end"/>
            </w:r>
          </w:hyperlink>
        </w:p>
        <w:p w14:paraId="037A7EA3" w14:textId="46F18868"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74" w:history="1">
            <w:r w:rsidR="001322DE" w:rsidRPr="001322DE">
              <w:rPr>
                <w:rStyle w:val="Hyperlink"/>
                <w:rFonts w:ascii="Arial" w:hAnsi="Arial" w:cs="Arial"/>
                <w:b/>
                <w:bCs/>
                <w:noProof/>
                <w:sz w:val="24"/>
                <w:szCs w:val="24"/>
              </w:rPr>
              <w:t>2.3 Culture and Decision-Making</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_Toc227167174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5</w:t>
            </w:r>
            <w:r w:rsidR="001322DE" w:rsidRPr="001322DE">
              <w:rPr>
                <w:rFonts w:ascii="Arial" w:hAnsi="Arial" w:cs="Arial"/>
                <w:noProof/>
                <w:webHidden/>
                <w:sz w:val="24"/>
                <w:szCs w:val="24"/>
              </w:rPr>
              <w:fldChar w:fldCharType="end"/>
            </w:r>
          </w:hyperlink>
        </w:p>
        <w:p w14:paraId="0D58EC17" w14:textId="27CE39A7" w:rsidR="001322DE" w:rsidRPr="001322DE" w:rsidRDefault="00000000" w:rsidP="001322DE">
          <w:pPr>
            <w:pStyle w:val="TOC1"/>
            <w:tabs>
              <w:tab w:val="right" w:leader="dot" w:pos="9016"/>
            </w:tabs>
            <w:spacing w:line="360" w:lineRule="auto"/>
            <w:jc w:val="both"/>
            <w:rPr>
              <w:rFonts w:ascii="Arial" w:hAnsi="Arial" w:cs="Arial"/>
              <w:noProof/>
              <w:sz w:val="24"/>
              <w:szCs w:val="24"/>
            </w:rPr>
          </w:pPr>
          <w:hyperlink w:anchor="_Toc227167175" w:history="1">
            <w:r w:rsidR="001322DE" w:rsidRPr="001322DE">
              <w:rPr>
                <w:rStyle w:val="Hyperlink"/>
                <w:rFonts w:ascii="Arial" w:hAnsi="Arial" w:cs="Arial"/>
                <w:noProof/>
                <w:sz w:val="24"/>
                <w:szCs w:val="24"/>
              </w:rPr>
              <w:t>3. Identifying Organisational Culture Using Theoretical Frameworks</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_Toc227167175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5</w:t>
            </w:r>
            <w:r w:rsidR="001322DE" w:rsidRPr="001322DE">
              <w:rPr>
                <w:rFonts w:ascii="Arial" w:hAnsi="Arial" w:cs="Arial"/>
                <w:noProof/>
                <w:webHidden/>
                <w:sz w:val="24"/>
                <w:szCs w:val="24"/>
              </w:rPr>
              <w:fldChar w:fldCharType="end"/>
            </w:r>
          </w:hyperlink>
        </w:p>
        <w:p w14:paraId="2765DCAA" w14:textId="1EC3922B"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76" w:history="1">
            <w:r w:rsidR="001322DE" w:rsidRPr="001322DE">
              <w:rPr>
                <w:rStyle w:val="Hyperlink"/>
                <w:rFonts w:ascii="Arial" w:hAnsi="Arial" w:cs="Arial"/>
                <w:b/>
                <w:bCs/>
                <w:noProof/>
                <w:sz w:val="24"/>
                <w:szCs w:val="24"/>
              </w:rPr>
              <w:t>3.1 Schein's Three-Level Model</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_Toc227167176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5</w:t>
            </w:r>
            <w:r w:rsidR="001322DE" w:rsidRPr="001322DE">
              <w:rPr>
                <w:rFonts w:ascii="Arial" w:hAnsi="Arial" w:cs="Arial"/>
                <w:noProof/>
                <w:webHidden/>
                <w:sz w:val="24"/>
                <w:szCs w:val="24"/>
              </w:rPr>
              <w:fldChar w:fldCharType="end"/>
            </w:r>
          </w:hyperlink>
        </w:p>
        <w:p w14:paraId="09CF22FA" w14:textId="43EB6073"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77" w:history="1">
            <w:r w:rsidR="001322DE" w:rsidRPr="001322DE">
              <w:rPr>
                <w:rStyle w:val="Hyperlink"/>
                <w:rFonts w:ascii="Arial" w:hAnsi="Arial" w:cs="Arial"/>
                <w:b/>
                <w:bCs/>
                <w:noProof/>
                <w:sz w:val="24"/>
                <w:szCs w:val="24"/>
              </w:rPr>
              <w:t>3.2 Handy's Cultural Types</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_Toc227167177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6</w:t>
            </w:r>
            <w:r w:rsidR="001322DE" w:rsidRPr="001322DE">
              <w:rPr>
                <w:rFonts w:ascii="Arial" w:hAnsi="Arial" w:cs="Arial"/>
                <w:noProof/>
                <w:webHidden/>
                <w:sz w:val="24"/>
                <w:szCs w:val="24"/>
              </w:rPr>
              <w:fldChar w:fldCharType="end"/>
            </w:r>
          </w:hyperlink>
        </w:p>
        <w:p w14:paraId="6A7D93A7" w14:textId="23ED3672"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78" w:history="1">
            <w:r w:rsidR="001322DE" w:rsidRPr="001322DE">
              <w:rPr>
                <w:rStyle w:val="Hyperlink"/>
                <w:rFonts w:ascii="Arial" w:hAnsi="Arial" w:cs="Arial"/>
                <w:b/>
                <w:bCs/>
                <w:noProof/>
                <w:sz w:val="24"/>
                <w:szCs w:val="24"/>
              </w:rPr>
              <w:t>3.3 Hofstede's Cultural Dimensions</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_Toc227167178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7</w:t>
            </w:r>
            <w:r w:rsidR="001322DE" w:rsidRPr="001322DE">
              <w:rPr>
                <w:rFonts w:ascii="Arial" w:hAnsi="Arial" w:cs="Arial"/>
                <w:noProof/>
                <w:webHidden/>
                <w:sz w:val="24"/>
                <w:szCs w:val="24"/>
              </w:rPr>
              <w:fldChar w:fldCharType="end"/>
            </w:r>
          </w:hyperlink>
        </w:p>
        <w:p w14:paraId="6E966EC4" w14:textId="0418449D" w:rsidR="001322DE" w:rsidRPr="001322DE" w:rsidRDefault="00000000" w:rsidP="001322DE">
          <w:pPr>
            <w:pStyle w:val="TOC1"/>
            <w:tabs>
              <w:tab w:val="right" w:leader="dot" w:pos="9016"/>
            </w:tabs>
            <w:spacing w:line="360" w:lineRule="auto"/>
            <w:jc w:val="both"/>
            <w:rPr>
              <w:rFonts w:ascii="Arial" w:hAnsi="Arial" w:cs="Arial"/>
              <w:noProof/>
              <w:sz w:val="24"/>
              <w:szCs w:val="24"/>
            </w:rPr>
          </w:pPr>
          <w:hyperlink w:anchor="_Toc227167179" w:history="1">
            <w:r w:rsidR="001322DE" w:rsidRPr="001322DE">
              <w:rPr>
                <w:rStyle w:val="Hyperlink"/>
                <w:rFonts w:ascii="Arial" w:hAnsi="Arial" w:cs="Arial"/>
                <w:noProof/>
                <w:sz w:val="24"/>
                <w:szCs w:val="24"/>
              </w:rPr>
              <w:t>4. Culture and Adaptation to External Environmental Influences</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_Toc227167179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8</w:t>
            </w:r>
            <w:r w:rsidR="001322DE" w:rsidRPr="001322DE">
              <w:rPr>
                <w:rFonts w:ascii="Arial" w:hAnsi="Arial" w:cs="Arial"/>
                <w:noProof/>
                <w:webHidden/>
                <w:sz w:val="24"/>
                <w:szCs w:val="24"/>
              </w:rPr>
              <w:fldChar w:fldCharType="end"/>
            </w:r>
          </w:hyperlink>
        </w:p>
        <w:p w14:paraId="1C245422" w14:textId="325B2977"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80" w:history="1">
            <w:r w:rsidR="001322DE" w:rsidRPr="001322DE">
              <w:rPr>
                <w:rStyle w:val="Hyperlink"/>
                <w:rFonts w:ascii="Arial" w:hAnsi="Arial" w:cs="Arial"/>
                <w:b/>
                <w:bCs/>
                <w:noProof/>
                <w:sz w:val="24"/>
                <w:szCs w:val="24"/>
              </w:rPr>
              <w:t>4.1 Responding to Consumer and Market Pressures</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_Toc227167180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8</w:t>
            </w:r>
            <w:r w:rsidR="001322DE" w:rsidRPr="001322DE">
              <w:rPr>
                <w:rFonts w:ascii="Arial" w:hAnsi="Arial" w:cs="Arial"/>
                <w:noProof/>
                <w:webHidden/>
                <w:sz w:val="24"/>
                <w:szCs w:val="24"/>
              </w:rPr>
              <w:fldChar w:fldCharType="end"/>
            </w:r>
          </w:hyperlink>
        </w:p>
        <w:p w14:paraId="38BC6AA7" w14:textId="6F8339AB"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81" w:history="1">
            <w:r w:rsidR="001322DE" w:rsidRPr="001322DE">
              <w:rPr>
                <w:rStyle w:val="Hyperlink"/>
                <w:rFonts w:ascii="Arial" w:hAnsi="Arial" w:cs="Arial"/>
                <w:b/>
                <w:bCs/>
                <w:noProof/>
                <w:sz w:val="24"/>
                <w:szCs w:val="24"/>
              </w:rPr>
              <w:t>4.2 Sustainability and Cultural Alignment</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_Toc227167181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8</w:t>
            </w:r>
            <w:r w:rsidR="001322DE" w:rsidRPr="001322DE">
              <w:rPr>
                <w:rFonts w:ascii="Arial" w:hAnsi="Arial" w:cs="Arial"/>
                <w:noProof/>
                <w:webHidden/>
                <w:sz w:val="24"/>
                <w:szCs w:val="24"/>
              </w:rPr>
              <w:fldChar w:fldCharType="end"/>
            </w:r>
          </w:hyperlink>
        </w:p>
        <w:p w14:paraId="2F545B64" w14:textId="2712C487" w:rsidR="001322DE" w:rsidRPr="001322DE" w:rsidRDefault="00000000" w:rsidP="001322DE">
          <w:pPr>
            <w:pStyle w:val="TOC1"/>
            <w:tabs>
              <w:tab w:val="right" w:leader="dot" w:pos="9016"/>
            </w:tabs>
            <w:spacing w:line="360" w:lineRule="auto"/>
            <w:jc w:val="both"/>
            <w:rPr>
              <w:rFonts w:ascii="Arial" w:hAnsi="Arial" w:cs="Arial"/>
              <w:noProof/>
              <w:sz w:val="24"/>
              <w:szCs w:val="24"/>
            </w:rPr>
          </w:pPr>
          <w:hyperlink w:anchor="_Toc227167182" w:history="1">
            <w:r w:rsidR="001322DE" w:rsidRPr="001322DE">
              <w:rPr>
                <w:rStyle w:val="Hyperlink"/>
                <w:rFonts w:ascii="Arial" w:hAnsi="Arial" w:cs="Arial"/>
                <w:noProof/>
                <w:sz w:val="24"/>
                <w:szCs w:val="24"/>
              </w:rPr>
              <w:t>5. Culture as a Barrier or Enabler to Effective Functioning</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_Toc227167182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9</w:t>
            </w:r>
            <w:r w:rsidR="001322DE" w:rsidRPr="001322DE">
              <w:rPr>
                <w:rFonts w:ascii="Arial" w:hAnsi="Arial" w:cs="Arial"/>
                <w:noProof/>
                <w:webHidden/>
                <w:sz w:val="24"/>
                <w:szCs w:val="24"/>
              </w:rPr>
              <w:fldChar w:fldCharType="end"/>
            </w:r>
          </w:hyperlink>
        </w:p>
        <w:p w14:paraId="5242D32F" w14:textId="1E6DB365"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83" w:history="1">
            <w:r w:rsidR="001322DE" w:rsidRPr="001322DE">
              <w:rPr>
                <w:rStyle w:val="Hyperlink"/>
                <w:rFonts w:ascii="Arial" w:hAnsi="Arial" w:cs="Arial"/>
                <w:b/>
                <w:bCs/>
                <w:noProof/>
                <w:sz w:val="24"/>
                <w:szCs w:val="24"/>
              </w:rPr>
              <w:t>5.1 Culture as an Enabler</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_Toc227167183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9</w:t>
            </w:r>
            <w:r w:rsidR="001322DE" w:rsidRPr="001322DE">
              <w:rPr>
                <w:rFonts w:ascii="Arial" w:hAnsi="Arial" w:cs="Arial"/>
                <w:noProof/>
                <w:webHidden/>
                <w:sz w:val="24"/>
                <w:szCs w:val="24"/>
              </w:rPr>
              <w:fldChar w:fldCharType="end"/>
            </w:r>
          </w:hyperlink>
        </w:p>
        <w:p w14:paraId="68AC9354" w14:textId="072ACA8B"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84" w:history="1">
            <w:r w:rsidR="001322DE" w:rsidRPr="001322DE">
              <w:rPr>
                <w:rStyle w:val="Hyperlink"/>
                <w:rFonts w:ascii="Arial" w:hAnsi="Arial" w:cs="Arial"/>
                <w:b/>
                <w:bCs/>
                <w:noProof/>
                <w:sz w:val="24"/>
                <w:szCs w:val="24"/>
              </w:rPr>
              <w:t>5.2 Culture as a Potential Barrier</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_Toc227167184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10</w:t>
            </w:r>
            <w:r w:rsidR="001322DE" w:rsidRPr="001322DE">
              <w:rPr>
                <w:rFonts w:ascii="Arial" w:hAnsi="Arial" w:cs="Arial"/>
                <w:noProof/>
                <w:webHidden/>
                <w:sz w:val="24"/>
                <w:szCs w:val="24"/>
              </w:rPr>
              <w:fldChar w:fldCharType="end"/>
            </w:r>
          </w:hyperlink>
        </w:p>
        <w:p w14:paraId="3F9CF4E0" w14:textId="5DDFCA3B" w:rsidR="001322DE" w:rsidRPr="001322DE" w:rsidRDefault="00000000" w:rsidP="001322DE">
          <w:pPr>
            <w:pStyle w:val="TOC1"/>
            <w:tabs>
              <w:tab w:val="right" w:leader="dot" w:pos="9016"/>
            </w:tabs>
            <w:spacing w:line="360" w:lineRule="auto"/>
            <w:jc w:val="both"/>
            <w:rPr>
              <w:rFonts w:ascii="Arial" w:hAnsi="Arial" w:cs="Arial"/>
              <w:noProof/>
              <w:sz w:val="24"/>
              <w:szCs w:val="24"/>
            </w:rPr>
          </w:pPr>
          <w:hyperlink w:anchor="_Toc227167185" w:history="1">
            <w:r w:rsidR="001322DE" w:rsidRPr="001322DE">
              <w:rPr>
                <w:rStyle w:val="Hyperlink"/>
                <w:rFonts w:ascii="Arial" w:hAnsi="Arial" w:cs="Arial"/>
                <w:noProof/>
                <w:sz w:val="24"/>
                <w:szCs w:val="24"/>
              </w:rPr>
              <w:t>6. Culture and Organisational Performance: Recommendations</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_Toc227167185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10</w:t>
            </w:r>
            <w:r w:rsidR="001322DE" w:rsidRPr="001322DE">
              <w:rPr>
                <w:rFonts w:ascii="Arial" w:hAnsi="Arial" w:cs="Arial"/>
                <w:noProof/>
                <w:webHidden/>
                <w:sz w:val="24"/>
                <w:szCs w:val="24"/>
              </w:rPr>
              <w:fldChar w:fldCharType="end"/>
            </w:r>
          </w:hyperlink>
        </w:p>
        <w:p w14:paraId="036B1CC8" w14:textId="5057D099"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86" w:history="1">
            <w:r w:rsidR="001322DE" w:rsidRPr="001322DE">
              <w:rPr>
                <w:rStyle w:val="Hyperlink"/>
                <w:rFonts w:ascii="Arial" w:hAnsi="Arial" w:cs="Arial"/>
                <w:b/>
                <w:bCs/>
                <w:noProof/>
                <w:sz w:val="24"/>
                <w:szCs w:val="24"/>
              </w:rPr>
              <w:t>6.1 Evidence of Cultural Impact on Performance</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_Toc227167186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10</w:t>
            </w:r>
            <w:r w:rsidR="001322DE" w:rsidRPr="001322DE">
              <w:rPr>
                <w:rFonts w:ascii="Arial" w:hAnsi="Arial" w:cs="Arial"/>
                <w:noProof/>
                <w:webHidden/>
                <w:sz w:val="24"/>
                <w:szCs w:val="24"/>
              </w:rPr>
              <w:fldChar w:fldCharType="end"/>
            </w:r>
          </w:hyperlink>
        </w:p>
        <w:p w14:paraId="3F3BCB3F" w14:textId="5F3726C5" w:rsidR="001322DE" w:rsidRPr="001322DE" w:rsidRDefault="00000000" w:rsidP="001322DE">
          <w:pPr>
            <w:pStyle w:val="TOC2"/>
            <w:tabs>
              <w:tab w:val="right" w:leader="dot" w:pos="9016"/>
            </w:tabs>
            <w:spacing w:line="360" w:lineRule="auto"/>
            <w:jc w:val="both"/>
            <w:rPr>
              <w:rFonts w:ascii="Arial" w:hAnsi="Arial" w:cs="Arial"/>
              <w:noProof/>
              <w:sz w:val="24"/>
              <w:szCs w:val="24"/>
            </w:rPr>
          </w:pPr>
          <w:hyperlink w:anchor="_Toc227167187" w:history="1">
            <w:r w:rsidR="001322DE" w:rsidRPr="001322DE">
              <w:rPr>
                <w:rStyle w:val="Hyperlink"/>
                <w:rFonts w:ascii="Arial" w:hAnsi="Arial" w:cs="Arial"/>
                <w:b/>
                <w:bCs/>
                <w:noProof/>
                <w:sz w:val="24"/>
                <w:szCs w:val="24"/>
              </w:rPr>
              <w:t>6.2 Recommendations</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_Toc227167187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11</w:t>
            </w:r>
            <w:r w:rsidR="001322DE" w:rsidRPr="001322DE">
              <w:rPr>
                <w:rFonts w:ascii="Arial" w:hAnsi="Arial" w:cs="Arial"/>
                <w:noProof/>
                <w:webHidden/>
                <w:sz w:val="24"/>
                <w:szCs w:val="24"/>
              </w:rPr>
              <w:fldChar w:fldCharType="end"/>
            </w:r>
          </w:hyperlink>
        </w:p>
        <w:p w14:paraId="73F0F844" w14:textId="1706FFAE" w:rsidR="001322DE" w:rsidRPr="001322DE" w:rsidRDefault="00000000" w:rsidP="001322DE">
          <w:pPr>
            <w:pStyle w:val="TOC1"/>
            <w:tabs>
              <w:tab w:val="right" w:leader="dot" w:pos="9016"/>
            </w:tabs>
            <w:spacing w:line="360" w:lineRule="auto"/>
            <w:jc w:val="both"/>
            <w:rPr>
              <w:rFonts w:ascii="Arial" w:hAnsi="Arial" w:cs="Arial"/>
              <w:noProof/>
              <w:sz w:val="24"/>
              <w:szCs w:val="24"/>
            </w:rPr>
          </w:pPr>
          <w:hyperlink w:anchor="_Toc227167188" w:history="1">
            <w:r w:rsidR="001322DE" w:rsidRPr="001322DE">
              <w:rPr>
                <w:rStyle w:val="Hyperlink"/>
                <w:rFonts w:ascii="Arial" w:hAnsi="Arial" w:cs="Arial"/>
                <w:noProof/>
                <w:sz w:val="24"/>
                <w:szCs w:val="24"/>
              </w:rPr>
              <w:t>7. Conclusion</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_Toc227167188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12</w:t>
            </w:r>
            <w:r w:rsidR="001322DE" w:rsidRPr="001322DE">
              <w:rPr>
                <w:rFonts w:ascii="Arial" w:hAnsi="Arial" w:cs="Arial"/>
                <w:noProof/>
                <w:webHidden/>
                <w:sz w:val="24"/>
                <w:szCs w:val="24"/>
              </w:rPr>
              <w:fldChar w:fldCharType="end"/>
            </w:r>
          </w:hyperlink>
        </w:p>
        <w:p w14:paraId="7E71345F" w14:textId="3B5C3FD9" w:rsidR="001322DE" w:rsidRPr="001322DE" w:rsidRDefault="00000000" w:rsidP="001322DE">
          <w:pPr>
            <w:pStyle w:val="TOC1"/>
            <w:tabs>
              <w:tab w:val="right" w:leader="dot" w:pos="9016"/>
            </w:tabs>
            <w:spacing w:line="360" w:lineRule="auto"/>
            <w:jc w:val="both"/>
            <w:rPr>
              <w:rFonts w:ascii="Arial" w:hAnsi="Arial" w:cs="Arial"/>
              <w:noProof/>
              <w:sz w:val="24"/>
              <w:szCs w:val="24"/>
            </w:rPr>
          </w:pPr>
          <w:hyperlink w:anchor="_Toc227167189" w:history="1">
            <w:r w:rsidR="001322DE" w:rsidRPr="001322DE">
              <w:rPr>
                <w:rStyle w:val="Hyperlink"/>
                <w:rFonts w:ascii="Arial" w:hAnsi="Arial" w:cs="Arial"/>
                <w:noProof/>
                <w:sz w:val="24"/>
                <w:szCs w:val="24"/>
              </w:rPr>
              <w:t>8. Reference List</w:t>
            </w:r>
            <w:r w:rsidR="001322DE" w:rsidRPr="001322DE">
              <w:rPr>
                <w:rFonts w:ascii="Arial" w:hAnsi="Arial" w:cs="Arial"/>
                <w:noProof/>
                <w:webHidden/>
                <w:sz w:val="24"/>
                <w:szCs w:val="24"/>
              </w:rPr>
              <w:tab/>
            </w:r>
            <w:r w:rsidR="001322DE" w:rsidRPr="001322DE">
              <w:rPr>
                <w:rFonts w:ascii="Arial" w:hAnsi="Arial" w:cs="Arial"/>
                <w:noProof/>
                <w:webHidden/>
                <w:sz w:val="24"/>
                <w:szCs w:val="24"/>
              </w:rPr>
              <w:fldChar w:fldCharType="begin"/>
            </w:r>
            <w:r w:rsidR="001322DE" w:rsidRPr="001322DE">
              <w:rPr>
                <w:rFonts w:ascii="Arial" w:hAnsi="Arial" w:cs="Arial"/>
                <w:noProof/>
                <w:webHidden/>
                <w:sz w:val="24"/>
                <w:szCs w:val="24"/>
              </w:rPr>
              <w:instrText xml:space="preserve"> PAGEREF _Toc227167189 \h </w:instrText>
            </w:r>
            <w:r w:rsidR="001322DE" w:rsidRPr="001322DE">
              <w:rPr>
                <w:rFonts w:ascii="Arial" w:hAnsi="Arial" w:cs="Arial"/>
                <w:noProof/>
                <w:webHidden/>
                <w:sz w:val="24"/>
                <w:szCs w:val="24"/>
              </w:rPr>
            </w:r>
            <w:r w:rsidR="001322DE" w:rsidRPr="001322DE">
              <w:rPr>
                <w:rFonts w:ascii="Arial" w:hAnsi="Arial" w:cs="Arial"/>
                <w:noProof/>
                <w:webHidden/>
                <w:sz w:val="24"/>
                <w:szCs w:val="24"/>
              </w:rPr>
              <w:fldChar w:fldCharType="separate"/>
            </w:r>
            <w:r w:rsidR="00132643">
              <w:rPr>
                <w:rFonts w:ascii="Arial" w:hAnsi="Arial" w:cs="Arial"/>
                <w:noProof/>
                <w:webHidden/>
                <w:sz w:val="24"/>
                <w:szCs w:val="24"/>
              </w:rPr>
              <w:t>13</w:t>
            </w:r>
            <w:r w:rsidR="001322DE" w:rsidRPr="001322DE">
              <w:rPr>
                <w:rFonts w:ascii="Arial" w:hAnsi="Arial" w:cs="Arial"/>
                <w:noProof/>
                <w:webHidden/>
                <w:sz w:val="24"/>
                <w:szCs w:val="24"/>
              </w:rPr>
              <w:fldChar w:fldCharType="end"/>
            </w:r>
          </w:hyperlink>
        </w:p>
        <w:p w14:paraId="1D9DCE56" w14:textId="50E8E3D0" w:rsidR="001322DE" w:rsidRPr="001322DE" w:rsidRDefault="001322DE" w:rsidP="001322DE">
          <w:pPr>
            <w:spacing w:line="360" w:lineRule="auto"/>
            <w:jc w:val="both"/>
            <w:rPr>
              <w:rFonts w:ascii="Arial" w:hAnsi="Arial" w:cs="Arial"/>
            </w:rPr>
          </w:pPr>
          <w:r w:rsidRPr="001322DE">
            <w:rPr>
              <w:rFonts w:ascii="Arial" w:hAnsi="Arial" w:cs="Arial"/>
              <w:b/>
              <w:bCs/>
              <w:noProof/>
            </w:rPr>
            <w:fldChar w:fldCharType="end"/>
          </w:r>
        </w:p>
      </w:sdtContent>
    </w:sdt>
    <w:p w14:paraId="1BCBACD5" w14:textId="77777777" w:rsidR="00EA6CDF" w:rsidRPr="001322DE" w:rsidRDefault="00EA6CDF" w:rsidP="001322DE">
      <w:pPr>
        <w:spacing w:line="360" w:lineRule="auto"/>
        <w:jc w:val="both"/>
        <w:rPr>
          <w:rFonts w:ascii="Arial" w:hAnsi="Arial" w:cs="Arial"/>
        </w:rPr>
      </w:pPr>
    </w:p>
    <w:p w14:paraId="2285C9A6" w14:textId="77777777" w:rsidR="00EA6CDF" w:rsidRPr="001322DE" w:rsidRDefault="00EA6CDF" w:rsidP="001322DE">
      <w:pPr>
        <w:spacing w:line="360" w:lineRule="auto"/>
        <w:jc w:val="both"/>
        <w:rPr>
          <w:rFonts w:ascii="Arial" w:hAnsi="Arial" w:cs="Arial"/>
        </w:rPr>
      </w:pPr>
    </w:p>
    <w:p w14:paraId="6A731FA3" w14:textId="77777777" w:rsidR="00EA6CDF" w:rsidRPr="001322DE" w:rsidRDefault="00EA6CDF" w:rsidP="001322DE">
      <w:pPr>
        <w:spacing w:line="360" w:lineRule="auto"/>
        <w:jc w:val="both"/>
        <w:rPr>
          <w:rFonts w:ascii="Arial" w:hAnsi="Arial" w:cs="Arial"/>
        </w:rPr>
      </w:pPr>
    </w:p>
    <w:p w14:paraId="751CEBA1" w14:textId="4E749B35" w:rsidR="009B300F" w:rsidRPr="001322DE" w:rsidRDefault="00286FB7" w:rsidP="001322DE">
      <w:pPr>
        <w:pStyle w:val="Heading1"/>
        <w:spacing w:line="360" w:lineRule="auto"/>
        <w:jc w:val="both"/>
        <w:rPr>
          <w:rFonts w:ascii="Arial" w:hAnsi="Arial" w:cs="Arial"/>
          <w:b/>
          <w:bCs/>
          <w:sz w:val="24"/>
          <w:szCs w:val="24"/>
        </w:rPr>
      </w:pPr>
      <w:bookmarkStart w:id="0" w:name="_Toc227167170"/>
      <w:r w:rsidRPr="001322DE">
        <w:rPr>
          <w:rFonts w:ascii="Arial" w:hAnsi="Arial" w:cs="Arial"/>
          <w:b/>
          <w:bCs/>
          <w:sz w:val="24"/>
          <w:szCs w:val="24"/>
        </w:rPr>
        <w:lastRenderedPageBreak/>
        <w:t>1. Introduction</w:t>
      </w:r>
      <w:bookmarkEnd w:id="0"/>
    </w:p>
    <w:p w14:paraId="50D6564B" w14:textId="36833782" w:rsidR="00286FB7" w:rsidRPr="001322DE" w:rsidRDefault="00EA7143" w:rsidP="001322DE">
      <w:pPr>
        <w:spacing w:line="360" w:lineRule="auto"/>
        <w:jc w:val="both"/>
        <w:rPr>
          <w:rFonts w:ascii="Arial" w:hAnsi="Arial" w:cs="Arial"/>
        </w:rPr>
      </w:pPr>
      <w:r w:rsidRPr="001322DE">
        <w:rPr>
          <w:rFonts w:ascii="Arial" w:hAnsi="Arial" w:cs="Arial"/>
        </w:rPr>
        <w:t xml:space="preserve">Mullins </w:t>
      </w:r>
      <w:r w:rsidR="00136559">
        <w:rPr>
          <w:rFonts w:ascii="Arial" w:hAnsi="Arial" w:cs="Arial"/>
        </w:rPr>
        <w:t>and</w:t>
      </w:r>
      <w:r w:rsidRPr="001322DE">
        <w:rPr>
          <w:rFonts w:ascii="Arial" w:hAnsi="Arial" w:cs="Arial"/>
        </w:rPr>
        <w:t xml:space="preserve"> Christy (2016) explain that culture has an impact on decision making, organisational structure and behaviour</w:t>
      </w:r>
      <w:r w:rsidR="006316B5">
        <w:rPr>
          <w:rFonts w:ascii="Arial" w:hAnsi="Arial" w:cs="Arial"/>
        </w:rPr>
        <w:t xml:space="preserve">. </w:t>
      </w:r>
      <w:r w:rsidR="00BE30A5">
        <w:rPr>
          <w:rFonts w:ascii="Arial" w:hAnsi="Arial" w:cs="Arial"/>
        </w:rPr>
        <w:t>T</w:t>
      </w:r>
      <w:r w:rsidR="00BE30A5" w:rsidRPr="001322DE">
        <w:rPr>
          <w:rFonts w:ascii="Arial" w:hAnsi="Arial" w:cs="Arial"/>
        </w:rPr>
        <w:t>hese three combined form an organisations’</w:t>
      </w:r>
      <w:r w:rsidRPr="001322DE">
        <w:rPr>
          <w:rFonts w:ascii="Arial" w:hAnsi="Arial" w:cs="Arial"/>
        </w:rPr>
        <w:t xml:space="preserve"> overall working culture (Mullins &amp; Christy, 2016, p.574). Mullins </w:t>
      </w:r>
      <w:r w:rsidR="006316B5">
        <w:rPr>
          <w:rFonts w:ascii="Arial" w:hAnsi="Arial" w:cs="Arial"/>
        </w:rPr>
        <w:t>and</w:t>
      </w:r>
      <w:r w:rsidRPr="001322DE">
        <w:rPr>
          <w:rFonts w:ascii="Arial" w:hAnsi="Arial" w:cs="Arial"/>
        </w:rPr>
        <w:t xml:space="preserve"> Christy (2016) further state that as more companies do business globally, culture has become more important when trying to achieve an organisation’s success. This </w:t>
      </w:r>
      <w:r w:rsidR="00BE30A5">
        <w:rPr>
          <w:rFonts w:ascii="Arial" w:hAnsi="Arial" w:cs="Arial"/>
        </w:rPr>
        <w:t>report</w:t>
      </w:r>
      <w:r w:rsidRPr="001322DE">
        <w:rPr>
          <w:rFonts w:ascii="Arial" w:hAnsi="Arial" w:cs="Arial"/>
        </w:rPr>
        <w:t xml:space="preserve"> provides critical analysis of Tesco PLC, one of the largest grocery retailers in the UK, employing over 340,000 people and generating £63.6 billion in group sales (Tesco PLC, 2025)</w:t>
      </w:r>
      <w:r w:rsidR="00770B73">
        <w:rPr>
          <w:rFonts w:ascii="Arial" w:hAnsi="Arial" w:cs="Arial"/>
        </w:rPr>
        <w:t xml:space="preserve">. The aim is to </w:t>
      </w:r>
      <w:r w:rsidRPr="001322DE">
        <w:rPr>
          <w:rFonts w:ascii="Arial" w:hAnsi="Arial" w:cs="Arial"/>
        </w:rPr>
        <w:t xml:space="preserve">demonstrate how organisational culture has an impact on their organisational structure, how it influences their organisational performance and how organisational culture can assist or hinder their ability to adapt to the external environment. In addition, various organisational culture frameworks will be described throughout this paper to demonstrate the impact of organisational culture on organisational structure, performance and adaptation </w:t>
      </w:r>
      <w:proofErr w:type="gramStart"/>
      <w:r w:rsidRPr="001322DE">
        <w:rPr>
          <w:rFonts w:ascii="Arial" w:hAnsi="Arial" w:cs="Arial"/>
        </w:rPr>
        <w:t>through the use of</w:t>
      </w:r>
      <w:proofErr w:type="gramEnd"/>
      <w:r w:rsidRPr="001322DE">
        <w:rPr>
          <w:rFonts w:ascii="Arial" w:hAnsi="Arial" w:cs="Arial"/>
        </w:rPr>
        <w:t xml:space="preserve"> established frameworks.</w:t>
      </w:r>
    </w:p>
    <w:p w14:paraId="06EA4F83" w14:textId="77777777" w:rsidR="00470071" w:rsidRPr="001322DE" w:rsidRDefault="00470071" w:rsidP="001322DE">
      <w:pPr>
        <w:spacing w:line="360" w:lineRule="auto"/>
        <w:jc w:val="both"/>
        <w:rPr>
          <w:rFonts w:ascii="Arial" w:hAnsi="Arial" w:cs="Arial"/>
        </w:rPr>
      </w:pPr>
    </w:p>
    <w:p w14:paraId="4F81F9E6" w14:textId="77777777" w:rsidR="00F321FA" w:rsidRPr="001322DE" w:rsidRDefault="00F321FA" w:rsidP="001322DE">
      <w:pPr>
        <w:pStyle w:val="Heading1"/>
        <w:spacing w:line="360" w:lineRule="auto"/>
        <w:jc w:val="both"/>
        <w:rPr>
          <w:rFonts w:ascii="Arial" w:hAnsi="Arial" w:cs="Arial"/>
          <w:b/>
          <w:bCs/>
          <w:sz w:val="24"/>
          <w:szCs w:val="24"/>
        </w:rPr>
      </w:pPr>
      <w:bookmarkStart w:id="1" w:name="_Toc227167171"/>
      <w:r w:rsidRPr="001322DE">
        <w:rPr>
          <w:rFonts w:ascii="Arial" w:hAnsi="Arial" w:cs="Arial"/>
          <w:b/>
          <w:bCs/>
          <w:sz w:val="24"/>
          <w:szCs w:val="24"/>
        </w:rPr>
        <w:t>2. Organisational Culture, Structure and Decision-Making</w:t>
      </w:r>
      <w:bookmarkEnd w:id="1"/>
    </w:p>
    <w:p w14:paraId="1C6864EB" w14:textId="485CCBA3" w:rsidR="00470071" w:rsidRPr="001322DE" w:rsidRDefault="00F321FA" w:rsidP="001322DE">
      <w:pPr>
        <w:pStyle w:val="Heading2"/>
        <w:spacing w:line="360" w:lineRule="auto"/>
        <w:jc w:val="both"/>
        <w:rPr>
          <w:rFonts w:ascii="Arial" w:hAnsi="Arial" w:cs="Arial"/>
          <w:b/>
          <w:bCs/>
          <w:sz w:val="24"/>
          <w:szCs w:val="24"/>
        </w:rPr>
      </w:pPr>
      <w:bookmarkStart w:id="2" w:name="_Toc227167172"/>
      <w:r w:rsidRPr="001322DE">
        <w:rPr>
          <w:rFonts w:ascii="Arial" w:hAnsi="Arial" w:cs="Arial"/>
          <w:b/>
          <w:bCs/>
          <w:sz w:val="24"/>
          <w:szCs w:val="24"/>
        </w:rPr>
        <w:t>2.1 The Cultural Foundation at Tesco</w:t>
      </w:r>
      <w:bookmarkEnd w:id="2"/>
    </w:p>
    <w:p w14:paraId="24CEE044" w14:textId="77777777" w:rsidR="00E7000D" w:rsidRPr="001322DE" w:rsidRDefault="00E7000D" w:rsidP="001322DE">
      <w:pPr>
        <w:spacing w:line="360" w:lineRule="auto"/>
        <w:jc w:val="both"/>
        <w:rPr>
          <w:rFonts w:ascii="Arial" w:hAnsi="Arial" w:cs="Arial"/>
        </w:rPr>
      </w:pPr>
      <w:r w:rsidRPr="001322DE">
        <w:rPr>
          <w:rFonts w:ascii="Arial" w:hAnsi="Arial" w:cs="Arial"/>
        </w:rPr>
        <w:t xml:space="preserve">At Tesco, the company's culture is founded on a clear purpose: "A little bit better for our customers, our communities and our planet every day" (Tesco PLC, 2025, p. 10). This is reinforced by three well-defined values: "No one tries harder for our customers", "We treat people how they would like to be treated", and "Every little </w:t>
      </w:r>
      <w:proofErr w:type="gramStart"/>
      <w:r w:rsidRPr="001322DE">
        <w:rPr>
          <w:rFonts w:ascii="Arial" w:hAnsi="Arial" w:cs="Arial"/>
        </w:rPr>
        <w:t>helps</w:t>
      </w:r>
      <w:proofErr w:type="gramEnd"/>
      <w:r w:rsidRPr="001322DE">
        <w:rPr>
          <w:rFonts w:ascii="Arial" w:hAnsi="Arial" w:cs="Arial"/>
        </w:rPr>
        <w:t>". According to Robbins and Judge (2021), the culture of an organization can be defined as the way an organization shares meanings, which will differentiate one organization's culture from another. These values at Tesco work in exactly this way, providing a common normative framework to all employees regardless of how large or geographically dispersed the organization may be.</w:t>
      </w:r>
    </w:p>
    <w:p w14:paraId="2F7E61EE" w14:textId="77777777" w:rsidR="00E7000D" w:rsidRPr="001322DE" w:rsidRDefault="00E7000D" w:rsidP="001322DE">
      <w:pPr>
        <w:spacing w:line="360" w:lineRule="auto"/>
        <w:jc w:val="both"/>
        <w:rPr>
          <w:rFonts w:ascii="Arial" w:hAnsi="Arial" w:cs="Arial"/>
        </w:rPr>
      </w:pPr>
    </w:p>
    <w:p w14:paraId="4AC0D785" w14:textId="2C4B4AAC" w:rsidR="00F321FA" w:rsidRPr="001322DE" w:rsidRDefault="00E7000D" w:rsidP="001322DE">
      <w:pPr>
        <w:spacing w:line="360" w:lineRule="auto"/>
        <w:jc w:val="both"/>
        <w:rPr>
          <w:rFonts w:ascii="Arial" w:hAnsi="Arial" w:cs="Arial"/>
        </w:rPr>
      </w:pPr>
      <w:proofErr w:type="spellStart"/>
      <w:r w:rsidRPr="001322DE">
        <w:rPr>
          <w:rFonts w:ascii="Arial" w:hAnsi="Arial" w:cs="Arial"/>
        </w:rPr>
        <w:t>Nikpour</w:t>
      </w:r>
      <w:proofErr w:type="spellEnd"/>
      <w:r w:rsidRPr="001322DE">
        <w:rPr>
          <w:rFonts w:ascii="Arial" w:hAnsi="Arial" w:cs="Arial"/>
        </w:rPr>
        <w:t xml:space="preserve"> (2017) shows that the organi</w:t>
      </w:r>
      <w:r w:rsidR="00D2504A">
        <w:rPr>
          <w:rFonts w:ascii="Arial" w:hAnsi="Arial" w:cs="Arial"/>
        </w:rPr>
        <w:t>s</w:t>
      </w:r>
      <w:r w:rsidRPr="001322DE">
        <w:rPr>
          <w:rFonts w:ascii="Arial" w:hAnsi="Arial" w:cs="Arial"/>
        </w:rPr>
        <w:t xml:space="preserve">ational culture has a direct impact on employee commitment and therefore affects performance. Eighty-five percent (85%) of Tesco employees recommend Tesco as a great place to work (which is one percentage point higher than the previous year) (Tesco PLC, 2025). This measure is one of the six </w:t>
      </w:r>
      <w:r w:rsidRPr="001322DE">
        <w:rPr>
          <w:rFonts w:ascii="Arial" w:hAnsi="Arial" w:cs="Arial"/>
        </w:rPr>
        <w:lastRenderedPageBreak/>
        <w:t xml:space="preserve">indicators of success (the "Big 6") and therefore indicates that the health of Tesco's culture is of equal importance strategically as is financial performance. However, one must be cautious in considering the engagement number that is self-reported as many of the social desirability biases will affect the sample. In addition, the equal pay claim that is in the Principal Risks identify in the </w:t>
      </w:r>
      <w:r w:rsidR="00CD513F">
        <w:rPr>
          <w:rFonts w:ascii="Arial" w:hAnsi="Arial" w:cs="Arial"/>
        </w:rPr>
        <w:t xml:space="preserve">Tesco’s (2025) </w:t>
      </w:r>
      <w:r w:rsidRPr="001322DE">
        <w:rPr>
          <w:rFonts w:ascii="Arial" w:hAnsi="Arial" w:cs="Arial"/>
        </w:rPr>
        <w:t xml:space="preserve">Annual Report demonstrates that the </w:t>
      </w:r>
      <w:r w:rsidR="008F1650">
        <w:rPr>
          <w:rFonts w:ascii="Arial" w:hAnsi="Arial" w:cs="Arial"/>
        </w:rPr>
        <w:t>c</w:t>
      </w:r>
      <w:r w:rsidRPr="001322DE">
        <w:rPr>
          <w:rFonts w:ascii="Arial" w:hAnsi="Arial" w:cs="Arial"/>
        </w:rPr>
        <w:t xml:space="preserve">ultural characteristics around </w:t>
      </w:r>
      <w:r w:rsidR="00565AE3">
        <w:rPr>
          <w:rFonts w:ascii="Arial" w:hAnsi="Arial" w:cs="Arial"/>
        </w:rPr>
        <w:t>f</w:t>
      </w:r>
      <w:r w:rsidRPr="001322DE">
        <w:rPr>
          <w:rFonts w:ascii="Arial" w:hAnsi="Arial" w:cs="Arial"/>
        </w:rPr>
        <w:t>airness are not being experienced uniformly across the organi</w:t>
      </w:r>
      <w:r w:rsidR="00A911B3">
        <w:rPr>
          <w:rFonts w:ascii="Arial" w:hAnsi="Arial" w:cs="Arial"/>
        </w:rPr>
        <w:t>s</w:t>
      </w:r>
      <w:r w:rsidRPr="001322DE">
        <w:rPr>
          <w:rFonts w:ascii="Arial" w:hAnsi="Arial" w:cs="Arial"/>
        </w:rPr>
        <w:t>ation.</w:t>
      </w:r>
    </w:p>
    <w:p w14:paraId="74340B87" w14:textId="77777777" w:rsidR="009D6A1F" w:rsidRPr="001322DE" w:rsidRDefault="009D6A1F" w:rsidP="001322DE">
      <w:pPr>
        <w:spacing w:line="360" w:lineRule="auto"/>
        <w:jc w:val="both"/>
        <w:rPr>
          <w:rFonts w:ascii="Arial" w:hAnsi="Arial" w:cs="Arial"/>
        </w:rPr>
      </w:pPr>
    </w:p>
    <w:p w14:paraId="3F937AEA" w14:textId="4508283B" w:rsidR="009D6A1F" w:rsidRPr="001322DE" w:rsidRDefault="003D51CC" w:rsidP="001322DE">
      <w:pPr>
        <w:pStyle w:val="Heading2"/>
        <w:spacing w:line="360" w:lineRule="auto"/>
        <w:jc w:val="both"/>
        <w:rPr>
          <w:rFonts w:ascii="Arial" w:hAnsi="Arial" w:cs="Arial"/>
          <w:b/>
          <w:bCs/>
          <w:sz w:val="24"/>
          <w:szCs w:val="24"/>
        </w:rPr>
      </w:pPr>
      <w:bookmarkStart w:id="3" w:name="_Toc227167173"/>
      <w:r w:rsidRPr="001322DE">
        <w:rPr>
          <w:rFonts w:ascii="Arial" w:hAnsi="Arial" w:cs="Arial"/>
          <w:b/>
          <w:bCs/>
          <w:sz w:val="24"/>
          <w:szCs w:val="24"/>
        </w:rPr>
        <w:t>2.2 Culture and Organisational Structure</w:t>
      </w:r>
      <w:bookmarkEnd w:id="3"/>
    </w:p>
    <w:p w14:paraId="58D3B2A8" w14:textId="77777777" w:rsidR="00E6424D" w:rsidRPr="001322DE" w:rsidRDefault="00E6424D" w:rsidP="001322DE">
      <w:pPr>
        <w:spacing w:line="360" w:lineRule="auto"/>
        <w:jc w:val="both"/>
        <w:rPr>
          <w:rFonts w:ascii="Arial" w:hAnsi="Arial" w:cs="Arial"/>
        </w:rPr>
      </w:pPr>
      <w:r w:rsidRPr="001322DE">
        <w:rPr>
          <w:rFonts w:ascii="Arial" w:hAnsi="Arial" w:cs="Arial"/>
        </w:rPr>
        <w:t xml:space="preserve">According to Ahmady, </w:t>
      </w:r>
      <w:proofErr w:type="spellStart"/>
      <w:r w:rsidRPr="001322DE">
        <w:rPr>
          <w:rFonts w:ascii="Arial" w:hAnsi="Arial" w:cs="Arial"/>
        </w:rPr>
        <w:t>Mehrpour</w:t>
      </w:r>
      <w:proofErr w:type="spellEnd"/>
      <w:r w:rsidRPr="001322DE">
        <w:rPr>
          <w:rFonts w:ascii="Arial" w:hAnsi="Arial" w:cs="Arial"/>
        </w:rPr>
        <w:t xml:space="preserve">, and </w:t>
      </w:r>
      <w:proofErr w:type="spellStart"/>
      <w:r w:rsidRPr="001322DE">
        <w:rPr>
          <w:rFonts w:ascii="Arial" w:hAnsi="Arial" w:cs="Arial"/>
        </w:rPr>
        <w:t>Nikooravesh</w:t>
      </w:r>
      <w:proofErr w:type="spellEnd"/>
      <w:r w:rsidRPr="001322DE">
        <w:rPr>
          <w:rFonts w:ascii="Arial" w:hAnsi="Arial" w:cs="Arial"/>
        </w:rPr>
        <w:t xml:space="preserve"> (2016), culture and structure are interrelated; thus, the predominant values and assumptions within the organisation will generally manifest in a corresponding organisational structure that similarly reinforces the culture. For example, Tesco's governance architecture reflects the customer-driven, accountability-driven organisational culture. The Board sets strategy, values, and risk appetite while delegating operational authority to the Group Chief Executive (supported by an Executive Committee). Executive level sub-committees govern different areas (e.g., risk, sustainability, cyber security) and the multi-tiered structure creates alignment regarding strategic objectives and responsiveness to operational issues at the regional level.</w:t>
      </w:r>
    </w:p>
    <w:p w14:paraId="4C79BB0F" w14:textId="77777777" w:rsidR="00E6424D" w:rsidRPr="001322DE" w:rsidRDefault="00E6424D" w:rsidP="001322DE">
      <w:pPr>
        <w:spacing w:line="360" w:lineRule="auto"/>
        <w:jc w:val="both"/>
        <w:rPr>
          <w:rFonts w:ascii="Arial" w:hAnsi="Arial" w:cs="Arial"/>
        </w:rPr>
      </w:pPr>
    </w:p>
    <w:p w14:paraId="390BDCAD" w14:textId="17EC841E" w:rsidR="003D51CC" w:rsidRPr="001322DE" w:rsidRDefault="00E6424D" w:rsidP="001322DE">
      <w:pPr>
        <w:spacing w:line="360" w:lineRule="auto"/>
        <w:jc w:val="both"/>
        <w:rPr>
          <w:rFonts w:ascii="Arial" w:hAnsi="Arial" w:cs="Arial"/>
        </w:rPr>
      </w:pPr>
      <w:r w:rsidRPr="001322DE">
        <w:rPr>
          <w:rFonts w:ascii="Arial" w:hAnsi="Arial" w:cs="Arial"/>
        </w:rPr>
        <w:t xml:space="preserve">As demonstrated by </w:t>
      </w:r>
      <w:proofErr w:type="spellStart"/>
      <w:r w:rsidRPr="001322DE">
        <w:rPr>
          <w:rFonts w:ascii="Arial" w:hAnsi="Arial" w:cs="Arial"/>
        </w:rPr>
        <w:t>Chión</w:t>
      </w:r>
      <w:proofErr w:type="spellEnd"/>
      <w:r w:rsidRPr="001322DE">
        <w:rPr>
          <w:rFonts w:ascii="Arial" w:hAnsi="Arial" w:cs="Arial"/>
        </w:rPr>
        <w:t>, Charles, and Morales (2020), cultural characteristics related to sharing knowledge and collaborating with others fundamentally influence the way organisations develop their processes, as exemplified by the Colleague Contribution Panels (CCPs) developed by Tesco. The CCPs provide frontline associates with an opportunity to communicate their views directly to the Board twice each year, ensuring that the Board receives input from the individuals closest to the customer. In addition, the introduction of the "Line Manager Standard" also aligns the behaviours of line managers with cultural expectations, further supporting that Tesco has intentionally designed its organisational structure to create, reinforce</w:t>
      </w:r>
      <w:r w:rsidR="000D5945">
        <w:rPr>
          <w:rFonts w:ascii="Arial" w:hAnsi="Arial" w:cs="Arial"/>
        </w:rPr>
        <w:t xml:space="preserve">. It also </w:t>
      </w:r>
      <w:r w:rsidRPr="001322DE">
        <w:rPr>
          <w:rFonts w:ascii="Arial" w:hAnsi="Arial" w:cs="Arial"/>
        </w:rPr>
        <w:t>perpetuate</w:t>
      </w:r>
      <w:r w:rsidR="00373D23">
        <w:rPr>
          <w:rFonts w:ascii="Arial" w:hAnsi="Arial" w:cs="Arial"/>
        </w:rPr>
        <w:t>s</w:t>
      </w:r>
      <w:r w:rsidRPr="001322DE">
        <w:rPr>
          <w:rFonts w:ascii="Arial" w:hAnsi="Arial" w:cs="Arial"/>
        </w:rPr>
        <w:t xml:space="preserve"> its organisational culture in all forms and at all levels of operations and avoid allowing culture to take shape independently of the formalised systems.</w:t>
      </w:r>
    </w:p>
    <w:p w14:paraId="68133E23" w14:textId="77777777" w:rsidR="005D702D" w:rsidRPr="001322DE" w:rsidRDefault="005D702D" w:rsidP="001322DE">
      <w:pPr>
        <w:spacing w:line="360" w:lineRule="auto"/>
        <w:jc w:val="both"/>
        <w:rPr>
          <w:rFonts w:ascii="Arial" w:hAnsi="Arial" w:cs="Arial"/>
        </w:rPr>
      </w:pPr>
    </w:p>
    <w:p w14:paraId="4EB358EC" w14:textId="6AD50B81" w:rsidR="005D702D" w:rsidRPr="001322DE" w:rsidRDefault="00417CA0" w:rsidP="001322DE">
      <w:pPr>
        <w:pStyle w:val="Heading2"/>
        <w:spacing w:line="360" w:lineRule="auto"/>
        <w:jc w:val="both"/>
        <w:rPr>
          <w:rFonts w:ascii="Arial" w:hAnsi="Arial" w:cs="Arial"/>
          <w:b/>
          <w:bCs/>
          <w:sz w:val="24"/>
          <w:szCs w:val="24"/>
        </w:rPr>
      </w:pPr>
      <w:bookmarkStart w:id="4" w:name="_Toc227167174"/>
      <w:r w:rsidRPr="001322DE">
        <w:rPr>
          <w:rFonts w:ascii="Arial" w:hAnsi="Arial" w:cs="Arial"/>
          <w:b/>
          <w:bCs/>
          <w:sz w:val="24"/>
          <w:szCs w:val="24"/>
        </w:rPr>
        <w:lastRenderedPageBreak/>
        <w:t>2.3 Culture and Decision-Making</w:t>
      </w:r>
      <w:bookmarkEnd w:id="4"/>
    </w:p>
    <w:p w14:paraId="05AC0C29" w14:textId="10E23B59" w:rsidR="00B924B6" w:rsidRPr="001322DE" w:rsidRDefault="00B924B6" w:rsidP="001322DE">
      <w:pPr>
        <w:spacing w:line="360" w:lineRule="auto"/>
        <w:jc w:val="both"/>
        <w:rPr>
          <w:rFonts w:ascii="Arial" w:hAnsi="Arial" w:cs="Arial"/>
        </w:rPr>
      </w:pPr>
      <w:r w:rsidRPr="001322DE">
        <w:rPr>
          <w:rFonts w:ascii="Arial" w:hAnsi="Arial" w:cs="Arial"/>
        </w:rPr>
        <w:t>According to the Annual Report, the Board invariably makes decisions that match the company’s culture and values, considering each decision as to the benefits, risks, financial implications and how they affect relevant stakeholders (Tesco PLC, 2025, p. 69). Binder (2016) supports this view, indicating that integrating cultural values into performance management provides reliable guidance for organisational decision-making. The Board of Directors’ decision to divest Tesco Banking operations to Barclays in November 2024, resulted in gross proceeds of £614 million with £700 million returned to shareholders</w:t>
      </w:r>
      <w:r w:rsidR="00BC7C8C">
        <w:rPr>
          <w:rFonts w:ascii="Arial" w:hAnsi="Arial" w:cs="Arial"/>
        </w:rPr>
        <w:t>. This</w:t>
      </w:r>
      <w:r w:rsidRPr="001322DE">
        <w:rPr>
          <w:rFonts w:ascii="Arial" w:hAnsi="Arial" w:cs="Arial"/>
        </w:rPr>
        <w:t xml:space="preserve"> was concrete evidence of a Board frequently linking decision to the cultural priority of serving customers better and focusing on core competencies (Tesco PLC, 2025, p. 71).</w:t>
      </w:r>
    </w:p>
    <w:p w14:paraId="345B3366" w14:textId="77777777" w:rsidR="00B924B6" w:rsidRPr="001322DE" w:rsidRDefault="00B924B6" w:rsidP="001322DE">
      <w:pPr>
        <w:spacing w:line="360" w:lineRule="auto"/>
        <w:jc w:val="both"/>
        <w:rPr>
          <w:rFonts w:ascii="Arial" w:hAnsi="Arial" w:cs="Arial"/>
        </w:rPr>
      </w:pPr>
    </w:p>
    <w:p w14:paraId="207231B4" w14:textId="2682F587" w:rsidR="00417CA0" w:rsidRPr="001322DE" w:rsidRDefault="00B924B6" w:rsidP="001322DE">
      <w:pPr>
        <w:spacing w:line="360" w:lineRule="auto"/>
        <w:jc w:val="both"/>
        <w:rPr>
          <w:rFonts w:ascii="Arial" w:hAnsi="Arial" w:cs="Arial"/>
        </w:rPr>
      </w:pPr>
      <w:r w:rsidRPr="001322DE">
        <w:rPr>
          <w:rFonts w:ascii="Arial" w:hAnsi="Arial" w:cs="Arial"/>
        </w:rPr>
        <w:t>Conversely</w:t>
      </w:r>
      <w:r w:rsidR="00747733">
        <w:rPr>
          <w:rFonts w:ascii="Arial" w:hAnsi="Arial" w:cs="Arial"/>
        </w:rPr>
        <w:t xml:space="preserve">, </w:t>
      </w:r>
      <w:r w:rsidRPr="001322DE">
        <w:rPr>
          <w:rFonts w:ascii="Arial" w:hAnsi="Arial" w:cs="Arial"/>
        </w:rPr>
        <w:t>Mullins and Christy (2016) warn that having a strong and unified corporate culture may create pattern of entrenchment in current decision-making patterns and limit opportunities to explore alternative methods to make decisions. In terms of the dominant customer focus</w:t>
      </w:r>
      <w:r w:rsidR="002C7742">
        <w:rPr>
          <w:rFonts w:ascii="Arial" w:hAnsi="Arial" w:cs="Arial"/>
        </w:rPr>
        <w:t>,</w:t>
      </w:r>
      <w:r w:rsidRPr="001322DE">
        <w:rPr>
          <w:rFonts w:ascii="Arial" w:hAnsi="Arial" w:cs="Arial"/>
        </w:rPr>
        <w:t xml:space="preserve"> Tesco’s successful customer-centric focus as an organisation may preclude it from pursuing alternative non-retailer revenue streams or experimenting with fundamentally different business models. It can be argued that the exit from banking was driven as much by cultural conservatism as it was by clarity of strategy.</w:t>
      </w:r>
    </w:p>
    <w:p w14:paraId="680783B7" w14:textId="77777777" w:rsidR="00133240" w:rsidRPr="001322DE" w:rsidRDefault="00133240" w:rsidP="001322DE">
      <w:pPr>
        <w:spacing w:line="360" w:lineRule="auto"/>
        <w:jc w:val="both"/>
        <w:rPr>
          <w:rFonts w:ascii="Arial" w:hAnsi="Arial" w:cs="Arial"/>
        </w:rPr>
      </w:pPr>
    </w:p>
    <w:p w14:paraId="02BB0B78" w14:textId="77777777" w:rsidR="00994B02" w:rsidRPr="001322DE" w:rsidRDefault="00994B02" w:rsidP="001322DE">
      <w:pPr>
        <w:pStyle w:val="Heading1"/>
        <w:spacing w:line="360" w:lineRule="auto"/>
        <w:jc w:val="both"/>
        <w:rPr>
          <w:rFonts w:ascii="Arial" w:hAnsi="Arial" w:cs="Arial"/>
          <w:b/>
          <w:bCs/>
          <w:sz w:val="24"/>
          <w:szCs w:val="24"/>
        </w:rPr>
      </w:pPr>
      <w:bookmarkStart w:id="5" w:name="_Toc227167175"/>
      <w:r w:rsidRPr="001322DE">
        <w:rPr>
          <w:rFonts w:ascii="Arial" w:hAnsi="Arial" w:cs="Arial"/>
          <w:b/>
          <w:bCs/>
          <w:sz w:val="24"/>
          <w:szCs w:val="24"/>
        </w:rPr>
        <w:t>3. Identifying Organisational Culture Using Theoretical Frameworks</w:t>
      </w:r>
      <w:bookmarkEnd w:id="5"/>
    </w:p>
    <w:p w14:paraId="6B0BB554" w14:textId="5CB3B1AA" w:rsidR="00133240" w:rsidRPr="001322DE" w:rsidRDefault="00994B02" w:rsidP="001322DE">
      <w:pPr>
        <w:pStyle w:val="Heading2"/>
        <w:spacing w:line="360" w:lineRule="auto"/>
        <w:jc w:val="both"/>
        <w:rPr>
          <w:rFonts w:ascii="Arial" w:hAnsi="Arial" w:cs="Arial"/>
          <w:b/>
          <w:bCs/>
          <w:sz w:val="24"/>
          <w:szCs w:val="24"/>
        </w:rPr>
      </w:pPr>
      <w:bookmarkStart w:id="6" w:name="_Toc227167176"/>
      <w:r w:rsidRPr="001322DE">
        <w:rPr>
          <w:rFonts w:ascii="Arial" w:hAnsi="Arial" w:cs="Arial"/>
          <w:b/>
          <w:bCs/>
          <w:sz w:val="24"/>
          <w:szCs w:val="24"/>
        </w:rPr>
        <w:t>3.1 Schein's Three-Level Model</w:t>
      </w:r>
      <w:bookmarkEnd w:id="6"/>
    </w:p>
    <w:p w14:paraId="658FC61E" w14:textId="77777777" w:rsidR="00006705" w:rsidRPr="001322DE" w:rsidRDefault="00006705" w:rsidP="001322DE">
      <w:pPr>
        <w:spacing w:line="360" w:lineRule="auto"/>
        <w:jc w:val="both"/>
        <w:rPr>
          <w:rFonts w:ascii="Arial" w:hAnsi="Arial" w:cs="Arial"/>
        </w:rPr>
      </w:pPr>
      <w:r w:rsidRPr="001322DE">
        <w:rPr>
          <w:rFonts w:ascii="Arial" w:hAnsi="Arial" w:cs="Arial"/>
        </w:rPr>
        <w:t xml:space="preserve">The model that Schein and Schein (2017) propose outlines three distinct levels of culture - visible artefacts, espoused values, and underlying assumptions. To illustrate this at Tesco, the artefact level is present in the complete standardisation of its store format, its 23 million households participating in the Clubcard loyalty scheme, and in its formal communication platform that was launched for staff (Tesco PLC, 2025). </w:t>
      </w:r>
      <w:proofErr w:type="gramStart"/>
      <w:r w:rsidRPr="001322DE">
        <w:rPr>
          <w:rFonts w:ascii="Arial" w:hAnsi="Arial" w:cs="Arial"/>
        </w:rPr>
        <w:t>With regard to</w:t>
      </w:r>
      <w:proofErr w:type="gramEnd"/>
      <w:r w:rsidRPr="001322DE">
        <w:rPr>
          <w:rFonts w:ascii="Arial" w:hAnsi="Arial" w:cs="Arial"/>
        </w:rPr>
        <w:t xml:space="preserve"> espoused values, Tesco's three values and purpose statement are documented within the organisation's governance documents and are reviewed regularly by its Board of Directors. At a deeper level, Tesco operates with the basic assumption that customer affordability and customer loyalty represent the most </w:t>
      </w:r>
      <w:r w:rsidRPr="001322DE">
        <w:rPr>
          <w:rFonts w:ascii="Arial" w:hAnsi="Arial" w:cs="Arial"/>
        </w:rPr>
        <w:lastRenderedPageBreak/>
        <w:t xml:space="preserve">significant sources of its competitive advantage and, as such, will be the basis for influencing </w:t>
      </w:r>
      <w:proofErr w:type="gramStart"/>
      <w:r w:rsidRPr="001322DE">
        <w:rPr>
          <w:rFonts w:ascii="Arial" w:hAnsi="Arial" w:cs="Arial"/>
        </w:rPr>
        <w:t>all of</w:t>
      </w:r>
      <w:proofErr w:type="gramEnd"/>
      <w:r w:rsidRPr="001322DE">
        <w:rPr>
          <w:rFonts w:ascii="Arial" w:hAnsi="Arial" w:cs="Arial"/>
        </w:rPr>
        <w:t xml:space="preserve"> its major strategic decisions, including the implementation of its Aldi Price Match and investment (with Aldi-like pricing) in developing its own-brand goods under the Finest range.</w:t>
      </w:r>
    </w:p>
    <w:p w14:paraId="57B046F6" w14:textId="77777777" w:rsidR="00006705" w:rsidRPr="001322DE" w:rsidRDefault="00006705" w:rsidP="001322DE">
      <w:pPr>
        <w:spacing w:line="360" w:lineRule="auto"/>
        <w:jc w:val="both"/>
        <w:rPr>
          <w:rFonts w:ascii="Arial" w:hAnsi="Arial" w:cs="Arial"/>
        </w:rPr>
      </w:pPr>
    </w:p>
    <w:p w14:paraId="209F31F2" w14:textId="77777777" w:rsidR="00006705" w:rsidRPr="001322DE" w:rsidRDefault="00006705" w:rsidP="001322DE">
      <w:pPr>
        <w:spacing w:line="360" w:lineRule="auto"/>
        <w:jc w:val="both"/>
        <w:rPr>
          <w:rFonts w:ascii="Arial" w:hAnsi="Arial" w:cs="Arial"/>
        </w:rPr>
      </w:pPr>
    </w:p>
    <w:p w14:paraId="11E8078B" w14:textId="500717B8" w:rsidR="00994B02" w:rsidRPr="001322DE" w:rsidRDefault="00006705" w:rsidP="001322DE">
      <w:pPr>
        <w:spacing w:line="360" w:lineRule="auto"/>
        <w:jc w:val="both"/>
        <w:rPr>
          <w:rFonts w:ascii="Arial" w:hAnsi="Arial" w:cs="Arial"/>
        </w:rPr>
      </w:pPr>
      <w:r w:rsidRPr="001322DE">
        <w:rPr>
          <w:rFonts w:ascii="Arial" w:hAnsi="Arial" w:cs="Arial"/>
        </w:rPr>
        <w:t xml:space="preserve">In their writing, </w:t>
      </w:r>
      <w:proofErr w:type="spellStart"/>
      <w:r w:rsidRPr="001322DE">
        <w:rPr>
          <w:rFonts w:ascii="Arial" w:hAnsi="Arial" w:cs="Arial"/>
        </w:rPr>
        <w:t>Akanji</w:t>
      </w:r>
      <w:proofErr w:type="spellEnd"/>
      <w:r w:rsidRPr="001322DE">
        <w:rPr>
          <w:rFonts w:ascii="Arial" w:hAnsi="Arial" w:cs="Arial"/>
        </w:rPr>
        <w:t xml:space="preserve"> and colleagues (2020) suggest that it is most beneficial to critically examine the connection between each of Schein's three levels, instead of simply accepting the connections at face value. </w:t>
      </w:r>
      <w:proofErr w:type="gramStart"/>
      <w:r w:rsidRPr="001322DE">
        <w:rPr>
          <w:rFonts w:ascii="Arial" w:hAnsi="Arial" w:cs="Arial"/>
        </w:rPr>
        <w:t>With regard to</w:t>
      </w:r>
      <w:proofErr w:type="gramEnd"/>
      <w:r w:rsidRPr="001322DE">
        <w:rPr>
          <w:rFonts w:ascii="Arial" w:hAnsi="Arial" w:cs="Arial"/>
        </w:rPr>
        <w:t xml:space="preserve"> Tesco, there stands to be a difference between the espoused value of treating people fairly, and the basic assumption that cost efficiency is more important than the employee's wellbeing. For example, the Save to Invest programme resulted in savings of £510 million in 2024/25 through the company's long-standing strategy of achieving overall efficiency and restructuring large portions of its workforce</w:t>
      </w:r>
      <w:r w:rsidR="0005061F">
        <w:rPr>
          <w:rFonts w:ascii="Arial" w:hAnsi="Arial" w:cs="Arial"/>
        </w:rPr>
        <w:t xml:space="preserve"> </w:t>
      </w:r>
      <w:r w:rsidR="0005061F" w:rsidRPr="001322DE">
        <w:rPr>
          <w:rFonts w:ascii="Arial" w:hAnsi="Arial" w:cs="Arial"/>
        </w:rPr>
        <w:t>(Tesco PLC, 2025, p.19)</w:t>
      </w:r>
      <w:r w:rsidRPr="001322DE">
        <w:rPr>
          <w:rFonts w:ascii="Arial" w:hAnsi="Arial" w:cs="Arial"/>
        </w:rPr>
        <w:t xml:space="preserve">. </w:t>
      </w:r>
      <w:r w:rsidR="00611A18">
        <w:rPr>
          <w:rFonts w:ascii="Arial" w:hAnsi="Arial" w:cs="Arial"/>
        </w:rPr>
        <w:t>This</w:t>
      </w:r>
      <w:r w:rsidRPr="001322DE">
        <w:rPr>
          <w:rFonts w:ascii="Arial" w:hAnsi="Arial" w:cs="Arial"/>
        </w:rPr>
        <w:t xml:space="preserve"> is supported by a cultural narrative, and the cost efficiency logic that drives </w:t>
      </w:r>
      <w:proofErr w:type="gramStart"/>
      <w:r w:rsidRPr="001322DE">
        <w:rPr>
          <w:rFonts w:ascii="Arial" w:hAnsi="Arial" w:cs="Arial"/>
        </w:rPr>
        <w:t>the majority of</w:t>
      </w:r>
      <w:proofErr w:type="gramEnd"/>
      <w:r w:rsidRPr="001322DE">
        <w:rPr>
          <w:rFonts w:ascii="Arial" w:hAnsi="Arial" w:cs="Arial"/>
        </w:rPr>
        <w:t xml:space="preserve"> Tesco's business decisions, provides a legitimate example of Schein's model helping to bring into the light.</w:t>
      </w:r>
    </w:p>
    <w:p w14:paraId="01320C03" w14:textId="77777777" w:rsidR="00E63465" w:rsidRPr="001322DE" w:rsidRDefault="00E63465" w:rsidP="001322DE">
      <w:pPr>
        <w:spacing w:line="360" w:lineRule="auto"/>
        <w:jc w:val="both"/>
        <w:rPr>
          <w:rFonts w:ascii="Arial" w:hAnsi="Arial" w:cs="Arial"/>
        </w:rPr>
      </w:pPr>
    </w:p>
    <w:p w14:paraId="3AA35B9E" w14:textId="5A46C556" w:rsidR="00E63465" w:rsidRPr="001322DE" w:rsidRDefault="00BD3AE3" w:rsidP="001322DE">
      <w:pPr>
        <w:pStyle w:val="Heading2"/>
        <w:spacing w:line="360" w:lineRule="auto"/>
        <w:jc w:val="both"/>
        <w:rPr>
          <w:rFonts w:ascii="Arial" w:hAnsi="Arial" w:cs="Arial"/>
          <w:b/>
          <w:bCs/>
          <w:sz w:val="24"/>
          <w:szCs w:val="24"/>
        </w:rPr>
      </w:pPr>
      <w:bookmarkStart w:id="7" w:name="_Toc227167177"/>
      <w:r w:rsidRPr="001322DE">
        <w:rPr>
          <w:rFonts w:ascii="Arial" w:hAnsi="Arial" w:cs="Arial"/>
          <w:b/>
          <w:bCs/>
          <w:sz w:val="24"/>
          <w:szCs w:val="24"/>
        </w:rPr>
        <w:t xml:space="preserve">3.2 </w:t>
      </w:r>
      <w:proofErr w:type="spellStart"/>
      <w:r w:rsidRPr="001322DE">
        <w:rPr>
          <w:rFonts w:ascii="Arial" w:hAnsi="Arial" w:cs="Arial"/>
          <w:b/>
          <w:bCs/>
          <w:sz w:val="24"/>
          <w:szCs w:val="24"/>
        </w:rPr>
        <w:t>Handy's</w:t>
      </w:r>
      <w:proofErr w:type="spellEnd"/>
      <w:r w:rsidRPr="001322DE">
        <w:rPr>
          <w:rFonts w:ascii="Arial" w:hAnsi="Arial" w:cs="Arial"/>
          <w:b/>
          <w:bCs/>
          <w:sz w:val="24"/>
          <w:szCs w:val="24"/>
        </w:rPr>
        <w:t xml:space="preserve"> Cultural Types</w:t>
      </w:r>
      <w:bookmarkEnd w:id="7"/>
    </w:p>
    <w:p w14:paraId="20679C7C" w14:textId="4BDEC03C" w:rsidR="008728D4" w:rsidRPr="001322DE" w:rsidRDefault="008728D4" w:rsidP="001322DE">
      <w:pPr>
        <w:spacing w:line="360" w:lineRule="auto"/>
        <w:jc w:val="both"/>
        <w:rPr>
          <w:rFonts w:ascii="Arial" w:hAnsi="Arial" w:cs="Arial"/>
        </w:rPr>
      </w:pPr>
      <w:r w:rsidRPr="001322DE">
        <w:rPr>
          <w:rFonts w:ascii="Arial" w:hAnsi="Arial" w:cs="Arial"/>
        </w:rPr>
        <w:t xml:space="preserve">According to the Mullins and Christy (2016) article on </w:t>
      </w:r>
      <w:proofErr w:type="spellStart"/>
      <w:r w:rsidRPr="001322DE">
        <w:rPr>
          <w:rFonts w:ascii="Arial" w:hAnsi="Arial" w:cs="Arial"/>
        </w:rPr>
        <w:t>Handy's</w:t>
      </w:r>
      <w:proofErr w:type="spellEnd"/>
      <w:r w:rsidRPr="001322DE">
        <w:rPr>
          <w:rFonts w:ascii="Arial" w:hAnsi="Arial" w:cs="Arial"/>
        </w:rPr>
        <w:t xml:space="preserve"> typologies; there are four main types of culture: The Power Culture, The Role Culture, The Task Culture and The Person Culture. Of these 4 culture types</w:t>
      </w:r>
      <w:r w:rsidR="00CB6642">
        <w:rPr>
          <w:rFonts w:ascii="Arial" w:hAnsi="Arial" w:cs="Arial"/>
        </w:rPr>
        <w:t xml:space="preserve">, </w:t>
      </w:r>
      <w:r w:rsidR="00F474C6">
        <w:rPr>
          <w:rFonts w:ascii="Arial" w:hAnsi="Arial" w:cs="Arial"/>
        </w:rPr>
        <w:t>t</w:t>
      </w:r>
      <w:r w:rsidRPr="001322DE">
        <w:rPr>
          <w:rFonts w:ascii="Arial" w:hAnsi="Arial" w:cs="Arial"/>
        </w:rPr>
        <w:t xml:space="preserve">he </w:t>
      </w:r>
      <w:r w:rsidRPr="00DB74D3">
        <w:rPr>
          <w:rFonts w:ascii="Arial" w:hAnsi="Arial" w:cs="Arial"/>
          <w:i/>
          <w:iCs/>
        </w:rPr>
        <w:t>Role Culture</w:t>
      </w:r>
      <w:r w:rsidRPr="001322DE">
        <w:rPr>
          <w:rFonts w:ascii="Arial" w:hAnsi="Arial" w:cs="Arial"/>
        </w:rPr>
        <w:t xml:space="preserve"> is best captured by Tesco because it is a system where authority is based on position in the company, clear responsibilities and rules </w:t>
      </w:r>
      <w:r w:rsidR="002140AD">
        <w:rPr>
          <w:rFonts w:ascii="Arial" w:hAnsi="Arial" w:cs="Arial"/>
        </w:rPr>
        <w:t>and</w:t>
      </w:r>
      <w:r w:rsidRPr="001322DE">
        <w:rPr>
          <w:rFonts w:ascii="Arial" w:hAnsi="Arial" w:cs="Arial"/>
        </w:rPr>
        <w:t xml:space="preserve"> procedures govern the behaviour of </w:t>
      </w:r>
      <w:r w:rsidR="00F05904" w:rsidRPr="001322DE">
        <w:rPr>
          <w:rFonts w:ascii="Arial" w:hAnsi="Arial" w:cs="Arial"/>
        </w:rPr>
        <w:t>employees</w:t>
      </w:r>
      <w:r w:rsidRPr="001322DE">
        <w:rPr>
          <w:rFonts w:ascii="Arial" w:hAnsi="Arial" w:cs="Arial"/>
        </w:rPr>
        <w:t xml:space="preserve">. Evidence of this can be seen in their formalised </w:t>
      </w:r>
      <w:r w:rsidR="0007469A">
        <w:rPr>
          <w:rFonts w:ascii="Arial" w:hAnsi="Arial" w:cs="Arial"/>
        </w:rPr>
        <w:t>g</w:t>
      </w:r>
      <w:r w:rsidRPr="001322DE">
        <w:rPr>
          <w:rFonts w:ascii="Arial" w:hAnsi="Arial" w:cs="Arial"/>
        </w:rPr>
        <w:t xml:space="preserve">overnance </w:t>
      </w:r>
      <w:r w:rsidR="0007469A">
        <w:rPr>
          <w:rFonts w:ascii="Arial" w:hAnsi="Arial" w:cs="Arial"/>
        </w:rPr>
        <w:t>f</w:t>
      </w:r>
      <w:r w:rsidRPr="001322DE">
        <w:rPr>
          <w:rFonts w:ascii="Arial" w:hAnsi="Arial" w:cs="Arial"/>
        </w:rPr>
        <w:t xml:space="preserve">ramework, within the schedule of the matters reserved for the Board and through the structured delegation of authority to the </w:t>
      </w:r>
      <w:r w:rsidR="00F05904">
        <w:rPr>
          <w:rFonts w:ascii="Arial" w:hAnsi="Arial" w:cs="Arial"/>
        </w:rPr>
        <w:t>e</w:t>
      </w:r>
      <w:r w:rsidRPr="001322DE">
        <w:rPr>
          <w:rFonts w:ascii="Arial" w:hAnsi="Arial" w:cs="Arial"/>
        </w:rPr>
        <w:t xml:space="preserve">xecutive </w:t>
      </w:r>
      <w:r w:rsidR="00F05904">
        <w:rPr>
          <w:rFonts w:ascii="Arial" w:hAnsi="Arial" w:cs="Arial"/>
        </w:rPr>
        <w:t>c</w:t>
      </w:r>
      <w:r w:rsidRPr="001322DE">
        <w:rPr>
          <w:rFonts w:ascii="Arial" w:hAnsi="Arial" w:cs="Arial"/>
        </w:rPr>
        <w:t xml:space="preserve">ommittee (Tesco PLC, 2025). Additionally, according to Mullins and Christy (2016), </w:t>
      </w:r>
      <w:r w:rsidR="00D00CEC">
        <w:rPr>
          <w:rFonts w:ascii="Arial" w:hAnsi="Arial" w:cs="Arial"/>
        </w:rPr>
        <w:t>t</w:t>
      </w:r>
      <w:r w:rsidRPr="001322DE">
        <w:rPr>
          <w:rFonts w:ascii="Arial" w:hAnsi="Arial" w:cs="Arial"/>
        </w:rPr>
        <w:t xml:space="preserve">he </w:t>
      </w:r>
      <w:r w:rsidRPr="00D00CEC">
        <w:rPr>
          <w:rFonts w:ascii="Arial" w:hAnsi="Arial" w:cs="Arial"/>
          <w:i/>
          <w:iCs/>
        </w:rPr>
        <w:t>Role Culture</w:t>
      </w:r>
      <w:r w:rsidRPr="001322DE">
        <w:rPr>
          <w:rFonts w:ascii="Arial" w:hAnsi="Arial" w:cs="Arial"/>
        </w:rPr>
        <w:t xml:space="preserve"> is appropriate in larger, stable organisations</w:t>
      </w:r>
      <w:r w:rsidR="00B04850">
        <w:rPr>
          <w:rFonts w:ascii="Arial" w:hAnsi="Arial" w:cs="Arial"/>
        </w:rPr>
        <w:t>. T</w:t>
      </w:r>
      <w:r w:rsidRPr="001322DE">
        <w:rPr>
          <w:rFonts w:ascii="Arial" w:hAnsi="Arial" w:cs="Arial"/>
        </w:rPr>
        <w:t xml:space="preserve">herefore, Tesco being a retailer with over 4,572 stores and operating across five markets is applicable to this type of culture. </w:t>
      </w:r>
    </w:p>
    <w:p w14:paraId="41EB0562" w14:textId="77777777" w:rsidR="008728D4" w:rsidRPr="001322DE" w:rsidRDefault="008728D4" w:rsidP="001322DE">
      <w:pPr>
        <w:spacing w:line="360" w:lineRule="auto"/>
        <w:jc w:val="both"/>
        <w:rPr>
          <w:rFonts w:ascii="Arial" w:hAnsi="Arial" w:cs="Arial"/>
        </w:rPr>
      </w:pPr>
    </w:p>
    <w:p w14:paraId="640E6F8E" w14:textId="742C19DA" w:rsidR="00BD3AE3" w:rsidRPr="001322DE" w:rsidRDefault="008728D4" w:rsidP="001322DE">
      <w:pPr>
        <w:spacing w:line="360" w:lineRule="auto"/>
        <w:jc w:val="both"/>
        <w:rPr>
          <w:rFonts w:ascii="Arial" w:hAnsi="Arial" w:cs="Arial"/>
        </w:rPr>
      </w:pPr>
      <w:r w:rsidRPr="001322DE">
        <w:rPr>
          <w:rFonts w:ascii="Arial" w:hAnsi="Arial" w:cs="Arial"/>
        </w:rPr>
        <w:t xml:space="preserve">There is evidence of a </w:t>
      </w:r>
      <w:r w:rsidRPr="00BD13E2">
        <w:rPr>
          <w:rFonts w:ascii="Arial" w:hAnsi="Arial" w:cs="Arial"/>
          <w:i/>
          <w:iCs/>
        </w:rPr>
        <w:t>Task Culture</w:t>
      </w:r>
      <w:r w:rsidRPr="001322DE">
        <w:rPr>
          <w:rFonts w:ascii="Arial" w:hAnsi="Arial" w:cs="Arial"/>
        </w:rPr>
        <w:t xml:space="preserve"> within Tesco by virtue of the strategic priorities surrounding digital capabilities and innovations, such as the application of Artificial </w:t>
      </w:r>
      <w:r w:rsidRPr="001322DE">
        <w:rPr>
          <w:rFonts w:ascii="Arial" w:hAnsi="Arial" w:cs="Arial"/>
        </w:rPr>
        <w:lastRenderedPageBreak/>
        <w:t>Intelligence in optimising delivery routes, and the retail media business; both demonstrate their potential for cross-functional collaboration</w:t>
      </w:r>
      <w:r w:rsidR="00BD13E2">
        <w:rPr>
          <w:rFonts w:ascii="Arial" w:hAnsi="Arial" w:cs="Arial"/>
        </w:rPr>
        <w:t xml:space="preserve"> </w:t>
      </w:r>
      <w:r w:rsidRPr="001322DE">
        <w:rPr>
          <w:rFonts w:ascii="Arial" w:hAnsi="Arial" w:cs="Arial"/>
        </w:rPr>
        <w:t xml:space="preserve">that transcends the role culture system (Tesco PLC, 2025). Organisations that have hybrid cultures, such as role and task cultures, have shown to be able to generate a greater level of discretionary effort from their employees (Fernandes, Pereira and </w:t>
      </w:r>
      <w:proofErr w:type="spellStart"/>
      <w:r w:rsidRPr="001322DE">
        <w:rPr>
          <w:rFonts w:ascii="Arial" w:hAnsi="Arial" w:cs="Arial"/>
        </w:rPr>
        <w:t>Wiedenhöft</w:t>
      </w:r>
      <w:proofErr w:type="spellEnd"/>
      <w:r w:rsidRPr="001322DE">
        <w:rPr>
          <w:rFonts w:ascii="Arial" w:hAnsi="Arial" w:cs="Arial"/>
        </w:rPr>
        <w:t>, 2023)</w:t>
      </w:r>
      <w:r w:rsidR="00C942A3">
        <w:rPr>
          <w:rFonts w:ascii="Arial" w:hAnsi="Arial" w:cs="Arial"/>
        </w:rPr>
        <w:t xml:space="preserve">. As such, </w:t>
      </w:r>
      <w:r w:rsidRPr="001322DE">
        <w:rPr>
          <w:rFonts w:ascii="Arial" w:hAnsi="Arial" w:cs="Arial"/>
        </w:rPr>
        <w:t>it is possible that Tesco's hybrid cultural makeup may provide them with an organisational advantage.</w:t>
      </w:r>
    </w:p>
    <w:p w14:paraId="2DA11041" w14:textId="77777777" w:rsidR="007B34CB" w:rsidRPr="001322DE" w:rsidRDefault="007B34CB" w:rsidP="001322DE">
      <w:pPr>
        <w:spacing w:line="360" w:lineRule="auto"/>
        <w:jc w:val="both"/>
        <w:rPr>
          <w:rFonts w:ascii="Arial" w:hAnsi="Arial" w:cs="Arial"/>
        </w:rPr>
      </w:pPr>
    </w:p>
    <w:p w14:paraId="767EBBC7" w14:textId="1A8E804E" w:rsidR="007B34CB" w:rsidRPr="001322DE" w:rsidRDefault="00C131DD" w:rsidP="001322DE">
      <w:pPr>
        <w:pStyle w:val="Heading2"/>
        <w:spacing w:line="360" w:lineRule="auto"/>
        <w:jc w:val="both"/>
        <w:rPr>
          <w:rFonts w:ascii="Arial" w:hAnsi="Arial" w:cs="Arial"/>
          <w:b/>
          <w:bCs/>
          <w:sz w:val="24"/>
          <w:szCs w:val="24"/>
        </w:rPr>
      </w:pPr>
      <w:bookmarkStart w:id="8" w:name="_Toc227167178"/>
      <w:r w:rsidRPr="001322DE">
        <w:rPr>
          <w:rFonts w:ascii="Arial" w:hAnsi="Arial" w:cs="Arial"/>
          <w:b/>
          <w:bCs/>
          <w:sz w:val="24"/>
          <w:szCs w:val="24"/>
        </w:rPr>
        <w:t>3.3 Hofstede's Cultural Dimensions</w:t>
      </w:r>
      <w:bookmarkEnd w:id="8"/>
    </w:p>
    <w:p w14:paraId="4D954741" w14:textId="01B8A045" w:rsidR="00B35223" w:rsidRPr="001322DE" w:rsidRDefault="00B35223" w:rsidP="001322DE">
      <w:pPr>
        <w:spacing w:line="360" w:lineRule="auto"/>
        <w:jc w:val="both"/>
        <w:rPr>
          <w:rFonts w:ascii="Arial" w:hAnsi="Arial" w:cs="Arial"/>
        </w:rPr>
      </w:pPr>
      <w:r w:rsidRPr="001322DE">
        <w:rPr>
          <w:rFonts w:ascii="Arial" w:hAnsi="Arial" w:cs="Arial"/>
        </w:rPr>
        <w:t>According to Hofstede, Hofstede and Minkov (2019), there are six dimensions of national and organisational culture including: power distance</w:t>
      </w:r>
      <w:r w:rsidR="00C0003F">
        <w:rPr>
          <w:rFonts w:ascii="Arial" w:hAnsi="Arial" w:cs="Arial"/>
        </w:rPr>
        <w:t>,</w:t>
      </w:r>
      <w:r w:rsidRPr="001322DE">
        <w:rPr>
          <w:rFonts w:ascii="Arial" w:hAnsi="Arial" w:cs="Arial"/>
        </w:rPr>
        <w:t xml:space="preserve"> individualism</w:t>
      </w:r>
      <w:r w:rsidR="00C0003F">
        <w:rPr>
          <w:rFonts w:ascii="Arial" w:hAnsi="Arial" w:cs="Arial"/>
        </w:rPr>
        <w:t>,</w:t>
      </w:r>
      <w:r w:rsidRPr="001322DE">
        <w:rPr>
          <w:rFonts w:ascii="Arial" w:hAnsi="Arial" w:cs="Arial"/>
        </w:rPr>
        <w:t xml:space="preserve"> and uncertainty avoidance. By looking at these dimensions in relation to Tesco</w:t>
      </w:r>
      <w:r w:rsidR="007F6CD4">
        <w:rPr>
          <w:rFonts w:ascii="Arial" w:hAnsi="Arial" w:cs="Arial"/>
        </w:rPr>
        <w:t>,</w:t>
      </w:r>
      <w:r w:rsidRPr="001322DE">
        <w:rPr>
          <w:rFonts w:ascii="Arial" w:hAnsi="Arial" w:cs="Arial"/>
        </w:rPr>
        <w:t xml:space="preserve"> the UK-based retailer has a moderate power distance between senior leaders on the Board and those at the front line due to the upward communication channels created by the CCPS and Every Voice Matters (EVB) survey. </w:t>
      </w:r>
      <w:proofErr w:type="spellStart"/>
      <w:r w:rsidRPr="001322DE">
        <w:rPr>
          <w:rFonts w:ascii="Arial" w:hAnsi="Arial" w:cs="Arial"/>
        </w:rPr>
        <w:t>Beugelsdijk</w:t>
      </w:r>
      <w:proofErr w:type="spellEnd"/>
      <w:r w:rsidRPr="001322DE">
        <w:rPr>
          <w:rFonts w:ascii="Arial" w:hAnsi="Arial" w:cs="Arial"/>
        </w:rPr>
        <w:t xml:space="preserve"> and </w:t>
      </w:r>
      <w:proofErr w:type="spellStart"/>
      <w:r w:rsidRPr="001322DE">
        <w:rPr>
          <w:rFonts w:ascii="Arial" w:hAnsi="Arial" w:cs="Arial"/>
        </w:rPr>
        <w:t>Welzel</w:t>
      </w:r>
      <w:proofErr w:type="spellEnd"/>
      <w:r w:rsidRPr="001322DE">
        <w:rPr>
          <w:rFonts w:ascii="Arial" w:hAnsi="Arial" w:cs="Arial"/>
        </w:rPr>
        <w:t xml:space="preserve"> (2018) explain that organisations located within high-individualism cultural contexts such as the UK tend to create an organisational culture that represents a balance between achieving collective purpose and being personally accountable. Tesco’s “Your Contribution” performance framework reflects all such characteristics from the Executive Committee through to stores.</w:t>
      </w:r>
    </w:p>
    <w:p w14:paraId="72DB7A47" w14:textId="77777777" w:rsidR="00B35223" w:rsidRPr="001322DE" w:rsidRDefault="00B35223" w:rsidP="001322DE">
      <w:pPr>
        <w:spacing w:line="360" w:lineRule="auto"/>
        <w:jc w:val="both"/>
        <w:rPr>
          <w:rFonts w:ascii="Arial" w:hAnsi="Arial" w:cs="Arial"/>
        </w:rPr>
      </w:pPr>
    </w:p>
    <w:p w14:paraId="1F647C83" w14:textId="45B1E46F" w:rsidR="00C131DD" w:rsidRPr="001322DE" w:rsidRDefault="00B35223" w:rsidP="001322DE">
      <w:pPr>
        <w:spacing w:line="360" w:lineRule="auto"/>
        <w:jc w:val="both"/>
        <w:rPr>
          <w:rFonts w:ascii="Arial" w:hAnsi="Arial" w:cs="Arial"/>
        </w:rPr>
      </w:pPr>
      <w:r w:rsidRPr="001322DE">
        <w:rPr>
          <w:rFonts w:ascii="Arial" w:hAnsi="Arial" w:cs="Arial"/>
        </w:rPr>
        <w:t>Tesco culture has a moderately high score for its ability to manage uncertainty. There are three primary examples of this: risk management framework</w:t>
      </w:r>
      <w:r w:rsidR="00DF325C">
        <w:rPr>
          <w:rFonts w:ascii="Arial" w:hAnsi="Arial" w:cs="Arial"/>
        </w:rPr>
        <w:t>,</w:t>
      </w:r>
      <w:r w:rsidRPr="001322DE">
        <w:rPr>
          <w:rFonts w:ascii="Arial" w:hAnsi="Arial" w:cs="Arial"/>
        </w:rPr>
        <w:t xml:space="preserve"> documented crisis simulations</w:t>
      </w:r>
      <w:r w:rsidR="004D636C">
        <w:rPr>
          <w:rFonts w:ascii="Arial" w:hAnsi="Arial" w:cs="Arial"/>
        </w:rPr>
        <w:t>,</w:t>
      </w:r>
      <w:r w:rsidRPr="001322DE">
        <w:rPr>
          <w:rFonts w:ascii="Arial" w:hAnsi="Arial" w:cs="Arial"/>
        </w:rPr>
        <w:t xml:space="preserve"> and a layered cyber security model. Each of these supports the overall organisational preference for pursuing structured responses to uncontrollable uncertainty (Tesco PLC, 2025, Page 40). However, there is still evidence that indicates that this organisational culture is not inflexible with respect to risk-averse reaction when it comes to the company's willingness to undertake new strategic partnerships</w:t>
      </w:r>
      <w:r w:rsidR="00C84378">
        <w:rPr>
          <w:rFonts w:ascii="Arial" w:hAnsi="Arial" w:cs="Arial"/>
        </w:rPr>
        <w:t xml:space="preserve"> and </w:t>
      </w:r>
      <w:r w:rsidRPr="001322DE">
        <w:rPr>
          <w:rFonts w:ascii="Arial" w:hAnsi="Arial" w:cs="Arial"/>
        </w:rPr>
        <w:t>digital innovation initiatives.</w:t>
      </w:r>
    </w:p>
    <w:p w14:paraId="0558B955" w14:textId="77777777" w:rsidR="00395048" w:rsidRPr="001322DE" w:rsidRDefault="00395048" w:rsidP="001322DE">
      <w:pPr>
        <w:spacing w:line="360" w:lineRule="auto"/>
        <w:jc w:val="both"/>
        <w:rPr>
          <w:rFonts w:ascii="Arial" w:hAnsi="Arial" w:cs="Arial"/>
        </w:rPr>
      </w:pPr>
    </w:p>
    <w:p w14:paraId="00C5B9DA" w14:textId="77777777" w:rsidR="00540304" w:rsidRPr="001322DE" w:rsidRDefault="00540304" w:rsidP="001322DE">
      <w:pPr>
        <w:pStyle w:val="Heading1"/>
        <w:spacing w:line="360" w:lineRule="auto"/>
        <w:jc w:val="both"/>
        <w:rPr>
          <w:rFonts w:ascii="Arial" w:hAnsi="Arial" w:cs="Arial"/>
          <w:b/>
          <w:bCs/>
          <w:sz w:val="24"/>
          <w:szCs w:val="24"/>
        </w:rPr>
      </w:pPr>
      <w:bookmarkStart w:id="9" w:name="_Toc227167179"/>
      <w:r w:rsidRPr="001322DE">
        <w:rPr>
          <w:rFonts w:ascii="Arial" w:hAnsi="Arial" w:cs="Arial"/>
          <w:b/>
          <w:bCs/>
          <w:sz w:val="24"/>
          <w:szCs w:val="24"/>
        </w:rPr>
        <w:lastRenderedPageBreak/>
        <w:t>4. Culture and Adaptation to External Environmental Influences</w:t>
      </w:r>
      <w:bookmarkEnd w:id="9"/>
    </w:p>
    <w:p w14:paraId="76754BDD" w14:textId="3C7780CA" w:rsidR="00395048" w:rsidRPr="001322DE" w:rsidRDefault="00540304" w:rsidP="001322DE">
      <w:pPr>
        <w:pStyle w:val="Heading2"/>
        <w:spacing w:line="360" w:lineRule="auto"/>
        <w:jc w:val="both"/>
        <w:rPr>
          <w:rFonts w:ascii="Arial" w:hAnsi="Arial" w:cs="Arial"/>
          <w:b/>
          <w:bCs/>
          <w:sz w:val="24"/>
          <w:szCs w:val="24"/>
        </w:rPr>
      </w:pPr>
      <w:bookmarkStart w:id="10" w:name="_Toc227167180"/>
      <w:r w:rsidRPr="001322DE">
        <w:rPr>
          <w:rFonts w:ascii="Arial" w:hAnsi="Arial" w:cs="Arial"/>
          <w:b/>
          <w:bCs/>
          <w:sz w:val="24"/>
          <w:szCs w:val="24"/>
        </w:rPr>
        <w:t>4.1 Responding to Consumer and Market Pressures</w:t>
      </w:r>
      <w:bookmarkEnd w:id="10"/>
    </w:p>
    <w:p w14:paraId="406F068A" w14:textId="5635A8EE" w:rsidR="00EF36B3" w:rsidRPr="001322DE" w:rsidRDefault="00EF36B3" w:rsidP="001322DE">
      <w:pPr>
        <w:spacing w:line="360" w:lineRule="auto"/>
        <w:jc w:val="both"/>
        <w:rPr>
          <w:rFonts w:ascii="Arial" w:hAnsi="Arial" w:cs="Arial"/>
        </w:rPr>
      </w:pPr>
      <w:r w:rsidRPr="001322DE">
        <w:rPr>
          <w:rFonts w:ascii="Arial" w:hAnsi="Arial" w:cs="Arial"/>
        </w:rPr>
        <w:t xml:space="preserve">The research conducted by Brahm and Poblete (2024) highlights that the impact of organisational culture on environmental adaptation through the promotion of learning or reinforcing tradition. Tesco has used its customer-centric culture </w:t>
      </w:r>
      <w:proofErr w:type="gramStart"/>
      <w:r w:rsidRPr="001322DE">
        <w:rPr>
          <w:rFonts w:ascii="Arial" w:hAnsi="Arial" w:cs="Arial"/>
        </w:rPr>
        <w:t>as a means to</w:t>
      </w:r>
      <w:proofErr w:type="gramEnd"/>
      <w:r w:rsidRPr="001322DE">
        <w:rPr>
          <w:rFonts w:ascii="Arial" w:hAnsi="Arial" w:cs="Arial"/>
        </w:rPr>
        <w:t xml:space="preserve"> adapt. Tesco identifies five primary factors affecting the market: (</w:t>
      </w:r>
      <w:proofErr w:type="spellStart"/>
      <w:r w:rsidRPr="001322DE">
        <w:rPr>
          <w:rFonts w:ascii="Arial" w:hAnsi="Arial" w:cs="Arial"/>
        </w:rPr>
        <w:t>i</w:t>
      </w:r>
      <w:proofErr w:type="spellEnd"/>
      <w:r w:rsidRPr="001322DE">
        <w:rPr>
          <w:rFonts w:ascii="Arial" w:hAnsi="Arial" w:cs="Arial"/>
        </w:rPr>
        <w:t>) changes in consumer spending patterns</w:t>
      </w:r>
      <w:r w:rsidR="00AC6639">
        <w:rPr>
          <w:rFonts w:ascii="Arial" w:hAnsi="Arial" w:cs="Arial"/>
        </w:rPr>
        <w:t>,</w:t>
      </w:r>
      <w:r w:rsidRPr="001322DE">
        <w:rPr>
          <w:rFonts w:ascii="Arial" w:hAnsi="Arial" w:cs="Arial"/>
        </w:rPr>
        <w:t xml:space="preserve"> (ii) consumer sustainability expectations</w:t>
      </w:r>
      <w:r w:rsidR="00AC6639">
        <w:rPr>
          <w:rFonts w:ascii="Arial" w:hAnsi="Arial" w:cs="Arial"/>
        </w:rPr>
        <w:t>,</w:t>
      </w:r>
      <w:r w:rsidRPr="001322DE">
        <w:rPr>
          <w:rFonts w:ascii="Arial" w:hAnsi="Arial" w:cs="Arial"/>
        </w:rPr>
        <w:t xml:space="preserve"> (iii) renewed focus on health</w:t>
      </w:r>
      <w:r w:rsidR="00AC6639">
        <w:rPr>
          <w:rFonts w:ascii="Arial" w:hAnsi="Arial" w:cs="Arial"/>
        </w:rPr>
        <w:t>,</w:t>
      </w:r>
      <w:r w:rsidRPr="001322DE">
        <w:rPr>
          <w:rFonts w:ascii="Arial" w:hAnsi="Arial" w:cs="Arial"/>
        </w:rPr>
        <w:t xml:space="preserve"> (iv) acceleration of technology</w:t>
      </w:r>
      <w:r w:rsidR="00AC6639">
        <w:rPr>
          <w:rFonts w:ascii="Arial" w:hAnsi="Arial" w:cs="Arial"/>
        </w:rPr>
        <w:t>,</w:t>
      </w:r>
      <w:r w:rsidRPr="001322DE">
        <w:rPr>
          <w:rFonts w:ascii="Arial" w:hAnsi="Arial" w:cs="Arial"/>
        </w:rPr>
        <w:t xml:space="preserve"> and (v) the importance of local communities (Tesco PLC, 2025, pp.14-15). Tesco has delivered its customer-centric culture around the principle of doing the basics brilliantly</w:t>
      </w:r>
      <w:r w:rsidR="00CA64E6">
        <w:rPr>
          <w:rFonts w:ascii="Arial" w:hAnsi="Arial" w:cs="Arial"/>
        </w:rPr>
        <w:t xml:space="preserve">, </w:t>
      </w:r>
      <w:r w:rsidRPr="001322DE">
        <w:rPr>
          <w:rFonts w:ascii="Arial" w:hAnsi="Arial" w:cs="Arial"/>
        </w:rPr>
        <w:t>providing a suitable framework to respond quickly and effectively.</w:t>
      </w:r>
    </w:p>
    <w:p w14:paraId="7E5AADBA" w14:textId="77777777" w:rsidR="00EF36B3" w:rsidRPr="001322DE" w:rsidRDefault="00EF36B3" w:rsidP="001322DE">
      <w:pPr>
        <w:spacing w:line="360" w:lineRule="auto"/>
        <w:jc w:val="both"/>
        <w:rPr>
          <w:rFonts w:ascii="Arial" w:hAnsi="Arial" w:cs="Arial"/>
        </w:rPr>
      </w:pPr>
    </w:p>
    <w:p w14:paraId="679F5A67" w14:textId="6E078B2B" w:rsidR="00540304" w:rsidRPr="001322DE" w:rsidRDefault="00EF36B3" w:rsidP="001322DE">
      <w:pPr>
        <w:spacing w:line="360" w:lineRule="auto"/>
        <w:jc w:val="both"/>
        <w:rPr>
          <w:rFonts w:ascii="Arial" w:hAnsi="Arial" w:cs="Arial"/>
        </w:rPr>
      </w:pPr>
      <w:r w:rsidRPr="001322DE">
        <w:rPr>
          <w:rFonts w:ascii="Arial" w:hAnsi="Arial" w:cs="Arial"/>
        </w:rPr>
        <w:t xml:space="preserve">To illustrate the impact of organisational culture on responding to the market's external pressures, Tesco's enduring commitment to value in its culture will keep its pricing and loyalty commitments, as evidenced by 44% of consumers having concerns regarding inflation (Tesco PLC, 2025, p.14). In 2020, sales grew 3.5% to £63.6 billion, and UK market share increased to 28.3%, its highest level since 2016 (Tesco PLC, 2025, p.5). This supports findings by </w:t>
      </w:r>
      <w:proofErr w:type="spellStart"/>
      <w:r w:rsidRPr="001322DE">
        <w:rPr>
          <w:rFonts w:ascii="Arial" w:hAnsi="Arial" w:cs="Arial"/>
        </w:rPr>
        <w:t>Aboramadan</w:t>
      </w:r>
      <w:proofErr w:type="spellEnd"/>
      <w:r w:rsidRPr="001322DE">
        <w:rPr>
          <w:rFonts w:ascii="Arial" w:hAnsi="Arial" w:cs="Arial"/>
        </w:rPr>
        <w:t xml:space="preserve"> </w:t>
      </w:r>
      <w:r w:rsidRPr="00D55C6C">
        <w:rPr>
          <w:rFonts w:ascii="Arial" w:hAnsi="Arial" w:cs="Arial"/>
          <w:i/>
          <w:iCs/>
        </w:rPr>
        <w:t>et al.</w:t>
      </w:r>
      <w:r w:rsidRPr="001322DE">
        <w:rPr>
          <w:rFonts w:ascii="Arial" w:hAnsi="Arial" w:cs="Arial"/>
        </w:rPr>
        <w:t xml:space="preserve"> (2020) that market-oriented cultures and innovative marketing cultures deliver superior performance than non-market-oriented cultures. While the evidence from Tesco is consistent with this finding, it is important to note that the increase in market share is also due to the decline of its competitors and the broader market environment</w:t>
      </w:r>
      <w:r w:rsidR="00D55C6C">
        <w:rPr>
          <w:rFonts w:ascii="Arial" w:hAnsi="Arial" w:cs="Arial"/>
        </w:rPr>
        <w:t>. I</w:t>
      </w:r>
      <w:r w:rsidRPr="001322DE">
        <w:rPr>
          <w:rFonts w:ascii="Arial" w:hAnsi="Arial" w:cs="Arial"/>
        </w:rPr>
        <w:t>t cannot be attributed to Tesco's organisational culture alone.</w:t>
      </w:r>
    </w:p>
    <w:p w14:paraId="12E7D6D0" w14:textId="77777777" w:rsidR="00E510FD" w:rsidRPr="001322DE" w:rsidRDefault="00E510FD" w:rsidP="001322DE">
      <w:pPr>
        <w:spacing w:line="360" w:lineRule="auto"/>
        <w:jc w:val="both"/>
        <w:rPr>
          <w:rFonts w:ascii="Arial" w:hAnsi="Arial" w:cs="Arial"/>
        </w:rPr>
      </w:pPr>
    </w:p>
    <w:p w14:paraId="27C15E72" w14:textId="0E2560D1" w:rsidR="00E510FD" w:rsidRPr="001322DE" w:rsidRDefault="00AD1B0A" w:rsidP="001322DE">
      <w:pPr>
        <w:pStyle w:val="Heading2"/>
        <w:spacing w:line="360" w:lineRule="auto"/>
        <w:jc w:val="both"/>
        <w:rPr>
          <w:rFonts w:ascii="Arial" w:hAnsi="Arial" w:cs="Arial"/>
          <w:b/>
          <w:bCs/>
          <w:sz w:val="24"/>
          <w:szCs w:val="24"/>
        </w:rPr>
      </w:pPr>
      <w:bookmarkStart w:id="11" w:name="_Toc227167181"/>
      <w:r w:rsidRPr="001322DE">
        <w:rPr>
          <w:rFonts w:ascii="Arial" w:hAnsi="Arial" w:cs="Arial"/>
          <w:b/>
          <w:bCs/>
          <w:sz w:val="24"/>
          <w:szCs w:val="24"/>
        </w:rPr>
        <w:t>4.2 Sustainability and Cultural Alignment</w:t>
      </w:r>
      <w:bookmarkEnd w:id="11"/>
    </w:p>
    <w:p w14:paraId="5BDC40A5" w14:textId="78B0ED08" w:rsidR="009758EA" w:rsidRPr="001322DE" w:rsidRDefault="009758EA" w:rsidP="001322DE">
      <w:pPr>
        <w:spacing w:line="360" w:lineRule="auto"/>
        <w:jc w:val="both"/>
        <w:rPr>
          <w:rFonts w:ascii="Arial" w:hAnsi="Arial" w:cs="Arial"/>
        </w:rPr>
      </w:pPr>
      <w:r w:rsidRPr="001322DE">
        <w:rPr>
          <w:rFonts w:ascii="Arial" w:hAnsi="Arial" w:cs="Arial"/>
        </w:rPr>
        <w:t>Organisations that incorporate sustainability and innovation into their culture will have a stronger ability to respond to institutional pressure for environmental responsibility</w:t>
      </w:r>
      <w:r w:rsidR="00756629">
        <w:rPr>
          <w:rFonts w:ascii="Arial" w:hAnsi="Arial" w:cs="Arial"/>
        </w:rPr>
        <w:t>,</w:t>
      </w:r>
      <w:r w:rsidRPr="001322DE">
        <w:rPr>
          <w:rFonts w:ascii="Arial" w:hAnsi="Arial" w:cs="Arial"/>
        </w:rPr>
        <w:t xml:space="preserve"> according to Azeem </w:t>
      </w:r>
      <w:r w:rsidRPr="00AD293B">
        <w:rPr>
          <w:rFonts w:ascii="Arial" w:hAnsi="Arial" w:cs="Arial"/>
          <w:i/>
          <w:iCs/>
        </w:rPr>
        <w:t>et al.</w:t>
      </w:r>
      <w:r w:rsidRPr="001322DE">
        <w:rPr>
          <w:rFonts w:ascii="Arial" w:hAnsi="Arial" w:cs="Arial"/>
        </w:rPr>
        <w:t xml:space="preserve"> (2021). Sustainability at Tesco is not seen as an ancillary obligation of compliance; rather, it is treated as a core component of their strategic culture. In Tesco's case, they have successfully reduced their Scope 1 and 2 emissions by 65% compared to their 2015/16 baseline</w:t>
      </w:r>
      <w:r w:rsidR="00AD293B">
        <w:rPr>
          <w:rFonts w:ascii="Arial" w:hAnsi="Arial" w:cs="Arial"/>
        </w:rPr>
        <w:t xml:space="preserve"> </w:t>
      </w:r>
      <w:r w:rsidR="00AD293B" w:rsidRPr="001322DE">
        <w:rPr>
          <w:rFonts w:ascii="Arial" w:hAnsi="Arial" w:cs="Arial"/>
        </w:rPr>
        <w:t>(Tesco PLC</w:t>
      </w:r>
      <w:r w:rsidR="0097053B">
        <w:rPr>
          <w:rFonts w:ascii="Arial" w:hAnsi="Arial" w:cs="Arial"/>
        </w:rPr>
        <w:t xml:space="preserve">, </w:t>
      </w:r>
      <w:r w:rsidR="00AD293B" w:rsidRPr="001322DE">
        <w:rPr>
          <w:rFonts w:ascii="Arial" w:hAnsi="Arial" w:cs="Arial"/>
        </w:rPr>
        <w:t>2025, p. 37)</w:t>
      </w:r>
      <w:r w:rsidRPr="001322DE">
        <w:rPr>
          <w:rFonts w:ascii="Arial" w:hAnsi="Arial" w:cs="Arial"/>
        </w:rPr>
        <w:t xml:space="preserve">. Their Sustainability Committee is now formally engaged in monitoring the planet plan </w:t>
      </w:r>
      <w:r w:rsidRPr="001322DE">
        <w:rPr>
          <w:rFonts w:ascii="Arial" w:hAnsi="Arial" w:cs="Arial"/>
        </w:rPr>
        <w:lastRenderedPageBreak/>
        <w:t>against science-based targets. Furthermore, executive remuneration through the Performance Share Plan includes sustainability metrics which provide further evidence of institutional enforcement of a culture of environmental responsibility, rather than it being an aspirational culture (Tesco PLC</w:t>
      </w:r>
      <w:r w:rsidR="00F80F1F">
        <w:rPr>
          <w:rFonts w:ascii="Arial" w:hAnsi="Arial" w:cs="Arial"/>
        </w:rPr>
        <w:t xml:space="preserve">, </w:t>
      </w:r>
      <w:r w:rsidRPr="001322DE">
        <w:rPr>
          <w:rFonts w:ascii="Arial" w:hAnsi="Arial" w:cs="Arial"/>
        </w:rPr>
        <w:t>2025, p. 40).</w:t>
      </w:r>
    </w:p>
    <w:p w14:paraId="2BA8D581" w14:textId="77777777" w:rsidR="009758EA" w:rsidRPr="001322DE" w:rsidRDefault="009758EA" w:rsidP="001322DE">
      <w:pPr>
        <w:spacing w:line="360" w:lineRule="auto"/>
        <w:jc w:val="both"/>
        <w:rPr>
          <w:rFonts w:ascii="Arial" w:hAnsi="Arial" w:cs="Arial"/>
        </w:rPr>
      </w:pPr>
    </w:p>
    <w:p w14:paraId="5604F29B" w14:textId="44D86126" w:rsidR="00AD1B0A" w:rsidRPr="001322DE" w:rsidRDefault="009758EA" w:rsidP="001322DE">
      <w:pPr>
        <w:spacing w:line="360" w:lineRule="auto"/>
        <w:jc w:val="both"/>
        <w:rPr>
          <w:rFonts w:ascii="Arial" w:hAnsi="Arial" w:cs="Arial"/>
        </w:rPr>
      </w:pPr>
      <w:r w:rsidRPr="001322DE">
        <w:rPr>
          <w:rFonts w:ascii="Arial" w:hAnsi="Arial" w:cs="Arial"/>
        </w:rPr>
        <w:t xml:space="preserve">As Bhuiyan, Baird, </w:t>
      </w:r>
      <w:r w:rsidR="00320AA0">
        <w:rPr>
          <w:rFonts w:ascii="Arial" w:hAnsi="Arial" w:cs="Arial"/>
        </w:rPr>
        <w:t>and</w:t>
      </w:r>
      <w:r w:rsidRPr="001322DE">
        <w:rPr>
          <w:rFonts w:ascii="Arial" w:hAnsi="Arial" w:cs="Arial"/>
        </w:rPr>
        <w:t xml:space="preserve"> Munir (2020) explain, the alignment between an organisation's culture and CSR practices creates greater financial and reputational benefits than otherwise. This alignment is demonstrated by the </w:t>
      </w:r>
      <w:r w:rsidR="005E25D6">
        <w:rPr>
          <w:rFonts w:ascii="Arial" w:hAnsi="Arial" w:cs="Arial"/>
        </w:rPr>
        <w:t>g</w:t>
      </w:r>
      <w:r w:rsidRPr="001322DE">
        <w:rPr>
          <w:rFonts w:ascii="Arial" w:hAnsi="Arial" w:cs="Arial"/>
        </w:rPr>
        <w:t xml:space="preserve">roup </w:t>
      </w:r>
      <w:r w:rsidR="005E25D6">
        <w:rPr>
          <w:rFonts w:ascii="Arial" w:hAnsi="Arial" w:cs="Arial"/>
        </w:rPr>
        <w:t>n</w:t>
      </w:r>
      <w:r w:rsidRPr="001322DE">
        <w:rPr>
          <w:rFonts w:ascii="Arial" w:hAnsi="Arial" w:cs="Arial"/>
        </w:rPr>
        <w:t xml:space="preserve">et </w:t>
      </w:r>
      <w:r w:rsidR="005E25D6">
        <w:rPr>
          <w:rFonts w:ascii="Arial" w:hAnsi="Arial" w:cs="Arial"/>
        </w:rPr>
        <w:t>p</w:t>
      </w:r>
      <w:r w:rsidRPr="001322DE">
        <w:rPr>
          <w:rFonts w:ascii="Arial" w:hAnsi="Arial" w:cs="Arial"/>
        </w:rPr>
        <w:t xml:space="preserve">romoter </w:t>
      </w:r>
      <w:r w:rsidR="005E25D6">
        <w:rPr>
          <w:rFonts w:ascii="Arial" w:hAnsi="Arial" w:cs="Arial"/>
        </w:rPr>
        <w:t>s</w:t>
      </w:r>
      <w:r w:rsidRPr="001322DE">
        <w:rPr>
          <w:rFonts w:ascii="Arial" w:hAnsi="Arial" w:cs="Arial"/>
        </w:rPr>
        <w:t xml:space="preserve">core increasing nine points from 19 to 28 </w:t>
      </w:r>
      <w:r w:rsidR="006D37E5">
        <w:rPr>
          <w:rFonts w:ascii="Arial" w:hAnsi="Arial" w:cs="Arial"/>
        </w:rPr>
        <w:t>(</w:t>
      </w:r>
      <w:r w:rsidRPr="001322DE">
        <w:rPr>
          <w:rFonts w:ascii="Arial" w:hAnsi="Arial" w:cs="Arial"/>
        </w:rPr>
        <w:t>Tesco PLC</w:t>
      </w:r>
      <w:r w:rsidR="006D37E5">
        <w:rPr>
          <w:rFonts w:ascii="Arial" w:hAnsi="Arial" w:cs="Arial"/>
        </w:rPr>
        <w:t xml:space="preserve">, </w:t>
      </w:r>
      <w:r w:rsidRPr="001322DE">
        <w:rPr>
          <w:rFonts w:ascii="Arial" w:hAnsi="Arial" w:cs="Arial"/>
        </w:rPr>
        <w:t>2025, p. 5)</w:t>
      </w:r>
      <w:r w:rsidR="00CB4824">
        <w:rPr>
          <w:rFonts w:ascii="Arial" w:hAnsi="Arial" w:cs="Arial"/>
        </w:rPr>
        <w:t>. This</w:t>
      </w:r>
      <w:r w:rsidRPr="001322DE">
        <w:rPr>
          <w:rFonts w:ascii="Arial" w:hAnsi="Arial" w:cs="Arial"/>
        </w:rPr>
        <w:t xml:space="preserve"> indicat</w:t>
      </w:r>
      <w:r w:rsidR="00CB4824">
        <w:rPr>
          <w:rFonts w:ascii="Arial" w:hAnsi="Arial" w:cs="Arial"/>
        </w:rPr>
        <w:t>es</w:t>
      </w:r>
      <w:r w:rsidRPr="001322DE">
        <w:rPr>
          <w:rFonts w:ascii="Arial" w:hAnsi="Arial" w:cs="Arial"/>
        </w:rPr>
        <w:t xml:space="preserve"> that external stakeholders are recognising and responding positively to the culturally authentic nature of Tesco.</w:t>
      </w:r>
    </w:p>
    <w:p w14:paraId="6D8393DF" w14:textId="77777777" w:rsidR="00545B90" w:rsidRPr="001322DE" w:rsidRDefault="00545B90" w:rsidP="001322DE">
      <w:pPr>
        <w:spacing w:line="360" w:lineRule="auto"/>
        <w:jc w:val="both"/>
        <w:rPr>
          <w:rFonts w:ascii="Arial" w:hAnsi="Arial" w:cs="Arial"/>
        </w:rPr>
      </w:pPr>
    </w:p>
    <w:p w14:paraId="5F3A6DCA" w14:textId="77777777" w:rsidR="009A3638" w:rsidRPr="001322DE" w:rsidRDefault="009A3638" w:rsidP="001322DE">
      <w:pPr>
        <w:pStyle w:val="Heading1"/>
        <w:spacing w:line="360" w:lineRule="auto"/>
        <w:jc w:val="both"/>
        <w:rPr>
          <w:rFonts w:ascii="Arial" w:hAnsi="Arial" w:cs="Arial"/>
          <w:b/>
          <w:bCs/>
          <w:sz w:val="24"/>
          <w:szCs w:val="24"/>
        </w:rPr>
      </w:pPr>
      <w:bookmarkStart w:id="12" w:name="_Toc227167182"/>
      <w:r w:rsidRPr="001322DE">
        <w:rPr>
          <w:rFonts w:ascii="Arial" w:hAnsi="Arial" w:cs="Arial"/>
          <w:b/>
          <w:bCs/>
          <w:sz w:val="24"/>
          <w:szCs w:val="24"/>
        </w:rPr>
        <w:t>5. Culture as a Barrier or Enabler to Effective Functioning</w:t>
      </w:r>
      <w:bookmarkEnd w:id="12"/>
    </w:p>
    <w:p w14:paraId="2B58DD5A" w14:textId="5F92D5BE" w:rsidR="00545B90" w:rsidRPr="001322DE" w:rsidRDefault="009A3638" w:rsidP="001322DE">
      <w:pPr>
        <w:pStyle w:val="Heading2"/>
        <w:spacing w:line="360" w:lineRule="auto"/>
        <w:jc w:val="both"/>
        <w:rPr>
          <w:rFonts w:ascii="Arial" w:hAnsi="Arial" w:cs="Arial"/>
          <w:b/>
          <w:bCs/>
          <w:sz w:val="24"/>
          <w:szCs w:val="24"/>
        </w:rPr>
      </w:pPr>
      <w:bookmarkStart w:id="13" w:name="_Toc227167183"/>
      <w:r w:rsidRPr="001322DE">
        <w:rPr>
          <w:rFonts w:ascii="Arial" w:hAnsi="Arial" w:cs="Arial"/>
          <w:b/>
          <w:bCs/>
          <w:sz w:val="24"/>
          <w:szCs w:val="24"/>
        </w:rPr>
        <w:t>5.1 Culture as an Enabler</w:t>
      </w:r>
      <w:bookmarkEnd w:id="13"/>
    </w:p>
    <w:p w14:paraId="5CE311D0" w14:textId="78B2E28B" w:rsidR="008F1AA5" w:rsidRPr="001322DE" w:rsidRDefault="008F1AA5" w:rsidP="001322DE">
      <w:pPr>
        <w:spacing w:line="360" w:lineRule="auto"/>
        <w:jc w:val="both"/>
        <w:rPr>
          <w:rFonts w:ascii="Arial" w:hAnsi="Arial" w:cs="Arial"/>
        </w:rPr>
      </w:pPr>
      <w:r w:rsidRPr="001322DE">
        <w:rPr>
          <w:rFonts w:ascii="Arial" w:hAnsi="Arial" w:cs="Arial"/>
        </w:rPr>
        <w:t xml:space="preserve">Evidence suggests that Tesco’s value system is primarily a facilitator of developing effective organization capabilities of the organization. According to </w:t>
      </w:r>
      <w:proofErr w:type="spellStart"/>
      <w:r w:rsidRPr="001322DE">
        <w:rPr>
          <w:rFonts w:ascii="Arial" w:hAnsi="Arial" w:cs="Arial"/>
        </w:rPr>
        <w:t>Nikpour</w:t>
      </w:r>
      <w:proofErr w:type="spellEnd"/>
      <w:r w:rsidRPr="001322DE">
        <w:rPr>
          <w:rFonts w:ascii="Arial" w:hAnsi="Arial" w:cs="Arial"/>
        </w:rPr>
        <w:t xml:space="preserve"> (2017), having a strong aligned value system is a key driver of employee commitment and thus the performance of the organization. Indicators of an aligned organizational culture at Tesco include the 85% engagement level that employees have in the organization, a ranking in the Times Top 50 for Gender </w:t>
      </w:r>
      <w:r w:rsidR="004C372A" w:rsidRPr="001322DE">
        <w:rPr>
          <w:rFonts w:ascii="Arial" w:hAnsi="Arial" w:cs="Arial"/>
        </w:rPr>
        <w:t>Equality and</w:t>
      </w:r>
      <w:r w:rsidRPr="001322DE">
        <w:rPr>
          <w:rFonts w:ascii="Arial" w:hAnsi="Arial" w:cs="Arial"/>
        </w:rPr>
        <w:t xml:space="preserve"> being the top-ranked retailer in the Advantage supplier survey for nine consecutive years</w:t>
      </w:r>
      <w:r w:rsidR="004C372A">
        <w:rPr>
          <w:rFonts w:ascii="Arial" w:hAnsi="Arial" w:cs="Arial"/>
        </w:rPr>
        <w:t>. T</w:t>
      </w:r>
      <w:r w:rsidRPr="001322DE">
        <w:rPr>
          <w:rFonts w:ascii="Arial" w:hAnsi="Arial" w:cs="Arial"/>
        </w:rPr>
        <w:t>herefore, these standards show an organizational culture that creates trust and collaboration between many different stakeholder groups (Tesco PLC</w:t>
      </w:r>
      <w:r w:rsidR="00B306B5">
        <w:rPr>
          <w:rFonts w:ascii="Arial" w:hAnsi="Arial" w:cs="Arial"/>
        </w:rPr>
        <w:t>,</w:t>
      </w:r>
      <w:r w:rsidRPr="001322DE">
        <w:rPr>
          <w:rFonts w:ascii="Arial" w:hAnsi="Arial" w:cs="Arial"/>
        </w:rPr>
        <w:t xml:space="preserve"> 2025). Akpa </w:t>
      </w:r>
      <w:r w:rsidRPr="006B3F01">
        <w:rPr>
          <w:rFonts w:ascii="Arial" w:hAnsi="Arial" w:cs="Arial"/>
          <w:i/>
          <w:iCs/>
        </w:rPr>
        <w:t>et al.</w:t>
      </w:r>
      <w:r w:rsidRPr="001322DE">
        <w:rPr>
          <w:rFonts w:ascii="Arial" w:hAnsi="Arial" w:cs="Arial"/>
        </w:rPr>
        <w:t xml:space="preserve"> (2021) state that accountable and recognized organizational cultures have a positive relationship with both individual and business performance. </w:t>
      </w:r>
    </w:p>
    <w:p w14:paraId="0E2F4A02" w14:textId="77777777" w:rsidR="008F1AA5" w:rsidRPr="001322DE" w:rsidRDefault="008F1AA5" w:rsidP="001322DE">
      <w:pPr>
        <w:spacing w:line="360" w:lineRule="auto"/>
        <w:jc w:val="both"/>
        <w:rPr>
          <w:rFonts w:ascii="Arial" w:hAnsi="Arial" w:cs="Arial"/>
        </w:rPr>
      </w:pPr>
    </w:p>
    <w:p w14:paraId="7BA70BC2" w14:textId="1F4D04A6" w:rsidR="009A3638" w:rsidRPr="001322DE" w:rsidRDefault="008F1AA5" w:rsidP="001322DE">
      <w:pPr>
        <w:spacing w:line="360" w:lineRule="auto"/>
        <w:jc w:val="both"/>
        <w:rPr>
          <w:rFonts w:ascii="Arial" w:hAnsi="Arial" w:cs="Arial"/>
        </w:rPr>
      </w:pPr>
      <w:proofErr w:type="spellStart"/>
      <w:r w:rsidRPr="001322DE">
        <w:rPr>
          <w:rFonts w:ascii="Arial" w:hAnsi="Arial" w:cs="Arial"/>
        </w:rPr>
        <w:t>Onyeneke</w:t>
      </w:r>
      <w:proofErr w:type="spellEnd"/>
      <w:r w:rsidRPr="001322DE">
        <w:rPr>
          <w:rFonts w:ascii="Arial" w:hAnsi="Arial" w:cs="Arial"/>
        </w:rPr>
        <w:t xml:space="preserve"> </w:t>
      </w:r>
      <w:r w:rsidR="002A4498">
        <w:rPr>
          <w:rFonts w:ascii="Arial" w:hAnsi="Arial" w:cs="Arial"/>
        </w:rPr>
        <w:t>and</w:t>
      </w:r>
      <w:r w:rsidRPr="001322DE">
        <w:rPr>
          <w:rFonts w:ascii="Arial" w:hAnsi="Arial" w:cs="Arial"/>
        </w:rPr>
        <w:t xml:space="preserve"> Abe (2021) demonstrate that a positive cultural climate limits resistance to changing the organization. At Tesco, the cultural acceptance of strategy changes is shown through limited barriers to the successful implementation of the Barclays banking sale, the implementation of robotic automation in distribution </w:t>
      </w:r>
      <w:r w:rsidR="00FA25F6" w:rsidRPr="001322DE">
        <w:rPr>
          <w:rFonts w:ascii="Arial" w:hAnsi="Arial" w:cs="Arial"/>
        </w:rPr>
        <w:t>centres</w:t>
      </w:r>
      <w:r w:rsidRPr="001322DE">
        <w:rPr>
          <w:rFonts w:ascii="Arial" w:hAnsi="Arial" w:cs="Arial"/>
        </w:rPr>
        <w:t xml:space="preserve">, and the rapid establishment of the Whoosh on-demand delivery system into 1,500 stores </w:t>
      </w:r>
      <w:r w:rsidRPr="001322DE">
        <w:rPr>
          <w:rFonts w:ascii="Arial" w:hAnsi="Arial" w:cs="Arial"/>
        </w:rPr>
        <w:lastRenderedPageBreak/>
        <w:t>(Tesco PLC, 2025). The implementation of these major operational changes shows an organization with a culture ready to adapt rather than resist change.</w:t>
      </w:r>
    </w:p>
    <w:p w14:paraId="786BEF71" w14:textId="77777777" w:rsidR="00057B94" w:rsidRPr="001322DE" w:rsidRDefault="00057B94" w:rsidP="001322DE">
      <w:pPr>
        <w:spacing w:line="360" w:lineRule="auto"/>
        <w:jc w:val="both"/>
        <w:rPr>
          <w:rFonts w:ascii="Arial" w:hAnsi="Arial" w:cs="Arial"/>
        </w:rPr>
      </w:pPr>
    </w:p>
    <w:p w14:paraId="71F5BC8D" w14:textId="76D0DEB7" w:rsidR="00057B94" w:rsidRPr="001322DE" w:rsidRDefault="00C13AB8" w:rsidP="001322DE">
      <w:pPr>
        <w:pStyle w:val="Heading2"/>
        <w:spacing w:line="360" w:lineRule="auto"/>
        <w:jc w:val="both"/>
        <w:rPr>
          <w:rFonts w:ascii="Arial" w:hAnsi="Arial" w:cs="Arial"/>
          <w:b/>
          <w:bCs/>
          <w:sz w:val="24"/>
          <w:szCs w:val="24"/>
        </w:rPr>
      </w:pPr>
      <w:bookmarkStart w:id="14" w:name="_Toc227167184"/>
      <w:r w:rsidRPr="001322DE">
        <w:rPr>
          <w:rFonts w:ascii="Arial" w:hAnsi="Arial" w:cs="Arial"/>
          <w:b/>
          <w:bCs/>
          <w:sz w:val="24"/>
          <w:szCs w:val="24"/>
        </w:rPr>
        <w:t>5.2 Culture as a Potential Barrier</w:t>
      </w:r>
      <w:bookmarkEnd w:id="14"/>
    </w:p>
    <w:p w14:paraId="48EB65C9" w14:textId="3653DE66" w:rsidR="006B7FBA" w:rsidRPr="001322DE" w:rsidRDefault="006B7FBA" w:rsidP="001322DE">
      <w:pPr>
        <w:spacing w:line="360" w:lineRule="auto"/>
        <w:jc w:val="both"/>
        <w:rPr>
          <w:rFonts w:ascii="Arial" w:hAnsi="Arial" w:cs="Arial"/>
        </w:rPr>
      </w:pPr>
      <w:r w:rsidRPr="001322DE">
        <w:rPr>
          <w:rFonts w:ascii="Arial" w:hAnsi="Arial" w:cs="Arial"/>
        </w:rPr>
        <w:t xml:space="preserve">Describing Tesco’s culture as completely supportive means it has been </w:t>
      </w:r>
      <w:r w:rsidR="00FA25F6" w:rsidRPr="001322DE">
        <w:rPr>
          <w:rFonts w:ascii="Arial" w:hAnsi="Arial" w:cs="Arial"/>
        </w:rPr>
        <w:t>misanalysed</w:t>
      </w:r>
      <w:r w:rsidRPr="001322DE">
        <w:rPr>
          <w:rFonts w:ascii="Arial" w:hAnsi="Arial" w:cs="Arial"/>
        </w:rPr>
        <w:t xml:space="preserve">. As Joseph and Kibera (2019) assert, when you build a culture too strong and established that it hinders an organisation’s ability to adjust in a </w:t>
      </w:r>
      <w:proofErr w:type="gramStart"/>
      <w:r w:rsidRPr="001322DE">
        <w:rPr>
          <w:rFonts w:ascii="Arial" w:hAnsi="Arial" w:cs="Arial"/>
        </w:rPr>
        <w:t>really novel</w:t>
      </w:r>
      <w:proofErr w:type="gramEnd"/>
      <w:r w:rsidRPr="001322DE">
        <w:rPr>
          <w:rFonts w:ascii="Arial" w:hAnsi="Arial" w:cs="Arial"/>
        </w:rPr>
        <w:t xml:space="preserve"> way to new external conditions, it can create rigidity in the way your company operates. The issues with ongoing equal pay litigation, outlined as one of Tesco’s top five risks, provide evidence of this</w:t>
      </w:r>
      <w:r w:rsidR="00FA25F6">
        <w:rPr>
          <w:rFonts w:ascii="Arial" w:hAnsi="Arial" w:cs="Arial"/>
        </w:rPr>
        <w:t xml:space="preserve"> </w:t>
      </w:r>
      <w:r w:rsidR="00FA25F6" w:rsidRPr="001322DE">
        <w:rPr>
          <w:rFonts w:ascii="Arial" w:hAnsi="Arial" w:cs="Arial"/>
        </w:rPr>
        <w:t xml:space="preserve">(Tesco PLC, 2025, </w:t>
      </w:r>
      <w:r w:rsidR="00601322">
        <w:rPr>
          <w:rFonts w:ascii="Arial" w:hAnsi="Arial" w:cs="Arial"/>
        </w:rPr>
        <w:t xml:space="preserve">p. </w:t>
      </w:r>
      <w:r w:rsidR="00FA25F6" w:rsidRPr="001322DE">
        <w:rPr>
          <w:rFonts w:ascii="Arial" w:hAnsi="Arial" w:cs="Arial"/>
        </w:rPr>
        <w:t>47)</w:t>
      </w:r>
      <w:r w:rsidRPr="001322DE">
        <w:rPr>
          <w:rFonts w:ascii="Arial" w:hAnsi="Arial" w:cs="Arial"/>
        </w:rPr>
        <w:t>. The lack of consistent application of the company's cultural values concerning fairness demonstrates the need for improvement or standardisation of cultural values among some groups. A prime example is pay parity for distribution centres as opposed to stores.</w:t>
      </w:r>
    </w:p>
    <w:p w14:paraId="09ACBEB1" w14:textId="77777777" w:rsidR="006B7FBA" w:rsidRPr="001322DE" w:rsidRDefault="006B7FBA" w:rsidP="001322DE">
      <w:pPr>
        <w:spacing w:line="360" w:lineRule="auto"/>
        <w:jc w:val="both"/>
        <w:rPr>
          <w:rFonts w:ascii="Arial" w:hAnsi="Arial" w:cs="Arial"/>
        </w:rPr>
      </w:pPr>
    </w:p>
    <w:p w14:paraId="1988EC53" w14:textId="431C4AA4" w:rsidR="00C13AB8" w:rsidRPr="001322DE" w:rsidRDefault="006B7FBA" w:rsidP="001322DE">
      <w:pPr>
        <w:spacing w:line="360" w:lineRule="auto"/>
        <w:jc w:val="both"/>
        <w:rPr>
          <w:rFonts w:ascii="Arial" w:hAnsi="Arial" w:cs="Arial"/>
        </w:rPr>
      </w:pPr>
      <w:r w:rsidRPr="001322DE">
        <w:rPr>
          <w:rFonts w:ascii="Arial" w:hAnsi="Arial" w:cs="Arial"/>
        </w:rPr>
        <w:t xml:space="preserve">While there is a financial logic behind Tesco’s cultural focus on operational efficiency; cost-cutting concerns are likely to create tensions with the stated value of investing in colleague and community services. According to </w:t>
      </w:r>
      <w:proofErr w:type="spellStart"/>
      <w:r w:rsidRPr="001322DE">
        <w:rPr>
          <w:rFonts w:ascii="Arial" w:hAnsi="Arial" w:cs="Arial"/>
        </w:rPr>
        <w:t>Chión</w:t>
      </w:r>
      <w:proofErr w:type="spellEnd"/>
      <w:r w:rsidRPr="001322DE">
        <w:rPr>
          <w:rFonts w:ascii="Arial" w:hAnsi="Arial" w:cs="Arial"/>
        </w:rPr>
        <w:t>, Charles and Morales (2020), cultural variations can lead to structural barriers to sharing knowledge and improving processes. The wide success of the Save to Invest programme (with £510 million in savings) creates an opportunity for internal cultural conflict to arise if individuals feel that fulfilling the efficiency targets compromises or diminishes the "every little help" philosophy. To minimise this risk, senior management must communicate clearly to develop and manage cultural values that align with the organisation's goals through transparency.</w:t>
      </w:r>
    </w:p>
    <w:p w14:paraId="4E83F234" w14:textId="77777777" w:rsidR="0000432C" w:rsidRPr="001322DE" w:rsidRDefault="0000432C" w:rsidP="001322DE">
      <w:pPr>
        <w:spacing w:line="360" w:lineRule="auto"/>
        <w:jc w:val="both"/>
        <w:rPr>
          <w:rFonts w:ascii="Arial" w:hAnsi="Arial" w:cs="Arial"/>
        </w:rPr>
      </w:pPr>
    </w:p>
    <w:p w14:paraId="28D0C3B8" w14:textId="77777777" w:rsidR="002053A4" w:rsidRPr="001322DE" w:rsidRDefault="002053A4" w:rsidP="001322DE">
      <w:pPr>
        <w:pStyle w:val="Heading1"/>
        <w:spacing w:line="360" w:lineRule="auto"/>
        <w:jc w:val="both"/>
        <w:rPr>
          <w:rFonts w:ascii="Arial" w:hAnsi="Arial" w:cs="Arial"/>
          <w:b/>
          <w:bCs/>
          <w:sz w:val="24"/>
          <w:szCs w:val="24"/>
        </w:rPr>
      </w:pPr>
      <w:bookmarkStart w:id="15" w:name="_Toc227167185"/>
      <w:r w:rsidRPr="001322DE">
        <w:rPr>
          <w:rFonts w:ascii="Arial" w:hAnsi="Arial" w:cs="Arial"/>
          <w:b/>
          <w:bCs/>
          <w:sz w:val="24"/>
          <w:szCs w:val="24"/>
        </w:rPr>
        <w:t>6. Culture and Organisational Performance: Recommendations</w:t>
      </w:r>
      <w:bookmarkEnd w:id="15"/>
    </w:p>
    <w:p w14:paraId="213A76FA" w14:textId="6BF126FC" w:rsidR="0000432C" w:rsidRPr="001322DE" w:rsidRDefault="002053A4" w:rsidP="001322DE">
      <w:pPr>
        <w:pStyle w:val="Heading2"/>
        <w:spacing w:line="360" w:lineRule="auto"/>
        <w:jc w:val="both"/>
        <w:rPr>
          <w:rFonts w:ascii="Arial" w:hAnsi="Arial" w:cs="Arial"/>
          <w:b/>
          <w:bCs/>
          <w:sz w:val="24"/>
          <w:szCs w:val="24"/>
        </w:rPr>
      </w:pPr>
      <w:bookmarkStart w:id="16" w:name="_Toc227167186"/>
      <w:r w:rsidRPr="001322DE">
        <w:rPr>
          <w:rFonts w:ascii="Arial" w:hAnsi="Arial" w:cs="Arial"/>
          <w:b/>
          <w:bCs/>
          <w:sz w:val="24"/>
          <w:szCs w:val="24"/>
        </w:rPr>
        <w:t>6.1 Evidence of Cultural Impact on Performance</w:t>
      </w:r>
      <w:bookmarkEnd w:id="16"/>
    </w:p>
    <w:p w14:paraId="18395491" w14:textId="5809D96E" w:rsidR="00506735" w:rsidRPr="001322DE" w:rsidRDefault="00CC76CE" w:rsidP="001322DE">
      <w:pPr>
        <w:spacing w:line="360" w:lineRule="auto"/>
        <w:jc w:val="both"/>
        <w:rPr>
          <w:rFonts w:ascii="Arial" w:hAnsi="Arial" w:cs="Arial"/>
        </w:rPr>
      </w:pPr>
      <w:r>
        <w:rPr>
          <w:rFonts w:ascii="Arial" w:hAnsi="Arial" w:cs="Arial"/>
        </w:rPr>
        <w:t>Between 2024 and</w:t>
      </w:r>
      <w:r w:rsidR="00506735" w:rsidRPr="001322DE">
        <w:rPr>
          <w:rFonts w:ascii="Arial" w:hAnsi="Arial" w:cs="Arial"/>
        </w:rPr>
        <w:t xml:space="preserve"> 2025, Tesco's financial performance provides considerable evidence (not necessarily decisive) that culture positively correlates with performance. Adjusted operating profit increased by 10.6% from £3.128 billion and the growth in adjusted diluted earnings per share by 17.0% </w:t>
      </w:r>
      <w:r w:rsidR="005E77DD" w:rsidRPr="001322DE">
        <w:rPr>
          <w:rFonts w:ascii="Arial" w:hAnsi="Arial" w:cs="Arial"/>
        </w:rPr>
        <w:t>(Tesco PLC, 2025, p. 5)</w:t>
      </w:r>
      <w:r w:rsidR="005E77DD">
        <w:rPr>
          <w:rFonts w:ascii="Arial" w:hAnsi="Arial" w:cs="Arial"/>
        </w:rPr>
        <w:t xml:space="preserve">. This </w:t>
      </w:r>
      <w:r w:rsidR="00506735" w:rsidRPr="001322DE">
        <w:rPr>
          <w:rFonts w:ascii="Arial" w:hAnsi="Arial" w:cs="Arial"/>
        </w:rPr>
        <w:t xml:space="preserve">demonstrates that </w:t>
      </w:r>
      <w:proofErr w:type="spellStart"/>
      <w:r w:rsidR="00506735" w:rsidRPr="001322DE">
        <w:rPr>
          <w:rFonts w:ascii="Arial" w:hAnsi="Arial" w:cs="Arial"/>
        </w:rPr>
        <w:t>Nikpour</w:t>
      </w:r>
      <w:proofErr w:type="spellEnd"/>
      <w:r w:rsidR="00506735" w:rsidRPr="001322DE">
        <w:rPr>
          <w:rFonts w:ascii="Arial" w:hAnsi="Arial" w:cs="Arial"/>
        </w:rPr>
        <w:t xml:space="preserve"> (2017) and Akpa, </w:t>
      </w:r>
      <w:proofErr w:type="spellStart"/>
      <w:r w:rsidR="00506735" w:rsidRPr="001322DE">
        <w:rPr>
          <w:rFonts w:ascii="Arial" w:hAnsi="Arial" w:cs="Arial"/>
        </w:rPr>
        <w:t>Asikhia</w:t>
      </w:r>
      <w:proofErr w:type="spellEnd"/>
      <w:r w:rsidR="00506735" w:rsidRPr="001322DE">
        <w:rPr>
          <w:rFonts w:ascii="Arial" w:hAnsi="Arial" w:cs="Arial"/>
        </w:rPr>
        <w:t xml:space="preserve"> and </w:t>
      </w:r>
      <w:proofErr w:type="spellStart"/>
      <w:r w:rsidR="00506735" w:rsidRPr="001322DE">
        <w:rPr>
          <w:rFonts w:ascii="Arial" w:hAnsi="Arial" w:cs="Arial"/>
        </w:rPr>
        <w:t>Nneji</w:t>
      </w:r>
      <w:proofErr w:type="spellEnd"/>
      <w:r w:rsidR="00506735" w:rsidRPr="001322DE">
        <w:rPr>
          <w:rFonts w:ascii="Arial" w:hAnsi="Arial" w:cs="Arial"/>
        </w:rPr>
        <w:t xml:space="preserve"> (2021) have both </w:t>
      </w:r>
      <w:r w:rsidR="00506735" w:rsidRPr="001322DE">
        <w:rPr>
          <w:rFonts w:ascii="Arial" w:hAnsi="Arial" w:cs="Arial"/>
        </w:rPr>
        <w:lastRenderedPageBreak/>
        <w:t>provided strong evidence-based confirmatory support for the empirical strength of cultural alignment as a mediator of performance across organisational settings. Tesco's actual performance data is consistent with these empirical results.</w:t>
      </w:r>
    </w:p>
    <w:p w14:paraId="6A6DF48C" w14:textId="77777777" w:rsidR="00506735" w:rsidRPr="001322DE" w:rsidRDefault="00506735" w:rsidP="001322DE">
      <w:pPr>
        <w:spacing w:line="360" w:lineRule="auto"/>
        <w:jc w:val="both"/>
        <w:rPr>
          <w:rFonts w:ascii="Arial" w:hAnsi="Arial" w:cs="Arial"/>
        </w:rPr>
      </w:pPr>
    </w:p>
    <w:p w14:paraId="0B8C2D23" w14:textId="1BF6ECB3" w:rsidR="002053A4" w:rsidRPr="001322DE" w:rsidRDefault="00506735" w:rsidP="001322DE">
      <w:pPr>
        <w:spacing w:line="360" w:lineRule="auto"/>
        <w:jc w:val="both"/>
        <w:rPr>
          <w:rFonts w:ascii="Arial" w:hAnsi="Arial" w:cs="Arial"/>
        </w:rPr>
      </w:pPr>
      <w:r w:rsidRPr="001322DE">
        <w:rPr>
          <w:rFonts w:ascii="Arial" w:hAnsi="Arial" w:cs="Arial"/>
        </w:rPr>
        <w:t xml:space="preserve">Tesco's customer-centric culture translates into market outcomes. For example, an improvement of 153 basis points in quality perception, growth of the Finest range in the UK by </w:t>
      </w:r>
      <w:r w:rsidR="005D4B0F" w:rsidRPr="001322DE">
        <w:rPr>
          <w:rFonts w:ascii="Arial" w:hAnsi="Arial" w:cs="Arial"/>
        </w:rPr>
        <w:t>15% and</w:t>
      </w:r>
      <w:r w:rsidRPr="001322DE">
        <w:rPr>
          <w:rFonts w:ascii="Arial" w:hAnsi="Arial" w:cs="Arial"/>
        </w:rPr>
        <w:t xml:space="preserve"> ranking as the top retailer supplier rated by customers for the ninth consecutive year provide a clear example of the commercial value associated with consistently living out the tenets of culture</w:t>
      </w:r>
      <w:r w:rsidR="005D4B0F">
        <w:rPr>
          <w:rFonts w:ascii="Arial" w:hAnsi="Arial" w:cs="Arial"/>
        </w:rPr>
        <w:t xml:space="preserve"> </w:t>
      </w:r>
      <w:r w:rsidR="005D4B0F" w:rsidRPr="001322DE">
        <w:rPr>
          <w:rFonts w:ascii="Arial" w:hAnsi="Arial" w:cs="Arial"/>
        </w:rPr>
        <w:t>(Tesco PLC, 2025)</w:t>
      </w:r>
      <w:r w:rsidRPr="001322DE">
        <w:rPr>
          <w:rFonts w:ascii="Arial" w:hAnsi="Arial" w:cs="Arial"/>
        </w:rPr>
        <w:t>. Furthermore, multisectoral stakeholder value creation through culture provides long-term competitive advantage; it is very difficult, if not impossible, for competitors to replicate this success (Bhuiyan, Baird, and Munir 2020).</w:t>
      </w:r>
    </w:p>
    <w:p w14:paraId="1000ED93" w14:textId="77777777" w:rsidR="00055BF7" w:rsidRPr="001322DE" w:rsidRDefault="00055BF7" w:rsidP="001322DE">
      <w:pPr>
        <w:spacing w:line="360" w:lineRule="auto"/>
        <w:jc w:val="both"/>
        <w:rPr>
          <w:rFonts w:ascii="Arial" w:hAnsi="Arial" w:cs="Arial"/>
        </w:rPr>
      </w:pPr>
    </w:p>
    <w:p w14:paraId="3068F86E" w14:textId="705F6D78" w:rsidR="00055BF7" w:rsidRPr="001322DE" w:rsidRDefault="001F0D78" w:rsidP="001322DE">
      <w:pPr>
        <w:pStyle w:val="Heading2"/>
        <w:spacing w:line="360" w:lineRule="auto"/>
        <w:jc w:val="both"/>
        <w:rPr>
          <w:rFonts w:ascii="Arial" w:hAnsi="Arial" w:cs="Arial"/>
          <w:b/>
          <w:bCs/>
          <w:sz w:val="24"/>
          <w:szCs w:val="24"/>
        </w:rPr>
      </w:pPr>
      <w:bookmarkStart w:id="17" w:name="_Toc227167187"/>
      <w:r w:rsidRPr="001322DE">
        <w:rPr>
          <w:rFonts w:ascii="Arial" w:hAnsi="Arial" w:cs="Arial"/>
          <w:b/>
          <w:bCs/>
          <w:sz w:val="24"/>
          <w:szCs w:val="24"/>
        </w:rPr>
        <w:t>6.2 Recommendations</w:t>
      </w:r>
      <w:bookmarkEnd w:id="17"/>
    </w:p>
    <w:p w14:paraId="1CC0AF91" w14:textId="74E26EB2" w:rsidR="00662A4E" w:rsidRPr="001322DE" w:rsidRDefault="00662A4E" w:rsidP="001322DE">
      <w:pPr>
        <w:spacing w:line="360" w:lineRule="auto"/>
        <w:jc w:val="both"/>
        <w:rPr>
          <w:rFonts w:ascii="Arial" w:hAnsi="Arial" w:cs="Arial"/>
          <w:b/>
          <w:bCs/>
        </w:rPr>
      </w:pPr>
      <w:r w:rsidRPr="001322DE">
        <w:rPr>
          <w:rFonts w:ascii="Arial" w:hAnsi="Arial" w:cs="Arial"/>
          <w:b/>
          <w:bCs/>
        </w:rPr>
        <w:t xml:space="preserve">1. </w:t>
      </w:r>
      <w:r w:rsidR="00C3684C" w:rsidRPr="001322DE">
        <w:rPr>
          <w:rFonts w:ascii="Arial" w:hAnsi="Arial" w:cs="Arial"/>
          <w:b/>
          <w:bCs/>
        </w:rPr>
        <w:t>Resolve the conflicting cultures regarding fairness within Tesco's organisation</w:t>
      </w:r>
    </w:p>
    <w:p w14:paraId="01F4B6D5" w14:textId="29AC707B" w:rsidR="00C3684C" w:rsidRPr="001322DE" w:rsidRDefault="00C3684C" w:rsidP="001322DE">
      <w:pPr>
        <w:spacing w:line="360" w:lineRule="auto"/>
        <w:jc w:val="both"/>
        <w:rPr>
          <w:rFonts w:ascii="Arial" w:hAnsi="Arial" w:cs="Arial"/>
        </w:rPr>
      </w:pPr>
      <w:r w:rsidRPr="001322DE">
        <w:rPr>
          <w:rFonts w:ascii="Arial" w:hAnsi="Arial" w:cs="Arial"/>
        </w:rPr>
        <w:t>The current equal pay case highlights a genuine gap between Tesco's stated cultural principles and its practises in its operations. Tesco should commission an objective pay equity audit to ascertain if all employee categories receive equal pay and provide open access to the results of the audit. There is also clear evidence that perceived fairness contributes greatly to discretionary behaviour in the workplace (Fernandes et al. 2023)</w:t>
      </w:r>
      <w:r w:rsidR="00B30C2A">
        <w:rPr>
          <w:rFonts w:ascii="Arial" w:hAnsi="Arial" w:cs="Arial"/>
        </w:rPr>
        <w:t>. T</w:t>
      </w:r>
      <w:r w:rsidRPr="001322DE">
        <w:rPr>
          <w:rFonts w:ascii="Arial" w:hAnsi="Arial" w:cs="Arial"/>
        </w:rPr>
        <w:t>herefore, resolving this issue will create greater organisational cultural integrity and can lessen risks associated with litigation and reputational harm.</w:t>
      </w:r>
    </w:p>
    <w:p w14:paraId="3D12C59B" w14:textId="77777777" w:rsidR="00662A4E" w:rsidRPr="001322DE" w:rsidRDefault="00662A4E" w:rsidP="001322DE">
      <w:pPr>
        <w:spacing w:line="360" w:lineRule="auto"/>
        <w:jc w:val="both"/>
        <w:rPr>
          <w:rFonts w:ascii="Arial" w:hAnsi="Arial" w:cs="Arial"/>
        </w:rPr>
      </w:pPr>
    </w:p>
    <w:p w14:paraId="04727CC8" w14:textId="0A285DB4" w:rsidR="00662A4E" w:rsidRPr="001322DE" w:rsidRDefault="00662A4E" w:rsidP="001322DE">
      <w:pPr>
        <w:spacing w:line="360" w:lineRule="auto"/>
        <w:jc w:val="both"/>
        <w:rPr>
          <w:rFonts w:ascii="Arial" w:hAnsi="Arial" w:cs="Arial"/>
          <w:b/>
          <w:bCs/>
        </w:rPr>
      </w:pPr>
      <w:r w:rsidRPr="001322DE">
        <w:rPr>
          <w:rFonts w:ascii="Arial" w:hAnsi="Arial" w:cs="Arial"/>
          <w:b/>
          <w:bCs/>
        </w:rPr>
        <w:t xml:space="preserve">2. </w:t>
      </w:r>
      <w:r w:rsidR="00C3684C" w:rsidRPr="001322DE">
        <w:rPr>
          <w:rFonts w:ascii="Arial" w:hAnsi="Arial" w:cs="Arial"/>
          <w:b/>
          <w:bCs/>
        </w:rPr>
        <w:t>Build cultural integration in overseas markets more quickly</w:t>
      </w:r>
    </w:p>
    <w:p w14:paraId="2416BF54" w14:textId="4591C655" w:rsidR="00C3684C" w:rsidRPr="001322DE" w:rsidRDefault="00C3684C" w:rsidP="001322DE">
      <w:pPr>
        <w:spacing w:line="360" w:lineRule="auto"/>
        <w:jc w:val="both"/>
        <w:rPr>
          <w:rFonts w:ascii="Arial" w:hAnsi="Arial" w:cs="Arial"/>
        </w:rPr>
      </w:pPr>
      <w:r w:rsidRPr="001322DE">
        <w:rPr>
          <w:rFonts w:ascii="Arial" w:hAnsi="Arial" w:cs="Arial"/>
        </w:rPr>
        <w:t>In their 2019 book, Hofstede et al. warn that it is impossible to transplant a cultural framework created in one nation to another country without adjusting the framework for its new environment. Tesco operates in the United Kingdom (UK), Republic of Ireland, Slovakia, Czech Republic and Hungary. The Annual Report provides very little support for how the three principles of culture are transferred correctly and applied in Central Europe. Therefore, Tesco should create a localised cultural governance structure that reflects each market, along with local leadership development to ensure cultural continuity, while also not being an example of cultural imperialism.</w:t>
      </w:r>
    </w:p>
    <w:p w14:paraId="70335C21" w14:textId="77777777" w:rsidR="00662A4E" w:rsidRPr="001322DE" w:rsidRDefault="00662A4E" w:rsidP="001322DE">
      <w:pPr>
        <w:spacing w:line="360" w:lineRule="auto"/>
        <w:jc w:val="both"/>
        <w:rPr>
          <w:rFonts w:ascii="Arial" w:hAnsi="Arial" w:cs="Arial"/>
        </w:rPr>
      </w:pPr>
    </w:p>
    <w:p w14:paraId="2B040DE0" w14:textId="5CB78DB2" w:rsidR="00B2150A" w:rsidRPr="001322DE" w:rsidRDefault="00B2150A" w:rsidP="001322DE">
      <w:pPr>
        <w:spacing w:line="360" w:lineRule="auto"/>
        <w:jc w:val="both"/>
        <w:rPr>
          <w:rFonts w:ascii="Arial" w:hAnsi="Arial" w:cs="Arial"/>
          <w:b/>
          <w:bCs/>
        </w:rPr>
      </w:pPr>
      <w:r w:rsidRPr="001322DE">
        <w:rPr>
          <w:rFonts w:ascii="Arial" w:hAnsi="Arial" w:cs="Arial"/>
          <w:b/>
          <w:bCs/>
        </w:rPr>
        <w:t xml:space="preserve">3. </w:t>
      </w:r>
      <w:r w:rsidR="00C3684C" w:rsidRPr="001322DE">
        <w:rPr>
          <w:rFonts w:ascii="Arial" w:hAnsi="Arial" w:cs="Arial"/>
          <w:b/>
          <w:bCs/>
        </w:rPr>
        <w:t>Establish an intentional culture of innovation</w:t>
      </w:r>
    </w:p>
    <w:p w14:paraId="0C6DF1D1" w14:textId="32D8664A" w:rsidR="001F0D78" w:rsidRPr="001322DE" w:rsidRDefault="00C3684C" w:rsidP="001322DE">
      <w:pPr>
        <w:spacing w:line="360" w:lineRule="auto"/>
        <w:jc w:val="both"/>
        <w:rPr>
          <w:rFonts w:ascii="Arial" w:hAnsi="Arial" w:cs="Arial"/>
        </w:rPr>
      </w:pPr>
      <w:proofErr w:type="spellStart"/>
      <w:r w:rsidRPr="001322DE">
        <w:rPr>
          <w:rFonts w:ascii="Arial" w:hAnsi="Arial" w:cs="Arial"/>
        </w:rPr>
        <w:t>Aboramadan</w:t>
      </w:r>
      <w:proofErr w:type="spellEnd"/>
      <w:r w:rsidRPr="001322DE">
        <w:rPr>
          <w:rFonts w:ascii="Arial" w:hAnsi="Arial" w:cs="Arial"/>
        </w:rPr>
        <w:t xml:space="preserve"> et al. (2020) have concluded that cultures where there is a formal reward for both innovation and operational efficiency will generate better long-term performance than do cultures focused solely on operational execution. Currently, Tesco's cultural emphasis is one of execution excellence (e.g., the Save to Invest programme)</w:t>
      </w:r>
      <w:r w:rsidR="00EB32ED">
        <w:rPr>
          <w:rFonts w:ascii="Arial" w:hAnsi="Arial" w:cs="Arial"/>
        </w:rPr>
        <w:t>. W</w:t>
      </w:r>
      <w:r w:rsidRPr="001322DE">
        <w:rPr>
          <w:rFonts w:ascii="Arial" w:hAnsi="Arial" w:cs="Arial"/>
        </w:rPr>
        <w:t>hile successful from an operational execution perspective, the current focus on execution excellence is detrimental to developing the innovative and entrepreneurial behaviours necessary for Tesco's long-term competitive differentiation. Therefore, to create a better balance for cultural incentives, Tesco should implement specific innovation performance measures within "Your Contribution".</w:t>
      </w:r>
    </w:p>
    <w:p w14:paraId="26C6676D" w14:textId="77777777" w:rsidR="00900C54" w:rsidRPr="001322DE" w:rsidRDefault="00900C54" w:rsidP="001322DE">
      <w:pPr>
        <w:spacing w:line="360" w:lineRule="auto"/>
        <w:jc w:val="both"/>
        <w:rPr>
          <w:rFonts w:ascii="Arial" w:hAnsi="Arial" w:cs="Arial"/>
        </w:rPr>
      </w:pPr>
    </w:p>
    <w:p w14:paraId="0E5E2E0B" w14:textId="6D8F8FBD" w:rsidR="00900C54" w:rsidRPr="001322DE" w:rsidRDefault="009472F8" w:rsidP="001322DE">
      <w:pPr>
        <w:pStyle w:val="Heading1"/>
        <w:spacing w:line="360" w:lineRule="auto"/>
        <w:jc w:val="both"/>
        <w:rPr>
          <w:rFonts w:ascii="Arial" w:hAnsi="Arial" w:cs="Arial"/>
          <w:b/>
          <w:bCs/>
          <w:sz w:val="24"/>
          <w:szCs w:val="24"/>
        </w:rPr>
      </w:pPr>
      <w:bookmarkStart w:id="18" w:name="_Toc227167188"/>
      <w:r w:rsidRPr="001322DE">
        <w:rPr>
          <w:rFonts w:ascii="Arial" w:hAnsi="Arial" w:cs="Arial"/>
          <w:b/>
          <w:bCs/>
          <w:sz w:val="24"/>
          <w:szCs w:val="24"/>
        </w:rPr>
        <w:t>7. Conclusion</w:t>
      </w:r>
      <w:bookmarkEnd w:id="18"/>
    </w:p>
    <w:p w14:paraId="4B82253E" w14:textId="27C357F0" w:rsidR="009472F8" w:rsidRPr="001322DE" w:rsidRDefault="00D75FC5" w:rsidP="001322DE">
      <w:pPr>
        <w:spacing w:line="360" w:lineRule="auto"/>
        <w:jc w:val="both"/>
        <w:rPr>
          <w:rFonts w:ascii="Arial" w:hAnsi="Arial" w:cs="Arial"/>
        </w:rPr>
      </w:pPr>
      <w:r w:rsidRPr="001322DE">
        <w:rPr>
          <w:rFonts w:ascii="Arial" w:hAnsi="Arial" w:cs="Arial"/>
        </w:rPr>
        <w:t xml:space="preserve">Based on the findings outlined in this report, the nature of Tesco's corporate culture, defined by a purpose and three key supporting values, has a significant impact on their ability to adapt to business change and produce superior financial results. According to Schein's three-dimensional Cultural Model, </w:t>
      </w:r>
      <w:proofErr w:type="spellStart"/>
      <w:r w:rsidRPr="001322DE">
        <w:rPr>
          <w:rFonts w:ascii="Arial" w:hAnsi="Arial" w:cs="Arial"/>
        </w:rPr>
        <w:t>Handy's</w:t>
      </w:r>
      <w:proofErr w:type="spellEnd"/>
      <w:r w:rsidRPr="001322DE">
        <w:rPr>
          <w:rFonts w:ascii="Arial" w:hAnsi="Arial" w:cs="Arial"/>
        </w:rPr>
        <w:t xml:space="preserve"> Organizational Culture Typology and Hofstede's Cultural Dimensions; Tesco's dominant corporate cultural type aligns most closely with a Role Culture with increased Task Cultural elements. Tesco's corporate culture has enabled the organisation to create an effective organisation through strong/engaged colleagues, growth in market share, and continuous/consistent financial success. However, there are cultural differences related to fairness and the challenges of maintaining a consistent culture international that are real impediments and will require active leadership to address these inconsistencies within their workforce. The recommendations made in this report are based on research from both academic literature and the actual organisational context outlined in </w:t>
      </w:r>
      <w:r w:rsidR="00B93099">
        <w:rPr>
          <w:rFonts w:ascii="Arial" w:hAnsi="Arial" w:cs="Arial"/>
        </w:rPr>
        <w:t>Tesco’s</w:t>
      </w:r>
      <w:r w:rsidRPr="001322DE">
        <w:rPr>
          <w:rFonts w:ascii="Arial" w:hAnsi="Arial" w:cs="Arial"/>
        </w:rPr>
        <w:t xml:space="preserve"> 2025 Annual Report.</w:t>
      </w:r>
    </w:p>
    <w:p w14:paraId="579B7B16" w14:textId="77777777" w:rsidR="00AB7F53" w:rsidRPr="001322DE" w:rsidRDefault="00AB7F53" w:rsidP="001322DE">
      <w:pPr>
        <w:spacing w:line="360" w:lineRule="auto"/>
        <w:jc w:val="both"/>
        <w:rPr>
          <w:rFonts w:ascii="Arial" w:hAnsi="Arial" w:cs="Arial"/>
        </w:rPr>
      </w:pPr>
    </w:p>
    <w:p w14:paraId="3EAA2E83" w14:textId="77777777" w:rsidR="000F33DC" w:rsidRPr="001322DE" w:rsidRDefault="00AB7F53" w:rsidP="001322DE">
      <w:pPr>
        <w:pStyle w:val="Heading1"/>
        <w:spacing w:line="360" w:lineRule="auto"/>
        <w:jc w:val="both"/>
        <w:rPr>
          <w:rFonts w:ascii="Arial" w:hAnsi="Arial" w:cs="Arial"/>
          <w:b/>
          <w:bCs/>
          <w:sz w:val="24"/>
          <w:szCs w:val="24"/>
        </w:rPr>
      </w:pPr>
      <w:bookmarkStart w:id="19" w:name="_Toc227167189"/>
      <w:r w:rsidRPr="001322DE">
        <w:rPr>
          <w:rFonts w:ascii="Arial" w:hAnsi="Arial" w:cs="Arial"/>
          <w:b/>
          <w:bCs/>
          <w:sz w:val="24"/>
          <w:szCs w:val="24"/>
        </w:rPr>
        <w:lastRenderedPageBreak/>
        <w:t>8. Reference List</w:t>
      </w:r>
      <w:bookmarkEnd w:id="19"/>
    </w:p>
    <w:p w14:paraId="2EC35B0B" w14:textId="792FED29" w:rsidR="00DA74D0" w:rsidRPr="001322DE" w:rsidRDefault="00DA74D0" w:rsidP="001322DE">
      <w:pPr>
        <w:spacing w:line="360" w:lineRule="auto"/>
        <w:jc w:val="both"/>
        <w:rPr>
          <w:rFonts w:ascii="Arial" w:hAnsi="Arial" w:cs="Arial"/>
        </w:rPr>
      </w:pPr>
      <w:proofErr w:type="spellStart"/>
      <w:r w:rsidRPr="001322DE">
        <w:rPr>
          <w:rFonts w:ascii="Arial" w:hAnsi="Arial" w:cs="Arial"/>
        </w:rPr>
        <w:t>Aboramadan</w:t>
      </w:r>
      <w:proofErr w:type="spellEnd"/>
      <w:r w:rsidRPr="001322DE">
        <w:rPr>
          <w:rFonts w:ascii="Arial" w:hAnsi="Arial" w:cs="Arial"/>
        </w:rPr>
        <w:t xml:space="preserve">, M., </w:t>
      </w:r>
      <w:proofErr w:type="spellStart"/>
      <w:r w:rsidRPr="001322DE">
        <w:rPr>
          <w:rFonts w:ascii="Arial" w:hAnsi="Arial" w:cs="Arial"/>
        </w:rPr>
        <w:t>Albashiti</w:t>
      </w:r>
      <w:proofErr w:type="spellEnd"/>
      <w:r w:rsidRPr="001322DE">
        <w:rPr>
          <w:rFonts w:ascii="Arial" w:hAnsi="Arial" w:cs="Arial"/>
        </w:rPr>
        <w:t xml:space="preserve">, B., </w:t>
      </w:r>
      <w:proofErr w:type="spellStart"/>
      <w:r w:rsidRPr="001322DE">
        <w:rPr>
          <w:rFonts w:ascii="Arial" w:hAnsi="Arial" w:cs="Arial"/>
        </w:rPr>
        <w:t>Alharazin</w:t>
      </w:r>
      <w:proofErr w:type="spellEnd"/>
      <w:r w:rsidRPr="001322DE">
        <w:rPr>
          <w:rFonts w:ascii="Arial" w:hAnsi="Arial" w:cs="Arial"/>
        </w:rPr>
        <w:t xml:space="preserve">, H. and </w:t>
      </w:r>
      <w:proofErr w:type="spellStart"/>
      <w:r w:rsidRPr="001322DE">
        <w:rPr>
          <w:rFonts w:ascii="Arial" w:hAnsi="Arial" w:cs="Arial"/>
        </w:rPr>
        <w:t>Zaidoune</w:t>
      </w:r>
      <w:proofErr w:type="spellEnd"/>
      <w:r w:rsidRPr="001322DE">
        <w:rPr>
          <w:rFonts w:ascii="Arial" w:hAnsi="Arial" w:cs="Arial"/>
        </w:rPr>
        <w:t xml:space="preserve">, S. (2020) 'Organizational culture, innovation and performance: a study from a non-western context', </w:t>
      </w:r>
      <w:r w:rsidRPr="001322DE">
        <w:rPr>
          <w:rStyle w:val="Emphasis"/>
          <w:rFonts w:ascii="Arial" w:hAnsi="Arial" w:cs="Arial"/>
        </w:rPr>
        <w:t>Journal of Management Development</w:t>
      </w:r>
      <w:r w:rsidRPr="001322DE">
        <w:rPr>
          <w:rFonts w:ascii="Arial" w:hAnsi="Arial" w:cs="Arial"/>
        </w:rPr>
        <w:t xml:space="preserve">, 39(4), pp. 437–451. </w:t>
      </w:r>
      <w:hyperlink r:id="rId7" w:history="1">
        <w:r w:rsidRPr="001322DE">
          <w:rPr>
            <w:rStyle w:val="Hyperlink"/>
            <w:rFonts w:ascii="Arial" w:hAnsi="Arial" w:cs="Arial"/>
          </w:rPr>
          <w:t>https://doi.org/10.1108/JMD-06-2019-0253</w:t>
        </w:r>
      </w:hyperlink>
    </w:p>
    <w:p w14:paraId="178888FE"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Ahmady, G.A., </w:t>
      </w:r>
      <w:proofErr w:type="spellStart"/>
      <w:r w:rsidRPr="001322DE">
        <w:rPr>
          <w:rFonts w:ascii="Arial" w:hAnsi="Arial" w:cs="Arial"/>
        </w:rPr>
        <w:t>Mehrpour</w:t>
      </w:r>
      <w:proofErr w:type="spellEnd"/>
      <w:r w:rsidRPr="001322DE">
        <w:rPr>
          <w:rFonts w:ascii="Arial" w:hAnsi="Arial" w:cs="Arial"/>
        </w:rPr>
        <w:t xml:space="preserve">, M. and </w:t>
      </w:r>
      <w:proofErr w:type="spellStart"/>
      <w:r w:rsidRPr="001322DE">
        <w:rPr>
          <w:rFonts w:ascii="Arial" w:hAnsi="Arial" w:cs="Arial"/>
        </w:rPr>
        <w:t>Nikooravesh</w:t>
      </w:r>
      <w:proofErr w:type="spellEnd"/>
      <w:r w:rsidRPr="001322DE">
        <w:rPr>
          <w:rFonts w:ascii="Arial" w:hAnsi="Arial" w:cs="Arial"/>
        </w:rPr>
        <w:t xml:space="preserve">, A. (2016) 'Organizational structure', </w:t>
      </w:r>
      <w:r w:rsidRPr="001322DE">
        <w:rPr>
          <w:rStyle w:val="Emphasis"/>
          <w:rFonts w:ascii="Arial" w:eastAsiaTheme="majorEastAsia" w:hAnsi="Arial" w:cs="Arial"/>
        </w:rPr>
        <w:t xml:space="preserve">Procedia – Social and </w:t>
      </w:r>
      <w:proofErr w:type="spellStart"/>
      <w:r w:rsidRPr="001322DE">
        <w:rPr>
          <w:rStyle w:val="Emphasis"/>
          <w:rFonts w:ascii="Arial" w:eastAsiaTheme="majorEastAsia" w:hAnsi="Arial" w:cs="Arial"/>
        </w:rPr>
        <w:t>Behavioral</w:t>
      </w:r>
      <w:proofErr w:type="spellEnd"/>
      <w:r w:rsidRPr="001322DE">
        <w:rPr>
          <w:rStyle w:val="Emphasis"/>
          <w:rFonts w:ascii="Arial" w:eastAsiaTheme="majorEastAsia" w:hAnsi="Arial" w:cs="Arial"/>
        </w:rPr>
        <w:t xml:space="preserve"> Sciences</w:t>
      </w:r>
      <w:r w:rsidRPr="001322DE">
        <w:rPr>
          <w:rFonts w:ascii="Arial" w:hAnsi="Arial" w:cs="Arial"/>
        </w:rPr>
        <w:t xml:space="preserve">, 230, pp. 455–462. </w:t>
      </w:r>
      <w:hyperlink r:id="rId8" w:history="1">
        <w:r w:rsidRPr="001322DE">
          <w:rPr>
            <w:rStyle w:val="Hyperlink"/>
            <w:rFonts w:ascii="Arial" w:eastAsiaTheme="majorEastAsia" w:hAnsi="Arial" w:cs="Arial"/>
          </w:rPr>
          <w:t>https://doi.org/10.1016/j.sbspro.2016.09.057</w:t>
        </w:r>
      </w:hyperlink>
    </w:p>
    <w:p w14:paraId="6BFC4380" w14:textId="77777777" w:rsidR="00DA74D0" w:rsidRPr="001322DE" w:rsidRDefault="00DA74D0" w:rsidP="001322DE">
      <w:pPr>
        <w:pStyle w:val="font-claude-response-body"/>
        <w:spacing w:line="360" w:lineRule="auto"/>
        <w:jc w:val="both"/>
        <w:rPr>
          <w:rFonts w:ascii="Arial" w:hAnsi="Arial" w:cs="Arial"/>
        </w:rPr>
      </w:pPr>
      <w:proofErr w:type="spellStart"/>
      <w:r w:rsidRPr="001322DE">
        <w:rPr>
          <w:rFonts w:ascii="Arial" w:hAnsi="Arial" w:cs="Arial"/>
        </w:rPr>
        <w:t>Akanji</w:t>
      </w:r>
      <w:proofErr w:type="spellEnd"/>
      <w:r w:rsidRPr="001322DE">
        <w:rPr>
          <w:rFonts w:ascii="Arial" w:hAnsi="Arial" w:cs="Arial"/>
        </w:rPr>
        <w:t xml:space="preserve">, B., </w:t>
      </w:r>
      <w:proofErr w:type="spellStart"/>
      <w:r w:rsidRPr="001322DE">
        <w:rPr>
          <w:rFonts w:ascii="Arial" w:hAnsi="Arial" w:cs="Arial"/>
        </w:rPr>
        <w:t>Mordi</w:t>
      </w:r>
      <w:proofErr w:type="spellEnd"/>
      <w:r w:rsidRPr="001322DE">
        <w:rPr>
          <w:rFonts w:ascii="Arial" w:hAnsi="Arial" w:cs="Arial"/>
        </w:rPr>
        <w:t xml:space="preserve">, C., </w:t>
      </w:r>
      <w:proofErr w:type="spellStart"/>
      <w:r w:rsidRPr="001322DE">
        <w:rPr>
          <w:rFonts w:ascii="Arial" w:hAnsi="Arial" w:cs="Arial"/>
        </w:rPr>
        <w:t>Ituma</w:t>
      </w:r>
      <w:proofErr w:type="spellEnd"/>
      <w:r w:rsidRPr="001322DE">
        <w:rPr>
          <w:rFonts w:ascii="Arial" w:hAnsi="Arial" w:cs="Arial"/>
        </w:rPr>
        <w:t xml:space="preserve">, A., </w:t>
      </w:r>
      <w:proofErr w:type="spellStart"/>
      <w:r w:rsidRPr="001322DE">
        <w:rPr>
          <w:rFonts w:ascii="Arial" w:hAnsi="Arial" w:cs="Arial"/>
        </w:rPr>
        <w:t>Adisa</w:t>
      </w:r>
      <w:proofErr w:type="spellEnd"/>
      <w:r w:rsidRPr="001322DE">
        <w:rPr>
          <w:rFonts w:ascii="Arial" w:hAnsi="Arial" w:cs="Arial"/>
        </w:rPr>
        <w:t xml:space="preserve">, T.A. and </w:t>
      </w:r>
      <w:proofErr w:type="spellStart"/>
      <w:r w:rsidRPr="001322DE">
        <w:rPr>
          <w:rFonts w:ascii="Arial" w:hAnsi="Arial" w:cs="Arial"/>
        </w:rPr>
        <w:t>Ajonbadi</w:t>
      </w:r>
      <w:proofErr w:type="spellEnd"/>
      <w:r w:rsidRPr="001322DE">
        <w:rPr>
          <w:rFonts w:ascii="Arial" w:hAnsi="Arial" w:cs="Arial"/>
        </w:rPr>
        <w:t xml:space="preserve">, H. (2020) 'The influence of organisational culture on leadership style in higher education institutions', </w:t>
      </w:r>
      <w:r w:rsidRPr="001322DE">
        <w:rPr>
          <w:rStyle w:val="Emphasis"/>
          <w:rFonts w:ascii="Arial" w:eastAsiaTheme="majorEastAsia" w:hAnsi="Arial" w:cs="Arial"/>
        </w:rPr>
        <w:t>Personnel Review</w:t>
      </w:r>
      <w:r w:rsidRPr="001322DE">
        <w:rPr>
          <w:rFonts w:ascii="Arial" w:hAnsi="Arial" w:cs="Arial"/>
        </w:rPr>
        <w:t xml:space="preserve">, 49(3), pp. 709–727. </w:t>
      </w:r>
      <w:hyperlink r:id="rId9" w:history="1">
        <w:r w:rsidRPr="001322DE">
          <w:rPr>
            <w:rStyle w:val="Hyperlink"/>
            <w:rFonts w:ascii="Arial" w:eastAsiaTheme="majorEastAsia" w:hAnsi="Arial" w:cs="Arial"/>
          </w:rPr>
          <w:t>https://doi.org/10.1108/PR-08-2018-0280</w:t>
        </w:r>
      </w:hyperlink>
    </w:p>
    <w:p w14:paraId="47B66D6D"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Akpa, V.O., </w:t>
      </w:r>
      <w:proofErr w:type="spellStart"/>
      <w:r w:rsidRPr="001322DE">
        <w:rPr>
          <w:rFonts w:ascii="Arial" w:hAnsi="Arial" w:cs="Arial"/>
        </w:rPr>
        <w:t>Asikhia</w:t>
      </w:r>
      <w:proofErr w:type="spellEnd"/>
      <w:r w:rsidRPr="001322DE">
        <w:rPr>
          <w:rFonts w:ascii="Arial" w:hAnsi="Arial" w:cs="Arial"/>
        </w:rPr>
        <w:t xml:space="preserve">, O.U. and </w:t>
      </w:r>
      <w:proofErr w:type="spellStart"/>
      <w:r w:rsidRPr="001322DE">
        <w:rPr>
          <w:rFonts w:ascii="Arial" w:hAnsi="Arial" w:cs="Arial"/>
        </w:rPr>
        <w:t>Nneji</w:t>
      </w:r>
      <w:proofErr w:type="spellEnd"/>
      <w:r w:rsidRPr="001322DE">
        <w:rPr>
          <w:rFonts w:ascii="Arial" w:hAnsi="Arial" w:cs="Arial"/>
        </w:rPr>
        <w:t xml:space="preserve">, N.E. (2021) 'Organizational culture and organizational performance: a review of literature', </w:t>
      </w:r>
      <w:r w:rsidRPr="001322DE">
        <w:rPr>
          <w:rStyle w:val="Emphasis"/>
          <w:rFonts w:ascii="Arial" w:eastAsiaTheme="majorEastAsia" w:hAnsi="Arial" w:cs="Arial"/>
        </w:rPr>
        <w:t>International Journal of Advances in Engineering and Management</w:t>
      </w:r>
      <w:r w:rsidRPr="001322DE">
        <w:rPr>
          <w:rFonts w:ascii="Arial" w:hAnsi="Arial" w:cs="Arial"/>
        </w:rPr>
        <w:t xml:space="preserve">, 3(1), pp. 361–372. </w:t>
      </w:r>
      <w:hyperlink r:id="rId10" w:history="1">
        <w:r w:rsidRPr="001322DE">
          <w:rPr>
            <w:rStyle w:val="Hyperlink"/>
            <w:rFonts w:ascii="Arial" w:eastAsiaTheme="majorEastAsia" w:hAnsi="Arial" w:cs="Arial"/>
          </w:rPr>
          <w:t>https://doi.org/10.35629/5252-0301361372</w:t>
        </w:r>
      </w:hyperlink>
    </w:p>
    <w:p w14:paraId="3C90C60A"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Azeem, M., Ahmed, M., Haider, S. and Sajjad, M. (2021) 'Expanding competitive advantage through organizational culture, knowledge sharing and organizational innovation', </w:t>
      </w:r>
      <w:r w:rsidRPr="001322DE">
        <w:rPr>
          <w:rStyle w:val="Emphasis"/>
          <w:rFonts w:ascii="Arial" w:eastAsiaTheme="majorEastAsia" w:hAnsi="Arial" w:cs="Arial"/>
        </w:rPr>
        <w:t>Technology in Society</w:t>
      </w:r>
      <w:r w:rsidRPr="001322DE">
        <w:rPr>
          <w:rFonts w:ascii="Arial" w:hAnsi="Arial" w:cs="Arial"/>
        </w:rPr>
        <w:t xml:space="preserve">, 66, p. 101635. </w:t>
      </w:r>
      <w:hyperlink r:id="rId11" w:history="1">
        <w:r w:rsidRPr="001322DE">
          <w:rPr>
            <w:rStyle w:val="Hyperlink"/>
            <w:rFonts w:ascii="Arial" w:eastAsiaTheme="majorEastAsia" w:hAnsi="Arial" w:cs="Arial"/>
          </w:rPr>
          <w:t>https://doi.org/10.1016/j.techsoc.2021.101635</w:t>
        </w:r>
      </w:hyperlink>
    </w:p>
    <w:p w14:paraId="190A4680" w14:textId="77777777" w:rsidR="00DA74D0" w:rsidRPr="001322DE" w:rsidRDefault="00DA74D0" w:rsidP="001322DE">
      <w:pPr>
        <w:pStyle w:val="font-claude-response-body"/>
        <w:spacing w:line="360" w:lineRule="auto"/>
        <w:jc w:val="both"/>
        <w:rPr>
          <w:rFonts w:ascii="Arial" w:hAnsi="Arial" w:cs="Arial"/>
        </w:rPr>
      </w:pPr>
      <w:proofErr w:type="spellStart"/>
      <w:r w:rsidRPr="001322DE">
        <w:rPr>
          <w:rFonts w:ascii="Arial" w:hAnsi="Arial" w:cs="Arial"/>
        </w:rPr>
        <w:t>Beugelsdijk</w:t>
      </w:r>
      <w:proofErr w:type="spellEnd"/>
      <w:r w:rsidRPr="001322DE">
        <w:rPr>
          <w:rFonts w:ascii="Arial" w:hAnsi="Arial" w:cs="Arial"/>
        </w:rPr>
        <w:t xml:space="preserve">, S. and </w:t>
      </w:r>
      <w:proofErr w:type="spellStart"/>
      <w:r w:rsidRPr="001322DE">
        <w:rPr>
          <w:rFonts w:ascii="Arial" w:hAnsi="Arial" w:cs="Arial"/>
        </w:rPr>
        <w:t>Welzel</w:t>
      </w:r>
      <w:proofErr w:type="spellEnd"/>
      <w:r w:rsidRPr="001322DE">
        <w:rPr>
          <w:rFonts w:ascii="Arial" w:hAnsi="Arial" w:cs="Arial"/>
        </w:rPr>
        <w:t xml:space="preserve">, C. (2018) 'Dimensions and dynamics of national culture: synthesizing Hofstede with Inglehart', </w:t>
      </w:r>
      <w:r w:rsidRPr="001322DE">
        <w:rPr>
          <w:rStyle w:val="Emphasis"/>
          <w:rFonts w:ascii="Arial" w:eastAsiaTheme="majorEastAsia" w:hAnsi="Arial" w:cs="Arial"/>
        </w:rPr>
        <w:t>Journal of Cross-Cultural Psychology</w:t>
      </w:r>
      <w:r w:rsidRPr="001322DE">
        <w:rPr>
          <w:rFonts w:ascii="Arial" w:hAnsi="Arial" w:cs="Arial"/>
        </w:rPr>
        <w:t xml:space="preserve">, 49(10), pp. 1469–1505. </w:t>
      </w:r>
      <w:hyperlink r:id="rId12" w:history="1">
        <w:r w:rsidRPr="001322DE">
          <w:rPr>
            <w:rStyle w:val="Hyperlink"/>
            <w:rFonts w:ascii="Arial" w:eastAsiaTheme="majorEastAsia" w:hAnsi="Arial" w:cs="Arial"/>
          </w:rPr>
          <w:t>https://doi.org/10.1177/0022022118798505</w:t>
        </w:r>
      </w:hyperlink>
    </w:p>
    <w:p w14:paraId="3A3F6050"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Bhuiyan, F., Baird, K. and Munir, R. (2020) 'The association between organisational culture, CSR practices and organisational performance in an emerging economy', </w:t>
      </w:r>
      <w:proofErr w:type="spellStart"/>
      <w:r w:rsidRPr="001322DE">
        <w:rPr>
          <w:rStyle w:val="Emphasis"/>
          <w:rFonts w:ascii="Arial" w:eastAsiaTheme="majorEastAsia" w:hAnsi="Arial" w:cs="Arial"/>
        </w:rPr>
        <w:t>Meditari</w:t>
      </w:r>
      <w:proofErr w:type="spellEnd"/>
      <w:r w:rsidRPr="001322DE">
        <w:rPr>
          <w:rStyle w:val="Emphasis"/>
          <w:rFonts w:ascii="Arial" w:eastAsiaTheme="majorEastAsia" w:hAnsi="Arial" w:cs="Arial"/>
        </w:rPr>
        <w:t xml:space="preserve"> Accountancy Research</w:t>
      </w:r>
      <w:r w:rsidRPr="001322DE">
        <w:rPr>
          <w:rFonts w:ascii="Arial" w:hAnsi="Arial" w:cs="Arial"/>
        </w:rPr>
        <w:t xml:space="preserve">, 28(6), pp. 977–1011. </w:t>
      </w:r>
      <w:hyperlink r:id="rId13" w:history="1">
        <w:r w:rsidRPr="001322DE">
          <w:rPr>
            <w:rStyle w:val="Hyperlink"/>
            <w:rFonts w:ascii="Arial" w:eastAsiaTheme="majorEastAsia" w:hAnsi="Arial" w:cs="Arial"/>
          </w:rPr>
          <w:t>https://doi.org/10.1108/MEDAR-09-2019-0574</w:t>
        </w:r>
      </w:hyperlink>
    </w:p>
    <w:p w14:paraId="2C5E9F4D"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Binder, C. (2016) 'Integrating organizational-cultural values with performance management', </w:t>
      </w:r>
      <w:r w:rsidRPr="001322DE">
        <w:rPr>
          <w:rStyle w:val="Emphasis"/>
          <w:rFonts w:ascii="Arial" w:eastAsiaTheme="majorEastAsia" w:hAnsi="Arial" w:cs="Arial"/>
        </w:rPr>
        <w:t xml:space="preserve">Journal of Organizational </w:t>
      </w:r>
      <w:proofErr w:type="spellStart"/>
      <w:r w:rsidRPr="001322DE">
        <w:rPr>
          <w:rStyle w:val="Emphasis"/>
          <w:rFonts w:ascii="Arial" w:eastAsiaTheme="majorEastAsia" w:hAnsi="Arial" w:cs="Arial"/>
        </w:rPr>
        <w:t>Behavior</w:t>
      </w:r>
      <w:proofErr w:type="spellEnd"/>
      <w:r w:rsidRPr="001322DE">
        <w:rPr>
          <w:rStyle w:val="Emphasis"/>
          <w:rFonts w:ascii="Arial" w:eastAsiaTheme="majorEastAsia" w:hAnsi="Arial" w:cs="Arial"/>
        </w:rPr>
        <w:t xml:space="preserve"> Management</w:t>
      </w:r>
      <w:r w:rsidRPr="001322DE">
        <w:rPr>
          <w:rFonts w:ascii="Arial" w:hAnsi="Arial" w:cs="Arial"/>
        </w:rPr>
        <w:t xml:space="preserve">, 36(2–3), pp. 185–201. </w:t>
      </w:r>
      <w:hyperlink r:id="rId14" w:history="1">
        <w:r w:rsidRPr="001322DE">
          <w:rPr>
            <w:rStyle w:val="Hyperlink"/>
            <w:rFonts w:ascii="Arial" w:eastAsiaTheme="majorEastAsia" w:hAnsi="Arial" w:cs="Arial"/>
          </w:rPr>
          <w:t>https://doi.org/10.1080/01608061.2016.1200512</w:t>
        </w:r>
      </w:hyperlink>
    </w:p>
    <w:p w14:paraId="45121654"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lastRenderedPageBreak/>
        <w:t xml:space="preserve">Brahm, F. and Poblete, J. (2024) 'Organizational culture, adaptation, and performance', </w:t>
      </w:r>
      <w:r w:rsidRPr="001322DE">
        <w:rPr>
          <w:rStyle w:val="Emphasis"/>
          <w:rFonts w:ascii="Arial" w:eastAsiaTheme="majorEastAsia" w:hAnsi="Arial" w:cs="Arial"/>
        </w:rPr>
        <w:t>Organization Science</w:t>
      </w:r>
      <w:r w:rsidRPr="001322DE">
        <w:rPr>
          <w:rFonts w:ascii="Arial" w:hAnsi="Arial" w:cs="Arial"/>
        </w:rPr>
        <w:t xml:space="preserve">, 35(5), pp. 1823–1848. </w:t>
      </w:r>
      <w:hyperlink r:id="rId15" w:history="1">
        <w:r w:rsidRPr="001322DE">
          <w:rPr>
            <w:rStyle w:val="Hyperlink"/>
            <w:rFonts w:ascii="Arial" w:eastAsiaTheme="majorEastAsia" w:hAnsi="Arial" w:cs="Arial"/>
          </w:rPr>
          <w:t>https://doi.org/10.1287/orsc.2022.16791</w:t>
        </w:r>
      </w:hyperlink>
    </w:p>
    <w:p w14:paraId="61EF67AF"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Cameron, K.S. and Quinn, R.E. (2011) </w:t>
      </w:r>
      <w:r w:rsidRPr="001322DE">
        <w:rPr>
          <w:rStyle w:val="Emphasis"/>
          <w:rFonts w:ascii="Arial" w:eastAsiaTheme="majorEastAsia" w:hAnsi="Arial" w:cs="Arial"/>
        </w:rPr>
        <w:t>Diagnosing and Changing Organizational Culture: Based on the Competing Values Framework</w:t>
      </w:r>
      <w:r w:rsidRPr="001322DE">
        <w:rPr>
          <w:rFonts w:ascii="Arial" w:hAnsi="Arial" w:cs="Arial"/>
        </w:rPr>
        <w:t xml:space="preserve">. 3rd </w:t>
      </w:r>
      <w:proofErr w:type="spellStart"/>
      <w:r w:rsidRPr="001322DE">
        <w:rPr>
          <w:rFonts w:ascii="Arial" w:hAnsi="Arial" w:cs="Arial"/>
        </w:rPr>
        <w:t>edn</w:t>
      </w:r>
      <w:proofErr w:type="spellEnd"/>
      <w:r w:rsidRPr="001322DE">
        <w:rPr>
          <w:rFonts w:ascii="Arial" w:hAnsi="Arial" w:cs="Arial"/>
        </w:rPr>
        <w:t>. San Francisco, CA: Jossey-Bass.</w:t>
      </w:r>
    </w:p>
    <w:p w14:paraId="3869963E" w14:textId="77777777" w:rsidR="00DA74D0" w:rsidRPr="001322DE" w:rsidRDefault="00DA74D0" w:rsidP="001322DE">
      <w:pPr>
        <w:pStyle w:val="font-claude-response-body"/>
        <w:spacing w:line="360" w:lineRule="auto"/>
        <w:jc w:val="both"/>
        <w:rPr>
          <w:rFonts w:ascii="Arial" w:hAnsi="Arial" w:cs="Arial"/>
        </w:rPr>
      </w:pPr>
      <w:proofErr w:type="spellStart"/>
      <w:r w:rsidRPr="001322DE">
        <w:rPr>
          <w:rFonts w:ascii="Arial" w:hAnsi="Arial" w:cs="Arial"/>
        </w:rPr>
        <w:t>Chión</w:t>
      </w:r>
      <w:proofErr w:type="spellEnd"/>
      <w:r w:rsidRPr="001322DE">
        <w:rPr>
          <w:rFonts w:ascii="Arial" w:hAnsi="Arial" w:cs="Arial"/>
        </w:rPr>
        <w:t xml:space="preserve">, S.J., Charles, V. and Morales, J. (2020) 'The impact of organisational culture, organisational structure and technological infrastructure on process improvement through knowledge sharing', </w:t>
      </w:r>
      <w:r w:rsidRPr="001322DE">
        <w:rPr>
          <w:rStyle w:val="Emphasis"/>
          <w:rFonts w:ascii="Arial" w:eastAsiaTheme="majorEastAsia" w:hAnsi="Arial" w:cs="Arial"/>
        </w:rPr>
        <w:t>Business Process Management Journal</w:t>
      </w:r>
      <w:r w:rsidRPr="001322DE">
        <w:rPr>
          <w:rFonts w:ascii="Arial" w:hAnsi="Arial" w:cs="Arial"/>
        </w:rPr>
        <w:t xml:space="preserve">, 26(6), pp. 1443–1472. </w:t>
      </w:r>
      <w:hyperlink r:id="rId16" w:history="1">
        <w:r w:rsidRPr="001322DE">
          <w:rPr>
            <w:rStyle w:val="Hyperlink"/>
            <w:rFonts w:ascii="Arial" w:eastAsiaTheme="majorEastAsia" w:hAnsi="Arial" w:cs="Arial"/>
          </w:rPr>
          <w:t>https://doi.org/10.1108/BPMJ-10-2018-0279</w:t>
        </w:r>
      </w:hyperlink>
    </w:p>
    <w:p w14:paraId="45B5910E"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Fernandes, P., Pereira, R. and </w:t>
      </w:r>
      <w:proofErr w:type="spellStart"/>
      <w:r w:rsidRPr="001322DE">
        <w:rPr>
          <w:rFonts w:ascii="Arial" w:hAnsi="Arial" w:cs="Arial"/>
        </w:rPr>
        <w:t>Wiedenhöft</w:t>
      </w:r>
      <w:proofErr w:type="spellEnd"/>
      <w:r w:rsidRPr="001322DE">
        <w:rPr>
          <w:rFonts w:ascii="Arial" w:hAnsi="Arial" w:cs="Arial"/>
        </w:rPr>
        <w:t xml:space="preserve">, G. (2023) 'Organizational culture and the individuals' discretionary </w:t>
      </w:r>
      <w:proofErr w:type="spellStart"/>
      <w:r w:rsidRPr="001322DE">
        <w:rPr>
          <w:rFonts w:ascii="Arial" w:hAnsi="Arial" w:cs="Arial"/>
        </w:rPr>
        <w:t>behaviors</w:t>
      </w:r>
      <w:proofErr w:type="spellEnd"/>
      <w:r w:rsidRPr="001322DE">
        <w:rPr>
          <w:rFonts w:ascii="Arial" w:hAnsi="Arial" w:cs="Arial"/>
        </w:rPr>
        <w:t xml:space="preserve"> at work: a cross-cultural analysis', </w:t>
      </w:r>
      <w:r w:rsidRPr="001322DE">
        <w:rPr>
          <w:rStyle w:val="Emphasis"/>
          <w:rFonts w:ascii="Arial" w:eastAsiaTheme="majorEastAsia" w:hAnsi="Arial" w:cs="Arial"/>
        </w:rPr>
        <w:t>Frontiers in Sociology</w:t>
      </w:r>
      <w:r w:rsidRPr="001322DE">
        <w:rPr>
          <w:rFonts w:ascii="Arial" w:hAnsi="Arial" w:cs="Arial"/>
        </w:rPr>
        <w:t xml:space="preserve">, 8, p. 1190488. </w:t>
      </w:r>
      <w:hyperlink r:id="rId17" w:history="1">
        <w:r w:rsidRPr="001322DE">
          <w:rPr>
            <w:rStyle w:val="Hyperlink"/>
            <w:rFonts w:ascii="Arial" w:eastAsiaTheme="majorEastAsia" w:hAnsi="Arial" w:cs="Arial"/>
          </w:rPr>
          <w:t>https://doi.org/10.3389/fsoc.2023.1190488</w:t>
        </w:r>
      </w:hyperlink>
    </w:p>
    <w:p w14:paraId="618A9954"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Hofstede, G., Hofstede, G.J. and Minkov, M. (2019) </w:t>
      </w:r>
      <w:r w:rsidRPr="001322DE">
        <w:rPr>
          <w:rStyle w:val="Emphasis"/>
          <w:rFonts w:ascii="Arial" w:eastAsiaTheme="majorEastAsia" w:hAnsi="Arial" w:cs="Arial"/>
        </w:rPr>
        <w:t>Cultures and Organizations: Software of the Mind</w:t>
      </w:r>
      <w:r w:rsidRPr="001322DE">
        <w:rPr>
          <w:rFonts w:ascii="Arial" w:hAnsi="Arial" w:cs="Arial"/>
        </w:rPr>
        <w:t xml:space="preserve">. 3rd </w:t>
      </w:r>
      <w:proofErr w:type="spellStart"/>
      <w:r w:rsidRPr="001322DE">
        <w:rPr>
          <w:rFonts w:ascii="Arial" w:hAnsi="Arial" w:cs="Arial"/>
        </w:rPr>
        <w:t>edn</w:t>
      </w:r>
      <w:proofErr w:type="spellEnd"/>
      <w:r w:rsidRPr="001322DE">
        <w:rPr>
          <w:rFonts w:ascii="Arial" w:hAnsi="Arial" w:cs="Arial"/>
        </w:rPr>
        <w:t>. New York: McGraw-Hill.</w:t>
      </w:r>
    </w:p>
    <w:p w14:paraId="1D292427"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Joseph, O.O. and Kibera, F. (2019) 'Organizational culture and performance: Evidence from microfinance institutions in Kenya', </w:t>
      </w:r>
      <w:r w:rsidRPr="001322DE">
        <w:rPr>
          <w:rStyle w:val="Emphasis"/>
          <w:rFonts w:ascii="Arial" w:eastAsiaTheme="majorEastAsia" w:hAnsi="Arial" w:cs="Arial"/>
        </w:rPr>
        <w:t>SAGE Open</w:t>
      </w:r>
      <w:r w:rsidRPr="001322DE">
        <w:rPr>
          <w:rFonts w:ascii="Arial" w:hAnsi="Arial" w:cs="Arial"/>
        </w:rPr>
        <w:t xml:space="preserve">, 9(1). </w:t>
      </w:r>
      <w:hyperlink r:id="rId18" w:history="1">
        <w:r w:rsidRPr="001322DE">
          <w:rPr>
            <w:rStyle w:val="Hyperlink"/>
            <w:rFonts w:ascii="Arial" w:eastAsiaTheme="majorEastAsia" w:hAnsi="Arial" w:cs="Arial"/>
          </w:rPr>
          <w:t>https://doi.org/10.1177/2158244019835934</w:t>
        </w:r>
      </w:hyperlink>
    </w:p>
    <w:p w14:paraId="4E5CB094"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Mullins, L. and Christy, G. (2016) </w:t>
      </w:r>
      <w:r w:rsidRPr="001322DE">
        <w:rPr>
          <w:rStyle w:val="Emphasis"/>
          <w:rFonts w:ascii="Arial" w:eastAsiaTheme="majorEastAsia" w:hAnsi="Arial" w:cs="Arial"/>
        </w:rPr>
        <w:t>Management and Organisational Behaviour</w:t>
      </w:r>
      <w:r w:rsidRPr="001322DE">
        <w:rPr>
          <w:rFonts w:ascii="Arial" w:hAnsi="Arial" w:cs="Arial"/>
        </w:rPr>
        <w:t xml:space="preserve">. 11th </w:t>
      </w:r>
      <w:proofErr w:type="spellStart"/>
      <w:r w:rsidRPr="001322DE">
        <w:rPr>
          <w:rFonts w:ascii="Arial" w:hAnsi="Arial" w:cs="Arial"/>
        </w:rPr>
        <w:t>edn</w:t>
      </w:r>
      <w:proofErr w:type="spellEnd"/>
      <w:r w:rsidRPr="001322DE">
        <w:rPr>
          <w:rFonts w:ascii="Arial" w:hAnsi="Arial" w:cs="Arial"/>
        </w:rPr>
        <w:t>. Harlow: Pearson Education Limited.</w:t>
      </w:r>
    </w:p>
    <w:p w14:paraId="54EEF162" w14:textId="77777777" w:rsidR="00DA74D0" w:rsidRPr="001322DE" w:rsidRDefault="00DA74D0" w:rsidP="001322DE">
      <w:pPr>
        <w:pStyle w:val="font-claude-response-body"/>
        <w:spacing w:line="360" w:lineRule="auto"/>
        <w:jc w:val="both"/>
        <w:rPr>
          <w:rFonts w:ascii="Arial" w:hAnsi="Arial" w:cs="Arial"/>
        </w:rPr>
      </w:pPr>
      <w:proofErr w:type="spellStart"/>
      <w:r w:rsidRPr="001322DE">
        <w:rPr>
          <w:rFonts w:ascii="Arial" w:hAnsi="Arial" w:cs="Arial"/>
        </w:rPr>
        <w:t>Nikpour</w:t>
      </w:r>
      <w:proofErr w:type="spellEnd"/>
      <w:r w:rsidRPr="001322DE">
        <w:rPr>
          <w:rFonts w:ascii="Arial" w:hAnsi="Arial" w:cs="Arial"/>
        </w:rPr>
        <w:t xml:space="preserve">, A. (2017) 'The impact of organizational culture on organizational performance: The mediating role of employee's organizational commitment', </w:t>
      </w:r>
      <w:r w:rsidRPr="001322DE">
        <w:rPr>
          <w:rStyle w:val="Emphasis"/>
          <w:rFonts w:ascii="Arial" w:eastAsiaTheme="majorEastAsia" w:hAnsi="Arial" w:cs="Arial"/>
        </w:rPr>
        <w:t>International Journal of Organizational Leadership</w:t>
      </w:r>
      <w:r w:rsidRPr="001322DE">
        <w:rPr>
          <w:rFonts w:ascii="Arial" w:hAnsi="Arial" w:cs="Arial"/>
        </w:rPr>
        <w:t xml:space="preserve">, 6(1), pp. 65–72. </w:t>
      </w:r>
      <w:hyperlink r:id="rId19" w:history="1">
        <w:r w:rsidRPr="001322DE">
          <w:rPr>
            <w:rStyle w:val="Hyperlink"/>
            <w:rFonts w:ascii="Arial" w:eastAsiaTheme="majorEastAsia" w:hAnsi="Arial" w:cs="Arial"/>
          </w:rPr>
          <w:t>https://doi.org/10.33844/ijol.2017.60432</w:t>
        </w:r>
      </w:hyperlink>
    </w:p>
    <w:p w14:paraId="6DAF31B6" w14:textId="77777777" w:rsidR="00DA74D0" w:rsidRPr="001322DE" w:rsidRDefault="00DA74D0" w:rsidP="001322DE">
      <w:pPr>
        <w:pStyle w:val="font-claude-response-body"/>
        <w:spacing w:line="360" w:lineRule="auto"/>
        <w:jc w:val="both"/>
        <w:rPr>
          <w:rFonts w:ascii="Arial" w:hAnsi="Arial" w:cs="Arial"/>
        </w:rPr>
      </w:pPr>
      <w:proofErr w:type="spellStart"/>
      <w:r w:rsidRPr="001322DE">
        <w:rPr>
          <w:rFonts w:ascii="Arial" w:hAnsi="Arial" w:cs="Arial"/>
        </w:rPr>
        <w:t>Onyeneke</w:t>
      </w:r>
      <w:proofErr w:type="spellEnd"/>
      <w:r w:rsidRPr="001322DE">
        <w:rPr>
          <w:rFonts w:ascii="Arial" w:hAnsi="Arial" w:cs="Arial"/>
        </w:rPr>
        <w:t xml:space="preserve">, G.B. and Abe, T. (2021) 'The effect of change leadership on employee attitude to organisational change', </w:t>
      </w:r>
      <w:r w:rsidRPr="001322DE">
        <w:rPr>
          <w:rStyle w:val="Emphasis"/>
          <w:rFonts w:ascii="Arial" w:eastAsiaTheme="majorEastAsia" w:hAnsi="Arial" w:cs="Arial"/>
        </w:rPr>
        <w:t>Management and Labour Studies</w:t>
      </w:r>
      <w:r w:rsidRPr="001322DE">
        <w:rPr>
          <w:rFonts w:ascii="Arial" w:hAnsi="Arial" w:cs="Arial"/>
        </w:rPr>
        <w:t xml:space="preserve">, 46(3), pp. 339–355. </w:t>
      </w:r>
      <w:hyperlink r:id="rId20" w:history="1">
        <w:r w:rsidRPr="001322DE">
          <w:rPr>
            <w:rStyle w:val="Hyperlink"/>
            <w:rFonts w:ascii="Arial" w:eastAsiaTheme="majorEastAsia" w:hAnsi="Arial" w:cs="Arial"/>
          </w:rPr>
          <w:t>https://doi.org/10.1108/JOCM-08-2020-0244</w:t>
        </w:r>
      </w:hyperlink>
    </w:p>
    <w:p w14:paraId="75130FA5"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lastRenderedPageBreak/>
        <w:t xml:space="preserve">Robbins, S.P. and Judge, T.A. (2021) </w:t>
      </w:r>
      <w:r w:rsidRPr="001322DE">
        <w:rPr>
          <w:rStyle w:val="Emphasis"/>
          <w:rFonts w:ascii="Arial" w:eastAsiaTheme="majorEastAsia" w:hAnsi="Arial" w:cs="Arial"/>
        </w:rPr>
        <w:t xml:space="preserve">Organizational </w:t>
      </w:r>
      <w:proofErr w:type="spellStart"/>
      <w:r w:rsidRPr="001322DE">
        <w:rPr>
          <w:rStyle w:val="Emphasis"/>
          <w:rFonts w:ascii="Arial" w:eastAsiaTheme="majorEastAsia" w:hAnsi="Arial" w:cs="Arial"/>
        </w:rPr>
        <w:t>Behavior</w:t>
      </w:r>
      <w:proofErr w:type="spellEnd"/>
      <w:r w:rsidRPr="001322DE">
        <w:rPr>
          <w:rFonts w:ascii="Arial" w:hAnsi="Arial" w:cs="Arial"/>
        </w:rPr>
        <w:t xml:space="preserve">. 18th </w:t>
      </w:r>
      <w:proofErr w:type="spellStart"/>
      <w:r w:rsidRPr="001322DE">
        <w:rPr>
          <w:rFonts w:ascii="Arial" w:hAnsi="Arial" w:cs="Arial"/>
        </w:rPr>
        <w:t>edn</w:t>
      </w:r>
      <w:proofErr w:type="spellEnd"/>
      <w:r w:rsidRPr="001322DE">
        <w:rPr>
          <w:rFonts w:ascii="Arial" w:hAnsi="Arial" w:cs="Arial"/>
        </w:rPr>
        <w:t>. Upper Saddle River, NJ: Pearson Education.</w:t>
      </w:r>
    </w:p>
    <w:p w14:paraId="774C28CB"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Schein, E.H. and Schein, P.A. (2017) </w:t>
      </w:r>
      <w:r w:rsidRPr="001322DE">
        <w:rPr>
          <w:rStyle w:val="Emphasis"/>
          <w:rFonts w:ascii="Arial" w:eastAsiaTheme="majorEastAsia" w:hAnsi="Arial" w:cs="Arial"/>
        </w:rPr>
        <w:t>Organizational Culture and Leadership</w:t>
      </w:r>
      <w:r w:rsidRPr="001322DE">
        <w:rPr>
          <w:rFonts w:ascii="Arial" w:hAnsi="Arial" w:cs="Arial"/>
        </w:rPr>
        <w:t xml:space="preserve">. 5th </w:t>
      </w:r>
      <w:proofErr w:type="spellStart"/>
      <w:r w:rsidRPr="001322DE">
        <w:rPr>
          <w:rFonts w:ascii="Arial" w:hAnsi="Arial" w:cs="Arial"/>
        </w:rPr>
        <w:t>edn</w:t>
      </w:r>
      <w:proofErr w:type="spellEnd"/>
      <w:r w:rsidRPr="001322DE">
        <w:rPr>
          <w:rFonts w:ascii="Arial" w:hAnsi="Arial" w:cs="Arial"/>
        </w:rPr>
        <w:t>. Hoboken, NJ: John Wiley &amp; Sons.</w:t>
      </w:r>
    </w:p>
    <w:p w14:paraId="3FC5FDB0" w14:textId="77777777" w:rsidR="00DA74D0" w:rsidRPr="001322DE" w:rsidRDefault="00DA74D0" w:rsidP="001322DE">
      <w:pPr>
        <w:pStyle w:val="font-claude-response-body"/>
        <w:spacing w:line="360" w:lineRule="auto"/>
        <w:jc w:val="both"/>
        <w:rPr>
          <w:rFonts w:ascii="Arial" w:hAnsi="Arial" w:cs="Arial"/>
        </w:rPr>
      </w:pPr>
      <w:r w:rsidRPr="001322DE">
        <w:rPr>
          <w:rFonts w:ascii="Arial" w:hAnsi="Arial" w:cs="Arial"/>
        </w:rPr>
        <w:t xml:space="preserve">Tesco PLC (2025) </w:t>
      </w:r>
      <w:r w:rsidRPr="001322DE">
        <w:rPr>
          <w:rStyle w:val="Emphasis"/>
          <w:rFonts w:ascii="Arial" w:eastAsiaTheme="majorEastAsia" w:hAnsi="Arial" w:cs="Arial"/>
        </w:rPr>
        <w:t>Annual Report and Financial Statements 2025</w:t>
      </w:r>
      <w:r w:rsidRPr="001322DE">
        <w:rPr>
          <w:rFonts w:ascii="Arial" w:hAnsi="Arial" w:cs="Arial"/>
        </w:rPr>
        <w:t xml:space="preserve">. Welwyn Garden City: Tesco PLC. Available at: </w:t>
      </w:r>
      <w:hyperlink r:id="rId21" w:history="1">
        <w:r w:rsidRPr="001322DE">
          <w:rPr>
            <w:rStyle w:val="Hyperlink"/>
            <w:rFonts w:ascii="Arial" w:eastAsiaTheme="majorEastAsia" w:hAnsi="Arial" w:cs="Arial"/>
          </w:rPr>
          <w:t>https://www.tescoplc.com/media/ky0bfwpo/tesco_ar25_interactive.pdf</w:t>
        </w:r>
      </w:hyperlink>
      <w:r w:rsidRPr="001322DE">
        <w:rPr>
          <w:rFonts w:ascii="Arial" w:hAnsi="Arial" w:cs="Arial"/>
        </w:rPr>
        <w:t xml:space="preserve"> (Accessed: 15 April 2026).</w:t>
      </w:r>
    </w:p>
    <w:p w14:paraId="4B4F4AED" w14:textId="77777777" w:rsidR="00AB7F53" w:rsidRPr="001322DE" w:rsidRDefault="00AB7F53" w:rsidP="001322DE">
      <w:pPr>
        <w:spacing w:line="360" w:lineRule="auto"/>
        <w:jc w:val="both"/>
        <w:rPr>
          <w:rFonts w:ascii="Arial" w:hAnsi="Arial" w:cs="Arial"/>
        </w:rPr>
      </w:pPr>
    </w:p>
    <w:sectPr w:rsidR="00AB7F53" w:rsidRPr="001322DE">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71716" w14:textId="77777777" w:rsidR="0062616A" w:rsidRDefault="0062616A" w:rsidP="001322DE">
      <w:r>
        <w:separator/>
      </w:r>
    </w:p>
  </w:endnote>
  <w:endnote w:type="continuationSeparator" w:id="0">
    <w:p w14:paraId="769F6FEA" w14:textId="77777777" w:rsidR="0062616A" w:rsidRDefault="0062616A" w:rsidP="00132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1"/>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89315683"/>
      <w:docPartObj>
        <w:docPartGallery w:val="Page Numbers (Bottom of Page)"/>
        <w:docPartUnique/>
      </w:docPartObj>
    </w:sdtPr>
    <w:sdtContent>
      <w:p w14:paraId="173551A4" w14:textId="078AAF35" w:rsidR="001322DE" w:rsidRDefault="001322DE" w:rsidP="008E39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46FBC4" w14:textId="77777777" w:rsidR="001322DE" w:rsidRDefault="001322DE" w:rsidP="001322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08666992"/>
      <w:docPartObj>
        <w:docPartGallery w:val="Page Numbers (Bottom of Page)"/>
        <w:docPartUnique/>
      </w:docPartObj>
    </w:sdtPr>
    <w:sdtContent>
      <w:p w14:paraId="599E234D" w14:textId="7CBDE4B4" w:rsidR="001322DE" w:rsidRDefault="001322DE" w:rsidP="008E39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0DB323" w14:textId="77777777" w:rsidR="001322DE" w:rsidRDefault="001322DE" w:rsidP="001322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4D32B1" w14:textId="77777777" w:rsidR="0062616A" w:rsidRDefault="0062616A" w:rsidP="001322DE">
      <w:r>
        <w:separator/>
      </w:r>
    </w:p>
  </w:footnote>
  <w:footnote w:type="continuationSeparator" w:id="0">
    <w:p w14:paraId="61679C4C" w14:textId="77777777" w:rsidR="0062616A" w:rsidRDefault="0062616A" w:rsidP="001322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35"/>
    <w:rsid w:val="0000432C"/>
    <w:rsid w:val="00006705"/>
    <w:rsid w:val="00021564"/>
    <w:rsid w:val="0005061F"/>
    <w:rsid w:val="00055BF7"/>
    <w:rsid w:val="00057B94"/>
    <w:rsid w:val="0007469A"/>
    <w:rsid w:val="000D5945"/>
    <w:rsid w:val="000F33DC"/>
    <w:rsid w:val="001322DE"/>
    <w:rsid w:val="00132643"/>
    <w:rsid w:val="00133240"/>
    <w:rsid w:val="00136559"/>
    <w:rsid w:val="001F0D78"/>
    <w:rsid w:val="002053A4"/>
    <w:rsid w:val="002140AD"/>
    <w:rsid w:val="00286FB7"/>
    <w:rsid w:val="002A3470"/>
    <w:rsid w:val="002A4498"/>
    <w:rsid w:val="002C7742"/>
    <w:rsid w:val="00301F9E"/>
    <w:rsid w:val="003206F3"/>
    <w:rsid w:val="00320AA0"/>
    <w:rsid w:val="00344A29"/>
    <w:rsid w:val="00373D23"/>
    <w:rsid w:val="00395048"/>
    <w:rsid w:val="003D51CC"/>
    <w:rsid w:val="00417CA0"/>
    <w:rsid w:val="00470071"/>
    <w:rsid w:val="004C372A"/>
    <w:rsid w:val="004D636C"/>
    <w:rsid w:val="00506735"/>
    <w:rsid w:val="00540304"/>
    <w:rsid w:val="00545B90"/>
    <w:rsid w:val="00565AE3"/>
    <w:rsid w:val="005D4B0F"/>
    <w:rsid w:val="005D702D"/>
    <w:rsid w:val="005E25D6"/>
    <w:rsid w:val="005E77DD"/>
    <w:rsid w:val="00601322"/>
    <w:rsid w:val="00611A18"/>
    <w:rsid w:val="0062616A"/>
    <w:rsid w:val="006316B5"/>
    <w:rsid w:val="00662A4E"/>
    <w:rsid w:val="00662F21"/>
    <w:rsid w:val="00683735"/>
    <w:rsid w:val="00683A96"/>
    <w:rsid w:val="006A4065"/>
    <w:rsid w:val="006B3F01"/>
    <w:rsid w:val="006B6AB0"/>
    <w:rsid w:val="006B7FBA"/>
    <w:rsid w:val="006D37E5"/>
    <w:rsid w:val="00747733"/>
    <w:rsid w:val="00756629"/>
    <w:rsid w:val="00770B73"/>
    <w:rsid w:val="007B34CB"/>
    <w:rsid w:val="007F6CD4"/>
    <w:rsid w:val="008728D4"/>
    <w:rsid w:val="008C3E7C"/>
    <w:rsid w:val="008F1650"/>
    <w:rsid w:val="008F1AA5"/>
    <w:rsid w:val="008F6B98"/>
    <w:rsid w:val="008F6C22"/>
    <w:rsid w:val="00900C54"/>
    <w:rsid w:val="009472F8"/>
    <w:rsid w:val="00955BE3"/>
    <w:rsid w:val="0097053B"/>
    <w:rsid w:val="009758EA"/>
    <w:rsid w:val="00994B02"/>
    <w:rsid w:val="009A3638"/>
    <w:rsid w:val="009B300F"/>
    <w:rsid w:val="009D6A1F"/>
    <w:rsid w:val="00A3576E"/>
    <w:rsid w:val="00A43823"/>
    <w:rsid w:val="00A911B3"/>
    <w:rsid w:val="00AB7F53"/>
    <w:rsid w:val="00AC6639"/>
    <w:rsid w:val="00AD1B0A"/>
    <w:rsid w:val="00AD1C57"/>
    <w:rsid w:val="00AD293B"/>
    <w:rsid w:val="00B04850"/>
    <w:rsid w:val="00B2150A"/>
    <w:rsid w:val="00B306B5"/>
    <w:rsid w:val="00B30C2A"/>
    <w:rsid w:val="00B35223"/>
    <w:rsid w:val="00B924B6"/>
    <w:rsid w:val="00B93099"/>
    <w:rsid w:val="00BA2AB3"/>
    <w:rsid w:val="00BC7C8C"/>
    <w:rsid w:val="00BD13E2"/>
    <w:rsid w:val="00BD3AE3"/>
    <w:rsid w:val="00BE30A5"/>
    <w:rsid w:val="00C0003F"/>
    <w:rsid w:val="00C131DD"/>
    <w:rsid w:val="00C13AB8"/>
    <w:rsid w:val="00C3684C"/>
    <w:rsid w:val="00C83EA3"/>
    <w:rsid w:val="00C84378"/>
    <w:rsid w:val="00C942A3"/>
    <w:rsid w:val="00CA64E6"/>
    <w:rsid w:val="00CB4824"/>
    <w:rsid w:val="00CB6642"/>
    <w:rsid w:val="00CC76CE"/>
    <w:rsid w:val="00CD513F"/>
    <w:rsid w:val="00D00CEC"/>
    <w:rsid w:val="00D1218C"/>
    <w:rsid w:val="00D2504A"/>
    <w:rsid w:val="00D55C6C"/>
    <w:rsid w:val="00D75FC5"/>
    <w:rsid w:val="00DA74D0"/>
    <w:rsid w:val="00DB74D3"/>
    <w:rsid w:val="00DF325C"/>
    <w:rsid w:val="00E05E40"/>
    <w:rsid w:val="00E510FD"/>
    <w:rsid w:val="00E63465"/>
    <w:rsid w:val="00E6424D"/>
    <w:rsid w:val="00E7000D"/>
    <w:rsid w:val="00EA6CDF"/>
    <w:rsid w:val="00EA7143"/>
    <w:rsid w:val="00EB32ED"/>
    <w:rsid w:val="00EF36B3"/>
    <w:rsid w:val="00F05904"/>
    <w:rsid w:val="00F321FA"/>
    <w:rsid w:val="00F32CCE"/>
    <w:rsid w:val="00F474C6"/>
    <w:rsid w:val="00F80F1F"/>
    <w:rsid w:val="00FA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A98B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7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37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37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7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7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7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37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37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7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7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7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35"/>
    <w:rPr>
      <w:rFonts w:eastAsiaTheme="majorEastAsia" w:cstheme="majorBidi"/>
      <w:color w:val="272727" w:themeColor="text1" w:themeTint="D8"/>
    </w:rPr>
  </w:style>
  <w:style w:type="paragraph" w:styleId="Title">
    <w:name w:val="Title"/>
    <w:basedOn w:val="Normal"/>
    <w:next w:val="Normal"/>
    <w:link w:val="TitleChar"/>
    <w:uiPriority w:val="10"/>
    <w:qFormat/>
    <w:rsid w:val="006837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7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3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3735"/>
    <w:rPr>
      <w:i/>
      <w:iCs/>
      <w:color w:val="404040" w:themeColor="text1" w:themeTint="BF"/>
    </w:rPr>
  </w:style>
  <w:style w:type="paragraph" w:styleId="ListParagraph">
    <w:name w:val="List Paragraph"/>
    <w:basedOn w:val="Normal"/>
    <w:uiPriority w:val="34"/>
    <w:qFormat/>
    <w:rsid w:val="00683735"/>
    <w:pPr>
      <w:ind w:left="720"/>
      <w:contextualSpacing/>
    </w:pPr>
  </w:style>
  <w:style w:type="character" w:styleId="IntenseEmphasis">
    <w:name w:val="Intense Emphasis"/>
    <w:basedOn w:val="DefaultParagraphFont"/>
    <w:uiPriority w:val="21"/>
    <w:qFormat/>
    <w:rsid w:val="00683735"/>
    <w:rPr>
      <w:i/>
      <w:iCs/>
      <w:color w:val="0F4761" w:themeColor="accent1" w:themeShade="BF"/>
    </w:rPr>
  </w:style>
  <w:style w:type="paragraph" w:styleId="IntenseQuote">
    <w:name w:val="Intense Quote"/>
    <w:basedOn w:val="Normal"/>
    <w:next w:val="Normal"/>
    <w:link w:val="IntenseQuoteChar"/>
    <w:uiPriority w:val="30"/>
    <w:qFormat/>
    <w:rsid w:val="006837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735"/>
    <w:rPr>
      <w:i/>
      <w:iCs/>
      <w:color w:val="0F4761" w:themeColor="accent1" w:themeShade="BF"/>
    </w:rPr>
  </w:style>
  <w:style w:type="character" w:styleId="IntenseReference">
    <w:name w:val="Intense Reference"/>
    <w:basedOn w:val="DefaultParagraphFont"/>
    <w:uiPriority w:val="32"/>
    <w:qFormat/>
    <w:rsid w:val="00683735"/>
    <w:rPr>
      <w:b/>
      <w:bCs/>
      <w:smallCaps/>
      <w:color w:val="0F4761" w:themeColor="accent1" w:themeShade="BF"/>
      <w:spacing w:val="5"/>
    </w:rPr>
  </w:style>
  <w:style w:type="paragraph" w:customStyle="1" w:styleId="font-claude-response-body">
    <w:name w:val="font-claude-response-body"/>
    <w:basedOn w:val="Normal"/>
    <w:rsid w:val="00DA74D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A74D0"/>
    <w:rPr>
      <w:i/>
      <w:iCs/>
    </w:rPr>
  </w:style>
  <w:style w:type="character" w:styleId="Hyperlink">
    <w:name w:val="Hyperlink"/>
    <w:basedOn w:val="DefaultParagraphFont"/>
    <w:uiPriority w:val="99"/>
    <w:unhideWhenUsed/>
    <w:rsid w:val="00DA74D0"/>
    <w:rPr>
      <w:color w:val="0000FF"/>
      <w:u w:val="single"/>
    </w:rPr>
  </w:style>
  <w:style w:type="paragraph" w:styleId="Footer">
    <w:name w:val="footer"/>
    <w:basedOn w:val="Normal"/>
    <w:link w:val="FooterChar"/>
    <w:uiPriority w:val="99"/>
    <w:unhideWhenUsed/>
    <w:rsid w:val="001322DE"/>
    <w:pPr>
      <w:tabs>
        <w:tab w:val="center" w:pos="4513"/>
        <w:tab w:val="right" w:pos="9026"/>
      </w:tabs>
    </w:pPr>
  </w:style>
  <w:style w:type="character" w:customStyle="1" w:styleId="FooterChar">
    <w:name w:val="Footer Char"/>
    <w:basedOn w:val="DefaultParagraphFont"/>
    <w:link w:val="Footer"/>
    <w:uiPriority w:val="99"/>
    <w:rsid w:val="001322DE"/>
  </w:style>
  <w:style w:type="character" w:styleId="PageNumber">
    <w:name w:val="page number"/>
    <w:basedOn w:val="DefaultParagraphFont"/>
    <w:uiPriority w:val="99"/>
    <w:semiHidden/>
    <w:unhideWhenUsed/>
    <w:rsid w:val="001322DE"/>
  </w:style>
  <w:style w:type="paragraph" w:styleId="TOCHeading">
    <w:name w:val="TOC Heading"/>
    <w:basedOn w:val="Heading1"/>
    <w:next w:val="Normal"/>
    <w:uiPriority w:val="39"/>
    <w:unhideWhenUsed/>
    <w:qFormat/>
    <w:rsid w:val="001322D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322DE"/>
    <w:pPr>
      <w:spacing w:before="240" w:after="120"/>
    </w:pPr>
    <w:rPr>
      <w:b/>
      <w:bCs/>
      <w:sz w:val="20"/>
      <w:szCs w:val="20"/>
    </w:rPr>
  </w:style>
  <w:style w:type="paragraph" w:styleId="TOC2">
    <w:name w:val="toc 2"/>
    <w:basedOn w:val="Normal"/>
    <w:next w:val="Normal"/>
    <w:autoRedefine/>
    <w:uiPriority w:val="39"/>
    <w:unhideWhenUsed/>
    <w:rsid w:val="001322DE"/>
    <w:pPr>
      <w:spacing w:before="120"/>
      <w:ind w:left="240"/>
    </w:pPr>
    <w:rPr>
      <w:i/>
      <w:iCs/>
      <w:sz w:val="20"/>
      <w:szCs w:val="20"/>
    </w:rPr>
  </w:style>
  <w:style w:type="paragraph" w:styleId="TOC3">
    <w:name w:val="toc 3"/>
    <w:basedOn w:val="Normal"/>
    <w:next w:val="Normal"/>
    <w:autoRedefine/>
    <w:uiPriority w:val="39"/>
    <w:semiHidden/>
    <w:unhideWhenUsed/>
    <w:rsid w:val="001322DE"/>
    <w:pPr>
      <w:ind w:left="480"/>
    </w:pPr>
    <w:rPr>
      <w:sz w:val="20"/>
      <w:szCs w:val="20"/>
    </w:rPr>
  </w:style>
  <w:style w:type="paragraph" w:styleId="TOC4">
    <w:name w:val="toc 4"/>
    <w:basedOn w:val="Normal"/>
    <w:next w:val="Normal"/>
    <w:autoRedefine/>
    <w:uiPriority w:val="39"/>
    <w:semiHidden/>
    <w:unhideWhenUsed/>
    <w:rsid w:val="001322DE"/>
    <w:pPr>
      <w:ind w:left="720"/>
    </w:pPr>
    <w:rPr>
      <w:sz w:val="20"/>
      <w:szCs w:val="20"/>
    </w:rPr>
  </w:style>
  <w:style w:type="paragraph" w:styleId="TOC5">
    <w:name w:val="toc 5"/>
    <w:basedOn w:val="Normal"/>
    <w:next w:val="Normal"/>
    <w:autoRedefine/>
    <w:uiPriority w:val="39"/>
    <w:semiHidden/>
    <w:unhideWhenUsed/>
    <w:rsid w:val="001322DE"/>
    <w:pPr>
      <w:ind w:left="960"/>
    </w:pPr>
    <w:rPr>
      <w:sz w:val="20"/>
      <w:szCs w:val="20"/>
    </w:rPr>
  </w:style>
  <w:style w:type="paragraph" w:styleId="TOC6">
    <w:name w:val="toc 6"/>
    <w:basedOn w:val="Normal"/>
    <w:next w:val="Normal"/>
    <w:autoRedefine/>
    <w:uiPriority w:val="39"/>
    <w:semiHidden/>
    <w:unhideWhenUsed/>
    <w:rsid w:val="001322DE"/>
    <w:pPr>
      <w:ind w:left="1200"/>
    </w:pPr>
    <w:rPr>
      <w:sz w:val="20"/>
      <w:szCs w:val="20"/>
    </w:rPr>
  </w:style>
  <w:style w:type="paragraph" w:styleId="TOC7">
    <w:name w:val="toc 7"/>
    <w:basedOn w:val="Normal"/>
    <w:next w:val="Normal"/>
    <w:autoRedefine/>
    <w:uiPriority w:val="39"/>
    <w:semiHidden/>
    <w:unhideWhenUsed/>
    <w:rsid w:val="001322DE"/>
    <w:pPr>
      <w:ind w:left="1440"/>
    </w:pPr>
    <w:rPr>
      <w:sz w:val="20"/>
      <w:szCs w:val="20"/>
    </w:rPr>
  </w:style>
  <w:style w:type="paragraph" w:styleId="TOC8">
    <w:name w:val="toc 8"/>
    <w:basedOn w:val="Normal"/>
    <w:next w:val="Normal"/>
    <w:autoRedefine/>
    <w:uiPriority w:val="39"/>
    <w:semiHidden/>
    <w:unhideWhenUsed/>
    <w:rsid w:val="001322DE"/>
    <w:pPr>
      <w:ind w:left="1680"/>
    </w:pPr>
    <w:rPr>
      <w:sz w:val="20"/>
      <w:szCs w:val="20"/>
    </w:rPr>
  </w:style>
  <w:style w:type="paragraph" w:styleId="TOC9">
    <w:name w:val="toc 9"/>
    <w:basedOn w:val="Normal"/>
    <w:next w:val="Normal"/>
    <w:autoRedefine/>
    <w:uiPriority w:val="39"/>
    <w:semiHidden/>
    <w:unhideWhenUsed/>
    <w:rsid w:val="001322DE"/>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649666">
      <w:bodyDiv w:val="1"/>
      <w:marLeft w:val="0"/>
      <w:marRight w:val="0"/>
      <w:marTop w:val="0"/>
      <w:marBottom w:val="0"/>
      <w:divBdr>
        <w:top w:val="none" w:sz="0" w:space="0" w:color="auto"/>
        <w:left w:val="none" w:sz="0" w:space="0" w:color="auto"/>
        <w:bottom w:val="none" w:sz="0" w:space="0" w:color="auto"/>
        <w:right w:val="none" w:sz="0" w:space="0" w:color="auto"/>
      </w:divBdr>
    </w:div>
    <w:div w:id="138158365">
      <w:bodyDiv w:val="1"/>
      <w:marLeft w:val="0"/>
      <w:marRight w:val="0"/>
      <w:marTop w:val="0"/>
      <w:marBottom w:val="0"/>
      <w:divBdr>
        <w:top w:val="none" w:sz="0" w:space="0" w:color="auto"/>
        <w:left w:val="none" w:sz="0" w:space="0" w:color="auto"/>
        <w:bottom w:val="none" w:sz="0" w:space="0" w:color="auto"/>
        <w:right w:val="none" w:sz="0" w:space="0" w:color="auto"/>
      </w:divBdr>
    </w:div>
    <w:div w:id="1296058822">
      <w:bodyDiv w:val="1"/>
      <w:marLeft w:val="0"/>
      <w:marRight w:val="0"/>
      <w:marTop w:val="0"/>
      <w:marBottom w:val="0"/>
      <w:divBdr>
        <w:top w:val="none" w:sz="0" w:space="0" w:color="auto"/>
        <w:left w:val="none" w:sz="0" w:space="0" w:color="auto"/>
        <w:bottom w:val="none" w:sz="0" w:space="0" w:color="auto"/>
        <w:right w:val="none" w:sz="0" w:space="0" w:color="auto"/>
      </w:divBdr>
    </w:div>
    <w:div w:id="1495300241">
      <w:bodyDiv w:val="1"/>
      <w:marLeft w:val="0"/>
      <w:marRight w:val="0"/>
      <w:marTop w:val="0"/>
      <w:marBottom w:val="0"/>
      <w:divBdr>
        <w:top w:val="none" w:sz="0" w:space="0" w:color="auto"/>
        <w:left w:val="none" w:sz="0" w:space="0" w:color="auto"/>
        <w:bottom w:val="none" w:sz="0" w:space="0" w:color="auto"/>
        <w:right w:val="none" w:sz="0" w:space="0" w:color="auto"/>
      </w:divBdr>
    </w:div>
    <w:div w:id="1519733938">
      <w:bodyDiv w:val="1"/>
      <w:marLeft w:val="0"/>
      <w:marRight w:val="0"/>
      <w:marTop w:val="0"/>
      <w:marBottom w:val="0"/>
      <w:divBdr>
        <w:top w:val="none" w:sz="0" w:space="0" w:color="auto"/>
        <w:left w:val="none" w:sz="0" w:space="0" w:color="auto"/>
        <w:bottom w:val="none" w:sz="0" w:space="0" w:color="auto"/>
        <w:right w:val="none" w:sz="0" w:space="0" w:color="auto"/>
      </w:divBdr>
    </w:div>
    <w:div w:id="196314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bspro.2016.09.057" TargetMode="External"/><Relationship Id="rId13" Type="http://schemas.openxmlformats.org/officeDocument/2006/relationships/hyperlink" Target="https://doi.org/10.1108/MEDAR-09-2019-0574" TargetMode="External"/><Relationship Id="rId18" Type="http://schemas.openxmlformats.org/officeDocument/2006/relationships/hyperlink" Target="https://doi.org/10.1177/2158244019835934" TargetMode="External"/><Relationship Id="rId3" Type="http://schemas.openxmlformats.org/officeDocument/2006/relationships/settings" Target="settings.xml"/><Relationship Id="rId21" Type="http://schemas.openxmlformats.org/officeDocument/2006/relationships/hyperlink" Target="https://www.tescoplc.com/media/ky0bfwpo/tesco_ar25_interactive.pdf" TargetMode="External"/><Relationship Id="rId7" Type="http://schemas.openxmlformats.org/officeDocument/2006/relationships/hyperlink" Target="https://doi.org/10.1108/JMD-06-2019-0253" TargetMode="External"/><Relationship Id="rId12" Type="http://schemas.openxmlformats.org/officeDocument/2006/relationships/hyperlink" Target="https://doi.org/10.1177/0022022118798505" TargetMode="External"/><Relationship Id="rId17" Type="http://schemas.openxmlformats.org/officeDocument/2006/relationships/hyperlink" Target="https://doi.org/10.3389/fsoc.2023.119048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08/BPMJ-10-2018-0279" TargetMode="External"/><Relationship Id="rId20" Type="http://schemas.openxmlformats.org/officeDocument/2006/relationships/hyperlink" Target="https://doi.org/10.1108/JOCM-08-2020-024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techsoc.2021.10163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287/orsc.2022.16791" TargetMode="External"/><Relationship Id="rId23" Type="http://schemas.openxmlformats.org/officeDocument/2006/relationships/footer" Target="footer2.xml"/><Relationship Id="rId10" Type="http://schemas.openxmlformats.org/officeDocument/2006/relationships/hyperlink" Target="https://doi.org/10.35629/5252-0301361372" TargetMode="External"/><Relationship Id="rId19" Type="http://schemas.openxmlformats.org/officeDocument/2006/relationships/hyperlink" Target="https://doi.org/10.33844/ijol.2017.60432" TargetMode="External"/><Relationship Id="rId4" Type="http://schemas.openxmlformats.org/officeDocument/2006/relationships/webSettings" Target="webSettings.xml"/><Relationship Id="rId9" Type="http://schemas.openxmlformats.org/officeDocument/2006/relationships/hyperlink" Target="https://doi.org/10.1108/PR-08-2018-0280" TargetMode="External"/><Relationship Id="rId14" Type="http://schemas.openxmlformats.org/officeDocument/2006/relationships/hyperlink" Target="https://doi.org/10.1080/01608061.2016.120051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AF179-B710-D343-BFD2-AAC5837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4387</Words>
  <Characters>25007</Characters>
  <Application>Microsoft Office Word</Application>
  <DocSecurity>0</DocSecurity>
  <Lines>208</Lines>
  <Paragraphs>58</Paragraphs>
  <ScaleCrop>false</ScaleCrop>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2026-04-15T16:23:00Z</dcterms:created>
  <dcterms:modified xsi:type="dcterms:W3CDTF">2026-04-20T19:42:00Z</dcterms:modified>
</cp:coreProperties>
</file>