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6B25" w:rsidRDefault="00EF4BC8">
      <w:proofErr w:type="spellStart"/>
      <w:r>
        <w:t>Harpalos</w:t>
      </w:r>
      <w:proofErr w:type="spellEnd"/>
      <w:r>
        <w:t xml:space="preserve"> son of </w:t>
      </w:r>
      <w:proofErr w:type="spellStart"/>
      <w:r>
        <w:t>Machatas</w:t>
      </w:r>
      <w:proofErr w:type="spellEnd"/>
      <w:r w:rsidR="00145734">
        <w:t>: Character Dossier</w:t>
      </w:r>
    </w:p>
    <w:p w:rsidR="00EF4BC8" w:rsidRDefault="00EF4BC8"/>
    <w:p w:rsidR="009E26EC" w:rsidRDefault="00BF57B6" w:rsidP="00B216C2">
      <w:r>
        <w:t xml:space="preserve">The son of </w:t>
      </w:r>
      <w:proofErr w:type="spellStart"/>
      <w:r>
        <w:t>Machatas</w:t>
      </w:r>
      <w:proofErr w:type="spellEnd"/>
      <w:r>
        <w:t xml:space="preserve">, </w:t>
      </w:r>
      <w:proofErr w:type="spellStart"/>
      <w:r>
        <w:t>Harpalos</w:t>
      </w:r>
      <w:proofErr w:type="spellEnd"/>
      <w:r>
        <w:t xml:space="preserve"> wa</w:t>
      </w:r>
      <w:r w:rsidR="0073288B">
        <w:t>s lame and unfit for military service, and</w:t>
      </w:r>
      <w:r>
        <w:t xml:space="preserve"> </w:t>
      </w:r>
      <w:r w:rsidR="006E2918">
        <w:t>probably an old</w:t>
      </w:r>
      <w:r w:rsidR="0086142B">
        <w:t xml:space="preserve"> friend of Alexander </w:t>
      </w:r>
      <w:r w:rsidR="006E2918">
        <w:t>from the Upper R</w:t>
      </w:r>
      <w:r>
        <w:t xml:space="preserve">egion of Macedon, in </w:t>
      </w:r>
      <w:proofErr w:type="spellStart"/>
      <w:r>
        <w:t>Elimiotis</w:t>
      </w:r>
      <w:proofErr w:type="spellEnd"/>
      <w:r>
        <w:t>.</w:t>
      </w:r>
      <w:r>
        <w:rPr>
          <w:rStyle w:val="FootnoteReference"/>
        </w:rPr>
        <w:footnoteReference w:id="1"/>
      </w:r>
      <w:r>
        <w:t xml:space="preserve"> </w:t>
      </w:r>
      <w:r w:rsidR="000C6FD1">
        <w:t xml:space="preserve">Described as a companion </w:t>
      </w:r>
      <w:r w:rsidR="006E2918">
        <w:t>of Alexander during Philip’s reign</w:t>
      </w:r>
      <w:r w:rsidR="000C6FD1">
        <w:t xml:space="preserve">, </w:t>
      </w:r>
      <w:proofErr w:type="spellStart"/>
      <w:r w:rsidR="000C6FD1">
        <w:t>Harpalos</w:t>
      </w:r>
      <w:proofErr w:type="spellEnd"/>
      <w:r w:rsidR="000C6FD1">
        <w:t xml:space="preserve"> was banished by Philip to punish </w:t>
      </w:r>
      <w:r w:rsidR="006E2918">
        <w:t>Alexander.</w:t>
      </w:r>
      <w:r w:rsidR="006E2918">
        <w:rPr>
          <w:rStyle w:val="FootnoteReference"/>
        </w:rPr>
        <w:footnoteReference w:id="2"/>
      </w:r>
      <w:r w:rsidR="006E2918">
        <w:t xml:space="preserve"> </w:t>
      </w:r>
      <w:r w:rsidR="000C6FD1">
        <w:t xml:space="preserve">Alexander later recalled </w:t>
      </w:r>
      <w:r w:rsidR="006E2918">
        <w:t>Harpalos to</w:t>
      </w:r>
      <w:r w:rsidR="000C6FD1">
        <w:t xml:space="preserve"> his companionship.</w:t>
      </w:r>
      <w:r w:rsidR="000C6FD1">
        <w:rPr>
          <w:rStyle w:val="FootnoteReference"/>
        </w:rPr>
        <w:footnoteReference w:id="3"/>
      </w:r>
      <w:r w:rsidR="000C6FD1">
        <w:t xml:space="preserve"> </w:t>
      </w:r>
      <w:r w:rsidR="0068373C">
        <w:t xml:space="preserve">The potential son of </w:t>
      </w:r>
      <w:proofErr w:type="spellStart"/>
      <w:r w:rsidR="0068373C">
        <w:t>Harpalos</w:t>
      </w:r>
      <w:proofErr w:type="spellEnd"/>
      <w:r w:rsidR="0068373C">
        <w:t xml:space="preserve">, but </w:t>
      </w:r>
      <w:r w:rsidR="00145734">
        <w:t>probably</w:t>
      </w:r>
      <w:r w:rsidR="0068373C">
        <w:t xml:space="preserve"> his kinsman, </w:t>
      </w:r>
      <w:proofErr w:type="spellStart"/>
      <w:r w:rsidR="0068373C">
        <w:t>K</w:t>
      </w:r>
      <w:r w:rsidR="002E7C34">
        <w:t>allas</w:t>
      </w:r>
      <w:proofErr w:type="spellEnd"/>
      <w:r w:rsidR="002E7C34">
        <w:t xml:space="preserve">, is a Thessalian cavalry </w:t>
      </w:r>
      <w:r w:rsidR="008D2C07">
        <w:t xml:space="preserve">commander </w:t>
      </w:r>
      <w:r w:rsidR="002E7C34">
        <w:t>under Alexander.</w:t>
      </w:r>
      <w:r w:rsidR="002E7C34">
        <w:rPr>
          <w:rStyle w:val="FootnoteReference"/>
        </w:rPr>
        <w:footnoteReference w:id="4"/>
      </w:r>
      <w:r w:rsidR="00756B49">
        <w:t xml:space="preserve"> </w:t>
      </w:r>
    </w:p>
    <w:p w:rsidR="00B216C2" w:rsidRDefault="00B25FB0" w:rsidP="00B216C2">
      <w:r>
        <w:t xml:space="preserve">Unlike the second time Harpalos flees, the first time is recorded only by Arrian, who says </w:t>
      </w:r>
      <w:r w:rsidR="00941FAC">
        <w:t xml:space="preserve">that due to him being lame, </w:t>
      </w:r>
      <w:proofErr w:type="spellStart"/>
      <w:r w:rsidR="00941FAC">
        <w:t>Harpalos</w:t>
      </w:r>
      <w:proofErr w:type="spellEnd"/>
      <w:r w:rsidR="00941FAC">
        <w:t xml:space="preserve"> was </w:t>
      </w:r>
      <w:r w:rsidR="008D2C07">
        <w:t>made treasurer</w:t>
      </w:r>
      <w:r w:rsidR="00941FAC">
        <w:t>, and before the battle of Issus, he absconded under the influence of ‘an evil man’.</w:t>
      </w:r>
      <w:r w:rsidR="00941FAC">
        <w:rPr>
          <w:rStyle w:val="FootnoteReference"/>
        </w:rPr>
        <w:footnoteReference w:id="5"/>
      </w:r>
      <w:r w:rsidR="00941FAC">
        <w:t xml:space="preserve"> It may be more</w:t>
      </w:r>
      <w:r w:rsidR="006E2918">
        <w:t xml:space="preserve"> likely that Harpalos feared</w:t>
      </w:r>
      <w:r w:rsidR="00941FAC">
        <w:t xml:space="preserve"> that Alexander was about to lose the battle and flee</w:t>
      </w:r>
      <w:r w:rsidR="008D2C07">
        <w:t>, which is more likely than this ‘evil man’ excuse in Arrian</w:t>
      </w:r>
      <w:r w:rsidR="006E2918">
        <w:t>.</w:t>
      </w:r>
      <w:r w:rsidR="00765956">
        <w:rPr>
          <w:rStyle w:val="FootnoteReference"/>
        </w:rPr>
        <w:footnoteReference w:id="6"/>
      </w:r>
      <w:r w:rsidR="00941FAC">
        <w:t xml:space="preserve"> </w:t>
      </w:r>
      <w:r w:rsidR="00F15805">
        <w:t xml:space="preserve">Again, </w:t>
      </w:r>
      <w:proofErr w:type="spellStart"/>
      <w:r w:rsidR="00F7620B">
        <w:t>Heckel’s</w:t>
      </w:r>
      <w:proofErr w:type="spellEnd"/>
      <w:r w:rsidR="00F7620B">
        <w:t xml:space="preserve"> explanation that Alexander was going to replace Harpalos</w:t>
      </w:r>
      <w:r w:rsidR="00765956">
        <w:t>,</w:t>
      </w:r>
      <w:r w:rsidR="00F7620B">
        <w:t xml:space="preserve"> and in protest </w:t>
      </w:r>
      <w:proofErr w:type="spellStart"/>
      <w:r w:rsidR="00F7620B">
        <w:t>Harpalos</w:t>
      </w:r>
      <w:proofErr w:type="spellEnd"/>
      <w:r w:rsidR="00F7620B">
        <w:t xml:space="preserve"> left, is unlikely </w:t>
      </w:r>
      <w:r w:rsidR="00765956">
        <w:t>as the evidence suggests he is fleeing out of fear and they are</w:t>
      </w:r>
      <w:r w:rsidR="00145734">
        <w:t xml:space="preserve"> often</w:t>
      </w:r>
      <w:r w:rsidR="00765956">
        <w:t xml:space="preserve"> described as</w:t>
      </w:r>
      <w:r w:rsidR="008923DD">
        <w:t xml:space="preserve"> friends</w:t>
      </w:r>
      <w:r w:rsidR="00145734">
        <w:t>.</w:t>
      </w:r>
      <w:r w:rsidR="00F7620B">
        <w:rPr>
          <w:rStyle w:val="FootnoteReference"/>
        </w:rPr>
        <w:footnoteReference w:id="7"/>
      </w:r>
      <w:r w:rsidR="00F7620B">
        <w:t xml:space="preserve"> </w:t>
      </w:r>
      <w:r w:rsidR="00F15805">
        <w:t>Ho</w:t>
      </w:r>
      <w:r w:rsidR="00B216C2">
        <w:t xml:space="preserve">wever, </w:t>
      </w:r>
      <w:r w:rsidR="00F15805">
        <w:t xml:space="preserve">Alexander </w:t>
      </w:r>
      <w:r w:rsidR="006E2918">
        <w:t>restores his position without</w:t>
      </w:r>
      <w:r w:rsidR="00B216C2">
        <w:t xml:space="preserve"> punishment, which attests to the friendship between the two</w:t>
      </w:r>
      <w:r w:rsidR="008923DD">
        <w:t>, although it could be that Alexander simply was in need of friends to restore order at this time</w:t>
      </w:r>
      <w:r w:rsidR="00B216C2">
        <w:rPr>
          <w:rStyle w:val="FootnoteReference"/>
        </w:rPr>
        <w:footnoteReference w:id="8"/>
      </w:r>
      <w:r w:rsidR="00B216C2">
        <w:t xml:space="preserve">. Harpalos was left in control at Babylon, and endeavoured </w:t>
      </w:r>
      <w:r w:rsidR="002D2101">
        <w:t xml:space="preserve">there </w:t>
      </w:r>
      <w:r w:rsidR="00B216C2">
        <w:t>to grow the plants of Macedon.</w:t>
      </w:r>
      <w:r w:rsidR="00B216C2">
        <w:rPr>
          <w:rStyle w:val="FootnoteReference"/>
        </w:rPr>
        <w:footnoteReference w:id="9"/>
      </w:r>
      <w:r w:rsidR="00B216C2">
        <w:t xml:space="preserve"> Harpalos was told to send Alexander books at one point, and it is implied he did the job effectively.</w:t>
      </w:r>
      <w:r w:rsidR="00B216C2">
        <w:rPr>
          <w:rStyle w:val="FootnoteReference"/>
        </w:rPr>
        <w:footnoteReference w:id="10"/>
      </w:r>
    </w:p>
    <w:p w:rsidR="009E26EC" w:rsidRDefault="007F7ABB">
      <w:r>
        <w:t>When Alexander went into India</w:t>
      </w:r>
      <w:r w:rsidR="00F15805">
        <w:t>,</w:t>
      </w:r>
      <w:r>
        <w:t xml:space="preserve"> Harpalos</w:t>
      </w:r>
      <w:r w:rsidR="008923DD">
        <w:t xml:space="preserve"> the imperial treasurer</w:t>
      </w:r>
      <w:r>
        <w:t xml:space="preserve"> believed he was not going to return, so he embezzled money from Babylon and used </w:t>
      </w:r>
      <w:r w:rsidR="00145734">
        <w:t xml:space="preserve">it </w:t>
      </w:r>
      <w:r>
        <w:t>to live a life of luxury</w:t>
      </w:r>
      <w:r w:rsidR="008923DD">
        <w:t>, drawing generously from the treasury and keeping a private army</w:t>
      </w:r>
      <w:r>
        <w:t>.</w:t>
      </w:r>
      <w:r>
        <w:rPr>
          <w:rStyle w:val="FootnoteReference"/>
        </w:rPr>
        <w:footnoteReference w:id="11"/>
      </w:r>
      <w:r w:rsidR="00F15805">
        <w:t xml:space="preserve"> </w:t>
      </w:r>
      <w:r w:rsidR="00BF57B6">
        <w:t xml:space="preserve">Harpalos is known to have strong relations with courtesans, having a daughter with one and </w:t>
      </w:r>
      <w:r w:rsidR="00266EE9">
        <w:t xml:space="preserve">to her </w:t>
      </w:r>
      <w:r w:rsidR="00BF57B6">
        <w:t xml:space="preserve">erecting a monument that </w:t>
      </w:r>
      <w:r w:rsidR="00266EE9">
        <w:t>is said</w:t>
      </w:r>
      <w:r w:rsidR="00145734">
        <w:t xml:space="preserve"> by Plutarch</w:t>
      </w:r>
      <w:r w:rsidR="00266EE9">
        <w:t xml:space="preserve"> to cost 30 talents</w:t>
      </w:r>
      <w:r w:rsidR="00BF57B6">
        <w:t>, which is more likely than the 200 talents</w:t>
      </w:r>
      <w:r w:rsidR="00266EE9">
        <w:t xml:space="preserve"> O’Brien attests to, </w:t>
      </w:r>
      <w:r w:rsidR="00145734">
        <w:t>which is a massive amount of wealth</w:t>
      </w:r>
      <w:r w:rsidR="00BF57B6">
        <w:t>.</w:t>
      </w:r>
      <w:r w:rsidR="00BF57B6">
        <w:rPr>
          <w:rStyle w:val="FootnoteReference"/>
        </w:rPr>
        <w:footnoteReference w:id="12"/>
      </w:r>
      <w:r w:rsidR="00BF57B6">
        <w:t xml:space="preserve"> </w:t>
      </w:r>
    </w:p>
    <w:p w:rsidR="005F7621" w:rsidRDefault="00BF57B6">
      <w:proofErr w:type="spellStart"/>
      <w:r>
        <w:t>Harpalos</w:t>
      </w:r>
      <w:proofErr w:type="spellEnd"/>
      <w:r>
        <w:t xml:space="preserve">’ love for this </w:t>
      </w:r>
      <w:r w:rsidR="00765956">
        <w:t>courtesan</w:t>
      </w:r>
      <w:r>
        <w:t xml:space="preserve"> was m</w:t>
      </w:r>
      <w:r w:rsidR="00266EE9">
        <w:t>ocked in a satirical play, which shows</w:t>
      </w:r>
      <w:r>
        <w:t xml:space="preserve"> his important position, and that hi</w:t>
      </w:r>
      <w:r w:rsidR="00266EE9">
        <w:t>s abuse of the treasury was known</w:t>
      </w:r>
      <w:r>
        <w:t>.</w:t>
      </w:r>
      <w:r>
        <w:rPr>
          <w:rStyle w:val="FootnoteReference"/>
        </w:rPr>
        <w:footnoteReference w:id="13"/>
      </w:r>
      <w:r>
        <w:t xml:space="preserve"> </w:t>
      </w:r>
      <w:r w:rsidR="00C71C73">
        <w:t>When Alexander returned, Harpalos fled to Athens</w:t>
      </w:r>
      <w:r>
        <w:t>—</w:t>
      </w:r>
      <w:r w:rsidR="00145734">
        <w:t xml:space="preserve">he was awarded citizenship there </w:t>
      </w:r>
      <w:r>
        <w:t>due to his aid to them during a famine—</w:t>
      </w:r>
      <w:r w:rsidR="00C71C73">
        <w:t>with 5000 talents of silver</w:t>
      </w:r>
      <w:r w:rsidR="00464648">
        <w:t>, 30 ships,</w:t>
      </w:r>
      <w:r w:rsidR="00C71C73">
        <w:t xml:space="preserve"> and 6000 mercenaries.</w:t>
      </w:r>
      <w:r w:rsidR="00C71C73">
        <w:rPr>
          <w:rStyle w:val="FootnoteReference"/>
        </w:rPr>
        <w:footnoteReference w:id="14"/>
      </w:r>
      <w:r w:rsidR="00C71C73">
        <w:t xml:space="preserve"> </w:t>
      </w:r>
      <w:r w:rsidR="00F15805">
        <w:t xml:space="preserve">Given that </w:t>
      </w:r>
      <w:proofErr w:type="spellStart"/>
      <w:r w:rsidR="00F15805">
        <w:t>Harpalos</w:t>
      </w:r>
      <w:proofErr w:type="spellEnd"/>
      <w:r w:rsidR="00F15805">
        <w:t xml:space="preserve"> </w:t>
      </w:r>
      <w:r w:rsidR="00145734">
        <w:t>flees</w:t>
      </w:r>
      <w:r w:rsidR="00F15805">
        <w:t xml:space="preserve"> twice, it is possible to gather that Harpalos’ character was very </w:t>
      </w:r>
      <w:r w:rsidR="0062642E">
        <w:t>apprehensive</w:t>
      </w:r>
      <w:r w:rsidR="00F15805">
        <w:t>, constantly looki</w:t>
      </w:r>
      <w:r>
        <w:t>ng out for himself, and cowardly</w:t>
      </w:r>
      <w:r w:rsidR="00F15805">
        <w:t>.</w:t>
      </w:r>
      <w:r w:rsidR="00F15805">
        <w:rPr>
          <w:rStyle w:val="FootnoteReference"/>
        </w:rPr>
        <w:footnoteReference w:id="15"/>
      </w:r>
      <w:r w:rsidR="00F15805">
        <w:t xml:space="preserve"> </w:t>
      </w:r>
      <w:r w:rsidR="00671C8B">
        <w:t xml:space="preserve">Clearly Alexander was good friends with Harpalos, as when it was reported that he fled Alexander refused to believe </w:t>
      </w:r>
      <w:r w:rsidR="00145734">
        <w:t>it</w:t>
      </w:r>
      <w:r w:rsidR="00671C8B">
        <w:t>.</w:t>
      </w:r>
      <w:r w:rsidR="00671C8B">
        <w:rPr>
          <w:rStyle w:val="FootnoteReference"/>
        </w:rPr>
        <w:footnoteReference w:id="16"/>
      </w:r>
      <w:r w:rsidR="00671C8B">
        <w:t xml:space="preserve"> </w:t>
      </w:r>
      <w:proofErr w:type="spellStart"/>
      <w:r w:rsidR="002E7C34">
        <w:t>Curtius</w:t>
      </w:r>
      <w:proofErr w:type="spellEnd"/>
      <w:r w:rsidR="002E7C34">
        <w:t xml:space="preserve"> tells us that </w:t>
      </w:r>
      <w:proofErr w:type="spellStart"/>
      <w:r w:rsidR="002E7C34">
        <w:t>Harpalos</w:t>
      </w:r>
      <w:proofErr w:type="spellEnd"/>
      <w:r w:rsidR="002E7C34">
        <w:t xml:space="preserve"> went to Athens</w:t>
      </w:r>
      <w:r w:rsidR="00464648">
        <w:t xml:space="preserve"> </w:t>
      </w:r>
      <w:r w:rsidR="002E7C34">
        <w:t xml:space="preserve">knowing they hated </w:t>
      </w:r>
      <w:r w:rsidR="002E7C34">
        <w:lastRenderedPageBreak/>
        <w:t>Macedon, and</w:t>
      </w:r>
      <w:r w:rsidR="00464648">
        <w:t xml:space="preserve"> falsely</w:t>
      </w:r>
      <w:r w:rsidR="002E7C34">
        <w:t xml:space="preserve"> believed that he could join with them against Macedon by means of bribery.</w:t>
      </w:r>
      <w:r w:rsidR="002E7C34">
        <w:rPr>
          <w:rStyle w:val="FootnoteReference"/>
        </w:rPr>
        <w:footnoteReference w:id="17"/>
      </w:r>
      <w:r w:rsidR="002E7C34">
        <w:t xml:space="preserve"> </w:t>
      </w:r>
      <w:r w:rsidR="00C71C73">
        <w:t>Upon arriving in Greece</w:t>
      </w:r>
      <w:r w:rsidR="002E7C34">
        <w:t xml:space="preserve"> however</w:t>
      </w:r>
      <w:r w:rsidR="00C71C73">
        <w:t xml:space="preserve">, Harpalos was forced to </w:t>
      </w:r>
      <w:r w:rsidR="00464648">
        <w:t>leave</w:t>
      </w:r>
      <w:r w:rsidR="00C71C73">
        <w:t xml:space="preserve"> </w:t>
      </w:r>
      <w:r w:rsidR="002B1D34">
        <w:t xml:space="preserve">his mercenaries and large amounts of his fortune in order to secure his </w:t>
      </w:r>
      <w:r w:rsidR="00464648">
        <w:t>entry</w:t>
      </w:r>
      <w:r w:rsidR="002B1D34">
        <w:t>.</w:t>
      </w:r>
      <w:r w:rsidR="002B1D34">
        <w:rPr>
          <w:rStyle w:val="FootnoteReference"/>
        </w:rPr>
        <w:footnoteReference w:id="18"/>
      </w:r>
      <w:r w:rsidR="00282FF4">
        <w:t xml:space="preserve"> In </w:t>
      </w:r>
      <w:r w:rsidR="00F15805">
        <w:t xml:space="preserve">Athens, </w:t>
      </w:r>
      <w:proofErr w:type="spellStart"/>
      <w:r w:rsidR="00F15805">
        <w:t>Harpalos</w:t>
      </w:r>
      <w:proofErr w:type="spellEnd"/>
      <w:r w:rsidR="00F15805">
        <w:t xml:space="preserve"> failed to gain—even with a bribe of 700 talents</w:t>
      </w:r>
      <w:r w:rsidR="00DC5736">
        <w:t>, which was all he was able to take into Athens</w:t>
      </w:r>
      <w:r w:rsidR="00F15805">
        <w:t>—</w:t>
      </w:r>
      <w:r w:rsidR="00282FF4">
        <w:t xml:space="preserve">the favour of </w:t>
      </w:r>
      <w:proofErr w:type="spellStart"/>
      <w:r w:rsidR="00282FF4">
        <w:t>Phocion</w:t>
      </w:r>
      <w:proofErr w:type="spellEnd"/>
      <w:r w:rsidR="00282FF4">
        <w:t>, an influential figure in Athens</w:t>
      </w:r>
      <w:r w:rsidR="00F15805">
        <w:t>, and consequentially</w:t>
      </w:r>
      <w:r w:rsidR="00E47068">
        <w:t xml:space="preserve"> lost a lot of money and was denounced by many Athenians.</w:t>
      </w:r>
      <w:r w:rsidR="00E47068">
        <w:rPr>
          <w:rStyle w:val="FootnoteReference"/>
        </w:rPr>
        <w:footnoteReference w:id="19"/>
      </w:r>
      <w:r w:rsidR="00E47068">
        <w:t xml:space="preserve"> </w:t>
      </w:r>
      <w:r w:rsidR="002E7C34">
        <w:t>Demosthenes is accused of accepting bribes from Harpalos, which he is put on trial for</w:t>
      </w:r>
      <w:r w:rsidR="005F7621">
        <w:t xml:space="preserve">, and demonstrates </w:t>
      </w:r>
      <w:proofErr w:type="spellStart"/>
      <w:r w:rsidR="00145734">
        <w:t>Harpalos</w:t>
      </w:r>
      <w:proofErr w:type="spellEnd"/>
      <w:r w:rsidR="00145734">
        <w:t>’ opportunistic</w:t>
      </w:r>
      <w:r w:rsidR="005F7621">
        <w:t xml:space="preserve"> character</w:t>
      </w:r>
      <w:r w:rsidR="002E7C34">
        <w:t>.</w:t>
      </w:r>
      <w:r w:rsidR="002E7C34">
        <w:rPr>
          <w:rStyle w:val="FootnoteReference"/>
        </w:rPr>
        <w:footnoteReference w:id="20"/>
      </w:r>
      <w:r w:rsidR="000C6FD1">
        <w:t xml:space="preserve"> </w:t>
      </w:r>
      <w:bookmarkStart w:id="0" w:name="_GoBack"/>
      <w:bookmarkEnd w:id="0"/>
    </w:p>
    <w:p w:rsidR="007F7ABB" w:rsidRDefault="00B32EF6">
      <w:r>
        <w:t>Harpalos was ejected from Athens in fear that Alexander may come looking for the money Harpalos had used to bribe the orators.</w:t>
      </w:r>
      <w:r>
        <w:rPr>
          <w:rStyle w:val="FootnoteReference"/>
        </w:rPr>
        <w:footnoteReference w:id="21"/>
      </w:r>
      <w:r>
        <w:t xml:space="preserve"> </w:t>
      </w:r>
      <w:r w:rsidR="00696C50">
        <w:t>T</w:t>
      </w:r>
      <w:r w:rsidR="000C6FD1">
        <w:t xml:space="preserve">he </w:t>
      </w:r>
      <w:r w:rsidR="00696C50">
        <w:t>flight</w:t>
      </w:r>
      <w:r w:rsidR="000C6FD1">
        <w:t xml:space="preserve"> of </w:t>
      </w:r>
      <w:proofErr w:type="spellStart"/>
      <w:r w:rsidR="000C6FD1">
        <w:t>Harpalos</w:t>
      </w:r>
      <w:proofErr w:type="spellEnd"/>
      <w:r w:rsidR="000C6FD1">
        <w:t xml:space="preserve"> worried Alexander greatly, but </w:t>
      </w:r>
      <w:r w:rsidR="00696C50">
        <w:t>he did not respond as</w:t>
      </w:r>
      <w:r w:rsidR="000C6FD1">
        <w:t xml:space="preserve"> the Athenians had cast </w:t>
      </w:r>
      <w:proofErr w:type="spellStart"/>
      <w:r w:rsidR="00696C50">
        <w:t>Harpalos</w:t>
      </w:r>
      <w:proofErr w:type="spellEnd"/>
      <w:r w:rsidR="000C6FD1">
        <w:t xml:space="preserve"> out, and he was killed by a friend.</w:t>
      </w:r>
      <w:r w:rsidR="000C6FD1">
        <w:rPr>
          <w:rStyle w:val="FootnoteReference"/>
        </w:rPr>
        <w:footnoteReference w:id="22"/>
      </w:r>
    </w:p>
    <w:p w:rsidR="00EF4BC8" w:rsidRDefault="005F7621" w:rsidP="000C6FD1">
      <w:r>
        <w:t xml:space="preserve">In history, </w:t>
      </w:r>
      <w:r w:rsidR="00F7620B">
        <w:t>Harpalos’ fortune was used by</w:t>
      </w:r>
      <w:r w:rsidR="00EF4BC8">
        <w:t xml:space="preserve"> Athens to buy a considerable amount of armour and pay for a large number of mercenaries, including the mercenaries in the Peloponnese who were 8000 in number and extremely experienced.</w:t>
      </w:r>
      <w:r w:rsidR="00EF4BC8">
        <w:rPr>
          <w:rStyle w:val="FootnoteReference"/>
        </w:rPr>
        <w:footnoteReference w:id="23"/>
      </w:r>
      <w:r w:rsidR="002E7C34">
        <w:t xml:space="preserve"> </w:t>
      </w:r>
      <w:r w:rsidR="00F7620B">
        <w:t xml:space="preserve">Roleplaying as Harpalos, I intend to take his ambitious selfishness in a different direction. Instead of Harpalos attempting to secure significant power in Athens, Harpalos will raise the Greek states in revolt, and seize the treasury of Delphi. This is within his character, as he is seen to be opportunistic, and heavily driven by </w:t>
      </w:r>
      <w:r w:rsidR="00F01E14">
        <w:t>greed</w:t>
      </w:r>
      <w:r w:rsidR="00F7620B">
        <w:t>.</w:t>
      </w:r>
      <w:r w:rsidR="00F7620B">
        <w:rPr>
          <w:rStyle w:val="FootnoteReference"/>
        </w:rPr>
        <w:footnoteReference w:id="24"/>
      </w:r>
    </w:p>
    <w:p w:rsidR="00E7075B" w:rsidRDefault="00E7075B" w:rsidP="000C6FD1"/>
    <w:p w:rsidR="00EF4BC8" w:rsidRDefault="00EF4BC8"/>
    <w:p w:rsidR="00EF4BC8" w:rsidRDefault="00EF4BC8"/>
    <w:p w:rsidR="00EF4BC8" w:rsidRDefault="00EF4BC8"/>
    <w:p w:rsidR="00EF4BC8" w:rsidRDefault="00EF4BC8"/>
    <w:p w:rsidR="00EF4BC8" w:rsidRDefault="00EF4BC8"/>
    <w:p w:rsidR="00EF4BC8" w:rsidRDefault="00EF4BC8"/>
    <w:p w:rsidR="00EF4BC8" w:rsidRDefault="00EF4BC8"/>
    <w:p w:rsidR="00EF4BC8" w:rsidRDefault="00EF4BC8"/>
    <w:p w:rsidR="00EF4BC8" w:rsidRDefault="00EF4BC8"/>
    <w:p w:rsidR="00C71C73" w:rsidRDefault="00C71C73"/>
    <w:p w:rsidR="0068373C" w:rsidRDefault="0068373C">
      <w:pPr>
        <w:rPr>
          <w:u w:val="single"/>
        </w:rPr>
      </w:pPr>
    </w:p>
    <w:p w:rsidR="0068373C" w:rsidRDefault="0068373C">
      <w:pPr>
        <w:rPr>
          <w:u w:val="single"/>
        </w:rPr>
      </w:pPr>
    </w:p>
    <w:p w:rsidR="00696C50" w:rsidRDefault="00696C50">
      <w:pPr>
        <w:rPr>
          <w:u w:val="single"/>
        </w:rPr>
      </w:pPr>
    </w:p>
    <w:p w:rsidR="0086214C" w:rsidRDefault="0086214C">
      <w:pPr>
        <w:rPr>
          <w:u w:val="single"/>
        </w:rPr>
      </w:pPr>
    </w:p>
    <w:p w:rsidR="0086214C" w:rsidRDefault="0086214C">
      <w:pPr>
        <w:rPr>
          <w:u w:val="single"/>
        </w:rPr>
      </w:pPr>
    </w:p>
    <w:p w:rsidR="00C71C73" w:rsidRPr="00C71C73" w:rsidRDefault="00C71C73">
      <w:pPr>
        <w:rPr>
          <w:u w:val="single"/>
        </w:rPr>
      </w:pPr>
      <w:r w:rsidRPr="00C71C73">
        <w:rPr>
          <w:u w:val="single"/>
        </w:rPr>
        <w:t>Bibliography</w:t>
      </w:r>
    </w:p>
    <w:p w:rsidR="00B32EF6" w:rsidRDefault="00C71C73">
      <w:r>
        <w:t>Ancient sources:</w:t>
      </w:r>
    </w:p>
    <w:p w:rsidR="00B25FB0" w:rsidRPr="00B25FB0" w:rsidRDefault="00B25FB0">
      <w:r>
        <w:t xml:space="preserve">Arrian, </w:t>
      </w:r>
      <w:r>
        <w:rPr>
          <w:i/>
        </w:rPr>
        <w:t xml:space="preserve">Anabasis. </w:t>
      </w:r>
      <w:r w:rsidR="00941FAC">
        <w:t xml:space="preserve">E.J. </w:t>
      </w:r>
      <w:proofErr w:type="spellStart"/>
      <w:r w:rsidR="00941FAC">
        <w:t>Chinnock</w:t>
      </w:r>
      <w:proofErr w:type="spellEnd"/>
      <w:r w:rsidR="00941FAC">
        <w:t xml:space="preserve"> (trans.).</w:t>
      </w:r>
      <w:r>
        <w:rPr>
          <w:i/>
        </w:rPr>
        <w:t xml:space="preserve"> </w:t>
      </w:r>
      <w:r>
        <w:t>1884.</w:t>
      </w:r>
      <w:r w:rsidR="00941FAC">
        <w:t xml:space="preserve"> London: William Heinemann Ltd. </w:t>
      </w:r>
    </w:p>
    <w:p w:rsidR="00EF4BC8" w:rsidRDefault="00EF4BC8">
      <w:r>
        <w:t xml:space="preserve">Diodorus, </w:t>
      </w:r>
      <w:r>
        <w:rPr>
          <w:i/>
        </w:rPr>
        <w:t>Library.</w:t>
      </w:r>
      <w:r>
        <w:t xml:space="preserve"> C.H. </w:t>
      </w:r>
      <w:proofErr w:type="spellStart"/>
      <w:r>
        <w:t>Oldfather</w:t>
      </w:r>
      <w:proofErr w:type="spellEnd"/>
      <w:r>
        <w:t xml:space="preserve"> (trans.). 1947. London: William Heinemann Ltd.</w:t>
      </w:r>
    </w:p>
    <w:p w:rsidR="00840138" w:rsidRPr="00840138" w:rsidRDefault="00840138">
      <w:r>
        <w:t xml:space="preserve">Marcus </w:t>
      </w:r>
      <w:proofErr w:type="spellStart"/>
      <w:r>
        <w:t>Junianus</w:t>
      </w:r>
      <w:proofErr w:type="spellEnd"/>
      <w:r>
        <w:t xml:space="preserve"> </w:t>
      </w:r>
      <w:proofErr w:type="spellStart"/>
      <w:r>
        <w:t>Justinius</w:t>
      </w:r>
      <w:proofErr w:type="spellEnd"/>
      <w:r>
        <w:t xml:space="preserve">, </w:t>
      </w:r>
      <w:r>
        <w:rPr>
          <w:i/>
        </w:rPr>
        <w:t xml:space="preserve">Epitome of the Philippic History of </w:t>
      </w:r>
      <w:proofErr w:type="spellStart"/>
      <w:r>
        <w:rPr>
          <w:i/>
        </w:rPr>
        <w:t>Pompeius</w:t>
      </w:r>
      <w:proofErr w:type="spellEnd"/>
      <w:r>
        <w:rPr>
          <w:i/>
        </w:rPr>
        <w:t xml:space="preserve"> </w:t>
      </w:r>
      <w:proofErr w:type="spellStart"/>
      <w:r>
        <w:rPr>
          <w:i/>
        </w:rPr>
        <w:t>Trogus</w:t>
      </w:r>
      <w:proofErr w:type="spellEnd"/>
      <w:r>
        <w:rPr>
          <w:i/>
        </w:rPr>
        <w:t xml:space="preserve">. </w:t>
      </w:r>
      <w:r>
        <w:t>Rev. J.S. Watson (trans.). 1853. London: Henry G. Bohn.</w:t>
      </w:r>
    </w:p>
    <w:p w:rsidR="00756B49" w:rsidRDefault="00756B49">
      <w:r>
        <w:t xml:space="preserve">Plutarch, </w:t>
      </w:r>
      <w:r>
        <w:rPr>
          <w:i/>
        </w:rPr>
        <w:t>Alexander.</w:t>
      </w:r>
      <w:r>
        <w:t xml:space="preserve"> </w:t>
      </w:r>
      <w:r w:rsidR="000927D5">
        <w:t xml:space="preserve">B. Perrin (trans.). 1914. London: William Heinemann Ltd. </w:t>
      </w:r>
    </w:p>
    <w:p w:rsidR="00B32EF6" w:rsidRDefault="00B32EF6" w:rsidP="00B32EF6">
      <w:r>
        <w:t xml:space="preserve">Plutarch, </w:t>
      </w:r>
      <w:r>
        <w:rPr>
          <w:i/>
        </w:rPr>
        <w:t>Demosthenes.</w:t>
      </w:r>
      <w:r>
        <w:t xml:space="preserve"> B. Perrin (trans.). 1919. London: William Heinemann Ltd.</w:t>
      </w:r>
    </w:p>
    <w:p w:rsidR="00B32EF6" w:rsidRDefault="00B32EF6" w:rsidP="00B32EF6">
      <w:r>
        <w:t xml:space="preserve">Plutarch, </w:t>
      </w:r>
      <w:r>
        <w:rPr>
          <w:i/>
        </w:rPr>
        <w:t>Phocion.</w:t>
      </w:r>
      <w:r>
        <w:t xml:space="preserve"> B. Perrin (trans.). 1919. London: William Heinemann Ltd.</w:t>
      </w:r>
    </w:p>
    <w:p w:rsidR="00B32EF6" w:rsidRPr="00B32EF6" w:rsidRDefault="00B32EF6" w:rsidP="00B32EF6">
      <w:r>
        <w:t xml:space="preserve">Quintus </w:t>
      </w:r>
      <w:proofErr w:type="spellStart"/>
      <w:r>
        <w:t>Curtius</w:t>
      </w:r>
      <w:proofErr w:type="spellEnd"/>
      <w:r>
        <w:t xml:space="preserve">, </w:t>
      </w:r>
      <w:proofErr w:type="spellStart"/>
      <w:r>
        <w:rPr>
          <w:i/>
        </w:rPr>
        <w:t>Historiae</w:t>
      </w:r>
      <w:proofErr w:type="spellEnd"/>
      <w:r>
        <w:rPr>
          <w:i/>
        </w:rPr>
        <w:t xml:space="preserve"> </w:t>
      </w:r>
      <w:proofErr w:type="spellStart"/>
      <w:r>
        <w:rPr>
          <w:i/>
        </w:rPr>
        <w:t>Alexandri</w:t>
      </w:r>
      <w:proofErr w:type="spellEnd"/>
      <w:r>
        <w:rPr>
          <w:i/>
        </w:rPr>
        <w:t xml:space="preserve"> </w:t>
      </w:r>
      <w:proofErr w:type="spellStart"/>
      <w:r>
        <w:rPr>
          <w:i/>
        </w:rPr>
        <w:t>Magni</w:t>
      </w:r>
      <w:proofErr w:type="spellEnd"/>
      <w:r>
        <w:rPr>
          <w:i/>
        </w:rPr>
        <w:t xml:space="preserve">. </w:t>
      </w:r>
      <w:r>
        <w:t>J.C. Rolfe (trans.). 1976. London: William Heinemann Ltd.</w:t>
      </w:r>
    </w:p>
    <w:p w:rsidR="0068373C" w:rsidRDefault="0068373C"/>
    <w:p w:rsidR="003657FF" w:rsidRDefault="00C71C73">
      <w:r>
        <w:t>Modern Scholarship:</w:t>
      </w:r>
    </w:p>
    <w:p w:rsidR="003E0084" w:rsidRDefault="003E0084">
      <w:r>
        <w:t xml:space="preserve">Dodge, T.A. 1994. </w:t>
      </w:r>
      <w:r>
        <w:rPr>
          <w:i/>
        </w:rPr>
        <w:t xml:space="preserve">Alexander: A history of the origin and growth of the art of war from the earliest times to the Battle of </w:t>
      </w:r>
      <w:proofErr w:type="spellStart"/>
      <w:r>
        <w:rPr>
          <w:i/>
        </w:rPr>
        <w:t>Ipsus</w:t>
      </w:r>
      <w:proofErr w:type="spellEnd"/>
      <w:r>
        <w:rPr>
          <w:i/>
        </w:rPr>
        <w:t xml:space="preserve">, 301 BC, with a detailed account of the campaigns of the great Macedonian. </w:t>
      </w:r>
      <w:r>
        <w:t>London: Greenhill Books.</w:t>
      </w:r>
    </w:p>
    <w:p w:rsidR="00B216C2" w:rsidRDefault="00B216C2">
      <w:proofErr w:type="spellStart"/>
      <w:r>
        <w:t>Heckel</w:t>
      </w:r>
      <w:proofErr w:type="spellEnd"/>
      <w:r>
        <w:t xml:space="preserve">, W. 1977. ‘The Flight of </w:t>
      </w:r>
      <w:proofErr w:type="spellStart"/>
      <w:r>
        <w:t>Harpalos</w:t>
      </w:r>
      <w:proofErr w:type="spellEnd"/>
      <w:r>
        <w:t xml:space="preserve"> and </w:t>
      </w:r>
      <w:proofErr w:type="spellStart"/>
      <w:r>
        <w:t>Tauriskos</w:t>
      </w:r>
      <w:proofErr w:type="spellEnd"/>
      <w:r>
        <w:t xml:space="preserve">’, </w:t>
      </w:r>
      <w:r>
        <w:rPr>
          <w:i/>
        </w:rPr>
        <w:t xml:space="preserve">Classical Philology. </w:t>
      </w:r>
      <w:r>
        <w:t>72. 2, 133-135.</w:t>
      </w:r>
    </w:p>
    <w:p w:rsidR="00FC401A" w:rsidRDefault="00FC401A">
      <w:proofErr w:type="spellStart"/>
      <w:r>
        <w:t>Heckel</w:t>
      </w:r>
      <w:proofErr w:type="spellEnd"/>
      <w:r>
        <w:t xml:space="preserve">, W. 1985. ‘The boyhood friends of Alexander’, </w:t>
      </w:r>
      <w:r w:rsidRPr="006E2918">
        <w:rPr>
          <w:i/>
        </w:rPr>
        <w:t>Emerita</w:t>
      </w:r>
      <w:r>
        <w:t>. 53. 2, 285-289.</w:t>
      </w:r>
    </w:p>
    <w:p w:rsidR="0068373C" w:rsidRPr="0068373C" w:rsidRDefault="0068373C">
      <w:proofErr w:type="spellStart"/>
      <w:r>
        <w:t>Heckel</w:t>
      </w:r>
      <w:proofErr w:type="spellEnd"/>
      <w:r>
        <w:t xml:space="preserve">, W. 1992. </w:t>
      </w:r>
      <w:r>
        <w:rPr>
          <w:i/>
        </w:rPr>
        <w:t xml:space="preserve">The Marshals of Alexander’s Empire. </w:t>
      </w:r>
      <w:r>
        <w:t xml:space="preserve">London: Routledge. </w:t>
      </w:r>
    </w:p>
    <w:p w:rsidR="003E0084" w:rsidRDefault="003E0084">
      <w:r>
        <w:t xml:space="preserve">O’Brien, J.M. 1994. </w:t>
      </w:r>
      <w:r>
        <w:rPr>
          <w:i/>
        </w:rPr>
        <w:t xml:space="preserve">Alexander the Great: The invisible enemy. </w:t>
      </w:r>
      <w:r>
        <w:t>London: Routledge.</w:t>
      </w:r>
    </w:p>
    <w:p w:rsidR="00984582" w:rsidRPr="00F30384" w:rsidRDefault="00984582">
      <w:r>
        <w:t xml:space="preserve">Worthington, I. </w:t>
      </w:r>
      <w:r w:rsidR="00F30384">
        <w:t xml:space="preserve">2013. </w:t>
      </w:r>
      <w:r w:rsidR="00F30384">
        <w:rPr>
          <w:i/>
        </w:rPr>
        <w:t xml:space="preserve">Demosthenes of Athens and the fall of Classical Greece. </w:t>
      </w:r>
      <w:r w:rsidR="00F30384">
        <w:t xml:space="preserve">New York: Oxford University Press. </w:t>
      </w:r>
    </w:p>
    <w:sectPr w:rsidR="00984582" w:rsidRPr="00F30384" w:rsidSect="00B216C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0AAD" w:rsidRDefault="00FF0AAD" w:rsidP="00EF4BC8">
      <w:pPr>
        <w:spacing w:after="0" w:line="240" w:lineRule="auto"/>
      </w:pPr>
      <w:r>
        <w:separator/>
      </w:r>
    </w:p>
  </w:endnote>
  <w:endnote w:type="continuationSeparator" w:id="0">
    <w:p w:rsidR="00FF0AAD" w:rsidRDefault="00FF0AAD" w:rsidP="00EF4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0AAD" w:rsidRDefault="00FF0AAD" w:rsidP="00EF4BC8">
      <w:pPr>
        <w:spacing w:after="0" w:line="240" w:lineRule="auto"/>
      </w:pPr>
      <w:r>
        <w:separator/>
      </w:r>
    </w:p>
  </w:footnote>
  <w:footnote w:type="continuationSeparator" w:id="0">
    <w:p w:rsidR="00FF0AAD" w:rsidRDefault="00FF0AAD" w:rsidP="00EF4BC8">
      <w:pPr>
        <w:spacing w:after="0" w:line="240" w:lineRule="auto"/>
      </w:pPr>
      <w:r>
        <w:continuationSeparator/>
      </w:r>
    </w:p>
  </w:footnote>
  <w:footnote w:id="1">
    <w:p w:rsidR="00BF57B6" w:rsidRDefault="00BF57B6">
      <w:pPr>
        <w:pStyle w:val="FootnoteText"/>
      </w:pPr>
      <w:r>
        <w:rPr>
          <w:rStyle w:val="FootnoteReference"/>
        </w:rPr>
        <w:footnoteRef/>
      </w:r>
      <w:r>
        <w:t xml:space="preserve"> </w:t>
      </w:r>
      <w:proofErr w:type="spellStart"/>
      <w:r w:rsidR="00464648">
        <w:t>Heckel</w:t>
      </w:r>
      <w:proofErr w:type="spellEnd"/>
      <w:r w:rsidR="00464648">
        <w:t xml:space="preserve"> 1985: 288-289; </w:t>
      </w:r>
      <w:r>
        <w:t>O’Brien 1994: 188</w:t>
      </w:r>
      <w:r w:rsidR="00FC401A">
        <w:t xml:space="preserve">; </w:t>
      </w:r>
      <w:r w:rsidR="00464648">
        <w:t>Worthington 2013: 310</w:t>
      </w:r>
    </w:p>
  </w:footnote>
  <w:footnote w:id="2">
    <w:p w:rsidR="006E2918" w:rsidRDefault="006E2918">
      <w:pPr>
        <w:pStyle w:val="FootnoteText"/>
      </w:pPr>
      <w:r>
        <w:rPr>
          <w:rStyle w:val="FootnoteReference"/>
        </w:rPr>
        <w:footnoteRef/>
      </w:r>
      <w:r>
        <w:t xml:space="preserve"> </w:t>
      </w:r>
      <w:proofErr w:type="spellStart"/>
      <w:r>
        <w:t>Plut</w:t>
      </w:r>
      <w:proofErr w:type="spellEnd"/>
      <w:r>
        <w:t xml:space="preserve">. </w:t>
      </w:r>
      <w:r w:rsidRPr="006E2918">
        <w:rPr>
          <w:i/>
        </w:rPr>
        <w:t>Alex</w:t>
      </w:r>
      <w:r>
        <w:t>. 10.3</w:t>
      </w:r>
    </w:p>
  </w:footnote>
  <w:footnote w:id="3">
    <w:p w:rsidR="000C6FD1" w:rsidRDefault="000C6FD1">
      <w:pPr>
        <w:pStyle w:val="FootnoteText"/>
      </w:pPr>
      <w:r>
        <w:rPr>
          <w:rStyle w:val="FootnoteReference"/>
        </w:rPr>
        <w:footnoteRef/>
      </w:r>
      <w:r>
        <w:t xml:space="preserve"> </w:t>
      </w:r>
      <w:proofErr w:type="spellStart"/>
      <w:r>
        <w:t>Plut</w:t>
      </w:r>
      <w:proofErr w:type="spellEnd"/>
      <w:r>
        <w:t xml:space="preserve">. </w:t>
      </w:r>
      <w:r w:rsidRPr="006E2918">
        <w:rPr>
          <w:i/>
        </w:rPr>
        <w:t>Alex</w:t>
      </w:r>
      <w:r>
        <w:t>. 10.3</w:t>
      </w:r>
      <w:r w:rsidR="00FC401A">
        <w:t xml:space="preserve">; </w:t>
      </w:r>
      <w:proofErr w:type="spellStart"/>
      <w:r w:rsidR="00FC401A">
        <w:t>Heckel</w:t>
      </w:r>
      <w:proofErr w:type="spellEnd"/>
      <w:r w:rsidR="00FC401A">
        <w:t xml:space="preserve"> 1985: 285</w:t>
      </w:r>
    </w:p>
  </w:footnote>
  <w:footnote w:id="4">
    <w:p w:rsidR="002E7C34" w:rsidRDefault="002E7C34">
      <w:pPr>
        <w:pStyle w:val="FootnoteText"/>
      </w:pPr>
      <w:r>
        <w:rPr>
          <w:rStyle w:val="FootnoteReference"/>
        </w:rPr>
        <w:footnoteRef/>
      </w:r>
      <w:r>
        <w:t xml:space="preserve"> </w:t>
      </w:r>
      <w:proofErr w:type="spellStart"/>
      <w:r>
        <w:t>Diod</w:t>
      </w:r>
      <w:proofErr w:type="spellEnd"/>
      <w:r>
        <w:t>. 17.7</w:t>
      </w:r>
      <w:r w:rsidR="0068373C">
        <w:t xml:space="preserve">; </w:t>
      </w:r>
      <w:proofErr w:type="spellStart"/>
      <w:r w:rsidR="0068373C">
        <w:t>Heckel</w:t>
      </w:r>
      <w:proofErr w:type="spellEnd"/>
      <w:r w:rsidR="0068373C">
        <w:t xml:space="preserve"> 1992: 355</w:t>
      </w:r>
    </w:p>
  </w:footnote>
  <w:footnote w:id="5">
    <w:p w:rsidR="00941FAC" w:rsidRDefault="00941FAC">
      <w:pPr>
        <w:pStyle w:val="FootnoteText"/>
      </w:pPr>
      <w:r>
        <w:rPr>
          <w:rStyle w:val="FootnoteReference"/>
        </w:rPr>
        <w:footnoteRef/>
      </w:r>
      <w:r>
        <w:t xml:space="preserve"> Arr. </w:t>
      </w:r>
      <w:proofErr w:type="spellStart"/>
      <w:r w:rsidRPr="006E2918">
        <w:rPr>
          <w:i/>
        </w:rPr>
        <w:t>Anab</w:t>
      </w:r>
      <w:proofErr w:type="spellEnd"/>
      <w:r>
        <w:t xml:space="preserve">. 3.6; </w:t>
      </w:r>
      <w:proofErr w:type="spellStart"/>
      <w:r w:rsidR="00B216C2">
        <w:t>Heckel</w:t>
      </w:r>
      <w:proofErr w:type="spellEnd"/>
      <w:r w:rsidR="00B216C2">
        <w:t xml:space="preserve"> 1997: 133</w:t>
      </w:r>
      <w:r w:rsidR="00DC5736">
        <w:t>; Dodge 1994: 354</w:t>
      </w:r>
      <w:r w:rsidR="003E47C0">
        <w:t>; Worthington 2013: 310</w:t>
      </w:r>
    </w:p>
  </w:footnote>
  <w:footnote w:id="6">
    <w:p w:rsidR="00765956" w:rsidRDefault="00765956">
      <w:pPr>
        <w:pStyle w:val="FootnoteText"/>
      </w:pPr>
      <w:r>
        <w:rPr>
          <w:rStyle w:val="FootnoteReference"/>
        </w:rPr>
        <w:footnoteRef/>
      </w:r>
      <w:r>
        <w:t xml:space="preserve"> Arr. </w:t>
      </w:r>
      <w:proofErr w:type="spellStart"/>
      <w:r w:rsidRPr="006E2918">
        <w:rPr>
          <w:i/>
        </w:rPr>
        <w:t>Anab</w:t>
      </w:r>
      <w:proofErr w:type="spellEnd"/>
      <w:r w:rsidRPr="006E2918">
        <w:rPr>
          <w:i/>
        </w:rPr>
        <w:t>.</w:t>
      </w:r>
      <w:r>
        <w:t xml:space="preserve"> 3.6; </w:t>
      </w:r>
      <w:proofErr w:type="spellStart"/>
      <w:r>
        <w:t>Diod</w:t>
      </w:r>
      <w:proofErr w:type="spellEnd"/>
      <w:r>
        <w:t>. 17.108</w:t>
      </w:r>
    </w:p>
  </w:footnote>
  <w:footnote w:id="7">
    <w:p w:rsidR="00F7620B" w:rsidRDefault="00F7620B">
      <w:pPr>
        <w:pStyle w:val="FootnoteText"/>
      </w:pPr>
      <w:r>
        <w:rPr>
          <w:rStyle w:val="FootnoteReference"/>
        </w:rPr>
        <w:footnoteRef/>
      </w:r>
      <w:r>
        <w:t xml:space="preserve"> Arr. </w:t>
      </w:r>
      <w:proofErr w:type="spellStart"/>
      <w:r w:rsidRPr="006E2918">
        <w:rPr>
          <w:i/>
        </w:rPr>
        <w:t>Anab</w:t>
      </w:r>
      <w:proofErr w:type="spellEnd"/>
      <w:r>
        <w:t xml:space="preserve">. 3.6; </w:t>
      </w:r>
      <w:proofErr w:type="spellStart"/>
      <w:r>
        <w:t>Diod</w:t>
      </w:r>
      <w:proofErr w:type="spellEnd"/>
      <w:r>
        <w:t xml:space="preserve">. 17.108; </w:t>
      </w:r>
      <w:proofErr w:type="spellStart"/>
      <w:r>
        <w:t>Heckel</w:t>
      </w:r>
      <w:proofErr w:type="spellEnd"/>
      <w:r>
        <w:t xml:space="preserve"> 1997: 134</w:t>
      </w:r>
      <w:r w:rsidR="008923DD">
        <w:t>; O’Brien 1994: 32</w:t>
      </w:r>
    </w:p>
  </w:footnote>
  <w:footnote w:id="8">
    <w:p w:rsidR="00B216C2" w:rsidRDefault="00B216C2">
      <w:pPr>
        <w:pStyle w:val="FootnoteText"/>
      </w:pPr>
      <w:r>
        <w:rPr>
          <w:rStyle w:val="FootnoteReference"/>
        </w:rPr>
        <w:footnoteRef/>
      </w:r>
      <w:r>
        <w:t xml:space="preserve"> </w:t>
      </w:r>
      <w:r w:rsidR="00464648">
        <w:t>Dodge 1994: 354</w:t>
      </w:r>
      <w:r w:rsidR="00464648">
        <w:t xml:space="preserve">; </w:t>
      </w:r>
      <w:proofErr w:type="spellStart"/>
      <w:r>
        <w:t>Heckel</w:t>
      </w:r>
      <w:proofErr w:type="spellEnd"/>
      <w:r>
        <w:t xml:space="preserve"> 1997: 133</w:t>
      </w:r>
      <w:r w:rsidR="008923DD">
        <w:t>; O’Brien 1994: 74, 110</w:t>
      </w:r>
      <w:r w:rsidR="00DC5736">
        <w:t xml:space="preserve"> </w:t>
      </w:r>
    </w:p>
  </w:footnote>
  <w:footnote w:id="9">
    <w:p w:rsidR="00B216C2" w:rsidRDefault="00B216C2" w:rsidP="00B216C2">
      <w:pPr>
        <w:pStyle w:val="FootnoteText"/>
      </w:pPr>
      <w:r>
        <w:rPr>
          <w:rStyle w:val="FootnoteReference"/>
        </w:rPr>
        <w:footnoteRef/>
      </w:r>
      <w:r w:rsidR="006E2918">
        <w:t xml:space="preserve"> </w:t>
      </w:r>
      <w:proofErr w:type="spellStart"/>
      <w:r w:rsidR="006E2918">
        <w:t>Plut</w:t>
      </w:r>
      <w:proofErr w:type="spellEnd"/>
      <w:r w:rsidR="006E2918">
        <w:t xml:space="preserve">. </w:t>
      </w:r>
      <w:r w:rsidR="006E2918" w:rsidRPr="006E2918">
        <w:rPr>
          <w:i/>
        </w:rPr>
        <w:t>Alex.</w:t>
      </w:r>
      <w:r w:rsidR="006E2918">
        <w:t xml:space="preserve"> 35.15</w:t>
      </w:r>
    </w:p>
  </w:footnote>
  <w:footnote w:id="10">
    <w:p w:rsidR="00B216C2" w:rsidRDefault="00B216C2" w:rsidP="00B216C2">
      <w:pPr>
        <w:pStyle w:val="FootnoteText"/>
      </w:pPr>
      <w:r>
        <w:rPr>
          <w:rStyle w:val="FootnoteReference"/>
        </w:rPr>
        <w:footnoteRef/>
      </w:r>
      <w:r>
        <w:t xml:space="preserve"> </w:t>
      </w:r>
      <w:proofErr w:type="spellStart"/>
      <w:r>
        <w:t>Plut</w:t>
      </w:r>
      <w:proofErr w:type="spellEnd"/>
      <w:r>
        <w:t>.</w:t>
      </w:r>
      <w:r w:rsidRPr="006E2918">
        <w:rPr>
          <w:i/>
        </w:rPr>
        <w:t xml:space="preserve"> Alex</w:t>
      </w:r>
      <w:r>
        <w:t>. 8.2-3</w:t>
      </w:r>
    </w:p>
  </w:footnote>
  <w:footnote w:id="11">
    <w:p w:rsidR="007F7ABB" w:rsidRDefault="007F7ABB">
      <w:pPr>
        <w:pStyle w:val="FootnoteText"/>
      </w:pPr>
      <w:r>
        <w:rPr>
          <w:rStyle w:val="FootnoteReference"/>
        </w:rPr>
        <w:footnoteRef/>
      </w:r>
      <w:r>
        <w:t xml:space="preserve"> </w:t>
      </w:r>
      <w:proofErr w:type="spellStart"/>
      <w:r>
        <w:t>Diod</w:t>
      </w:r>
      <w:proofErr w:type="spellEnd"/>
      <w:r>
        <w:t xml:space="preserve">. </w:t>
      </w:r>
      <w:r w:rsidR="00C71C73">
        <w:t>17.108</w:t>
      </w:r>
      <w:r w:rsidR="008923DD">
        <w:t>; O’Brien 1994: 110, 185</w:t>
      </w:r>
      <w:r w:rsidR="00464648">
        <w:t>; Worthington 2013: 310</w:t>
      </w:r>
    </w:p>
  </w:footnote>
  <w:footnote w:id="12">
    <w:p w:rsidR="00BF57B6" w:rsidRDefault="00BF57B6" w:rsidP="00BF57B6">
      <w:pPr>
        <w:pStyle w:val="FootnoteText"/>
      </w:pPr>
      <w:r>
        <w:rPr>
          <w:rStyle w:val="FootnoteReference"/>
        </w:rPr>
        <w:footnoteRef/>
      </w:r>
      <w:r>
        <w:t xml:space="preserve"> </w:t>
      </w:r>
      <w:proofErr w:type="spellStart"/>
      <w:r>
        <w:t>Plut</w:t>
      </w:r>
      <w:proofErr w:type="spellEnd"/>
      <w:r>
        <w:t xml:space="preserve">. </w:t>
      </w:r>
      <w:proofErr w:type="spellStart"/>
      <w:r w:rsidRPr="006E2918">
        <w:rPr>
          <w:i/>
        </w:rPr>
        <w:t>Phoc</w:t>
      </w:r>
      <w:proofErr w:type="spellEnd"/>
      <w:r>
        <w:t>. 22; O’Brien 1994: 185</w:t>
      </w:r>
    </w:p>
  </w:footnote>
  <w:footnote w:id="13">
    <w:p w:rsidR="00BF57B6" w:rsidRDefault="00BF57B6">
      <w:pPr>
        <w:pStyle w:val="FootnoteText"/>
      </w:pPr>
      <w:r>
        <w:rPr>
          <w:rStyle w:val="FootnoteReference"/>
        </w:rPr>
        <w:footnoteRef/>
      </w:r>
      <w:r>
        <w:t xml:space="preserve"> O’Brien 1994: 185</w:t>
      </w:r>
    </w:p>
  </w:footnote>
  <w:footnote w:id="14">
    <w:p w:rsidR="00C71C73" w:rsidRDefault="00C71C73">
      <w:pPr>
        <w:pStyle w:val="FootnoteText"/>
      </w:pPr>
      <w:r>
        <w:rPr>
          <w:rStyle w:val="FootnoteReference"/>
        </w:rPr>
        <w:footnoteRef/>
      </w:r>
      <w:r>
        <w:t xml:space="preserve"> </w:t>
      </w:r>
      <w:proofErr w:type="spellStart"/>
      <w:r>
        <w:t>Diod</w:t>
      </w:r>
      <w:proofErr w:type="spellEnd"/>
      <w:r>
        <w:t>. 17.108</w:t>
      </w:r>
      <w:r w:rsidR="00BF57B6">
        <w:t>; O’Brien 1994: 185</w:t>
      </w:r>
      <w:r w:rsidR="00464648">
        <w:t>; Worthington 2013: 310</w:t>
      </w:r>
    </w:p>
  </w:footnote>
  <w:footnote w:id="15">
    <w:p w:rsidR="00F15805" w:rsidRDefault="00F15805" w:rsidP="00F15805">
      <w:pPr>
        <w:pStyle w:val="FootnoteText"/>
      </w:pPr>
      <w:r>
        <w:rPr>
          <w:rStyle w:val="FootnoteReference"/>
        </w:rPr>
        <w:footnoteRef/>
      </w:r>
      <w:r>
        <w:t xml:space="preserve"> Arr. </w:t>
      </w:r>
      <w:proofErr w:type="spellStart"/>
      <w:r w:rsidRPr="006E2918">
        <w:rPr>
          <w:i/>
        </w:rPr>
        <w:t>Anab</w:t>
      </w:r>
      <w:proofErr w:type="spellEnd"/>
      <w:r w:rsidR="006E2918">
        <w:t xml:space="preserve">. 3.6; </w:t>
      </w:r>
      <w:proofErr w:type="spellStart"/>
      <w:r w:rsidR="006E2918">
        <w:t>Diod</w:t>
      </w:r>
      <w:proofErr w:type="spellEnd"/>
      <w:r w:rsidR="006E2918">
        <w:t>. 17.108</w:t>
      </w:r>
    </w:p>
  </w:footnote>
  <w:footnote w:id="16">
    <w:p w:rsidR="00671C8B" w:rsidRDefault="00671C8B">
      <w:pPr>
        <w:pStyle w:val="FootnoteText"/>
      </w:pPr>
      <w:r>
        <w:rPr>
          <w:rStyle w:val="FootnoteReference"/>
        </w:rPr>
        <w:footnoteRef/>
      </w:r>
      <w:r>
        <w:t xml:space="preserve"> </w:t>
      </w:r>
      <w:proofErr w:type="spellStart"/>
      <w:r>
        <w:t>Plut</w:t>
      </w:r>
      <w:proofErr w:type="spellEnd"/>
      <w:r>
        <w:t xml:space="preserve">. </w:t>
      </w:r>
      <w:r w:rsidRPr="006E2918">
        <w:rPr>
          <w:i/>
        </w:rPr>
        <w:t>Alex</w:t>
      </w:r>
      <w:r>
        <w:t>. 41.4</w:t>
      </w:r>
    </w:p>
  </w:footnote>
  <w:footnote w:id="17">
    <w:p w:rsidR="002E7C34" w:rsidRDefault="002E7C34">
      <w:pPr>
        <w:pStyle w:val="FootnoteText"/>
      </w:pPr>
      <w:r>
        <w:rPr>
          <w:rStyle w:val="FootnoteReference"/>
        </w:rPr>
        <w:footnoteRef/>
      </w:r>
      <w:r>
        <w:t xml:space="preserve"> Curt. 10.2.1</w:t>
      </w:r>
    </w:p>
  </w:footnote>
  <w:footnote w:id="18">
    <w:p w:rsidR="002B1D34" w:rsidRDefault="002B1D34">
      <w:pPr>
        <w:pStyle w:val="FootnoteText"/>
      </w:pPr>
      <w:r>
        <w:rPr>
          <w:rStyle w:val="FootnoteReference"/>
        </w:rPr>
        <w:footnoteRef/>
      </w:r>
      <w:r>
        <w:t xml:space="preserve"> </w:t>
      </w:r>
      <w:proofErr w:type="spellStart"/>
      <w:r>
        <w:t>Diod</w:t>
      </w:r>
      <w:proofErr w:type="spellEnd"/>
      <w:r>
        <w:t>. 17.108</w:t>
      </w:r>
      <w:r w:rsidR="00464648">
        <w:t>; Worthington 2013: 311</w:t>
      </w:r>
    </w:p>
  </w:footnote>
  <w:footnote w:id="19">
    <w:p w:rsidR="00E47068" w:rsidRDefault="00E47068">
      <w:pPr>
        <w:pStyle w:val="FootnoteText"/>
      </w:pPr>
      <w:r>
        <w:rPr>
          <w:rStyle w:val="FootnoteReference"/>
        </w:rPr>
        <w:footnoteRef/>
      </w:r>
      <w:r w:rsidR="00DC5736">
        <w:t xml:space="preserve"> </w:t>
      </w:r>
      <w:proofErr w:type="spellStart"/>
      <w:r w:rsidR="00DC5736">
        <w:t>Plut</w:t>
      </w:r>
      <w:proofErr w:type="spellEnd"/>
      <w:r w:rsidR="00DC5736">
        <w:t xml:space="preserve">. </w:t>
      </w:r>
      <w:proofErr w:type="spellStart"/>
      <w:r w:rsidR="00DC5736" w:rsidRPr="006E2918">
        <w:rPr>
          <w:i/>
        </w:rPr>
        <w:t>Phoc</w:t>
      </w:r>
      <w:proofErr w:type="spellEnd"/>
      <w:r w:rsidR="00DC5736">
        <w:t>. 21; O’Brien 1994: 195</w:t>
      </w:r>
    </w:p>
  </w:footnote>
  <w:footnote w:id="20">
    <w:p w:rsidR="002E7C34" w:rsidRDefault="002E7C34">
      <w:pPr>
        <w:pStyle w:val="FootnoteText"/>
      </w:pPr>
      <w:r>
        <w:rPr>
          <w:rStyle w:val="FootnoteReference"/>
        </w:rPr>
        <w:footnoteRef/>
      </w:r>
      <w:r>
        <w:t xml:space="preserve"> Just. 13.5.9</w:t>
      </w:r>
      <w:r w:rsidR="00984582">
        <w:t>; Worthington 2013: 315</w:t>
      </w:r>
    </w:p>
  </w:footnote>
  <w:footnote w:id="21">
    <w:p w:rsidR="00B32EF6" w:rsidRDefault="00B32EF6">
      <w:pPr>
        <w:pStyle w:val="FootnoteText"/>
      </w:pPr>
      <w:r>
        <w:rPr>
          <w:rStyle w:val="FootnoteReference"/>
        </w:rPr>
        <w:footnoteRef/>
      </w:r>
      <w:r w:rsidR="006E2918">
        <w:t xml:space="preserve"> </w:t>
      </w:r>
      <w:proofErr w:type="spellStart"/>
      <w:r w:rsidR="006E2918">
        <w:t>Plut</w:t>
      </w:r>
      <w:proofErr w:type="spellEnd"/>
      <w:r w:rsidR="006E2918">
        <w:t xml:space="preserve">. </w:t>
      </w:r>
      <w:r w:rsidR="006E2918" w:rsidRPr="006E2918">
        <w:rPr>
          <w:i/>
        </w:rPr>
        <w:t>Dem</w:t>
      </w:r>
      <w:r w:rsidR="006E2918">
        <w:t>. 26</w:t>
      </w:r>
      <w:r w:rsidR="00984582">
        <w:t>; Worthington 2013: 313</w:t>
      </w:r>
    </w:p>
  </w:footnote>
  <w:footnote w:id="22">
    <w:p w:rsidR="000C6FD1" w:rsidRDefault="000C6FD1">
      <w:pPr>
        <w:pStyle w:val="FootnoteText"/>
      </w:pPr>
      <w:r>
        <w:rPr>
          <w:rStyle w:val="FootnoteReference"/>
        </w:rPr>
        <w:footnoteRef/>
      </w:r>
      <w:r>
        <w:t xml:space="preserve"> Curt. 10.2.2-4</w:t>
      </w:r>
      <w:r w:rsidR="00DC5736">
        <w:t>; O’Brien 1994: 195</w:t>
      </w:r>
      <w:r w:rsidR="00464648">
        <w:t>; Worthington 2013: 314</w:t>
      </w:r>
    </w:p>
  </w:footnote>
  <w:footnote w:id="23">
    <w:p w:rsidR="00EF4BC8" w:rsidRDefault="00EF4BC8">
      <w:pPr>
        <w:pStyle w:val="FootnoteText"/>
      </w:pPr>
      <w:r>
        <w:rPr>
          <w:rStyle w:val="FootnoteReference"/>
        </w:rPr>
        <w:footnoteRef/>
      </w:r>
      <w:r>
        <w:t xml:space="preserve"> </w:t>
      </w:r>
      <w:proofErr w:type="spellStart"/>
      <w:r>
        <w:t>Diod</w:t>
      </w:r>
      <w:proofErr w:type="spellEnd"/>
      <w:r>
        <w:t>. 18.9</w:t>
      </w:r>
    </w:p>
  </w:footnote>
  <w:footnote w:id="24">
    <w:p w:rsidR="00F7620B" w:rsidRDefault="00F7620B">
      <w:pPr>
        <w:pStyle w:val="FootnoteText"/>
      </w:pPr>
      <w:r>
        <w:rPr>
          <w:rStyle w:val="FootnoteReference"/>
        </w:rPr>
        <w:footnoteRef/>
      </w:r>
      <w:r>
        <w:t xml:space="preserve"> Arr. </w:t>
      </w:r>
      <w:proofErr w:type="spellStart"/>
      <w:r w:rsidRPr="006E2918">
        <w:rPr>
          <w:i/>
        </w:rPr>
        <w:t>Anab</w:t>
      </w:r>
      <w:proofErr w:type="spellEnd"/>
      <w:r>
        <w:t xml:space="preserve">. 3.6; </w:t>
      </w:r>
      <w:proofErr w:type="spellStart"/>
      <w:r>
        <w:t>Diod</w:t>
      </w:r>
      <w:proofErr w:type="spellEnd"/>
      <w:r>
        <w:t xml:space="preserve">. 17.108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BC8"/>
    <w:rsid w:val="000927D5"/>
    <w:rsid w:val="000A79E0"/>
    <w:rsid w:val="000C6FD1"/>
    <w:rsid w:val="00145734"/>
    <w:rsid w:val="00260BA4"/>
    <w:rsid w:val="00266EE9"/>
    <w:rsid w:val="00282FF4"/>
    <w:rsid w:val="002B1D34"/>
    <w:rsid w:val="002D2101"/>
    <w:rsid w:val="002E7C34"/>
    <w:rsid w:val="00365723"/>
    <w:rsid w:val="003657FF"/>
    <w:rsid w:val="003E0084"/>
    <w:rsid w:val="003E47C0"/>
    <w:rsid w:val="00464648"/>
    <w:rsid w:val="004F297E"/>
    <w:rsid w:val="0055357B"/>
    <w:rsid w:val="005F7621"/>
    <w:rsid w:val="0062642E"/>
    <w:rsid w:val="00626DCA"/>
    <w:rsid w:val="00671C8B"/>
    <w:rsid w:val="0068373C"/>
    <w:rsid w:val="00696C50"/>
    <w:rsid w:val="006E2918"/>
    <w:rsid w:val="0073288B"/>
    <w:rsid w:val="00756B49"/>
    <w:rsid w:val="00765956"/>
    <w:rsid w:val="007E0C23"/>
    <w:rsid w:val="007E678D"/>
    <w:rsid w:val="007F7ABB"/>
    <w:rsid w:val="00840138"/>
    <w:rsid w:val="0086142B"/>
    <w:rsid w:val="0086214C"/>
    <w:rsid w:val="008923DD"/>
    <w:rsid w:val="008D2C07"/>
    <w:rsid w:val="00941FAC"/>
    <w:rsid w:val="00984582"/>
    <w:rsid w:val="009E26EC"/>
    <w:rsid w:val="00AE782F"/>
    <w:rsid w:val="00B216C2"/>
    <w:rsid w:val="00B25FB0"/>
    <w:rsid w:val="00B26787"/>
    <w:rsid w:val="00B32EF6"/>
    <w:rsid w:val="00B870C3"/>
    <w:rsid w:val="00BF57B6"/>
    <w:rsid w:val="00C71C73"/>
    <w:rsid w:val="00DC5736"/>
    <w:rsid w:val="00DD3C93"/>
    <w:rsid w:val="00E47068"/>
    <w:rsid w:val="00E7075B"/>
    <w:rsid w:val="00EF4BC8"/>
    <w:rsid w:val="00F01E14"/>
    <w:rsid w:val="00F15805"/>
    <w:rsid w:val="00F30384"/>
    <w:rsid w:val="00F7620B"/>
    <w:rsid w:val="00F76B25"/>
    <w:rsid w:val="00FC401A"/>
    <w:rsid w:val="00FF0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4A787"/>
  <w15:chartTrackingRefBased/>
  <w15:docId w15:val="{0B809A7F-99A9-4CF4-A57C-E00BC4D42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6B49"/>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F4BC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F4BC8"/>
    <w:rPr>
      <w:sz w:val="20"/>
      <w:szCs w:val="20"/>
    </w:rPr>
  </w:style>
  <w:style w:type="character" w:styleId="FootnoteReference">
    <w:name w:val="footnote reference"/>
    <w:basedOn w:val="DefaultParagraphFont"/>
    <w:uiPriority w:val="99"/>
    <w:semiHidden/>
    <w:unhideWhenUsed/>
    <w:rsid w:val="00EF4BC8"/>
    <w:rPr>
      <w:vertAlign w:val="superscript"/>
    </w:rPr>
  </w:style>
  <w:style w:type="character" w:styleId="Hyperlink">
    <w:name w:val="Hyperlink"/>
    <w:basedOn w:val="DefaultParagraphFont"/>
    <w:uiPriority w:val="99"/>
    <w:semiHidden/>
    <w:unhideWhenUsed/>
    <w:rsid w:val="00C71C73"/>
    <w:rPr>
      <w:color w:val="0000FF"/>
      <w:u w:val="single"/>
    </w:rPr>
  </w:style>
  <w:style w:type="paragraph" w:styleId="Bibliography">
    <w:name w:val="Bibliography"/>
    <w:basedOn w:val="Normal"/>
    <w:next w:val="Normal"/>
    <w:uiPriority w:val="37"/>
    <w:unhideWhenUsed/>
    <w:rsid w:val="00671C8B"/>
  </w:style>
  <w:style w:type="character" w:customStyle="1" w:styleId="Heading1Char">
    <w:name w:val="Heading 1 Char"/>
    <w:basedOn w:val="DefaultParagraphFont"/>
    <w:link w:val="Heading1"/>
    <w:uiPriority w:val="9"/>
    <w:rsid w:val="00756B49"/>
    <w:rPr>
      <w:rFonts w:asciiTheme="majorHAnsi" w:eastAsiaTheme="majorEastAsia" w:hAnsiTheme="majorHAnsi" w:cstheme="majorBidi"/>
      <w:color w:val="2E74B5" w:themeColor="accent1" w:themeShade="BF"/>
      <w:sz w:val="32"/>
      <w:szCs w:val="32"/>
      <w:lang w:val="en-US"/>
    </w:rPr>
  </w:style>
  <w:style w:type="paragraph" w:styleId="Caption">
    <w:name w:val="caption"/>
    <w:basedOn w:val="Normal"/>
    <w:next w:val="Normal"/>
    <w:uiPriority w:val="35"/>
    <w:unhideWhenUsed/>
    <w:qFormat/>
    <w:rsid w:val="00756B49"/>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7371899">
      <w:bodyDiv w:val="1"/>
      <w:marLeft w:val="0"/>
      <w:marRight w:val="0"/>
      <w:marTop w:val="0"/>
      <w:marBottom w:val="0"/>
      <w:divBdr>
        <w:top w:val="none" w:sz="0" w:space="0" w:color="auto"/>
        <w:left w:val="none" w:sz="0" w:space="0" w:color="auto"/>
        <w:bottom w:val="none" w:sz="0" w:space="0" w:color="auto"/>
        <w:right w:val="none" w:sz="0" w:space="0" w:color="auto"/>
      </w:divBdr>
    </w:div>
    <w:div w:id="964190754">
      <w:bodyDiv w:val="1"/>
      <w:marLeft w:val="0"/>
      <w:marRight w:val="0"/>
      <w:marTop w:val="0"/>
      <w:marBottom w:val="0"/>
      <w:divBdr>
        <w:top w:val="none" w:sz="0" w:space="0" w:color="auto"/>
        <w:left w:val="none" w:sz="0" w:space="0" w:color="auto"/>
        <w:bottom w:val="none" w:sz="0" w:space="0" w:color="auto"/>
        <w:right w:val="none" w:sz="0" w:space="0" w:color="auto"/>
      </w:divBdr>
    </w:div>
    <w:div w:id="1003237261">
      <w:bodyDiv w:val="1"/>
      <w:marLeft w:val="0"/>
      <w:marRight w:val="0"/>
      <w:marTop w:val="0"/>
      <w:marBottom w:val="0"/>
      <w:divBdr>
        <w:top w:val="none" w:sz="0" w:space="0" w:color="auto"/>
        <w:left w:val="none" w:sz="0" w:space="0" w:color="auto"/>
        <w:bottom w:val="none" w:sz="0" w:space="0" w:color="auto"/>
        <w:right w:val="none" w:sz="0" w:space="0" w:color="auto"/>
      </w:divBdr>
    </w:div>
    <w:div w:id="1088312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cal18</b:Tag>
    <b:SourceType>Book</b:SourceType>
    <b:Guid>{384A8748-51F7-4B09-B4C7-1DE8622899E2}</b:Guid>
    <b:Author>
      <b:Author>
        <b:NameList>
          <b:Person>
            <b:Last>Childs</b:Last>
            <b:First>callum</b:First>
          </b:Person>
        </b:NameList>
      </b:Author>
    </b:Author>
    <b:Title>so lonely</b:Title>
    <b:Year>2018</b:Year>
    <b:City>lampeter</b:City>
    <b:Publisher>moi</b:Publisher>
    <b:RefOrder>1</b:RefOrder>
  </b:Source>
</b:Sources>
</file>

<file path=customXml/itemProps1.xml><?xml version="1.0" encoding="utf-8"?>
<ds:datastoreItem xmlns:ds="http://schemas.openxmlformats.org/officeDocument/2006/customXml" ds:itemID="{2C1985FC-2ADF-4D98-93E7-6FA48B689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3</Pages>
  <Words>824</Words>
  <Characters>4697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Childs</dc:creator>
  <cp:keywords/>
  <dc:description/>
  <cp:lastModifiedBy>Student</cp:lastModifiedBy>
  <cp:revision>34</cp:revision>
  <dcterms:created xsi:type="dcterms:W3CDTF">2018-10-22T13:50:00Z</dcterms:created>
  <dcterms:modified xsi:type="dcterms:W3CDTF">2018-10-26T17:37:00Z</dcterms:modified>
</cp:coreProperties>
</file>