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0D5F53" w14:textId="336FA24F" w:rsidR="000E0023" w:rsidRPr="000E0023" w:rsidRDefault="000E0023">
      <w:pPr>
        <w:spacing w:line="360" w:lineRule="auto"/>
        <w:jc w:val="center"/>
        <w:rPr>
          <w:rFonts w:ascii="Times New Roman" w:eastAsia="Times New Roman" w:hAnsi="Times New Roman" w:cs="Times New Roman"/>
          <w:b/>
          <w:sz w:val="24"/>
          <w:szCs w:val="24"/>
          <w:u w:val="single"/>
          <w:lang w:val="en-GB"/>
        </w:rPr>
      </w:pPr>
      <w:r w:rsidRPr="000E0023">
        <w:rPr>
          <w:rFonts w:ascii="Times New Roman" w:eastAsia="Times New Roman" w:hAnsi="Times New Roman" w:cs="Times New Roman"/>
          <w:b/>
          <w:sz w:val="24"/>
          <w:szCs w:val="24"/>
          <w:u w:val="single"/>
          <w:lang w:val="en-GB"/>
        </w:rPr>
        <w:t>University of Wales Trinity Saint David</w:t>
      </w:r>
    </w:p>
    <w:p w14:paraId="4CC6DEDA" w14:textId="77777777" w:rsidR="000E0023" w:rsidRDefault="000E0023">
      <w:pPr>
        <w:spacing w:line="360" w:lineRule="auto"/>
        <w:jc w:val="center"/>
        <w:rPr>
          <w:rFonts w:ascii="Times New Roman" w:eastAsia="Times New Roman" w:hAnsi="Times New Roman" w:cs="Times New Roman"/>
          <w:b/>
          <w:sz w:val="32"/>
          <w:szCs w:val="32"/>
          <w:u w:val="single"/>
          <w:lang w:val="en-GB"/>
        </w:rPr>
      </w:pPr>
    </w:p>
    <w:p w14:paraId="498AB585" w14:textId="77777777" w:rsidR="000E0023" w:rsidRDefault="000E0023">
      <w:pPr>
        <w:spacing w:line="360" w:lineRule="auto"/>
        <w:jc w:val="center"/>
        <w:rPr>
          <w:rFonts w:ascii="Times New Roman" w:eastAsia="Times New Roman" w:hAnsi="Times New Roman" w:cs="Times New Roman"/>
          <w:b/>
          <w:sz w:val="32"/>
          <w:szCs w:val="32"/>
          <w:u w:val="single"/>
          <w:lang w:val="en-GB"/>
        </w:rPr>
      </w:pPr>
    </w:p>
    <w:p w14:paraId="02F58390" w14:textId="77777777" w:rsidR="000E0023" w:rsidRPr="000E0023" w:rsidRDefault="006B494A">
      <w:pPr>
        <w:spacing w:line="360" w:lineRule="auto"/>
        <w:jc w:val="center"/>
        <w:rPr>
          <w:rFonts w:ascii="Times New Roman" w:eastAsia="Times New Roman" w:hAnsi="Times New Roman" w:cs="Times New Roman"/>
          <w:b/>
          <w:sz w:val="36"/>
          <w:szCs w:val="36"/>
          <w:u w:val="single"/>
          <w:lang w:val="en-GB"/>
        </w:rPr>
      </w:pPr>
      <w:r w:rsidRPr="000E0023">
        <w:rPr>
          <w:rFonts w:ascii="Times New Roman" w:eastAsia="Times New Roman" w:hAnsi="Times New Roman" w:cs="Times New Roman"/>
          <w:b/>
          <w:sz w:val="36"/>
          <w:szCs w:val="36"/>
          <w:u w:val="single"/>
          <w:lang w:val="en-GB"/>
        </w:rPr>
        <w:t>Diminished Responsibility</w:t>
      </w:r>
    </w:p>
    <w:p w14:paraId="5E2262E0" w14:textId="77777777" w:rsidR="000E0023" w:rsidRDefault="000E0023">
      <w:pPr>
        <w:spacing w:line="360" w:lineRule="auto"/>
        <w:jc w:val="center"/>
        <w:rPr>
          <w:rFonts w:ascii="Times New Roman" w:eastAsia="Times New Roman" w:hAnsi="Times New Roman" w:cs="Times New Roman"/>
          <w:b/>
          <w:sz w:val="32"/>
          <w:szCs w:val="32"/>
          <w:u w:val="single"/>
          <w:lang w:val="en-GB"/>
        </w:rPr>
      </w:pPr>
    </w:p>
    <w:p w14:paraId="237C6B60" w14:textId="77777777" w:rsidR="000E0023" w:rsidRPr="000E0023" w:rsidRDefault="000E0023">
      <w:pPr>
        <w:spacing w:line="360" w:lineRule="auto"/>
        <w:jc w:val="center"/>
        <w:rPr>
          <w:rFonts w:ascii="Times New Roman" w:eastAsia="Times New Roman" w:hAnsi="Times New Roman" w:cs="Times New Roman"/>
          <w:b/>
          <w:sz w:val="24"/>
          <w:szCs w:val="24"/>
          <w:u w:val="single"/>
          <w:lang w:val="en-GB"/>
        </w:rPr>
      </w:pPr>
      <w:r w:rsidRPr="000E0023">
        <w:rPr>
          <w:rFonts w:ascii="Times New Roman" w:eastAsia="Times New Roman" w:hAnsi="Times New Roman" w:cs="Times New Roman"/>
          <w:b/>
          <w:sz w:val="24"/>
          <w:szCs w:val="24"/>
          <w:u w:val="single"/>
          <w:lang w:val="en-GB"/>
        </w:rPr>
        <w:t xml:space="preserve">Dinu </w:t>
      </w:r>
      <w:proofErr w:type="spellStart"/>
      <w:r w:rsidRPr="000E0023">
        <w:rPr>
          <w:rFonts w:ascii="Times New Roman" w:eastAsia="Times New Roman" w:hAnsi="Times New Roman" w:cs="Times New Roman"/>
          <w:b/>
          <w:sz w:val="24"/>
          <w:szCs w:val="24"/>
          <w:u w:val="single"/>
          <w:lang w:val="en-GB"/>
        </w:rPr>
        <w:t>Vasile</w:t>
      </w:r>
      <w:proofErr w:type="spellEnd"/>
      <w:r w:rsidRPr="000E0023">
        <w:rPr>
          <w:rFonts w:ascii="Times New Roman" w:eastAsia="Times New Roman" w:hAnsi="Times New Roman" w:cs="Times New Roman"/>
          <w:b/>
          <w:sz w:val="24"/>
          <w:szCs w:val="24"/>
          <w:u w:val="single"/>
          <w:lang w:val="en-GB"/>
        </w:rPr>
        <w:t xml:space="preserve"> Viorel (2209535)</w:t>
      </w:r>
    </w:p>
    <w:p w14:paraId="0A621BA4" w14:textId="77777777" w:rsidR="000E0023" w:rsidRDefault="000E0023">
      <w:pPr>
        <w:spacing w:line="360" w:lineRule="auto"/>
        <w:jc w:val="center"/>
        <w:rPr>
          <w:rFonts w:ascii="Times New Roman" w:eastAsia="Times New Roman" w:hAnsi="Times New Roman" w:cs="Times New Roman"/>
          <w:b/>
          <w:sz w:val="32"/>
          <w:szCs w:val="32"/>
          <w:u w:val="single"/>
          <w:lang w:val="en-GB"/>
        </w:rPr>
      </w:pPr>
    </w:p>
    <w:p w14:paraId="66D6A498" w14:textId="77777777" w:rsidR="000E0023" w:rsidRPr="000E0023" w:rsidRDefault="000E0023">
      <w:pPr>
        <w:spacing w:line="360" w:lineRule="auto"/>
        <w:jc w:val="center"/>
        <w:rPr>
          <w:rFonts w:ascii="Times New Roman" w:eastAsia="Times New Roman" w:hAnsi="Times New Roman" w:cs="Times New Roman"/>
          <w:b/>
          <w:sz w:val="24"/>
          <w:szCs w:val="24"/>
          <w:u w:val="single"/>
          <w:lang w:val="en-GB"/>
        </w:rPr>
      </w:pPr>
      <w:r w:rsidRPr="000E0023">
        <w:rPr>
          <w:rFonts w:ascii="Times New Roman" w:eastAsia="Times New Roman" w:hAnsi="Times New Roman" w:cs="Times New Roman"/>
          <w:b/>
          <w:sz w:val="24"/>
          <w:szCs w:val="24"/>
          <w:u w:val="single"/>
          <w:lang w:val="en-GB"/>
        </w:rPr>
        <w:t xml:space="preserve">Zita Draper </w:t>
      </w:r>
    </w:p>
    <w:p w14:paraId="53CEC31E" w14:textId="77777777" w:rsidR="000E0023" w:rsidRDefault="000E0023">
      <w:pPr>
        <w:spacing w:line="360" w:lineRule="auto"/>
        <w:jc w:val="center"/>
        <w:rPr>
          <w:rFonts w:ascii="Times New Roman" w:eastAsia="Times New Roman" w:hAnsi="Times New Roman" w:cs="Times New Roman"/>
          <w:b/>
          <w:sz w:val="32"/>
          <w:szCs w:val="32"/>
          <w:u w:val="single"/>
          <w:lang w:val="en-GB"/>
        </w:rPr>
      </w:pPr>
    </w:p>
    <w:p w14:paraId="00000001" w14:textId="0E67A581" w:rsidR="00792185" w:rsidRPr="000E0023" w:rsidRDefault="000E0023">
      <w:pPr>
        <w:spacing w:line="360" w:lineRule="auto"/>
        <w:jc w:val="center"/>
        <w:rPr>
          <w:rFonts w:ascii="Times New Roman" w:eastAsia="Times New Roman" w:hAnsi="Times New Roman" w:cs="Times New Roman"/>
          <w:b/>
          <w:sz w:val="24"/>
          <w:szCs w:val="24"/>
          <w:u w:val="single"/>
          <w:lang w:val="en-GB"/>
        </w:rPr>
      </w:pPr>
      <w:r w:rsidRPr="000E0023">
        <w:rPr>
          <w:rFonts w:ascii="Times New Roman" w:eastAsia="Times New Roman" w:hAnsi="Times New Roman" w:cs="Times New Roman"/>
          <w:b/>
          <w:sz w:val="24"/>
          <w:szCs w:val="24"/>
          <w:u w:val="single"/>
          <w:lang w:val="en-GB"/>
        </w:rPr>
        <w:t>10.03.2023</w:t>
      </w:r>
      <w:r w:rsidR="006B494A" w:rsidRPr="000E0023">
        <w:rPr>
          <w:sz w:val="24"/>
          <w:szCs w:val="24"/>
          <w:lang w:val="en-GB"/>
        </w:rPr>
        <w:br w:type="page"/>
      </w:r>
    </w:p>
    <w:p w14:paraId="00000002" w14:textId="77777777" w:rsidR="00792185" w:rsidRPr="00F67A04" w:rsidRDefault="006B494A">
      <w:pPr>
        <w:spacing w:line="360" w:lineRule="auto"/>
        <w:jc w:val="center"/>
        <w:rPr>
          <w:rFonts w:ascii="Times New Roman" w:eastAsia="Times New Roman" w:hAnsi="Times New Roman" w:cs="Times New Roman"/>
          <w:sz w:val="24"/>
          <w:szCs w:val="24"/>
          <w:lang w:val="en-GB"/>
        </w:rPr>
      </w:pPr>
      <w:r w:rsidRPr="00F67A04">
        <w:rPr>
          <w:rFonts w:ascii="Times New Roman" w:eastAsia="Times New Roman" w:hAnsi="Times New Roman" w:cs="Times New Roman"/>
          <w:b/>
          <w:sz w:val="24"/>
          <w:szCs w:val="24"/>
          <w:lang w:val="en-GB"/>
        </w:rPr>
        <w:lastRenderedPageBreak/>
        <w:t>Table of contents</w:t>
      </w:r>
    </w:p>
    <w:sdt>
      <w:sdtPr>
        <w:rPr>
          <w:lang w:val="en-GB"/>
        </w:rPr>
        <w:id w:val="-507824955"/>
        <w:docPartObj>
          <w:docPartGallery w:val="Table of Contents"/>
          <w:docPartUnique/>
        </w:docPartObj>
      </w:sdtPr>
      <w:sdtContent>
        <w:p w14:paraId="00000003" w14:textId="77777777" w:rsidR="00792185" w:rsidRPr="00F67A04" w:rsidRDefault="006B494A">
          <w:pPr>
            <w:widowControl w:val="0"/>
            <w:tabs>
              <w:tab w:val="right" w:pos="9360"/>
            </w:tabs>
            <w:spacing w:before="60" w:line="360" w:lineRule="auto"/>
            <w:jc w:val="both"/>
            <w:rPr>
              <w:rFonts w:ascii="Times New Roman" w:eastAsia="Times New Roman" w:hAnsi="Times New Roman" w:cs="Times New Roman"/>
              <w:color w:val="000000"/>
              <w:sz w:val="24"/>
              <w:szCs w:val="24"/>
              <w:lang w:val="en-GB"/>
            </w:rPr>
          </w:pPr>
          <w:r w:rsidRPr="00F67A04">
            <w:rPr>
              <w:lang w:val="en-GB"/>
            </w:rPr>
            <w:fldChar w:fldCharType="begin"/>
          </w:r>
          <w:r w:rsidRPr="00F67A04">
            <w:rPr>
              <w:lang w:val="en-GB"/>
            </w:rPr>
            <w:instrText xml:space="preserve"> TOC \h \u \z </w:instrText>
          </w:r>
          <w:r w:rsidRPr="00F67A04">
            <w:rPr>
              <w:lang w:val="en-GB"/>
            </w:rPr>
            <w:fldChar w:fldCharType="separate"/>
          </w:r>
          <w:hyperlink w:anchor="_g9p5pi8k2cr8">
            <w:r w:rsidRPr="00F67A04">
              <w:rPr>
                <w:rFonts w:ascii="Times New Roman" w:eastAsia="Times New Roman" w:hAnsi="Times New Roman" w:cs="Times New Roman"/>
                <w:color w:val="000000"/>
                <w:sz w:val="24"/>
                <w:szCs w:val="24"/>
                <w:lang w:val="en-GB"/>
              </w:rPr>
              <w:t>Introduction</w:t>
            </w:r>
            <w:r w:rsidRPr="00F67A04">
              <w:rPr>
                <w:rFonts w:ascii="Times New Roman" w:eastAsia="Times New Roman" w:hAnsi="Times New Roman" w:cs="Times New Roman"/>
                <w:color w:val="000000"/>
                <w:sz w:val="24"/>
                <w:szCs w:val="24"/>
                <w:lang w:val="en-GB"/>
              </w:rPr>
              <w:tab/>
            </w:r>
          </w:hyperlink>
          <w:r w:rsidRPr="00F67A04">
            <w:rPr>
              <w:lang w:val="en-GB"/>
            </w:rPr>
            <w:fldChar w:fldCharType="begin"/>
          </w:r>
          <w:r w:rsidRPr="00F67A04">
            <w:rPr>
              <w:lang w:val="en-GB"/>
            </w:rPr>
            <w:instrText xml:space="preserve"> PAGEREF _g9p5pi8k2cr8 \h </w:instrText>
          </w:r>
          <w:r w:rsidRPr="00F67A04">
            <w:rPr>
              <w:lang w:val="en-GB"/>
            </w:rPr>
          </w:r>
          <w:r w:rsidRPr="00F67A04">
            <w:rPr>
              <w:lang w:val="en-GB"/>
            </w:rPr>
            <w:fldChar w:fldCharType="separate"/>
          </w:r>
          <w:r w:rsidRPr="00F67A04">
            <w:rPr>
              <w:rFonts w:ascii="Times New Roman" w:eastAsia="Times New Roman" w:hAnsi="Times New Roman" w:cs="Times New Roman"/>
              <w:sz w:val="24"/>
              <w:szCs w:val="24"/>
              <w:lang w:val="en-GB"/>
            </w:rPr>
            <w:t>3</w:t>
          </w:r>
          <w:r w:rsidRPr="00F67A04">
            <w:rPr>
              <w:lang w:val="en-GB"/>
            </w:rPr>
            <w:fldChar w:fldCharType="end"/>
          </w:r>
        </w:p>
        <w:p w14:paraId="00000004" w14:textId="77777777" w:rsidR="00792185" w:rsidRPr="00F67A04"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lang w:val="en-GB"/>
            </w:rPr>
          </w:pPr>
          <w:hyperlink w:anchor="_vww63rnz7ggl">
            <w:r w:rsidR="006B494A" w:rsidRPr="00F67A04">
              <w:rPr>
                <w:rFonts w:ascii="Times New Roman" w:eastAsia="Times New Roman" w:hAnsi="Times New Roman" w:cs="Times New Roman"/>
                <w:color w:val="000000"/>
                <w:sz w:val="24"/>
                <w:szCs w:val="24"/>
                <w:lang w:val="en-GB"/>
              </w:rPr>
              <w:t>Main body</w:t>
            </w:r>
            <w:r w:rsidR="006B494A" w:rsidRPr="00F67A04">
              <w:rPr>
                <w:rFonts w:ascii="Times New Roman" w:eastAsia="Times New Roman" w:hAnsi="Times New Roman" w:cs="Times New Roman"/>
                <w:color w:val="000000"/>
                <w:sz w:val="24"/>
                <w:szCs w:val="24"/>
                <w:lang w:val="en-GB"/>
              </w:rPr>
              <w:tab/>
            </w:r>
          </w:hyperlink>
          <w:r w:rsidR="006B494A" w:rsidRPr="00F67A04">
            <w:rPr>
              <w:lang w:val="en-GB"/>
            </w:rPr>
            <w:fldChar w:fldCharType="begin"/>
          </w:r>
          <w:r w:rsidR="006B494A" w:rsidRPr="00F67A04">
            <w:rPr>
              <w:lang w:val="en-GB"/>
            </w:rPr>
            <w:instrText xml:space="preserve"> PAGEREF _vww63rnz7ggl \h </w:instrText>
          </w:r>
          <w:r w:rsidR="006B494A" w:rsidRPr="00F67A04">
            <w:rPr>
              <w:lang w:val="en-GB"/>
            </w:rPr>
          </w:r>
          <w:r w:rsidR="006B494A" w:rsidRPr="00F67A04">
            <w:rPr>
              <w:lang w:val="en-GB"/>
            </w:rPr>
            <w:fldChar w:fldCharType="separate"/>
          </w:r>
          <w:r w:rsidR="006B494A" w:rsidRPr="00F67A04">
            <w:rPr>
              <w:rFonts w:ascii="Times New Roman" w:eastAsia="Times New Roman" w:hAnsi="Times New Roman" w:cs="Times New Roman"/>
              <w:sz w:val="24"/>
              <w:szCs w:val="24"/>
              <w:lang w:val="en-GB"/>
            </w:rPr>
            <w:t>4</w:t>
          </w:r>
          <w:r w:rsidR="006B494A" w:rsidRPr="00F67A04">
            <w:rPr>
              <w:lang w:val="en-GB"/>
            </w:rPr>
            <w:fldChar w:fldCharType="end"/>
          </w:r>
        </w:p>
        <w:p w14:paraId="00000005" w14:textId="77777777" w:rsidR="00792185" w:rsidRPr="00F67A04"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lang w:val="en-GB"/>
            </w:rPr>
          </w:pPr>
          <w:hyperlink w:anchor="_trku0jxbkc0h">
            <w:r w:rsidR="006B494A" w:rsidRPr="00F67A04">
              <w:rPr>
                <w:rFonts w:ascii="Times New Roman" w:eastAsia="Times New Roman" w:hAnsi="Times New Roman" w:cs="Times New Roman"/>
                <w:color w:val="000000"/>
                <w:sz w:val="24"/>
                <w:szCs w:val="24"/>
                <w:lang w:val="en-GB"/>
              </w:rPr>
              <w:t>Conclusion</w:t>
            </w:r>
            <w:r w:rsidR="006B494A" w:rsidRPr="00F67A04">
              <w:rPr>
                <w:rFonts w:ascii="Times New Roman" w:eastAsia="Times New Roman" w:hAnsi="Times New Roman" w:cs="Times New Roman"/>
                <w:color w:val="000000"/>
                <w:sz w:val="24"/>
                <w:szCs w:val="24"/>
                <w:lang w:val="en-GB"/>
              </w:rPr>
              <w:tab/>
            </w:r>
          </w:hyperlink>
          <w:r w:rsidR="006B494A" w:rsidRPr="00F67A04">
            <w:rPr>
              <w:lang w:val="en-GB"/>
            </w:rPr>
            <w:fldChar w:fldCharType="begin"/>
          </w:r>
          <w:r w:rsidR="006B494A" w:rsidRPr="00F67A04">
            <w:rPr>
              <w:lang w:val="en-GB"/>
            </w:rPr>
            <w:instrText xml:space="preserve"> PAGEREF _trku0jxbkc0h \h </w:instrText>
          </w:r>
          <w:r w:rsidR="006B494A" w:rsidRPr="00F67A04">
            <w:rPr>
              <w:lang w:val="en-GB"/>
            </w:rPr>
          </w:r>
          <w:r w:rsidR="006B494A" w:rsidRPr="00F67A04">
            <w:rPr>
              <w:lang w:val="en-GB"/>
            </w:rPr>
            <w:fldChar w:fldCharType="separate"/>
          </w:r>
          <w:r w:rsidR="006B494A" w:rsidRPr="00F67A04">
            <w:rPr>
              <w:rFonts w:ascii="Times New Roman" w:eastAsia="Times New Roman" w:hAnsi="Times New Roman" w:cs="Times New Roman"/>
              <w:sz w:val="24"/>
              <w:szCs w:val="24"/>
              <w:lang w:val="en-GB"/>
            </w:rPr>
            <w:t>8</w:t>
          </w:r>
          <w:r w:rsidR="006B494A" w:rsidRPr="00F67A04">
            <w:rPr>
              <w:lang w:val="en-GB"/>
            </w:rPr>
            <w:fldChar w:fldCharType="end"/>
          </w:r>
        </w:p>
        <w:p w14:paraId="00000006" w14:textId="77777777" w:rsidR="00792185" w:rsidRPr="00F67A04"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lang w:val="en-GB"/>
            </w:rPr>
          </w:pPr>
          <w:hyperlink w:anchor="_xpsdr816ovkm">
            <w:r w:rsidR="006B494A" w:rsidRPr="00F67A04">
              <w:rPr>
                <w:rFonts w:ascii="Times New Roman" w:eastAsia="Times New Roman" w:hAnsi="Times New Roman" w:cs="Times New Roman"/>
                <w:color w:val="000000"/>
                <w:sz w:val="24"/>
                <w:szCs w:val="24"/>
                <w:lang w:val="en-GB"/>
              </w:rPr>
              <w:t>References</w:t>
            </w:r>
            <w:r w:rsidR="006B494A" w:rsidRPr="00F67A04">
              <w:rPr>
                <w:rFonts w:ascii="Times New Roman" w:eastAsia="Times New Roman" w:hAnsi="Times New Roman" w:cs="Times New Roman"/>
                <w:color w:val="000000"/>
                <w:sz w:val="24"/>
                <w:szCs w:val="24"/>
                <w:lang w:val="en-GB"/>
              </w:rPr>
              <w:tab/>
            </w:r>
          </w:hyperlink>
          <w:r w:rsidR="006B494A" w:rsidRPr="00F67A04">
            <w:rPr>
              <w:lang w:val="en-GB"/>
            </w:rPr>
            <w:fldChar w:fldCharType="begin"/>
          </w:r>
          <w:r w:rsidR="006B494A" w:rsidRPr="00F67A04">
            <w:rPr>
              <w:lang w:val="en-GB"/>
            </w:rPr>
            <w:instrText xml:space="preserve"> PAGEREF _xpsdr816ovkm \h </w:instrText>
          </w:r>
          <w:r w:rsidR="006B494A" w:rsidRPr="00F67A04">
            <w:rPr>
              <w:lang w:val="en-GB"/>
            </w:rPr>
          </w:r>
          <w:r w:rsidR="006B494A" w:rsidRPr="00F67A04">
            <w:rPr>
              <w:lang w:val="en-GB"/>
            </w:rPr>
            <w:fldChar w:fldCharType="separate"/>
          </w:r>
          <w:r w:rsidR="006B494A" w:rsidRPr="00F67A04">
            <w:rPr>
              <w:rFonts w:ascii="Times New Roman" w:eastAsia="Times New Roman" w:hAnsi="Times New Roman" w:cs="Times New Roman"/>
              <w:sz w:val="24"/>
              <w:szCs w:val="24"/>
              <w:lang w:val="en-GB"/>
            </w:rPr>
            <w:t>9</w:t>
          </w:r>
          <w:r w:rsidR="006B494A" w:rsidRPr="00F67A04">
            <w:rPr>
              <w:lang w:val="en-GB"/>
            </w:rPr>
            <w:fldChar w:fldCharType="end"/>
          </w:r>
          <w:r w:rsidR="006B494A" w:rsidRPr="00F67A04">
            <w:rPr>
              <w:lang w:val="en-GB"/>
            </w:rPr>
            <w:fldChar w:fldCharType="end"/>
          </w:r>
        </w:p>
      </w:sdtContent>
    </w:sdt>
    <w:p w14:paraId="00000007" w14:textId="77777777" w:rsidR="00792185" w:rsidRPr="00F67A04" w:rsidRDefault="006B494A">
      <w:pPr>
        <w:spacing w:line="360" w:lineRule="auto"/>
        <w:jc w:val="both"/>
        <w:rPr>
          <w:rFonts w:ascii="Times New Roman" w:eastAsia="Times New Roman" w:hAnsi="Times New Roman" w:cs="Times New Roman"/>
          <w:sz w:val="24"/>
          <w:szCs w:val="24"/>
          <w:lang w:val="en-GB"/>
        </w:rPr>
      </w:pPr>
      <w:r w:rsidRPr="00F67A04">
        <w:rPr>
          <w:rFonts w:ascii="Times New Roman" w:eastAsia="Times New Roman" w:hAnsi="Times New Roman" w:cs="Times New Roman"/>
          <w:sz w:val="24"/>
          <w:szCs w:val="24"/>
          <w:lang w:val="en-GB"/>
        </w:rPr>
        <w:t xml:space="preserve"> </w:t>
      </w:r>
    </w:p>
    <w:p w14:paraId="00000008" w14:textId="77777777" w:rsidR="00792185" w:rsidRPr="00F67A04" w:rsidRDefault="00792185">
      <w:pPr>
        <w:spacing w:line="360" w:lineRule="auto"/>
        <w:jc w:val="both"/>
        <w:rPr>
          <w:rFonts w:ascii="Times New Roman" w:eastAsia="Times New Roman" w:hAnsi="Times New Roman" w:cs="Times New Roman"/>
          <w:b/>
          <w:sz w:val="24"/>
          <w:szCs w:val="24"/>
          <w:lang w:val="en-GB"/>
        </w:rPr>
      </w:pPr>
    </w:p>
    <w:p w14:paraId="00000009" w14:textId="77777777" w:rsidR="00792185" w:rsidRPr="00F67A04" w:rsidRDefault="006B494A">
      <w:pPr>
        <w:spacing w:line="360" w:lineRule="auto"/>
        <w:jc w:val="both"/>
        <w:rPr>
          <w:rFonts w:ascii="Times New Roman" w:eastAsia="Times New Roman" w:hAnsi="Times New Roman" w:cs="Times New Roman"/>
          <w:b/>
          <w:sz w:val="24"/>
          <w:szCs w:val="24"/>
          <w:lang w:val="en-GB"/>
        </w:rPr>
      </w:pPr>
      <w:r w:rsidRPr="00F67A04">
        <w:rPr>
          <w:lang w:val="en-GB"/>
        </w:rPr>
        <w:br w:type="page"/>
      </w:r>
    </w:p>
    <w:p w14:paraId="0000000A" w14:textId="77777777" w:rsidR="00792185" w:rsidRPr="00F67A04" w:rsidRDefault="006B494A">
      <w:pPr>
        <w:pStyle w:val="Titlu1"/>
        <w:rPr>
          <w:lang w:val="en-GB"/>
        </w:rPr>
      </w:pPr>
      <w:bookmarkStart w:id="0" w:name="_g9p5pi8k2cr8" w:colFirst="0" w:colLast="0"/>
      <w:bookmarkEnd w:id="0"/>
      <w:r w:rsidRPr="00F67A04">
        <w:rPr>
          <w:lang w:val="en-GB"/>
        </w:rPr>
        <w:lastRenderedPageBreak/>
        <w:t xml:space="preserve">Introduction </w:t>
      </w:r>
    </w:p>
    <w:p w14:paraId="0000000B" w14:textId="461D7802" w:rsidR="00792185" w:rsidRPr="00F67A04" w:rsidRDefault="006B494A">
      <w:pPr>
        <w:spacing w:line="360" w:lineRule="auto"/>
        <w:jc w:val="both"/>
        <w:rPr>
          <w:rFonts w:ascii="Times New Roman" w:eastAsia="Times New Roman" w:hAnsi="Times New Roman" w:cs="Times New Roman"/>
          <w:sz w:val="24"/>
          <w:szCs w:val="24"/>
          <w:lang w:val="en-GB"/>
        </w:rPr>
      </w:pPr>
      <w:r w:rsidRPr="00F67A04">
        <w:rPr>
          <w:rFonts w:ascii="Times New Roman" w:eastAsia="Times New Roman" w:hAnsi="Times New Roman" w:cs="Times New Roman"/>
          <w:sz w:val="24"/>
          <w:szCs w:val="24"/>
          <w:lang w:val="en-GB"/>
        </w:rPr>
        <w:t>The defence of diminished responsibility in the United Kingdom has been one of the most debated topics in the periphery of law and justice. One of the acts that have been pivotal in changing criminal law and order in England and Wales is the Coroners and Justice Act 2009. The changes which this has made will be highlig</w:t>
      </w:r>
      <w:r w:rsidR="000D23E2" w:rsidRPr="00F67A04">
        <w:rPr>
          <w:rFonts w:ascii="Times New Roman" w:eastAsia="Times New Roman" w:hAnsi="Times New Roman" w:cs="Times New Roman"/>
          <w:sz w:val="24"/>
          <w:szCs w:val="24"/>
          <w:lang w:val="en-GB"/>
        </w:rPr>
        <w:t xml:space="preserve">hted diligently in this easy. </w:t>
      </w:r>
      <w:r w:rsidRPr="00F67A04">
        <w:rPr>
          <w:rFonts w:ascii="Times New Roman" w:eastAsia="Times New Roman" w:hAnsi="Times New Roman" w:cs="Times New Roman"/>
          <w:sz w:val="24"/>
          <w:szCs w:val="24"/>
          <w:lang w:val="en-GB"/>
        </w:rPr>
        <w:t xml:space="preserve">With an intent to address this question concisely, a few aspects of Homicide 1957 will be entered herein and with the specific requirements. Whether the Coroners act will be advantageous or disadvantageous, in the long run, will also be discussed herein. </w:t>
      </w:r>
    </w:p>
    <w:p w14:paraId="0000000C" w14:textId="77777777" w:rsidR="00792185" w:rsidRPr="00F67A04" w:rsidRDefault="006B494A">
      <w:pPr>
        <w:spacing w:line="360" w:lineRule="auto"/>
        <w:jc w:val="both"/>
        <w:rPr>
          <w:rFonts w:ascii="Times New Roman" w:eastAsia="Times New Roman" w:hAnsi="Times New Roman" w:cs="Times New Roman"/>
          <w:b/>
          <w:sz w:val="24"/>
          <w:szCs w:val="24"/>
          <w:lang w:val="en-GB"/>
        </w:rPr>
      </w:pPr>
      <w:r w:rsidRPr="00F67A04">
        <w:rPr>
          <w:lang w:val="en-GB"/>
        </w:rPr>
        <w:br w:type="page"/>
      </w:r>
    </w:p>
    <w:p w14:paraId="0000000D" w14:textId="77777777" w:rsidR="00792185" w:rsidRPr="00F67A04" w:rsidRDefault="006B494A">
      <w:pPr>
        <w:pStyle w:val="Titlu1"/>
        <w:rPr>
          <w:lang w:val="en-GB"/>
        </w:rPr>
      </w:pPr>
      <w:bookmarkStart w:id="1" w:name="_vww63rnz7ggl" w:colFirst="0" w:colLast="0"/>
      <w:bookmarkEnd w:id="1"/>
      <w:r w:rsidRPr="00F67A04">
        <w:rPr>
          <w:lang w:val="en-GB"/>
        </w:rPr>
        <w:lastRenderedPageBreak/>
        <w:t xml:space="preserve">Main body </w:t>
      </w:r>
    </w:p>
    <w:p w14:paraId="0000000E" w14:textId="380A58AA" w:rsidR="00792185" w:rsidRPr="00F67A04" w:rsidRDefault="006B494A">
      <w:pPr>
        <w:spacing w:line="360" w:lineRule="auto"/>
        <w:jc w:val="both"/>
        <w:rPr>
          <w:rFonts w:ascii="Times New Roman" w:eastAsia="Times New Roman" w:hAnsi="Times New Roman" w:cs="Times New Roman"/>
          <w:sz w:val="24"/>
          <w:szCs w:val="24"/>
          <w:lang w:val="en-GB"/>
        </w:rPr>
      </w:pPr>
      <w:r w:rsidRPr="00F67A04">
        <w:rPr>
          <w:rFonts w:ascii="Times New Roman" w:eastAsia="Times New Roman" w:hAnsi="Times New Roman" w:cs="Times New Roman"/>
          <w:sz w:val="24"/>
          <w:szCs w:val="24"/>
          <w:lang w:val="en-GB"/>
        </w:rPr>
        <w:t xml:space="preserve">The concept of diminished responsibility is closely related to UK law and order which pertains to the array of punishments which is rewarded in the cases of murder or manslaughter. It is evident in the law relevant to the cases of murder that the two acts which deserve mention </w:t>
      </w:r>
      <w:r w:rsidR="000D23E2" w:rsidRPr="00F67A04">
        <w:rPr>
          <w:rFonts w:ascii="Times New Roman" w:eastAsia="Times New Roman" w:hAnsi="Times New Roman" w:cs="Times New Roman"/>
          <w:sz w:val="24"/>
          <w:szCs w:val="24"/>
          <w:lang w:val="en-GB"/>
        </w:rPr>
        <w:t xml:space="preserve">are </w:t>
      </w:r>
      <w:r w:rsidR="000D23E2" w:rsidRPr="00F67A04">
        <w:rPr>
          <w:rFonts w:ascii="Times New Roman" w:eastAsia="Times New Roman" w:hAnsi="Times New Roman" w:cs="Times New Roman"/>
          <w:b/>
          <w:i/>
          <w:sz w:val="24"/>
          <w:szCs w:val="24"/>
          <w:lang w:val="en-GB"/>
        </w:rPr>
        <w:t>Homicide</w:t>
      </w:r>
      <w:r w:rsidRPr="00F67A04">
        <w:rPr>
          <w:rFonts w:ascii="Times New Roman" w:eastAsia="Times New Roman" w:hAnsi="Times New Roman" w:cs="Times New Roman"/>
          <w:b/>
          <w:i/>
          <w:sz w:val="24"/>
          <w:szCs w:val="24"/>
          <w:lang w:val="en-GB"/>
        </w:rPr>
        <w:t xml:space="preserve"> Act 1957</w:t>
      </w:r>
      <w:r w:rsidRPr="00F67A04">
        <w:rPr>
          <w:rFonts w:ascii="Times New Roman" w:eastAsia="Times New Roman" w:hAnsi="Times New Roman" w:cs="Times New Roman"/>
          <w:sz w:val="24"/>
          <w:szCs w:val="24"/>
          <w:lang w:val="en-GB"/>
        </w:rPr>
        <w:t xml:space="preserve"> and the </w:t>
      </w:r>
      <w:r w:rsidRPr="00F67A04">
        <w:rPr>
          <w:rFonts w:ascii="Times New Roman" w:eastAsia="Times New Roman" w:hAnsi="Times New Roman" w:cs="Times New Roman"/>
          <w:b/>
          <w:i/>
          <w:sz w:val="24"/>
          <w:szCs w:val="24"/>
          <w:lang w:val="en-GB"/>
        </w:rPr>
        <w:t>Coroners and Justice act 2009</w:t>
      </w:r>
      <w:r w:rsidRPr="00F67A04">
        <w:rPr>
          <w:rFonts w:ascii="Times New Roman" w:eastAsia="Times New Roman" w:hAnsi="Times New Roman" w:cs="Times New Roman"/>
          <w:sz w:val="24"/>
          <w:szCs w:val="24"/>
          <w:lang w:val="en-GB"/>
        </w:rPr>
        <w:t xml:space="preserve">. In this essay, the transformation which has been brought forth by the coroners and justice act will be dealt with a prime focus on the </w:t>
      </w:r>
      <w:r w:rsidR="00B8252A" w:rsidRPr="00F67A04">
        <w:rPr>
          <w:rFonts w:ascii="Times New Roman" w:eastAsia="Times New Roman" w:hAnsi="Times New Roman" w:cs="Times New Roman"/>
          <w:sz w:val="24"/>
          <w:szCs w:val="24"/>
          <w:lang w:val="en-GB"/>
        </w:rPr>
        <w:t>defence</w:t>
      </w:r>
      <w:r w:rsidRPr="00F67A04">
        <w:rPr>
          <w:rFonts w:ascii="Times New Roman" w:eastAsia="Times New Roman" w:hAnsi="Times New Roman" w:cs="Times New Roman"/>
          <w:sz w:val="24"/>
          <w:szCs w:val="24"/>
          <w:lang w:val="en-GB"/>
        </w:rPr>
        <w:t xml:space="preserve"> mechanism of this law for diminished responsibility (Reed </w:t>
      </w:r>
      <w:r w:rsidRPr="00F67A04">
        <w:rPr>
          <w:rFonts w:ascii="Times New Roman" w:eastAsia="Times New Roman" w:hAnsi="Times New Roman" w:cs="Times New Roman"/>
          <w:i/>
          <w:sz w:val="24"/>
          <w:szCs w:val="24"/>
          <w:lang w:val="en-GB"/>
        </w:rPr>
        <w:t>et al</w:t>
      </w:r>
      <w:r w:rsidRPr="00F67A04">
        <w:rPr>
          <w:rFonts w:ascii="Times New Roman" w:eastAsia="Times New Roman" w:hAnsi="Times New Roman" w:cs="Times New Roman"/>
          <w:sz w:val="24"/>
          <w:szCs w:val="24"/>
          <w:lang w:val="en-GB"/>
        </w:rPr>
        <w:t xml:space="preserve">., 2021). Diminished responsibility can be referred to as partial legal doctrine which absolves a specific person who has been accused of murder based on the legal excuse that the criminal has been suffering from a specific psychological disorder. It is this disorder which has proven that person can take part in the heinous crime of murder. </w:t>
      </w:r>
    </w:p>
    <w:p w14:paraId="0000000F" w14:textId="1FC69DC8" w:rsidR="00792185" w:rsidRPr="00F67A04" w:rsidRDefault="006B494A">
      <w:pPr>
        <w:spacing w:line="360" w:lineRule="auto"/>
        <w:jc w:val="both"/>
        <w:rPr>
          <w:rFonts w:ascii="Times New Roman" w:eastAsia="Times New Roman" w:hAnsi="Times New Roman" w:cs="Times New Roman"/>
          <w:sz w:val="24"/>
          <w:szCs w:val="24"/>
          <w:lang w:val="en-GB"/>
        </w:rPr>
      </w:pPr>
      <w:r w:rsidRPr="00F67A04">
        <w:rPr>
          <w:rFonts w:ascii="Times New Roman" w:eastAsia="Times New Roman" w:hAnsi="Times New Roman" w:cs="Times New Roman"/>
          <w:sz w:val="24"/>
          <w:szCs w:val="24"/>
          <w:lang w:val="en-GB"/>
        </w:rPr>
        <w:t xml:space="preserve">In this context, a few aspects of section 2 of the </w:t>
      </w:r>
      <w:r w:rsidRPr="00F67A04">
        <w:rPr>
          <w:rFonts w:ascii="Times New Roman" w:eastAsia="Times New Roman" w:hAnsi="Times New Roman" w:cs="Times New Roman"/>
          <w:b/>
          <w:i/>
          <w:sz w:val="24"/>
          <w:szCs w:val="24"/>
          <w:lang w:val="en-GB"/>
        </w:rPr>
        <w:t xml:space="preserve">Homicide </w:t>
      </w:r>
      <w:r w:rsidR="000D23E2" w:rsidRPr="00F67A04">
        <w:rPr>
          <w:rFonts w:ascii="Times New Roman" w:eastAsia="Times New Roman" w:hAnsi="Times New Roman" w:cs="Times New Roman"/>
          <w:b/>
          <w:i/>
          <w:sz w:val="24"/>
          <w:szCs w:val="24"/>
          <w:lang w:val="en-GB"/>
        </w:rPr>
        <w:t>act 1957</w:t>
      </w:r>
      <w:r w:rsidRPr="00F67A04">
        <w:rPr>
          <w:rFonts w:ascii="Times New Roman" w:eastAsia="Times New Roman" w:hAnsi="Times New Roman" w:cs="Times New Roman"/>
          <w:b/>
          <w:i/>
          <w:sz w:val="24"/>
          <w:szCs w:val="24"/>
          <w:lang w:val="en-GB"/>
        </w:rPr>
        <w:t xml:space="preserve"> </w:t>
      </w:r>
      <w:r w:rsidRPr="00F67A04">
        <w:rPr>
          <w:rFonts w:ascii="Times New Roman" w:eastAsia="Times New Roman" w:hAnsi="Times New Roman" w:cs="Times New Roman"/>
          <w:sz w:val="24"/>
          <w:szCs w:val="24"/>
          <w:lang w:val="en-GB"/>
        </w:rPr>
        <w:t xml:space="preserve">will be incorporated to bring clarity to the arguments which will be focused on in this essay (Flynn </w:t>
      </w:r>
      <w:r w:rsidRPr="00F67A04">
        <w:rPr>
          <w:rFonts w:ascii="Times New Roman" w:eastAsia="Times New Roman" w:hAnsi="Times New Roman" w:cs="Times New Roman"/>
          <w:i/>
          <w:sz w:val="24"/>
          <w:szCs w:val="24"/>
          <w:lang w:val="en-GB"/>
        </w:rPr>
        <w:t>et al</w:t>
      </w:r>
      <w:r w:rsidR="000D23E2" w:rsidRPr="00F67A04">
        <w:rPr>
          <w:rFonts w:ascii="Times New Roman" w:eastAsia="Times New Roman" w:hAnsi="Times New Roman" w:cs="Times New Roman"/>
          <w:sz w:val="24"/>
          <w:szCs w:val="24"/>
          <w:lang w:val="en-GB"/>
        </w:rPr>
        <w:t>., 2021). Regarding diminished</w:t>
      </w:r>
      <w:r w:rsidRPr="00F67A04">
        <w:rPr>
          <w:rFonts w:ascii="Times New Roman" w:eastAsia="Times New Roman" w:hAnsi="Times New Roman" w:cs="Times New Roman"/>
          <w:sz w:val="24"/>
          <w:szCs w:val="24"/>
          <w:lang w:val="en-GB"/>
        </w:rPr>
        <w:t xml:space="preserve"> responsibility, there are certain parameters or requirements which need to be followed in order to be eligible for a murderer to be covered under this law. </w:t>
      </w:r>
    </w:p>
    <w:p w14:paraId="00000010" w14:textId="77777777" w:rsidR="00792185" w:rsidRPr="00F67A04" w:rsidRDefault="006B494A">
      <w:pPr>
        <w:spacing w:line="360" w:lineRule="auto"/>
        <w:jc w:val="both"/>
        <w:rPr>
          <w:rFonts w:ascii="Times New Roman" w:eastAsia="Times New Roman" w:hAnsi="Times New Roman" w:cs="Times New Roman"/>
          <w:sz w:val="24"/>
          <w:szCs w:val="24"/>
          <w:lang w:val="en-GB"/>
        </w:rPr>
      </w:pPr>
      <w:r w:rsidRPr="00F67A04">
        <w:rPr>
          <w:rFonts w:ascii="Times New Roman" w:eastAsia="Times New Roman" w:hAnsi="Times New Roman" w:cs="Times New Roman"/>
          <w:sz w:val="24"/>
          <w:szCs w:val="24"/>
          <w:lang w:val="en-GB"/>
        </w:rPr>
        <w:t>As per section 2 of this act, when a person commits a crime such as murder, he or she will not be liable for the punishments directly. There must be a check into the mental health conditions of that person. Thorough scrutiny will be conducted to check whether the person who has been convicted actually suffers from an acute mental illness. This mental illness can be caused due to “retarded development of the mind” or can also be induced by any diseases or injuries which have occurred in the past (</w:t>
      </w:r>
      <w:proofErr w:type="spellStart"/>
      <w:r w:rsidRPr="00F67A04">
        <w:rPr>
          <w:rFonts w:ascii="Times New Roman" w:eastAsia="Times New Roman" w:hAnsi="Times New Roman" w:cs="Times New Roman"/>
          <w:sz w:val="24"/>
          <w:szCs w:val="24"/>
          <w:lang w:val="en-GB"/>
        </w:rPr>
        <w:t>Glavaš</w:t>
      </w:r>
      <w:proofErr w:type="spellEnd"/>
      <w:r w:rsidRPr="00F67A04">
        <w:rPr>
          <w:rFonts w:ascii="Times New Roman" w:eastAsia="Times New Roman" w:hAnsi="Times New Roman" w:cs="Times New Roman"/>
          <w:sz w:val="24"/>
          <w:szCs w:val="24"/>
          <w:lang w:val="en-GB"/>
        </w:rPr>
        <w:t xml:space="preserve">, 2022).  Individuals also become excused from an act of murder in case it can be proven that the murder has been a certain series of incidents which contributed to the mental condition which is provoking enough to commit a crime such as murder. </w:t>
      </w:r>
    </w:p>
    <w:p w14:paraId="00000011" w14:textId="47CCCC4A" w:rsidR="00792185" w:rsidRPr="00F67A04" w:rsidRDefault="006B494A">
      <w:pPr>
        <w:spacing w:line="360" w:lineRule="auto"/>
        <w:jc w:val="both"/>
        <w:rPr>
          <w:rFonts w:ascii="Times New Roman" w:eastAsia="Times New Roman" w:hAnsi="Times New Roman" w:cs="Times New Roman"/>
          <w:sz w:val="24"/>
          <w:szCs w:val="24"/>
          <w:lang w:val="en-GB"/>
        </w:rPr>
      </w:pPr>
      <w:r w:rsidRPr="00F67A04">
        <w:rPr>
          <w:rFonts w:ascii="Times New Roman" w:eastAsia="Times New Roman" w:hAnsi="Times New Roman" w:cs="Times New Roman"/>
          <w:sz w:val="24"/>
          <w:szCs w:val="24"/>
          <w:lang w:val="en-GB"/>
        </w:rPr>
        <w:t xml:space="preserve">This act safeguards </w:t>
      </w:r>
      <w:r w:rsidR="00F67A04" w:rsidRPr="00F67A04">
        <w:rPr>
          <w:rFonts w:ascii="Times New Roman" w:eastAsia="Times New Roman" w:hAnsi="Times New Roman" w:cs="Times New Roman"/>
          <w:sz w:val="24"/>
          <w:szCs w:val="24"/>
          <w:lang w:val="en-GB"/>
        </w:rPr>
        <w:t>a mentally</w:t>
      </w:r>
      <w:r w:rsidRPr="00F67A04">
        <w:rPr>
          <w:rFonts w:ascii="Times New Roman" w:eastAsia="Times New Roman" w:hAnsi="Times New Roman" w:cs="Times New Roman"/>
          <w:sz w:val="24"/>
          <w:szCs w:val="24"/>
          <w:lang w:val="en-GB"/>
        </w:rPr>
        <w:t xml:space="preserve"> retarded or challenged murderer from being convicted of murder. If proven right as per the requirements of the law, a person will not be liable for murder and his crime would be referred to as an act of “manslaughter” (Leigh, 2019). </w:t>
      </w:r>
    </w:p>
    <w:p w14:paraId="00000012" w14:textId="790E9B57" w:rsidR="00792185" w:rsidRPr="00F67A04" w:rsidRDefault="006B494A">
      <w:pPr>
        <w:spacing w:line="360" w:lineRule="auto"/>
        <w:jc w:val="both"/>
        <w:rPr>
          <w:rFonts w:ascii="Times New Roman" w:eastAsia="Times New Roman" w:hAnsi="Times New Roman" w:cs="Times New Roman"/>
          <w:sz w:val="24"/>
          <w:szCs w:val="24"/>
          <w:lang w:val="en-GB"/>
        </w:rPr>
      </w:pPr>
      <w:r w:rsidRPr="00F67A04">
        <w:rPr>
          <w:rFonts w:ascii="Times New Roman" w:eastAsia="Times New Roman" w:hAnsi="Times New Roman" w:cs="Times New Roman"/>
          <w:sz w:val="24"/>
          <w:szCs w:val="24"/>
          <w:lang w:val="en-GB"/>
        </w:rPr>
        <w:t xml:space="preserve">This act functions as a legal doctrine of diminished responsibility which is frequently used by the jury while resolving a specific case. The doctrine of diminished responsibility has been effective in Scotland in the first place. After witnessing the effectiveness of this </w:t>
      </w:r>
      <w:r w:rsidR="00F67A04" w:rsidRPr="00F67A04">
        <w:rPr>
          <w:rFonts w:ascii="Times New Roman" w:eastAsia="Times New Roman" w:hAnsi="Times New Roman" w:cs="Times New Roman"/>
          <w:sz w:val="24"/>
          <w:szCs w:val="24"/>
          <w:lang w:val="en-GB"/>
        </w:rPr>
        <w:t>law, this</w:t>
      </w:r>
      <w:r w:rsidRPr="00F67A04">
        <w:rPr>
          <w:rFonts w:ascii="Times New Roman" w:eastAsia="Times New Roman" w:hAnsi="Times New Roman" w:cs="Times New Roman"/>
          <w:sz w:val="24"/>
          <w:szCs w:val="24"/>
          <w:lang w:val="en-GB"/>
        </w:rPr>
        <w:t xml:space="preserve"> has been adopted within the periphery of England and Wales too.</w:t>
      </w:r>
    </w:p>
    <w:p w14:paraId="00000013" w14:textId="77777777" w:rsidR="00792185" w:rsidRPr="00F67A04" w:rsidRDefault="006B494A">
      <w:pPr>
        <w:spacing w:line="360" w:lineRule="auto"/>
        <w:jc w:val="both"/>
        <w:rPr>
          <w:rFonts w:ascii="Times New Roman" w:eastAsia="Times New Roman" w:hAnsi="Times New Roman" w:cs="Times New Roman"/>
          <w:sz w:val="24"/>
          <w:szCs w:val="24"/>
          <w:lang w:val="en-GB"/>
        </w:rPr>
      </w:pPr>
      <w:r w:rsidRPr="00F67A04">
        <w:rPr>
          <w:rFonts w:ascii="Times New Roman" w:eastAsia="Times New Roman" w:hAnsi="Times New Roman" w:cs="Times New Roman"/>
          <w:sz w:val="24"/>
          <w:szCs w:val="24"/>
          <w:lang w:val="en-GB"/>
        </w:rPr>
        <w:lastRenderedPageBreak/>
        <w:t xml:space="preserve">In the parlance of English law, the diminished reality is used as a doctrine which helps in reducing the punishment for a case of murder to manslaughter.  This actually helps in the process of giving clear direction to the judges to solve the case as per law. Instead of providing capital punishment, the judge often takes resort to </w:t>
      </w:r>
      <w:r w:rsidRPr="00F67A04">
        <w:rPr>
          <w:rFonts w:ascii="Times New Roman" w:eastAsia="Times New Roman" w:hAnsi="Times New Roman" w:cs="Times New Roman"/>
          <w:b/>
          <w:i/>
          <w:sz w:val="24"/>
          <w:szCs w:val="24"/>
          <w:lang w:val="en-GB"/>
        </w:rPr>
        <w:t>section 37 of the mental health act 1983</w:t>
      </w:r>
      <w:r w:rsidRPr="00F67A04">
        <w:rPr>
          <w:rFonts w:ascii="Times New Roman" w:eastAsia="Times New Roman" w:hAnsi="Times New Roman" w:cs="Times New Roman"/>
          <w:sz w:val="24"/>
          <w:szCs w:val="24"/>
          <w:lang w:val="en-GB"/>
        </w:rPr>
        <w:t xml:space="preserve">.  The context of the mental health act might seem to be slightly absurd (Barnett </w:t>
      </w:r>
      <w:r w:rsidRPr="00F67A04">
        <w:rPr>
          <w:rFonts w:ascii="Times New Roman" w:eastAsia="Times New Roman" w:hAnsi="Times New Roman" w:cs="Times New Roman"/>
          <w:i/>
          <w:sz w:val="24"/>
          <w:szCs w:val="24"/>
          <w:lang w:val="en-GB"/>
        </w:rPr>
        <w:t>et al</w:t>
      </w:r>
      <w:r w:rsidRPr="00F67A04">
        <w:rPr>
          <w:rFonts w:ascii="Times New Roman" w:eastAsia="Times New Roman" w:hAnsi="Times New Roman" w:cs="Times New Roman"/>
          <w:sz w:val="24"/>
          <w:szCs w:val="24"/>
          <w:lang w:val="en-GB"/>
        </w:rPr>
        <w:t>., 2019). However, this act has been deemed important by the judges in the context of herding various types of hospital treatment to the criminals who have been otherwise prosecuted for the case of murder which would have resulted in either capital punishment or long-term or short-term imprisonment. As per this, an individual can be treated in hospitals or any mental facility which would be considered suitable for the person. When there is any connection with a heinous crime, that specific person might be detained. The "actus reus" or guilty act is often accompanied by "men's rea" or guilty mind. Committing bodily harm due to mental capacity would be always excused.</w:t>
      </w:r>
    </w:p>
    <w:p w14:paraId="00000015" w14:textId="3B6032C0" w:rsidR="00792185" w:rsidRPr="00F67A04" w:rsidRDefault="006B494A">
      <w:pPr>
        <w:spacing w:line="360" w:lineRule="auto"/>
        <w:jc w:val="both"/>
        <w:rPr>
          <w:rFonts w:ascii="Times New Roman" w:eastAsia="Times New Roman" w:hAnsi="Times New Roman" w:cs="Times New Roman"/>
          <w:sz w:val="24"/>
          <w:szCs w:val="24"/>
          <w:lang w:val="en-GB"/>
        </w:rPr>
      </w:pPr>
      <w:r w:rsidRPr="00F67A04">
        <w:rPr>
          <w:rFonts w:ascii="Times New Roman" w:eastAsia="Times New Roman" w:hAnsi="Times New Roman" w:cs="Times New Roman"/>
          <w:sz w:val="24"/>
          <w:szCs w:val="24"/>
          <w:lang w:val="en-GB"/>
        </w:rPr>
        <w:t xml:space="preserve">Since 1957, there have been a few changes and amendments to homicide in parts of the United Kingdom, especially in England and Wales. The amendments have been insulted in sections 52, 54, 55,56 and 57 of the </w:t>
      </w:r>
      <w:r w:rsidRPr="00F67A04">
        <w:rPr>
          <w:rFonts w:ascii="Times New Roman" w:eastAsia="Times New Roman" w:hAnsi="Times New Roman" w:cs="Times New Roman"/>
          <w:b/>
          <w:i/>
          <w:sz w:val="24"/>
          <w:szCs w:val="24"/>
          <w:lang w:val="en-GB"/>
        </w:rPr>
        <w:t>Coroners Act of 2009.</w:t>
      </w:r>
      <w:r w:rsidRPr="00F67A04">
        <w:rPr>
          <w:rFonts w:ascii="Times New Roman" w:eastAsia="Times New Roman" w:hAnsi="Times New Roman" w:cs="Times New Roman"/>
          <w:sz w:val="24"/>
          <w:szCs w:val="24"/>
          <w:lang w:val="en-GB"/>
        </w:rPr>
        <w:t xml:space="preserve"> This law has made significant changes to the acts of homicide in recent times (Dillon, 2019). This partial change has provided the much-required </w:t>
      </w:r>
      <w:r w:rsidR="00F67A04" w:rsidRPr="00F67A04">
        <w:rPr>
          <w:rFonts w:ascii="Times New Roman" w:eastAsia="Times New Roman" w:hAnsi="Times New Roman" w:cs="Times New Roman"/>
          <w:sz w:val="24"/>
          <w:szCs w:val="24"/>
          <w:lang w:val="en-GB"/>
        </w:rPr>
        <w:t>defence</w:t>
      </w:r>
      <w:r w:rsidRPr="00F67A04">
        <w:rPr>
          <w:rFonts w:ascii="Times New Roman" w:eastAsia="Times New Roman" w:hAnsi="Times New Roman" w:cs="Times New Roman"/>
          <w:sz w:val="24"/>
          <w:szCs w:val="24"/>
          <w:lang w:val="en-GB"/>
        </w:rPr>
        <w:t xml:space="preserve"> to the “murder of diminished </w:t>
      </w:r>
      <w:r w:rsidR="00F67A04" w:rsidRPr="00F67A04">
        <w:rPr>
          <w:rFonts w:ascii="Times New Roman" w:eastAsia="Times New Roman" w:hAnsi="Times New Roman" w:cs="Times New Roman"/>
          <w:sz w:val="24"/>
          <w:szCs w:val="24"/>
          <w:lang w:val="en-GB"/>
        </w:rPr>
        <w:t>responsibility, a</w:t>
      </w:r>
      <w:r w:rsidRPr="00F67A04">
        <w:rPr>
          <w:rFonts w:ascii="Times New Roman" w:eastAsia="Times New Roman" w:hAnsi="Times New Roman" w:cs="Times New Roman"/>
          <w:sz w:val="24"/>
          <w:szCs w:val="24"/>
          <w:lang w:val="en-GB"/>
        </w:rPr>
        <w:t xml:space="preserve"> brief introduction to the various aspects of the murder due to loss of psychological loss.  Previously the partial defence was provided in connection to provocation. This has also been replaced by the principles in section 56. On the other hand, subtle changes were also made in connection to the cases of any type of offence or defence which were provided to the cases of “offence or defence of infanticide</w:t>
      </w:r>
      <w:r w:rsidR="00F67A04">
        <w:rPr>
          <w:rFonts w:ascii="Times New Roman" w:eastAsia="Times New Roman" w:hAnsi="Times New Roman" w:cs="Times New Roman"/>
          <w:sz w:val="24"/>
          <w:szCs w:val="24"/>
          <w:lang w:val="en-GB"/>
        </w:rPr>
        <w:t>”. A</w:t>
      </w:r>
      <w:r w:rsidR="00F67A04" w:rsidRPr="00F67A04">
        <w:rPr>
          <w:rFonts w:ascii="Times New Roman" w:eastAsia="Times New Roman" w:hAnsi="Times New Roman" w:cs="Times New Roman"/>
          <w:sz w:val="24"/>
          <w:szCs w:val="24"/>
          <w:lang w:val="en-GB"/>
        </w:rPr>
        <w:t>ll</w:t>
      </w:r>
      <w:r w:rsidRPr="00F67A04">
        <w:rPr>
          <w:rFonts w:ascii="Times New Roman" w:eastAsia="Times New Roman" w:hAnsi="Times New Roman" w:cs="Times New Roman"/>
          <w:sz w:val="24"/>
          <w:szCs w:val="24"/>
          <w:lang w:val="en-GB"/>
        </w:rPr>
        <w:t xml:space="preserve"> these changes and amendments which have been conducted came into effect from October 2010 in some parts of England and Wales and some other parts of the </w:t>
      </w:r>
      <w:r w:rsidR="00F67A04" w:rsidRPr="00F67A04">
        <w:rPr>
          <w:rFonts w:ascii="Times New Roman" w:eastAsia="Times New Roman" w:hAnsi="Times New Roman" w:cs="Times New Roman"/>
          <w:sz w:val="24"/>
          <w:szCs w:val="24"/>
          <w:lang w:val="en-GB"/>
        </w:rPr>
        <w:t>United Kingdom</w:t>
      </w:r>
      <w:r w:rsidRPr="00F67A04">
        <w:rPr>
          <w:rFonts w:ascii="Times New Roman" w:eastAsia="Times New Roman" w:hAnsi="Times New Roman" w:cs="Times New Roman"/>
          <w:sz w:val="24"/>
          <w:szCs w:val="24"/>
          <w:lang w:val="en-GB"/>
        </w:rPr>
        <w:t xml:space="preserve"> too.</w:t>
      </w:r>
    </w:p>
    <w:p w14:paraId="00000016" w14:textId="77777777" w:rsidR="00792185" w:rsidRPr="00F67A04" w:rsidRDefault="00792185">
      <w:pPr>
        <w:spacing w:line="360" w:lineRule="auto"/>
        <w:jc w:val="both"/>
        <w:rPr>
          <w:rFonts w:ascii="Times New Roman" w:eastAsia="Times New Roman" w:hAnsi="Times New Roman" w:cs="Times New Roman"/>
          <w:sz w:val="24"/>
          <w:szCs w:val="24"/>
          <w:lang w:val="en-GB"/>
        </w:rPr>
      </w:pPr>
    </w:p>
    <w:p w14:paraId="00000017" w14:textId="0596AC5B" w:rsidR="00792185" w:rsidRPr="00F67A04" w:rsidRDefault="006B494A">
      <w:pPr>
        <w:spacing w:line="360" w:lineRule="auto"/>
        <w:jc w:val="both"/>
        <w:rPr>
          <w:rFonts w:ascii="Times New Roman" w:eastAsia="Times New Roman" w:hAnsi="Times New Roman" w:cs="Times New Roman"/>
          <w:sz w:val="24"/>
          <w:szCs w:val="24"/>
          <w:lang w:val="en-GB"/>
        </w:rPr>
      </w:pPr>
      <w:r w:rsidRPr="00F67A04">
        <w:rPr>
          <w:rFonts w:ascii="Times New Roman" w:eastAsia="Times New Roman" w:hAnsi="Times New Roman" w:cs="Times New Roman"/>
          <w:sz w:val="24"/>
          <w:szCs w:val="24"/>
          <w:lang w:val="en-GB"/>
        </w:rPr>
        <w:t xml:space="preserve">There were ways in which the Coroner act was very convincing to follow as it made the legal activities of the jurisdiction easier through the multi ranges in the various portions. It has affected the law and order related to homicide cases in the United Kingdom. For instance, section 52 of this act has replaced the definition of partial law with a revised one. Previously section 2 of the homicide act had no subsections.  With the changes, there will be two subsections. </w:t>
      </w:r>
      <w:r w:rsidR="00F67A04" w:rsidRPr="00F67A04">
        <w:rPr>
          <w:rFonts w:ascii="Times New Roman" w:eastAsia="Times New Roman" w:hAnsi="Times New Roman" w:cs="Times New Roman"/>
          <w:sz w:val="24"/>
          <w:szCs w:val="24"/>
          <w:lang w:val="en-GB"/>
        </w:rPr>
        <w:t>However, the</w:t>
      </w:r>
      <w:r w:rsidRPr="00F67A04">
        <w:rPr>
          <w:rFonts w:ascii="Times New Roman" w:eastAsia="Times New Roman" w:hAnsi="Times New Roman" w:cs="Times New Roman"/>
          <w:sz w:val="24"/>
          <w:szCs w:val="24"/>
          <w:lang w:val="en-GB"/>
        </w:rPr>
        <w:t xml:space="preserve"> effectiveness of the previous law regarding the transition from murder to manslaughter has not undergone a lot of changes. It has only added a few portions to the already existing law. It states </w:t>
      </w:r>
      <w:r w:rsidRPr="00F67A04">
        <w:rPr>
          <w:rFonts w:ascii="Times New Roman" w:eastAsia="Times New Roman" w:hAnsi="Times New Roman" w:cs="Times New Roman"/>
          <w:sz w:val="24"/>
          <w:szCs w:val="24"/>
          <w:lang w:val="en-GB"/>
        </w:rPr>
        <w:lastRenderedPageBreak/>
        <w:t xml:space="preserve">that in case a person is suffering from “an abnormality of mental condition”, that individual will not be invited f murder. Through this </w:t>
      </w:r>
      <w:r w:rsidR="00F67A04" w:rsidRPr="00F67A04">
        <w:rPr>
          <w:rFonts w:ascii="Times New Roman" w:eastAsia="Times New Roman" w:hAnsi="Times New Roman" w:cs="Times New Roman"/>
          <w:sz w:val="24"/>
          <w:szCs w:val="24"/>
          <w:lang w:val="en-GB"/>
        </w:rPr>
        <w:t>act, a</w:t>
      </w:r>
      <w:r w:rsidRPr="00F67A04">
        <w:rPr>
          <w:rFonts w:ascii="Times New Roman" w:eastAsia="Times New Roman" w:hAnsi="Times New Roman" w:cs="Times New Roman"/>
          <w:sz w:val="24"/>
          <w:szCs w:val="24"/>
          <w:lang w:val="en-GB"/>
        </w:rPr>
        <w:t xml:space="preserve"> new partial defence has been provided to the cases where the murder has taken place due to the loss of mental control. This loss of control has also been specified as a “qualifying trigger”. This qualifying trigger has also been covered under </w:t>
      </w:r>
      <w:r w:rsidRPr="00F67A04">
        <w:rPr>
          <w:rFonts w:ascii="Times New Roman" w:eastAsia="Times New Roman" w:hAnsi="Times New Roman" w:cs="Times New Roman"/>
          <w:b/>
          <w:i/>
          <w:sz w:val="24"/>
          <w:szCs w:val="24"/>
          <w:lang w:val="en-GB"/>
        </w:rPr>
        <w:t xml:space="preserve">section 55 of the Coroners </w:t>
      </w:r>
      <w:r w:rsidR="00F67A04" w:rsidRPr="00F67A04">
        <w:rPr>
          <w:rFonts w:ascii="Times New Roman" w:eastAsia="Times New Roman" w:hAnsi="Times New Roman" w:cs="Times New Roman"/>
          <w:b/>
          <w:i/>
          <w:sz w:val="24"/>
          <w:szCs w:val="24"/>
          <w:lang w:val="en-GB"/>
        </w:rPr>
        <w:t>and</w:t>
      </w:r>
      <w:r w:rsidRPr="00F67A04">
        <w:rPr>
          <w:rFonts w:ascii="Times New Roman" w:eastAsia="Times New Roman" w:hAnsi="Times New Roman" w:cs="Times New Roman"/>
          <w:b/>
          <w:i/>
          <w:sz w:val="24"/>
          <w:szCs w:val="24"/>
          <w:lang w:val="en-GB"/>
        </w:rPr>
        <w:t xml:space="preserve"> Justice Act 2009 </w:t>
      </w:r>
      <w:r w:rsidRPr="00F67A04">
        <w:rPr>
          <w:rFonts w:ascii="Times New Roman" w:eastAsia="Times New Roman" w:hAnsi="Times New Roman" w:cs="Times New Roman"/>
          <w:sz w:val="24"/>
          <w:szCs w:val="24"/>
          <w:lang w:val="en-GB"/>
        </w:rPr>
        <w:t xml:space="preserve">(Wu, 2020).  </w:t>
      </w:r>
    </w:p>
    <w:p w14:paraId="00000018" w14:textId="77777777" w:rsidR="00792185" w:rsidRPr="00F67A04" w:rsidRDefault="006B494A">
      <w:pPr>
        <w:spacing w:line="360" w:lineRule="auto"/>
        <w:jc w:val="both"/>
        <w:rPr>
          <w:rFonts w:ascii="Times New Roman" w:eastAsia="Times New Roman" w:hAnsi="Times New Roman" w:cs="Times New Roman"/>
          <w:sz w:val="24"/>
          <w:szCs w:val="24"/>
          <w:lang w:val="en-GB"/>
        </w:rPr>
      </w:pPr>
      <w:r w:rsidRPr="00F67A04">
        <w:rPr>
          <w:rFonts w:ascii="Times New Roman" w:eastAsia="Times New Roman" w:hAnsi="Times New Roman" w:cs="Times New Roman"/>
          <w:sz w:val="24"/>
          <w:szCs w:val="24"/>
          <w:lang w:val="en-GB"/>
        </w:rPr>
        <w:t>The amendments which have been caused by this act have won a share of advantages and disadvantages. This act has definitely pre to be extremely beneficial for the UK government for the purpose of suspending any case of the inquest with the assistance of the guidelines which have been provided in the</w:t>
      </w:r>
      <w:r w:rsidRPr="00F67A04">
        <w:rPr>
          <w:rFonts w:ascii="Times New Roman" w:eastAsia="Times New Roman" w:hAnsi="Times New Roman" w:cs="Times New Roman"/>
          <w:b/>
          <w:i/>
          <w:sz w:val="24"/>
          <w:szCs w:val="24"/>
          <w:lang w:val="en-GB"/>
        </w:rPr>
        <w:t xml:space="preserve"> inquiries act 2005</w:t>
      </w:r>
      <w:r w:rsidRPr="00F67A04">
        <w:rPr>
          <w:rFonts w:ascii="Times New Roman" w:eastAsia="Times New Roman" w:hAnsi="Times New Roman" w:cs="Times New Roman"/>
          <w:sz w:val="24"/>
          <w:szCs w:val="24"/>
          <w:lang w:val="en-GB"/>
        </w:rPr>
        <w:t xml:space="preserve">. This act helped in the establishment of a completely new sentencing council for the UK in order to promote the practice of consistency in the cases of sentencing (Cooper and Lapsley, 2021). The “national coroner service” which has been formed through the people enacting the new law has also been beneficial for the general public seeking justice in the United Kingdom. The amendments which have been made in the criminal evidence Act 2008 have helped in the process of permitting anonymity to the eyewitnesses of vulnerable crimes in the UK. </w:t>
      </w:r>
    </w:p>
    <w:p w14:paraId="00000019" w14:textId="2C8FECC4" w:rsidR="00792185" w:rsidRPr="00F67A04" w:rsidRDefault="006B494A">
      <w:pPr>
        <w:spacing w:line="360" w:lineRule="auto"/>
        <w:jc w:val="both"/>
        <w:rPr>
          <w:rFonts w:ascii="Times New Roman" w:eastAsia="Times New Roman" w:hAnsi="Times New Roman" w:cs="Times New Roman"/>
          <w:sz w:val="24"/>
          <w:szCs w:val="24"/>
          <w:lang w:val="en-GB"/>
        </w:rPr>
      </w:pPr>
      <w:r w:rsidRPr="00F67A04">
        <w:rPr>
          <w:rFonts w:ascii="Times New Roman" w:eastAsia="Times New Roman" w:hAnsi="Times New Roman" w:cs="Times New Roman"/>
          <w:sz w:val="24"/>
          <w:szCs w:val="24"/>
          <w:lang w:val="en-GB"/>
        </w:rPr>
        <w:t xml:space="preserve">Although this act has been advantageous for the government of the United Kingdom in many ways, there are certain disadvantages of this law too. There are certain areas of concern in this act which have proven to be detrimental to the reputation of the new law. The resurrection of the “secret inquests' has been heavily criticised within the heightened kingdom. This has questioned the rights of victims' families to receive justice, a phenomenon for which the UK court has been fighting for over a decade. The secret courts and the parallel legal systems have also been challenged by critics (Reed </w:t>
      </w:r>
      <w:r w:rsidRPr="00F67A04">
        <w:rPr>
          <w:rFonts w:ascii="Times New Roman" w:eastAsia="Times New Roman" w:hAnsi="Times New Roman" w:cs="Times New Roman"/>
          <w:i/>
          <w:sz w:val="24"/>
          <w:szCs w:val="24"/>
          <w:lang w:val="en-GB"/>
        </w:rPr>
        <w:t>et al</w:t>
      </w:r>
      <w:r w:rsidRPr="00F67A04">
        <w:rPr>
          <w:rFonts w:ascii="Times New Roman" w:eastAsia="Times New Roman" w:hAnsi="Times New Roman" w:cs="Times New Roman"/>
          <w:sz w:val="24"/>
          <w:szCs w:val="24"/>
          <w:lang w:val="en-GB"/>
        </w:rPr>
        <w:t xml:space="preserve">., 2021).  The lack of accountability which has been fostered by the new law has also been severely criticised in various parts of the </w:t>
      </w:r>
      <w:r w:rsidR="00F67A04" w:rsidRPr="00F67A04">
        <w:rPr>
          <w:rFonts w:ascii="Times New Roman" w:eastAsia="Times New Roman" w:hAnsi="Times New Roman" w:cs="Times New Roman"/>
          <w:sz w:val="24"/>
          <w:szCs w:val="24"/>
          <w:lang w:val="en-GB"/>
        </w:rPr>
        <w:t>United Kingdom</w:t>
      </w:r>
      <w:r w:rsidRPr="00F67A04">
        <w:rPr>
          <w:rFonts w:ascii="Times New Roman" w:eastAsia="Times New Roman" w:hAnsi="Times New Roman" w:cs="Times New Roman"/>
          <w:sz w:val="24"/>
          <w:szCs w:val="24"/>
          <w:lang w:val="en-GB"/>
        </w:rPr>
        <w:t xml:space="preserve">, especially in England and Wales. It has made it evident that the then-British government had shortcomings regarding austerity and cronyism. </w:t>
      </w:r>
    </w:p>
    <w:p w14:paraId="0000001A" w14:textId="77777777" w:rsidR="00792185" w:rsidRPr="00F67A04" w:rsidRDefault="006B494A">
      <w:pPr>
        <w:spacing w:line="360" w:lineRule="auto"/>
        <w:jc w:val="both"/>
        <w:rPr>
          <w:rFonts w:ascii="Times New Roman" w:eastAsia="Times New Roman" w:hAnsi="Times New Roman" w:cs="Times New Roman"/>
          <w:sz w:val="24"/>
          <w:szCs w:val="24"/>
          <w:lang w:val="en-GB"/>
        </w:rPr>
      </w:pPr>
      <w:r w:rsidRPr="00F67A04">
        <w:rPr>
          <w:rFonts w:ascii="Times New Roman" w:eastAsia="Times New Roman" w:hAnsi="Times New Roman" w:cs="Times New Roman"/>
          <w:sz w:val="24"/>
          <w:szCs w:val="24"/>
          <w:lang w:val="en-GB"/>
        </w:rPr>
        <w:t xml:space="preserve">Here, it is highly recommended that the provisions for secret inquiries must be reviewed at the earliest. There should also be enough transparency and order when choosing a specific punishment for an individual convicted of murder or manslaughter. </w:t>
      </w:r>
    </w:p>
    <w:p w14:paraId="0000001B" w14:textId="77777777" w:rsidR="00792185" w:rsidRPr="00F67A04" w:rsidRDefault="00792185">
      <w:pPr>
        <w:spacing w:line="360" w:lineRule="auto"/>
        <w:jc w:val="both"/>
        <w:rPr>
          <w:rFonts w:ascii="Times New Roman" w:eastAsia="Times New Roman" w:hAnsi="Times New Roman" w:cs="Times New Roman"/>
          <w:sz w:val="24"/>
          <w:szCs w:val="24"/>
          <w:lang w:val="en-GB"/>
        </w:rPr>
      </w:pPr>
    </w:p>
    <w:p w14:paraId="0000001C" w14:textId="77777777" w:rsidR="00792185" w:rsidRPr="00F67A04" w:rsidRDefault="00792185">
      <w:pPr>
        <w:spacing w:line="360" w:lineRule="auto"/>
        <w:jc w:val="both"/>
        <w:rPr>
          <w:rFonts w:ascii="Times New Roman" w:eastAsia="Times New Roman" w:hAnsi="Times New Roman" w:cs="Times New Roman"/>
          <w:b/>
          <w:sz w:val="24"/>
          <w:szCs w:val="24"/>
          <w:lang w:val="en-GB"/>
        </w:rPr>
      </w:pPr>
    </w:p>
    <w:p w14:paraId="0000001D" w14:textId="77777777" w:rsidR="00792185" w:rsidRPr="00F67A04" w:rsidRDefault="006B494A">
      <w:pPr>
        <w:pStyle w:val="Titlu1"/>
        <w:rPr>
          <w:lang w:val="en-GB"/>
        </w:rPr>
      </w:pPr>
      <w:bookmarkStart w:id="2" w:name="_trku0jxbkc0h" w:colFirst="0" w:colLast="0"/>
      <w:bookmarkEnd w:id="2"/>
      <w:r w:rsidRPr="00F67A04">
        <w:rPr>
          <w:lang w:val="en-GB"/>
        </w:rPr>
        <w:lastRenderedPageBreak/>
        <w:t xml:space="preserve">Conclusion </w:t>
      </w:r>
    </w:p>
    <w:p w14:paraId="0000001E" w14:textId="77777777" w:rsidR="00792185" w:rsidRPr="00F67A04" w:rsidRDefault="006B494A">
      <w:pPr>
        <w:spacing w:line="360" w:lineRule="auto"/>
        <w:jc w:val="both"/>
        <w:rPr>
          <w:rFonts w:ascii="Times New Roman" w:eastAsia="Times New Roman" w:hAnsi="Times New Roman" w:cs="Times New Roman"/>
          <w:sz w:val="24"/>
          <w:szCs w:val="24"/>
          <w:lang w:val="en-GB"/>
        </w:rPr>
      </w:pPr>
      <w:r w:rsidRPr="00F67A04">
        <w:rPr>
          <w:rFonts w:ascii="Times New Roman" w:eastAsia="Times New Roman" w:hAnsi="Times New Roman" w:cs="Times New Roman"/>
          <w:sz w:val="24"/>
          <w:szCs w:val="24"/>
          <w:lang w:val="en-GB"/>
        </w:rPr>
        <w:t xml:space="preserve">Throughout this discussion, it has been found that the Coroners and Justice Act 2009 has made significant changes to the previous Homicide act 1957 of the United Kingdom.  Although this act has proven to be beneficial in the long run, there are certain drawbacks too. Lastly, a set of recommendations has also been attached herein. </w:t>
      </w:r>
    </w:p>
    <w:p w14:paraId="0000001F" w14:textId="77777777" w:rsidR="00792185" w:rsidRPr="00F67A04" w:rsidRDefault="00792185">
      <w:pPr>
        <w:spacing w:line="360" w:lineRule="auto"/>
        <w:jc w:val="both"/>
        <w:rPr>
          <w:rFonts w:ascii="Times New Roman" w:eastAsia="Times New Roman" w:hAnsi="Times New Roman" w:cs="Times New Roman"/>
          <w:sz w:val="24"/>
          <w:szCs w:val="24"/>
          <w:lang w:val="en-GB"/>
        </w:rPr>
      </w:pPr>
    </w:p>
    <w:p w14:paraId="00000020" w14:textId="77777777" w:rsidR="00792185" w:rsidRPr="00F67A04" w:rsidRDefault="00792185">
      <w:pPr>
        <w:spacing w:line="360" w:lineRule="auto"/>
        <w:jc w:val="both"/>
        <w:rPr>
          <w:rFonts w:ascii="Times New Roman" w:eastAsia="Times New Roman" w:hAnsi="Times New Roman" w:cs="Times New Roman"/>
          <w:sz w:val="24"/>
          <w:szCs w:val="24"/>
          <w:lang w:val="en-GB"/>
        </w:rPr>
      </w:pPr>
    </w:p>
    <w:p w14:paraId="00000021" w14:textId="77777777" w:rsidR="00792185" w:rsidRPr="00F67A04" w:rsidRDefault="00792185">
      <w:pPr>
        <w:spacing w:line="360" w:lineRule="auto"/>
        <w:jc w:val="both"/>
        <w:rPr>
          <w:rFonts w:ascii="Times New Roman" w:eastAsia="Times New Roman" w:hAnsi="Times New Roman" w:cs="Times New Roman"/>
          <w:sz w:val="24"/>
          <w:szCs w:val="24"/>
          <w:lang w:val="en-GB"/>
        </w:rPr>
      </w:pPr>
    </w:p>
    <w:p w14:paraId="00000022" w14:textId="77777777" w:rsidR="00792185" w:rsidRPr="00F67A04" w:rsidRDefault="00792185">
      <w:pPr>
        <w:spacing w:line="360" w:lineRule="auto"/>
        <w:jc w:val="both"/>
        <w:rPr>
          <w:rFonts w:ascii="Times New Roman" w:eastAsia="Times New Roman" w:hAnsi="Times New Roman" w:cs="Times New Roman"/>
          <w:sz w:val="24"/>
          <w:szCs w:val="24"/>
          <w:lang w:val="en-GB"/>
        </w:rPr>
      </w:pPr>
    </w:p>
    <w:p w14:paraId="00000023" w14:textId="77777777" w:rsidR="00792185" w:rsidRPr="00F67A04" w:rsidRDefault="006B494A">
      <w:pPr>
        <w:spacing w:line="360" w:lineRule="auto"/>
        <w:jc w:val="both"/>
        <w:rPr>
          <w:rFonts w:ascii="Times New Roman" w:eastAsia="Times New Roman" w:hAnsi="Times New Roman" w:cs="Times New Roman"/>
          <w:b/>
          <w:sz w:val="24"/>
          <w:szCs w:val="24"/>
          <w:lang w:val="en-GB"/>
        </w:rPr>
      </w:pPr>
      <w:r w:rsidRPr="00F67A04">
        <w:rPr>
          <w:lang w:val="en-GB"/>
        </w:rPr>
        <w:br w:type="page"/>
      </w:r>
    </w:p>
    <w:p w14:paraId="00000024" w14:textId="77777777" w:rsidR="00792185" w:rsidRPr="00F67A04" w:rsidRDefault="006B494A">
      <w:pPr>
        <w:pStyle w:val="Titlu1"/>
        <w:rPr>
          <w:lang w:val="en-GB"/>
        </w:rPr>
      </w:pPr>
      <w:bookmarkStart w:id="3" w:name="_xpsdr816ovkm" w:colFirst="0" w:colLast="0"/>
      <w:bookmarkEnd w:id="3"/>
      <w:r w:rsidRPr="00F67A04">
        <w:rPr>
          <w:lang w:val="en-GB"/>
        </w:rPr>
        <w:lastRenderedPageBreak/>
        <w:t xml:space="preserve">References </w:t>
      </w:r>
    </w:p>
    <w:p w14:paraId="09D25E13" w14:textId="77777777" w:rsidR="00F67A04" w:rsidRPr="00F67A04" w:rsidRDefault="00F67A04">
      <w:pPr>
        <w:spacing w:line="360" w:lineRule="auto"/>
        <w:jc w:val="both"/>
        <w:rPr>
          <w:rFonts w:ascii="Times New Roman" w:eastAsia="Times New Roman" w:hAnsi="Times New Roman" w:cs="Times New Roman"/>
          <w:sz w:val="24"/>
          <w:szCs w:val="24"/>
          <w:lang w:val="en-GB"/>
        </w:rPr>
      </w:pPr>
      <w:r w:rsidRPr="00F67A04">
        <w:rPr>
          <w:rFonts w:ascii="Times New Roman" w:eastAsia="Times New Roman" w:hAnsi="Times New Roman" w:cs="Times New Roman"/>
          <w:sz w:val="24"/>
          <w:szCs w:val="24"/>
          <w:lang w:val="en-GB"/>
        </w:rPr>
        <w:t>A-Z of legislation: Coroners and Justice Act 2009 (2010). Available at: https://www.theguardian.com/commentisfree/libertycentral/2009/jan/19/coroners-justice-bill (Accessed: 9 March 2023).</w:t>
      </w:r>
    </w:p>
    <w:p w14:paraId="666FBB25" w14:textId="77777777" w:rsidR="00F67A04" w:rsidRPr="00F67A04" w:rsidRDefault="00F67A04">
      <w:pPr>
        <w:spacing w:line="360" w:lineRule="auto"/>
        <w:jc w:val="both"/>
        <w:rPr>
          <w:rFonts w:ascii="Times New Roman" w:eastAsia="Times New Roman" w:hAnsi="Times New Roman" w:cs="Times New Roman"/>
          <w:sz w:val="24"/>
          <w:szCs w:val="24"/>
          <w:lang w:val="en-GB"/>
        </w:rPr>
      </w:pPr>
      <w:r w:rsidRPr="00F67A04">
        <w:rPr>
          <w:rFonts w:ascii="Times New Roman" w:eastAsia="Times New Roman" w:hAnsi="Times New Roman" w:cs="Times New Roman"/>
          <w:sz w:val="24"/>
          <w:szCs w:val="24"/>
          <w:lang w:val="en-GB"/>
        </w:rPr>
        <w:t xml:space="preserve">Barnett, P., Mackay, E., Matthews, H., Gate, R., Greenwood, H., </w:t>
      </w:r>
      <w:proofErr w:type="spellStart"/>
      <w:r w:rsidRPr="00F67A04">
        <w:rPr>
          <w:rFonts w:ascii="Times New Roman" w:eastAsia="Times New Roman" w:hAnsi="Times New Roman" w:cs="Times New Roman"/>
          <w:sz w:val="24"/>
          <w:szCs w:val="24"/>
          <w:lang w:val="en-GB"/>
        </w:rPr>
        <w:t>Ariyo</w:t>
      </w:r>
      <w:proofErr w:type="spellEnd"/>
      <w:r w:rsidRPr="00F67A04">
        <w:rPr>
          <w:rFonts w:ascii="Times New Roman" w:eastAsia="Times New Roman" w:hAnsi="Times New Roman" w:cs="Times New Roman"/>
          <w:sz w:val="24"/>
          <w:szCs w:val="24"/>
          <w:lang w:val="en-GB"/>
        </w:rPr>
        <w:t xml:space="preserve">, K., </w:t>
      </w:r>
      <w:proofErr w:type="spellStart"/>
      <w:r w:rsidRPr="00F67A04">
        <w:rPr>
          <w:rFonts w:ascii="Times New Roman" w:eastAsia="Times New Roman" w:hAnsi="Times New Roman" w:cs="Times New Roman"/>
          <w:sz w:val="24"/>
          <w:szCs w:val="24"/>
          <w:lang w:val="en-GB"/>
        </w:rPr>
        <w:t>Bhui</w:t>
      </w:r>
      <w:proofErr w:type="spellEnd"/>
      <w:r w:rsidRPr="00F67A04">
        <w:rPr>
          <w:rFonts w:ascii="Times New Roman" w:eastAsia="Times New Roman" w:hAnsi="Times New Roman" w:cs="Times New Roman"/>
          <w:sz w:val="24"/>
          <w:szCs w:val="24"/>
          <w:lang w:val="en-GB"/>
        </w:rPr>
        <w:t xml:space="preserve">, K., </w:t>
      </w:r>
      <w:proofErr w:type="spellStart"/>
      <w:r w:rsidRPr="00F67A04">
        <w:rPr>
          <w:rFonts w:ascii="Times New Roman" w:eastAsia="Times New Roman" w:hAnsi="Times New Roman" w:cs="Times New Roman"/>
          <w:sz w:val="24"/>
          <w:szCs w:val="24"/>
          <w:lang w:val="en-GB"/>
        </w:rPr>
        <w:t>Halvorsrud</w:t>
      </w:r>
      <w:proofErr w:type="spellEnd"/>
      <w:r w:rsidRPr="00F67A04">
        <w:rPr>
          <w:rFonts w:ascii="Times New Roman" w:eastAsia="Times New Roman" w:hAnsi="Times New Roman" w:cs="Times New Roman"/>
          <w:sz w:val="24"/>
          <w:szCs w:val="24"/>
          <w:lang w:val="en-GB"/>
        </w:rPr>
        <w:t>, K., Pilling, S. and Smith, S., 2019. Ethnic variations in compulsory detention under the Mental Health Act: a systematic review and meta-analysis of international data. The Lancet Psychiatry, 6(4), pp.305-317.</w:t>
      </w:r>
    </w:p>
    <w:p w14:paraId="676B55C7" w14:textId="77777777" w:rsidR="00F67A04" w:rsidRPr="00F67A04" w:rsidRDefault="00F67A04">
      <w:pPr>
        <w:spacing w:line="360" w:lineRule="auto"/>
        <w:jc w:val="both"/>
        <w:rPr>
          <w:rFonts w:ascii="Times New Roman" w:eastAsia="Times New Roman" w:hAnsi="Times New Roman" w:cs="Times New Roman"/>
          <w:sz w:val="24"/>
          <w:szCs w:val="24"/>
          <w:lang w:val="en-GB"/>
        </w:rPr>
      </w:pPr>
      <w:r w:rsidRPr="00F67A04">
        <w:rPr>
          <w:rFonts w:ascii="Times New Roman" w:eastAsia="Times New Roman" w:hAnsi="Times New Roman" w:cs="Times New Roman"/>
          <w:sz w:val="24"/>
          <w:szCs w:val="24"/>
          <w:lang w:val="en-GB"/>
        </w:rPr>
        <w:t>Cooper, C. and Lapsley, I., 2021. Hillsborough: The fight for accountability. Critical Perspectives on Accounting, 79, p.102077.</w:t>
      </w:r>
    </w:p>
    <w:p w14:paraId="1BC69D3E" w14:textId="77777777" w:rsidR="00F67A04" w:rsidRPr="00F67A04" w:rsidRDefault="00F67A04">
      <w:pPr>
        <w:spacing w:line="360" w:lineRule="auto"/>
        <w:jc w:val="both"/>
        <w:rPr>
          <w:rFonts w:ascii="Times New Roman" w:eastAsia="Times New Roman" w:hAnsi="Times New Roman" w:cs="Times New Roman"/>
          <w:sz w:val="24"/>
          <w:szCs w:val="24"/>
          <w:lang w:val="en-GB"/>
        </w:rPr>
      </w:pPr>
      <w:r w:rsidRPr="00F67A04">
        <w:rPr>
          <w:rFonts w:ascii="Times New Roman" w:eastAsia="Times New Roman" w:hAnsi="Times New Roman" w:cs="Times New Roman"/>
          <w:sz w:val="24"/>
          <w:szCs w:val="24"/>
          <w:lang w:val="en-GB"/>
        </w:rPr>
        <w:t xml:space="preserve">Dillon, H., 2019. A three-cavity autopsy of the NSW coronial system: What's going on </w:t>
      </w:r>
      <w:proofErr w:type="gramStart"/>
      <w:r w:rsidRPr="00F67A04">
        <w:rPr>
          <w:rFonts w:ascii="Times New Roman" w:eastAsia="Times New Roman" w:hAnsi="Times New Roman" w:cs="Times New Roman"/>
          <w:sz w:val="24"/>
          <w:szCs w:val="24"/>
          <w:lang w:val="en-GB"/>
        </w:rPr>
        <w:t>inside?:</w:t>
      </w:r>
      <w:proofErr w:type="gramEnd"/>
      <w:r w:rsidRPr="00F67A04">
        <w:rPr>
          <w:rFonts w:ascii="Times New Roman" w:eastAsia="Times New Roman" w:hAnsi="Times New Roman" w:cs="Times New Roman"/>
          <w:sz w:val="24"/>
          <w:szCs w:val="24"/>
          <w:lang w:val="en-GB"/>
        </w:rPr>
        <w:t xml:space="preserve"> The review of the Coroners Act-a new court?: A new system?. Bar News: The Journal of the NSW Bar Association, (Autumn 2019), pp.9-12.</w:t>
      </w:r>
    </w:p>
    <w:p w14:paraId="2D8B2738" w14:textId="77777777" w:rsidR="00F67A04" w:rsidRPr="00F67A04" w:rsidRDefault="00F67A04">
      <w:pPr>
        <w:spacing w:line="360" w:lineRule="auto"/>
        <w:jc w:val="both"/>
        <w:rPr>
          <w:rFonts w:ascii="Times New Roman" w:eastAsia="Times New Roman" w:hAnsi="Times New Roman" w:cs="Times New Roman"/>
          <w:sz w:val="24"/>
          <w:szCs w:val="24"/>
          <w:lang w:val="en-GB"/>
        </w:rPr>
      </w:pPr>
      <w:r w:rsidRPr="00F67A04">
        <w:rPr>
          <w:rFonts w:ascii="Times New Roman" w:eastAsia="Times New Roman" w:hAnsi="Times New Roman" w:cs="Times New Roman"/>
          <w:sz w:val="24"/>
          <w:szCs w:val="24"/>
          <w:lang w:val="en-GB"/>
        </w:rPr>
        <w:t xml:space="preserve">Flynn, S., Ibrahim, S., </w:t>
      </w:r>
      <w:proofErr w:type="spellStart"/>
      <w:r w:rsidRPr="00F67A04">
        <w:rPr>
          <w:rFonts w:ascii="Times New Roman" w:eastAsia="Times New Roman" w:hAnsi="Times New Roman" w:cs="Times New Roman"/>
          <w:sz w:val="24"/>
          <w:szCs w:val="24"/>
          <w:lang w:val="en-GB"/>
        </w:rPr>
        <w:t>Kapur</w:t>
      </w:r>
      <w:proofErr w:type="spellEnd"/>
      <w:r w:rsidRPr="00F67A04">
        <w:rPr>
          <w:rFonts w:ascii="Times New Roman" w:eastAsia="Times New Roman" w:hAnsi="Times New Roman" w:cs="Times New Roman"/>
          <w:sz w:val="24"/>
          <w:szCs w:val="24"/>
          <w:lang w:val="en-GB"/>
        </w:rPr>
        <w:t>, N., Appleby, L. and Shaw, J., 2021. Mental disorder in people convicted of homicide: long-term national trends in rates and court outcome. The British Journal of Psychiatry, 218(4), pp.210-216.</w:t>
      </w:r>
    </w:p>
    <w:p w14:paraId="4E6C6510" w14:textId="77777777" w:rsidR="00F67A04" w:rsidRPr="00F67A04" w:rsidRDefault="00F67A04">
      <w:pPr>
        <w:spacing w:line="360" w:lineRule="auto"/>
        <w:jc w:val="both"/>
        <w:rPr>
          <w:rFonts w:ascii="Times New Roman" w:eastAsia="Times New Roman" w:hAnsi="Times New Roman" w:cs="Times New Roman"/>
          <w:sz w:val="24"/>
          <w:szCs w:val="24"/>
          <w:lang w:val="en-GB"/>
        </w:rPr>
      </w:pPr>
      <w:proofErr w:type="spellStart"/>
      <w:r w:rsidRPr="00F67A04">
        <w:rPr>
          <w:rFonts w:ascii="Times New Roman" w:eastAsia="Times New Roman" w:hAnsi="Times New Roman" w:cs="Times New Roman"/>
          <w:sz w:val="24"/>
          <w:szCs w:val="24"/>
          <w:lang w:val="en-GB"/>
        </w:rPr>
        <w:t>Glavaš</w:t>
      </w:r>
      <w:proofErr w:type="spellEnd"/>
      <w:r w:rsidRPr="00F67A04">
        <w:rPr>
          <w:rFonts w:ascii="Times New Roman" w:eastAsia="Times New Roman" w:hAnsi="Times New Roman" w:cs="Times New Roman"/>
          <w:sz w:val="24"/>
          <w:szCs w:val="24"/>
          <w:lang w:val="en-GB"/>
        </w:rPr>
        <w:t xml:space="preserve">, I., 2022. The international criminal court case study-Dominic </w:t>
      </w:r>
      <w:proofErr w:type="spellStart"/>
      <w:r w:rsidRPr="00F67A04">
        <w:rPr>
          <w:rFonts w:ascii="Times New Roman" w:eastAsia="Times New Roman" w:hAnsi="Times New Roman" w:cs="Times New Roman"/>
          <w:sz w:val="24"/>
          <w:szCs w:val="24"/>
          <w:lang w:val="en-GB"/>
        </w:rPr>
        <w:t>ongwen</w:t>
      </w:r>
      <w:proofErr w:type="spellEnd"/>
      <w:r w:rsidRPr="00F67A04">
        <w:rPr>
          <w:rFonts w:ascii="Times New Roman" w:eastAsia="Times New Roman" w:hAnsi="Times New Roman" w:cs="Times New Roman"/>
          <w:sz w:val="24"/>
          <w:szCs w:val="24"/>
          <w:lang w:val="en-GB"/>
        </w:rPr>
        <w:t xml:space="preserve"> and the exclusion of criminal responsibility (Doctoral dissertation, University of Zagreb. Faculty of Law. Criminal Law).</w:t>
      </w:r>
    </w:p>
    <w:p w14:paraId="2F6DE8DC" w14:textId="77777777" w:rsidR="00F67A04" w:rsidRPr="00F67A04" w:rsidRDefault="00F67A04">
      <w:pPr>
        <w:spacing w:line="360" w:lineRule="auto"/>
        <w:jc w:val="both"/>
        <w:rPr>
          <w:rFonts w:ascii="Times New Roman" w:eastAsia="Times New Roman" w:hAnsi="Times New Roman" w:cs="Times New Roman"/>
          <w:sz w:val="24"/>
          <w:szCs w:val="24"/>
          <w:lang w:val="en-GB"/>
        </w:rPr>
      </w:pPr>
      <w:r w:rsidRPr="00F67A04">
        <w:rPr>
          <w:rFonts w:ascii="Times New Roman" w:eastAsia="Times New Roman" w:hAnsi="Times New Roman" w:cs="Times New Roman"/>
          <w:sz w:val="24"/>
          <w:szCs w:val="24"/>
          <w:lang w:val="en-GB"/>
        </w:rPr>
        <w:t>Leigh, G., 2019. Reconstructing unlawful and dangerous acts of manslaughter. The Journal of Criminal Law, 83(4), pp.272-283.</w:t>
      </w:r>
    </w:p>
    <w:p w14:paraId="268B15CB" w14:textId="77777777" w:rsidR="00F67A04" w:rsidRPr="00F67A04" w:rsidRDefault="00F67A04">
      <w:pPr>
        <w:spacing w:line="360" w:lineRule="auto"/>
        <w:jc w:val="both"/>
        <w:rPr>
          <w:rFonts w:ascii="Times New Roman" w:eastAsia="Times New Roman" w:hAnsi="Times New Roman" w:cs="Times New Roman"/>
          <w:sz w:val="24"/>
          <w:szCs w:val="24"/>
          <w:lang w:val="en-GB"/>
        </w:rPr>
      </w:pPr>
      <w:r w:rsidRPr="00F67A04">
        <w:rPr>
          <w:rFonts w:ascii="Times New Roman" w:eastAsia="Times New Roman" w:hAnsi="Times New Roman" w:cs="Times New Roman"/>
          <w:sz w:val="24"/>
          <w:szCs w:val="24"/>
          <w:lang w:val="en-GB"/>
        </w:rPr>
        <w:t>Reed, A., Wake, N. and Simpson, B., 2021. 'Domestic and Comparative Perspectives on Loss of Self-Control and Diminished Responsibility as Partial Defences to Murder: A 10-Year Review of the Coroners and Justice Act 2009 Reform Framework'. N. Ir. Legal Q., 72, p.161.</w:t>
      </w:r>
    </w:p>
    <w:p w14:paraId="40CFC65E" w14:textId="77777777" w:rsidR="00F67A04" w:rsidRPr="00F67A04" w:rsidRDefault="00F67A04">
      <w:pPr>
        <w:spacing w:line="360" w:lineRule="auto"/>
        <w:jc w:val="both"/>
        <w:rPr>
          <w:rFonts w:ascii="Times New Roman" w:eastAsia="Times New Roman" w:hAnsi="Times New Roman" w:cs="Times New Roman"/>
          <w:sz w:val="24"/>
          <w:szCs w:val="24"/>
          <w:lang w:val="en-GB"/>
        </w:rPr>
      </w:pPr>
      <w:r w:rsidRPr="00F67A04">
        <w:rPr>
          <w:rFonts w:ascii="Times New Roman" w:eastAsia="Times New Roman" w:hAnsi="Times New Roman" w:cs="Times New Roman"/>
          <w:sz w:val="24"/>
          <w:szCs w:val="24"/>
          <w:lang w:val="en-GB"/>
        </w:rPr>
        <w:t>Reed, A., Wake, N. and Simpson, B., 2021. 'Domestic and Comparative Perspectives on Loss of Self-Control and Diminished Responsibility as Partial Defences to Murder: A 10-Year Review of the Coroners and Justice Act 2009 Reform Framework'. N. Ir. Legal Q., 72, p.161.</w:t>
      </w:r>
    </w:p>
    <w:p w14:paraId="7DF9D1C5" w14:textId="77777777" w:rsidR="00F67A04" w:rsidRPr="00F67A04" w:rsidRDefault="00F67A04">
      <w:pPr>
        <w:spacing w:line="360" w:lineRule="auto"/>
        <w:jc w:val="both"/>
        <w:rPr>
          <w:rFonts w:ascii="Times New Roman" w:eastAsia="Times New Roman" w:hAnsi="Times New Roman" w:cs="Times New Roman"/>
          <w:sz w:val="24"/>
          <w:szCs w:val="24"/>
          <w:lang w:val="en-GB"/>
        </w:rPr>
      </w:pPr>
      <w:r w:rsidRPr="00F67A04">
        <w:rPr>
          <w:rFonts w:ascii="Times New Roman" w:eastAsia="Times New Roman" w:hAnsi="Times New Roman" w:cs="Times New Roman"/>
          <w:sz w:val="24"/>
          <w:szCs w:val="24"/>
          <w:lang w:val="en-GB"/>
        </w:rPr>
        <w:t>Wu, A., 2020. Going Full Circle: Gender and the ‘Loss of Control Defence under the Coroners and Justice Act 2009. Rule of Law Journal, 1(1).</w:t>
      </w:r>
    </w:p>
    <w:p w14:paraId="00000030" w14:textId="77777777" w:rsidR="00792185" w:rsidRPr="00F67A04" w:rsidRDefault="00792185">
      <w:pPr>
        <w:spacing w:line="360" w:lineRule="auto"/>
        <w:jc w:val="both"/>
        <w:rPr>
          <w:rFonts w:ascii="Times New Roman" w:eastAsia="Times New Roman" w:hAnsi="Times New Roman" w:cs="Times New Roman"/>
          <w:sz w:val="24"/>
          <w:szCs w:val="24"/>
          <w:lang w:val="en-GB"/>
        </w:rPr>
      </w:pPr>
    </w:p>
    <w:p w14:paraId="00000031" w14:textId="77777777" w:rsidR="00792185" w:rsidRPr="00F67A04" w:rsidRDefault="00792185">
      <w:pPr>
        <w:spacing w:line="360" w:lineRule="auto"/>
        <w:jc w:val="both"/>
        <w:rPr>
          <w:rFonts w:ascii="Times New Roman" w:eastAsia="Times New Roman" w:hAnsi="Times New Roman" w:cs="Times New Roman"/>
          <w:sz w:val="24"/>
          <w:szCs w:val="24"/>
          <w:lang w:val="en-GB"/>
        </w:rPr>
      </w:pPr>
    </w:p>
    <w:p w14:paraId="00000032" w14:textId="77777777" w:rsidR="00792185" w:rsidRPr="00F67A04" w:rsidRDefault="00792185">
      <w:pPr>
        <w:spacing w:line="360" w:lineRule="auto"/>
        <w:jc w:val="both"/>
        <w:rPr>
          <w:rFonts w:ascii="Times New Roman" w:eastAsia="Times New Roman" w:hAnsi="Times New Roman" w:cs="Times New Roman"/>
          <w:sz w:val="24"/>
          <w:szCs w:val="24"/>
          <w:lang w:val="en-GB"/>
        </w:rPr>
      </w:pPr>
    </w:p>
    <w:p w14:paraId="00000033" w14:textId="77777777" w:rsidR="00792185" w:rsidRPr="00F67A04" w:rsidRDefault="00792185">
      <w:pPr>
        <w:spacing w:line="360" w:lineRule="auto"/>
        <w:jc w:val="both"/>
        <w:rPr>
          <w:rFonts w:ascii="Times New Roman" w:eastAsia="Times New Roman" w:hAnsi="Times New Roman" w:cs="Times New Roman"/>
          <w:b/>
          <w:sz w:val="24"/>
          <w:szCs w:val="24"/>
          <w:lang w:val="en-GB"/>
        </w:rPr>
      </w:pPr>
    </w:p>
    <w:sectPr w:rsidR="00792185" w:rsidRPr="00F67A04">
      <w:headerReference w:type="default" r:id="rId6"/>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856FC" w14:textId="77777777" w:rsidR="007B4925" w:rsidRDefault="007B4925">
      <w:pPr>
        <w:spacing w:line="240" w:lineRule="auto"/>
      </w:pPr>
      <w:r>
        <w:separator/>
      </w:r>
    </w:p>
  </w:endnote>
  <w:endnote w:type="continuationSeparator" w:id="0">
    <w:p w14:paraId="5C4EAABD" w14:textId="77777777" w:rsidR="007B4925" w:rsidRDefault="007B49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5" w14:textId="6608FE10" w:rsidR="00792185" w:rsidRDefault="006B494A">
    <w:pPr>
      <w:jc w:val="right"/>
    </w:pPr>
    <w:r>
      <w:fldChar w:fldCharType="begin"/>
    </w:r>
    <w:r>
      <w:instrText>PAGE</w:instrText>
    </w:r>
    <w:r>
      <w:fldChar w:fldCharType="separate"/>
    </w:r>
    <w:r w:rsidR="00F67A0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EBFA65" w14:textId="77777777" w:rsidR="007B4925" w:rsidRDefault="007B4925">
      <w:pPr>
        <w:spacing w:line="240" w:lineRule="auto"/>
      </w:pPr>
      <w:r>
        <w:separator/>
      </w:r>
    </w:p>
  </w:footnote>
  <w:footnote w:type="continuationSeparator" w:id="0">
    <w:p w14:paraId="1C21D451" w14:textId="77777777" w:rsidR="007B4925" w:rsidRDefault="007B492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4" w14:textId="77777777" w:rsidR="00792185" w:rsidRDefault="00792185"/>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2185"/>
    <w:rsid w:val="000D23E2"/>
    <w:rsid w:val="000E0023"/>
    <w:rsid w:val="002D5132"/>
    <w:rsid w:val="003D5CEC"/>
    <w:rsid w:val="006B494A"/>
    <w:rsid w:val="00792185"/>
    <w:rsid w:val="007B4925"/>
    <w:rsid w:val="00B8252A"/>
    <w:rsid w:val="00BB1EA8"/>
    <w:rsid w:val="00DA455D"/>
    <w:rsid w:val="00F67A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5EFE2"/>
  <w15:docId w15:val="{D28A1987-D2FF-44E7-96C0-91DE02D2C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1</Pages>
  <Words>1712</Words>
  <Characters>9760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dinu.viorel33@gmail.com</cp:lastModifiedBy>
  <cp:revision>7</cp:revision>
  <dcterms:created xsi:type="dcterms:W3CDTF">2023-03-09T09:34:00Z</dcterms:created>
  <dcterms:modified xsi:type="dcterms:W3CDTF">2023-03-10T11:06:00Z</dcterms:modified>
</cp:coreProperties>
</file>