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3595F7" w14:textId="5F081399" w:rsidR="00B151A8" w:rsidRDefault="00B62BC8" w:rsidP="00B62BC8">
      <w:pPr>
        <w:spacing w:line="480" w:lineRule="auto"/>
        <w:jc w:val="center"/>
        <w:rPr>
          <w:rFonts w:ascii="Times New Roman" w:hAnsi="Times New Roman" w:cs="Times New Roman"/>
          <w:b/>
          <w:bCs/>
          <w:sz w:val="36"/>
          <w:szCs w:val="36"/>
        </w:rPr>
      </w:pPr>
      <w:r w:rsidRPr="00B62BC8">
        <w:rPr>
          <w:rFonts w:ascii="Times New Roman" w:hAnsi="Times New Roman" w:cs="Times New Roman"/>
          <w:b/>
          <w:bCs/>
          <w:sz w:val="36"/>
          <w:szCs w:val="36"/>
        </w:rPr>
        <w:t>Legal Issues – Fire Safety in the Hotel Industry</w:t>
      </w:r>
    </w:p>
    <w:p w14:paraId="7E5521F5" w14:textId="77777777" w:rsidR="00B62BC8" w:rsidRDefault="00B62BC8" w:rsidP="00B62BC8">
      <w:pPr>
        <w:spacing w:after="0" w:line="480" w:lineRule="auto"/>
        <w:ind w:left="720"/>
        <w:jc w:val="center"/>
        <w:rPr>
          <w:rFonts w:ascii="Times New Roman" w:eastAsia="Calibri" w:hAnsi="Times New Roman" w:cs="Times New Roman"/>
          <w:b/>
          <w:bCs/>
          <w:kern w:val="0"/>
          <w:sz w:val="32"/>
          <w:szCs w:val="32"/>
          <w:lang w:eastAsia="en-GB"/>
          <w14:ligatures w14:val="none"/>
        </w:rPr>
      </w:pPr>
      <w:r w:rsidRPr="00B62BC8">
        <w:rPr>
          <w:rFonts w:ascii="Times New Roman" w:eastAsia="Calibri" w:hAnsi="Times New Roman" w:cs="Times New Roman"/>
          <w:b/>
          <w:bCs/>
          <w:kern w:val="0"/>
          <w:sz w:val="32"/>
          <w:szCs w:val="32"/>
          <w:lang w:eastAsia="en-GB"/>
          <w14:ligatures w14:val="none"/>
        </w:rPr>
        <w:t xml:space="preserve">Business Skills </w:t>
      </w:r>
    </w:p>
    <w:p w14:paraId="04DD93AB" w14:textId="6E34E57F" w:rsidR="00B62BC8" w:rsidRPr="00B62BC8" w:rsidRDefault="00B62BC8" w:rsidP="00B62BC8">
      <w:pPr>
        <w:spacing w:after="0" w:line="480" w:lineRule="auto"/>
        <w:ind w:left="720"/>
        <w:jc w:val="center"/>
        <w:rPr>
          <w:rFonts w:ascii="Times New Roman" w:eastAsia="Calibri" w:hAnsi="Times New Roman" w:cs="Times New Roman"/>
          <w:b/>
          <w:bCs/>
          <w:kern w:val="0"/>
          <w:sz w:val="32"/>
          <w:szCs w:val="32"/>
          <w:lang w:eastAsia="en-GB"/>
          <w14:ligatures w14:val="none"/>
        </w:rPr>
      </w:pPr>
      <w:r w:rsidRPr="00B62BC8">
        <w:rPr>
          <w:rFonts w:ascii="Times New Roman" w:eastAsia="Calibri" w:hAnsi="Times New Roman" w:cs="Times New Roman"/>
          <w:b/>
          <w:bCs/>
          <w:kern w:val="0"/>
          <w:sz w:val="32"/>
          <w:szCs w:val="32"/>
          <w:lang w:eastAsia="en-GB"/>
          <w14:ligatures w14:val="none"/>
        </w:rPr>
        <w:t>BMIH4001</w:t>
      </w:r>
    </w:p>
    <w:p w14:paraId="53E4B790" w14:textId="0862E722" w:rsidR="00B62BC8" w:rsidRPr="00B62BC8" w:rsidRDefault="00B62BC8" w:rsidP="00B62BC8">
      <w:pPr>
        <w:spacing w:line="480" w:lineRule="auto"/>
        <w:jc w:val="center"/>
        <w:rPr>
          <w:rFonts w:ascii="Times New Roman" w:hAnsi="Times New Roman" w:cs="Times New Roman"/>
          <w:b/>
          <w:bCs/>
          <w:sz w:val="44"/>
          <w:szCs w:val="44"/>
        </w:rPr>
      </w:pPr>
    </w:p>
    <w:p w14:paraId="4D0186CD" w14:textId="638578B9" w:rsidR="00B62BC8" w:rsidRPr="00B62BC8" w:rsidRDefault="00B62BC8" w:rsidP="00B62BC8">
      <w:pPr>
        <w:spacing w:after="0" w:line="480" w:lineRule="auto"/>
        <w:jc w:val="center"/>
        <w:rPr>
          <w:rFonts w:ascii="Times New Roman" w:eastAsia="Calibri" w:hAnsi="Times New Roman" w:cs="Times New Roman"/>
          <w:kern w:val="0"/>
          <w:sz w:val="28"/>
          <w:szCs w:val="28"/>
          <w:lang w:eastAsia="en-GB"/>
          <w14:ligatures w14:val="none"/>
        </w:rPr>
      </w:pPr>
      <w:proofErr w:type="gramStart"/>
      <w:r w:rsidRPr="00B62BC8">
        <w:rPr>
          <w:rFonts w:ascii="Times New Roman" w:eastAsia="Calibri" w:hAnsi="Times New Roman" w:cs="Times New Roman"/>
          <w:kern w:val="0"/>
          <w:sz w:val="28"/>
          <w:szCs w:val="28"/>
          <w:lang w:eastAsia="en-GB"/>
          <w14:ligatures w14:val="none"/>
        </w:rPr>
        <w:t xml:space="preserve">Student  </w:t>
      </w:r>
      <w:proofErr w:type="spellStart"/>
      <w:r w:rsidRPr="00B62BC8">
        <w:rPr>
          <w:rFonts w:ascii="Times New Roman" w:eastAsia="Calibri" w:hAnsi="Times New Roman" w:cs="Times New Roman"/>
          <w:kern w:val="0"/>
          <w:sz w:val="28"/>
          <w:szCs w:val="28"/>
          <w:lang w:eastAsia="en-GB"/>
          <w14:ligatures w14:val="none"/>
        </w:rPr>
        <w:t>name</w:t>
      </w:r>
      <w:proofErr w:type="gramEnd"/>
      <w:r w:rsidRPr="00B62BC8">
        <w:rPr>
          <w:rFonts w:ascii="Times New Roman" w:eastAsia="Calibri" w:hAnsi="Times New Roman" w:cs="Times New Roman"/>
          <w:kern w:val="0"/>
          <w:sz w:val="28"/>
          <w:szCs w:val="28"/>
          <w:lang w:eastAsia="en-GB"/>
          <w14:ligatures w14:val="none"/>
        </w:rPr>
        <w:t>:</w:t>
      </w:r>
      <w:r w:rsidR="007B15C2">
        <w:rPr>
          <w:rFonts w:ascii="Times New Roman" w:eastAsia="Calibri" w:hAnsi="Times New Roman" w:cs="Times New Roman"/>
          <w:kern w:val="0"/>
          <w:sz w:val="28"/>
          <w:szCs w:val="28"/>
          <w:lang w:eastAsia="en-GB"/>
          <w14:ligatures w14:val="none"/>
        </w:rPr>
        <w:t>Mihaela</w:t>
      </w:r>
      <w:proofErr w:type="spellEnd"/>
      <w:r w:rsidR="007B15C2">
        <w:rPr>
          <w:rFonts w:ascii="Times New Roman" w:eastAsia="Calibri" w:hAnsi="Times New Roman" w:cs="Times New Roman"/>
          <w:kern w:val="0"/>
          <w:sz w:val="28"/>
          <w:szCs w:val="28"/>
          <w:lang w:eastAsia="en-GB"/>
          <w14:ligatures w14:val="none"/>
        </w:rPr>
        <w:t xml:space="preserve"> Caradan </w:t>
      </w:r>
    </w:p>
    <w:p w14:paraId="6C7B12AE" w14:textId="775DC98B" w:rsidR="00B62BC8" w:rsidRPr="00B62BC8" w:rsidRDefault="00B62BC8" w:rsidP="00B62BC8">
      <w:pPr>
        <w:spacing w:after="0" w:line="480" w:lineRule="auto"/>
        <w:jc w:val="center"/>
        <w:rPr>
          <w:rFonts w:ascii="Times New Roman" w:eastAsia="Calibri" w:hAnsi="Times New Roman" w:cs="Times New Roman"/>
          <w:kern w:val="0"/>
          <w:sz w:val="28"/>
          <w:szCs w:val="28"/>
          <w:lang w:eastAsia="en-GB"/>
          <w14:ligatures w14:val="none"/>
        </w:rPr>
      </w:pPr>
      <w:r w:rsidRPr="00B62BC8">
        <w:rPr>
          <w:rFonts w:ascii="Times New Roman" w:eastAsia="Calibri" w:hAnsi="Times New Roman" w:cs="Times New Roman"/>
          <w:kern w:val="0"/>
          <w:sz w:val="28"/>
          <w:szCs w:val="28"/>
          <w:lang w:eastAsia="en-GB"/>
          <w14:ligatures w14:val="none"/>
        </w:rPr>
        <w:t>Student ID number:</w:t>
      </w:r>
      <w:r w:rsidR="007B15C2">
        <w:rPr>
          <w:rFonts w:ascii="Times New Roman" w:eastAsia="Calibri" w:hAnsi="Times New Roman" w:cs="Times New Roman"/>
          <w:kern w:val="0"/>
          <w:sz w:val="28"/>
          <w:szCs w:val="28"/>
          <w:lang w:eastAsia="en-GB"/>
          <w14:ligatures w14:val="none"/>
        </w:rPr>
        <w:t>2218469</w:t>
      </w:r>
    </w:p>
    <w:p w14:paraId="6253A049" w14:textId="6553B457" w:rsidR="00B62BC8" w:rsidRPr="00B62BC8" w:rsidRDefault="00B62BC8" w:rsidP="00B62BC8">
      <w:pPr>
        <w:spacing w:after="0" w:line="480" w:lineRule="auto"/>
        <w:jc w:val="center"/>
        <w:rPr>
          <w:rFonts w:ascii="Times New Roman" w:eastAsia="Calibri" w:hAnsi="Times New Roman" w:cs="Times New Roman"/>
          <w:kern w:val="0"/>
          <w:sz w:val="28"/>
          <w:szCs w:val="28"/>
          <w:lang w:eastAsia="en-GB"/>
          <w14:ligatures w14:val="none"/>
        </w:rPr>
      </w:pPr>
      <w:r w:rsidRPr="00B62BC8">
        <w:rPr>
          <w:rFonts w:ascii="Times New Roman" w:eastAsia="Calibri" w:hAnsi="Times New Roman" w:cs="Times New Roman"/>
          <w:kern w:val="0"/>
          <w:sz w:val="28"/>
          <w:szCs w:val="28"/>
          <w:lang w:eastAsia="en-GB"/>
          <w14:ligatures w14:val="none"/>
        </w:rPr>
        <w:t xml:space="preserve">Lecturer </w:t>
      </w:r>
      <w:proofErr w:type="spellStart"/>
      <w:proofErr w:type="gramStart"/>
      <w:r w:rsidRPr="00B62BC8">
        <w:rPr>
          <w:rFonts w:ascii="Times New Roman" w:eastAsia="Calibri" w:hAnsi="Times New Roman" w:cs="Times New Roman"/>
          <w:kern w:val="0"/>
          <w:sz w:val="28"/>
          <w:szCs w:val="28"/>
          <w:lang w:eastAsia="en-GB"/>
          <w14:ligatures w14:val="none"/>
        </w:rPr>
        <w:t>name:</w:t>
      </w:r>
      <w:r w:rsidR="007B15C2">
        <w:rPr>
          <w:rFonts w:ascii="Times New Roman" w:eastAsia="Calibri" w:hAnsi="Times New Roman" w:cs="Times New Roman"/>
          <w:kern w:val="0"/>
          <w:sz w:val="28"/>
          <w:szCs w:val="28"/>
          <w:lang w:eastAsia="en-GB"/>
          <w14:ligatures w14:val="none"/>
        </w:rPr>
        <w:t>Julia</w:t>
      </w:r>
      <w:proofErr w:type="spellEnd"/>
      <w:proofErr w:type="gramEnd"/>
      <w:r w:rsidR="007B15C2">
        <w:rPr>
          <w:rFonts w:ascii="Times New Roman" w:eastAsia="Calibri" w:hAnsi="Times New Roman" w:cs="Times New Roman"/>
          <w:kern w:val="0"/>
          <w:sz w:val="28"/>
          <w:szCs w:val="28"/>
          <w:lang w:eastAsia="en-GB"/>
          <w14:ligatures w14:val="none"/>
        </w:rPr>
        <w:t xml:space="preserve">  Ault</w:t>
      </w:r>
    </w:p>
    <w:p w14:paraId="5549B255" w14:textId="0111EE4F" w:rsidR="00B62BC8" w:rsidRDefault="00B62BC8" w:rsidP="00B62BC8">
      <w:pPr>
        <w:spacing w:line="480" w:lineRule="auto"/>
        <w:jc w:val="center"/>
        <w:rPr>
          <w:rFonts w:ascii="Times New Roman" w:hAnsi="Times New Roman" w:cs="Times New Roman"/>
          <w:kern w:val="0"/>
          <w:sz w:val="28"/>
          <w:szCs w:val="28"/>
          <w14:ligatures w14:val="none"/>
        </w:rPr>
      </w:pPr>
      <w:r w:rsidRPr="00B62BC8">
        <w:rPr>
          <w:rFonts w:ascii="Times New Roman" w:hAnsi="Times New Roman" w:cs="Times New Roman"/>
          <w:kern w:val="0"/>
          <w:sz w:val="28"/>
          <w:szCs w:val="28"/>
          <w14:ligatures w14:val="none"/>
        </w:rPr>
        <w:t>Wordcount:</w:t>
      </w:r>
      <w:r w:rsidR="00774D38">
        <w:rPr>
          <w:rFonts w:ascii="Times New Roman" w:hAnsi="Times New Roman" w:cs="Times New Roman"/>
          <w:kern w:val="0"/>
          <w:sz w:val="28"/>
          <w:szCs w:val="28"/>
          <w14:ligatures w14:val="none"/>
        </w:rPr>
        <w:t xml:space="preserve"> 412</w:t>
      </w:r>
    </w:p>
    <w:p w14:paraId="2F906F38" w14:textId="5307802C" w:rsidR="00B62BC8" w:rsidRDefault="00B62BC8" w:rsidP="00B62BC8">
      <w:pPr>
        <w:spacing w:line="480" w:lineRule="auto"/>
        <w:jc w:val="center"/>
        <w:rPr>
          <w:rFonts w:ascii="Times New Roman" w:hAnsi="Times New Roman" w:cs="Times New Roman"/>
          <w:kern w:val="0"/>
          <w:sz w:val="28"/>
          <w:szCs w:val="28"/>
          <w14:ligatures w14:val="none"/>
        </w:rPr>
      </w:pPr>
    </w:p>
    <w:p w14:paraId="61CD071A" w14:textId="11965899" w:rsidR="00B62BC8" w:rsidRDefault="00B62BC8" w:rsidP="00B62BC8">
      <w:pPr>
        <w:spacing w:line="480" w:lineRule="auto"/>
        <w:jc w:val="center"/>
        <w:rPr>
          <w:rFonts w:ascii="Times New Roman" w:hAnsi="Times New Roman" w:cs="Times New Roman"/>
          <w:kern w:val="0"/>
          <w:sz w:val="28"/>
          <w:szCs w:val="28"/>
          <w14:ligatures w14:val="none"/>
        </w:rPr>
      </w:pPr>
    </w:p>
    <w:p w14:paraId="4FD1AB7D" w14:textId="39ACC64F" w:rsidR="00B62BC8" w:rsidRDefault="00B62BC8" w:rsidP="00B62BC8">
      <w:pPr>
        <w:spacing w:line="480" w:lineRule="auto"/>
        <w:jc w:val="center"/>
        <w:rPr>
          <w:rFonts w:ascii="Times New Roman" w:hAnsi="Times New Roman" w:cs="Times New Roman"/>
          <w:kern w:val="0"/>
          <w:sz w:val="28"/>
          <w:szCs w:val="28"/>
          <w14:ligatures w14:val="none"/>
        </w:rPr>
      </w:pPr>
    </w:p>
    <w:p w14:paraId="34408DC1" w14:textId="2B8B02C6" w:rsidR="00B62BC8" w:rsidRDefault="00B62BC8" w:rsidP="00B62BC8">
      <w:pPr>
        <w:spacing w:line="480" w:lineRule="auto"/>
        <w:jc w:val="center"/>
        <w:rPr>
          <w:rFonts w:ascii="Times New Roman" w:hAnsi="Times New Roman" w:cs="Times New Roman"/>
          <w:kern w:val="0"/>
          <w:sz w:val="28"/>
          <w:szCs w:val="28"/>
          <w14:ligatures w14:val="none"/>
        </w:rPr>
      </w:pPr>
    </w:p>
    <w:p w14:paraId="0EF641B8" w14:textId="1843F6E1" w:rsidR="00B62BC8" w:rsidRDefault="00B62BC8" w:rsidP="00B62BC8">
      <w:pPr>
        <w:spacing w:line="480" w:lineRule="auto"/>
        <w:jc w:val="center"/>
        <w:rPr>
          <w:rFonts w:ascii="Times New Roman" w:hAnsi="Times New Roman" w:cs="Times New Roman"/>
          <w:kern w:val="0"/>
          <w:sz w:val="28"/>
          <w:szCs w:val="28"/>
          <w14:ligatures w14:val="none"/>
        </w:rPr>
      </w:pPr>
    </w:p>
    <w:p w14:paraId="0262D0B6" w14:textId="23ED87B9" w:rsidR="00B62BC8" w:rsidRDefault="00B62BC8" w:rsidP="00B62BC8">
      <w:pPr>
        <w:spacing w:line="480" w:lineRule="auto"/>
        <w:jc w:val="center"/>
        <w:rPr>
          <w:rFonts w:ascii="Times New Roman" w:hAnsi="Times New Roman" w:cs="Times New Roman"/>
          <w:kern w:val="0"/>
          <w:sz w:val="28"/>
          <w:szCs w:val="28"/>
          <w14:ligatures w14:val="none"/>
        </w:rPr>
      </w:pPr>
    </w:p>
    <w:p w14:paraId="6A7C8120" w14:textId="45728CF4" w:rsidR="00B62BC8" w:rsidRDefault="00B62BC8" w:rsidP="00B62BC8">
      <w:pPr>
        <w:spacing w:line="480" w:lineRule="auto"/>
        <w:jc w:val="center"/>
        <w:rPr>
          <w:rFonts w:ascii="Times New Roman" w:hAnsi="Times New Roman" w:cs="Times New Roman"/>
          <w:kern w:val="0"/>
          <w:sz w:val="28"/>
          <w:szCs w:val="28"/>
          <w14:ligatures w14:val="none"/>
        </w:rPr>
      </w:pPr>
    </w:p>
    <w:p w14:paraId="56964ECC" w14:textId="5F59C000" w:rsidR="00B62BC8" w:rsidRDefault="00B62BC8" w:rsidP="00B62BC8">
      <w:pPr>
        <w:spacing w:line="480" w:lineRule="auto"/>
        <w:jc w:val="center"/>
        <w:rPr>
          <w:rFonts w:ascii="Times New Roman" w:hAnsi="Times New Roman" w:cs="Times New Roman"/>
          <w:kern w:val="0"/>
          <w:sz w:val="28"/>
          <w:szCs w:val="28"/>
          <w14:ligatures w14:val="none"/>
        </w:rPr>
      </w:pPr>
    </w:p>
    <w:p w14:paraId="39AA2B67" w14:textId="504FE4F6" w:rsidR="00B62BC8" w:rsidRDefault="00B62BC8" w:rsidP="00B62BC8">
      <w:pPr>
        <w:spacing w:line="480" w:lineRule="auto"/>
        <w:jc w:val="center"/>
        <w:rPr>
          <w:rFonts w:ascii="Times New Roman" w:hAnsi="Times New Roman" w:cs="Times New Roman"/>
          <w:kern w:val="0"/>
          <w:sz w:val="28"/>
          <w:szCs w:val="28"/>
          <w14:ligatures w14:val="none"/>
        </w:rPr>
      </w:pPr>
    </w:p>
    <w:p w14:paraId="240F8357" w14:textId="46C16886" w:rsidR="00B62BC8" w:rsidRDefault="00B62BC8" w:rsidP="00B62BC8">
      <w:pPr>
        <w:spacing w:line="480" w:lineRule="auto"/>
        <w:jc w:val="center"/>
        <w:rPr>
          <w:rFonts w:ascii="Times New Roman" w:hAnsi="Times New Roman" w:cs="Times New Roman"/>
          <w:kern w:val="0"/>
          <w:sz w:val="28"/>
          <w:szCs w:val="28"/>
          <w14:ligatures w14:val="none"/>
        </w:rPr>
      </w:pPr>
    </w:p>
    <w:p w14:paraId="04D3C043" w14:textId="688FEA8E" w:rsidR="00B62BC8" w:rsidRDefault="00B62BC8" w:rsidP="00B62BC8">
      <w:pPr>
        <w:spacing w:line="480" w:lineRule="auto"/>
        <w:jc w:val="center"/>
        <w:rPr>
          <w:rFonts w:ascii="Times New Roman" w:hAnsi="Times New Roman" w:cs="Times New Roman"/>
          <w:b/>
          <w:bCs/>
          <w:kern w:val="0"/>
          <w:sz w:val="28"/>
          <w:szCs w:val="28"/>
          <w14:ligatures w14:val="none"/>
        </w:rPr>
      </w:pPr>
      <w:r w:rsidRPr="00B62BC8">
        <w:rPr>
          <w:rFonts w:ascii="Times New Roman" w:hAnsi="Times New Roman" w:cs="Times New Roman"/>
          <w:b/>
          <w:bCs/>
          <w:kern w:val="0"/>
          <w:sz w:val="28"/>
          <w:szCs w:val="28"/>
          <w14:ligatures w14:val="none"/>
        </w:rPr>
        <w:lastRenderedPageBreak/>
        <w:t>Legal issues-Fire Safety in the hotel industry</w:t>
      </w:r>
    </w:p>
    <w:p w14:paraId="74264451" w14:textId="7B17C57E" w:rsidR="00B62BC8" w:rsidRPr="00B62BC8" w:rsidRDefault="00B62BC8" w:rsidP="00B62BC8">
      <w:pPr>
        <w:spacing w:line="480" w:lineRule="auto"/>
        <w:jc w:val="both"/>
        <w:rPr>
          <w:rFonts w:ascii="Times New Roman" w:hAnsi="Times New Roman" w:cs="Times New Roman"/>
          <w:kern w:val="0"/>
          <w:sz w:val="24"/>
          <w:szCs w:val="24"/>
          <w14:ligatures w14:val="none"/>
        </w:rPr>
      </w:pPr>
    </w:p>
    <w:p w14:paraId="5A006C88" w14:textId="11E7DBA2" w:rsidR="00B62BC8" w:rsidRPr="00774D38" w:rsidRDefault="00F648B9" w:rsidP="00774D38">
      <w:pPr>
        <w:spacing w:line="360" w:lineRule="auto"/>
        <w:jc w:val="both"/>
        <w:rPr>
          <w:rFonts w:ascii="Times New Roman" w:hAnsi="Times New Roman" w:cs="Times New Roman"/>
          <w:sz w:val="24"/>
          <w:szCs w:val="24"/>
        </w:rPr>
      </w:pPr>
      <w:r w:rsidRPr="00774D38">
        <w:rPr>
          <w:rFonts w:ascii="Times New Roman" w:hAnsi="Times New Roman" w:cs="Times New Roman"/>
          <w:sz w:val="24"/>
          <w:szCs w:val="24"/>
        </w:rPr>
        <w:t xml:space="preserve">Fire safety is an important component of the hotel industry, and the United Kingdom has strict rules to safeguard guests and personnel in the case of a fire. Hotels must adhere to the regulations outlined in the 2005 Regulatory Reform (Fire Safety) Order, which mandates that all non-domestic facilities conduct fire risk assessments and take the necessary precautions to reduce the danger of fire </w:t>
      </w:r>
      <w:r w:rsidRPr="00774D38">
        <w:rPr>
          <w:rFonts w:ascii="Times New Roman" w:hAnsi="Times New Roman" w:cs="Times New Roman"/>
          <w:sz w:val="24"/>
          <w:szCs w:val="24"/>
          <w:shd w:val="clear" w:color="auto" w:fill="FFFFFF"/>
        </w:rPr>
        <w:t xml:space="preserve">(legislation.gov.uk, 2005). </w:t>
      </w:r>
      <w:r w:rsidRPr="00774D38">
        <w:rPr>
          <w:rFonts w:ascii="Times New Roman" w:hAnsi="Times New Roman" w:cs="Times New Roman"/>
          <w:sz w:val="24"/>
          <w:szCs w:val="24"/>
        </w:rPr>
        <w:t xml:space="preserve"> This essay seeks to discuss the importance of fire safety within the hotel industry. </w:t>
      </w:r>
    </w:p>
    <w:p w14:paraId="79D4DCC9" w14:textId="1B3E9DBE" w:rsidR="00F648B9" w:rsidRPr="00774D38" w:rsidRDefault="00F648B9" w:rsidP="00774D38">
      <w:pPr>
        <w:spacing w:line="360" w:lineRule="auto"/>
        <w:jc w:val="both"/>
        <w:rPr>
          <w:rFonts w:ascii="Times New Roman" w:hAnsi="Times New Roman" w:cs="Times New Roman"/>
          <w:sz w:val="24"/>
          <w:szCs w:val="24"/>
        </w:rPr>
      </w:pPr>
      <w:r w:rsidRPr="00774D38">
        <w:rPr>
          <w:rFonts w:ascii="Times New Roman" w:hAnsi="Times New Roman" w:cs="Times New Roman"/>
          <w:sz w:val="24"/>
          <w:szCs w:val="24"/>
        </w:rPr>
        <w:t>One of the order's primary conditions is that fire alarms and smoke detectors be installed in all parts of the hotel, including guest rooms and public areas. Furthermore, fire doors must be installed and maintained in excellent condition, with frequent examinations to guarantee proper operation. It is also critical for hotels to have evacuation protocols in place and to perform fire drills to ensure that all personnel understand what measures to follow in the event of a fire</w:t>
      </w:r>
      <w:r w:rsidR="00774D38" w:rsidRPr="00774D38">
        <w:rPr>
          <w:rFonts w:ascii="Times New Roman" w:hAnsi="Times New Roman" w:cs="Times New Roman"/>
          <w:sz w:val="24"/>
          <w:szCs w:val="24"/>
        </w:rPr>
        <w:t xml:space="preserve"> (HSE, n.d.). </w:t>
      </w:r>
      <w:r w:rsidRPr="00774D38">
        <w:rPr>
          <w:rFonts w:ascii="Times New Roman" w:hAnsi="Times New Roman" w:cs="Times New Roman"/>
          <w:sz w:val="24"/>
          <w:szCs w:val="24"/>
        </w:rPr>
        <w:t>Moreover, according to the British Fire and Rescue Services National Fire Safety Council, kitchen equipment, electrical problems, and smoking-related accidents are frequently the causes of hotel fires</w:t>
      </w:r>
      <w:r w:rsidR="0012171E" w:rsidRPr="00774D38">
        <w:rPr>
          <w:rFonts w:ascii="Times New Roman" w:hAnsi="Times New Roman" w:cs="Times New Roman"/>
          <w:sz w:val="24"/>
          <w:szCs w:val="24"/>
        </w:rPr>
        <w:t xml:space="preserve"> (NFFC, n.d.).</w:t>
      </w:r>
      <w:r w:rsidRPr="00774D38">
        <w:rPr>
          <w:rFonts w:ascii="Times New Roman" w:hAnsi="Times New Roman" w:cs="Times New Roman"/>
          <w:sz w:val="24"/>
          <w:szCs w:val="24"/>
        </w:rPr>
        <w:t xml:space="preserve"> As a result, it is critical for hotels to employ fire safety precautions in order to avoid such tragedies. Cooking equipment, for example, should be well maintained, and smoking should be restricted to specific places. In addition to fire protection measures, hotels must have readily available fire-fighting equipment such as fire extinguishers, hoses, and fire blankets. Employees should be instructed on how to use these tools, and they should be inspected on a regular basis to ensure that they are in excellent working condition</w:t>
      </w:r>
      <w:r w:rsidR="0012171E" w:rsidRPr="00774D38">
        <w:rPr>
          <w:rFonts w:ascii="Times New Roman" w:hAnsi="Times New Roman" w:cs="Times New Roman"/>
          <w:sz w:val="24"/>
          <w:szCs w:val="24"/>
        </w:rPr>
        <w:t xml:space="preserve"> </w:t>
      </w:r>
      <w:r w:rsidR="0012171E" w:rsidRPr="00774D38">
        <w:rPr>
          <w:rFonts w:ascii="Times New Roman" w:hAnsi="Times New Roman" w:cs="Times New Roman"/>
          <w:sz w:val="24"/>
          <w:szCs w:val="24"/>
          <w:shd w:val="clear" w:color="auto" w:fill="FFFFFF"/>
        </w:rPr>
        <w:t>(</w:t>
      </w:r>
      <w:proofErr w:type="spellStart"/>
      <w:r w:rsidR="0012171E" w:rsidRPr="00774D38">
        <w:rPr>
          <w:rFonts w:ascii="Times New Roman" w:hAnsi="Times New Roman" w:cs="Times New Roman"/>
          <w:sz w:val="24"/>
          <w:szCs w:val="24"/>
          <w:shd w:val="clear" w:color="auto" w:fill="FFFFFF"/>
        </w:rPr>
        <w:t>Kobes</w:t>
      </w:r>
      <w:proofErr w:type="spellEnd"/>
      <w:r w:rsidR="0012171E" w:rsidRPr="00774D38">
        <w:rPr>
          <w:rFonts w:ascii="Times New Roman" w:hAnsi="Times New Roman" w:cs="Times New Roman"/>
          <w:sz w:val="24"/>
          <w:szCs w:val="24"/>
          <w:shd w:val="clear" w:color="auto" w:fill="FFFFFF"/>
        </w:rPr>
        <w:t xml:space="preserve"> et al., 2010)</w:t>
      </w:r>
      <w:r w:rsidR="0012171E" w:rsidRPr="00774D38">
        <w:rPr>
          <w:rFonts w:ascii="Times New Roman" w:hAnsi="Times New Roman" w:cs="Times New Roman"/>
          <w:sz w:val="24"/>
          <w:szCs w:val="24"/>
        </w:rPr>
        <w:t xml:space="preserve"> . </w:t>
      </w:r>
      <w:r w:rsidRPr="00774D38">
        <w:rPr>
          <w:rFonts w:ascii="Times New Roman" w:hAnsi="Times New Roman" w:cs="Times New Roman"/>
          <w:sz w:val="24"/>
          <w:szCs w:val="24"/>
        </w:rPr>
        <w:t>Similarly, hotels must design their structures with fire safety in mind. For example, fire-resistant materials should be utilised in the hotel's construction, and there should be enough fire exits to allow guests and personnel to safely leave the structure.</w:t>
      </w:r>
    </w:p>
    <w:p w14:paraId="6919FAB2" w14:textId="06E19877" w:rsidR="00F648B9" w:rsidRPr="00774D38" w:rsidRDefault="00F648B9" w:rsidP="00774D38">
      <w:pPr>
        <w:spacing w:line="360" w:lineRule="auto"/>
        <w:jc w:val="both"/>
        <w:rPr>
          <w:rFonts w:ascii="Times New Roman" w:hAnsi="Times New Roman" w:cs="Times New Roman"/>
          <w:sz w:val="24"/>
          <w:szCs w:val="24"/>
        </w:rPr>
      </w:pPr>
      <w:r w:rsidRPr="00774D38">
        <w:rPr>
          <w:rFonts w:ascii="Times New Roman" w:hAnsi="Times New Roman" w:cs="Times New Roman"/>
          <w:sz w:val="24"/>
          <w:szCs w:val="24"/>
        </w:rPr>
        <w:t>In conclusion, fire safety is a critical aspect of the hotel sector, and hotels must take the appropriate precautions to reduce the danger of fire and preserve the safety of guests and workers. The UK has rigorous rules in place to ensure that hotels comply with fire safety requirements, and hotel owners must be aware of and take these regulations seriously. Hotels may create a safe and secure atmosphere for guests and staff by adopting fire prevention measures, supplying firefighting equipment, and addressing fire safety in building design.</w:t>
      </w:r>
    </w:p>
    <w:p w14:paraId="014A88CD" w14:textId="236EBF59" w:rsidR="00F648B9" w:rsidRDefault="00F648B9" w:rsidP="00F648B9">
      <w:pPr>
        <w:spacing w:line="480" w:lineRule="auto"/>
        <w:jc w:val="both"/>
        <w:rPr>
          <w:rFonts w:ascii="Times New Roman" w:hAnsi="Times New Roman" w:cs="Times New Roman"/>
          <w:sz w:val="24"/>
          <w:szCs w:val="24"/>
        </w:rPr>
      </w:pPr>
    </w:p>
    <w:p w14:paraId="445D7247" w14:textId="4FF5D7AC" w:rsidR="00F648B9" w:rsidRDefault="00F648B9" w:rsidP="00F648B9">
      <w:pPr>
        <w:spacing w:line="480" w:lineRule="auto"/>
        <w:jc w:val="both"/>
        <w:rPr>
          <w:rFonts w:ascii="Times New Roman" w:hAnsi="Times New Roman" w:cs="Times New Roman"/>
          <w:sz w:val="24"/>
          <w:szCs w:val="24"/>
        </w:rPr>
      </w:pPr>
    </w:p>
    <w:p w14:paraId="255FBF12" w14:textId="2A271E66" w:rsidR="00F648B9" w:rsidRPr="00774D38" w:rsidRDefault="00F648B9" w:rsidP="00774D38">
      <w:pPr>
        <w:spacing w:line="360" w:lineRule="auto"/>
        <w:jc w:val="center"/>
        <w:rPr>
          <w:rFonts w:ascii="Times New Roman" w:hAnsi="Times New Roman" w:cs="Times New Roman"/>
          <w:b/>
          <w:bCs/>
          <w:sz w:val="28"/>
          <w:szCs w:val="28"/>
        </w:rPr>
      </w:pPr>
      <w:r w:rsidRPr="00774D38">
        <w:rPr>
          <w:rFonts w:ascii="Times New Roman" w:hAnsi="Times New Roman" w:cs="Times New Roman"/>
          <w:b/>
          <w:bCs/>
          <w:sz w:val="28"/>
          <w:szCs w:val="28"/>
        </w:rPr>
        <w:t>References</w:t>
      </w:r>
    </w:p>
    <w:p w14:paraId="39C601C7" w14:textId="6A7FB46B" w:rsidR="00F648B9" w:rsidRPr="00774D38" w:rsidRDefault="00F648B9" w:rsidP="00774D38">
      <w:pPr>
        <w:spacing w:line="360" w:lineRule="auto"/>
        <w:jc w:val="center"/>
        <w:rPr>
          <w:rFonts w:ascii="Times New Roman" w:hAnsi="Times New Roman" w:cs="Times New Roman"/>
          <w:b/>
          <w:bCs/>
          <w:sz w:val="28"/>
          <w:szCs w:val="28"/>
        </w:rPr>
      </w:pPr>
    </w:p>
    <w:p w14:paraId="403959F8" w14:textId="5F48B059" w:rsidR="00774D38" w:rsidRPr="00774D38" w:rsidRDefault="00774D38" w:rsidP="00774D38">
      <w:pPr>
        <w:pStyle w:val="NormalWeb"/>
        <w:spacing w:before="0" w:beforeAutospacing="0" w:after="0" w:afterAutospacing="0" w:line="360" w:lineRule="auto"/>
        <w:jc w:val="both"/>
      </w:pPr>
      <w:r w:rsidRPr="00774D38">
        <w:t xml:space="preserve">  HSE (n.d.) Event safety - Fire safety. [online] Available at: https://www.hse.gov.uk/event-safety/fire-safety.htm.</w:t>
      </w:r>
    </w:p>
    <w:p w14:paraId="107BBDAD" w14:textId="06AF00E7" w:rsidR="00774D38" w:rsidRPr="00774D38" w:rsidRDefault="00774D38" w:rsidP="00774D38">
      <w:pPr>
        <w:pStyle w:val="NormalWeb"/>
        <w:spacing w:before="0" w:beforeAutospacing="0" w:after="0" w:afterAutospacing="0" w:line="360" w:lineRule="auto"/>
        <w:jc w:val="both"/>
      </w:pPr>
      <w:r w:rsidRPr="00774D38">
        <w:t xml:space="preserve">  </w:t>
      </w:r>
      <w:proofErr w:type="spellStart"/>
      <w:r w:rsidRPr="00774D38">
        <w:t>Kobes</w:t>
      </w:r>
      <w:proofErr w:type="spellEnd"/>
      <w:r w:rsidRPr="00774D38">
        <w:t xml:space="preserve">, M., </w:t>
      </w:r>
      <w:proofErr w:type="spellStart"/>
      <w:r w:rsidRPr="00774D38">
        <w:t>Helsloot</w:t>
      </w:r>
      <w:proofErr w:type="spellEnd"/>
      <w:r w:rsidRPr="00774D38">
        <w:t xml:space="preserve">, I., de Vries, B. and Post, J.G. (2010). Building safety and human behaviour in fire: A literature review. Fire Safety Journal, 45(1), pp.1–11. </w:t>
      </w:r>
      <w:proofErr w:type="spellStart"/>
      <w:proofErr w:type="gramStart"/>
      <w:r w:rsidRPr="00774D38">
        <w:t>doi:https</w:t>
      </w:r>
      <w:proofErr w:type="spellEnd"/>
      <w:r w:rsidRPr="00774D38">
        <w:t>://doi.org/10.1016/j.firesaf.2009.08.005</w:t>
      </w:r>
      <w:proofErr w:type="gramEnd"/>
      <w:r w:rsidRPr="00774D38">
        <w:t>.</w:t>
      </w:r>
    </w:p>
    <w:p w14:paraId="1143AADC" w14:textId="4FFDE80E" w:rsidR="00F648B9" w:rsidRPr="00774D38" w:rsidRDefault="0012171E" w:rsidP="00774D38">
      <w:pPr>
        <w:pStyle w:val="NormalWeb"/>
        <w:spacing w:before="0" w:beforeAutospacing="0" w:after="0" w:afterAutospacing="0" w:line="360" w:lineRule="auto"/>
        <w:jc w:val="both"/>
      </w:pPr>
      <w:r w:rsidRPr="00774D38">
        <w:t xml:space="preserve">  </w:t>
      </w:r>
      <w:r w:rsidR="00F648B9" w:rsidRPr="00774D38">
        <w:t xml:space="preserve">legislation.gov.uk (2005). The Regulatory Reform (Fire Safety) Order 2005. [online] www.legislation.gov.uk. Available at: </w:t>
      </w:r>
      <w:hyperlink r:id="rId7" w:history="1">
        <w:r w:rsidRPr="00774D38">
          <w:rPr>
            <w:rStyle w:val="Hyperlink"/>
            <w:color w:val="auto"/>
          </w:rPr>
          <w:t>https://www.legislation.gov.uk/uksi/2005/1541/contents/made</w:t>
        </w:r>
      </w:hyperlink>
      <w:r w:rsidR="00F648B9" w:rsidRPr="00774D38">
        <w:t>.</w:t>
      </w:r>
    </w:p>
    <w:p w14:paraId="4AEC7228" w14:textId="03B4562F" w:rsidR="0012171E" w:rsidRPr="00774D38" w:rsidRDefault="0012171E" w:rsidP="00774D38">
      <w:pPr>
        <w:pStyle w:val="NormalWeb"/>
        <w:spacing w:before="0" w:beforeAutospacing="0" w:after="0" w:afterAutospacing="0" w:line="360" w:lineRule="auto"/>
        <w:jc w:val="both"/>
      </w:pPr>
      <w:r w:rsidRPr="00774D38">
        <w:t xml:space="preserve">  NFCC (n.d.). Protection and Building Safety. [online] Available at: https://www.nationalfirechiefs.org.uk/Protection-and-Building-Safety [Accessed 8 Feb. 2023].</w:t>
      </w:r>
    </w:p>
    <w:p w14:paraId="6BE439FA" w14:textId="77777777" w:rsidR="0012171E" w:rsidRPr="00774D38" w:rsidRDefault="0012171E" w:rsidP="00774D38">
      <w:pPr>
        <w:pStyle w:val="NormalWeb"/>
        <w:spacing w:line="360" w:lineRule="auto"/>
        <w:jc w:val="both"/>
      </w:pPr>
      <w:r w:rsidRPr="00774D38">
        <w:t>‌</w:t>
      </w:r>
    </w:p>
    <w:p w14:paraId="1AA5BA20" w14:textId="2D9116AB" w:rsidR="0012171E" w:rsidRPr="00774D38" w:rsidRDefault="0012171E" w:rsidP="00774D38">
      <w:pPr>
        <w:pStyle w:val="NormalWeb"/>
        <w:spacing w:before="0" w:beforeAutospacing="0" w:after="0" w:afterAutospacing="0" w:line="276" w:lineRule="auto"/>
        <w:jc w:val="both"/>
        <w:rPr>
          <w:color w:val="000000"/>
        </w:rPr>
      </w:pPr>
    </w:p>
    <w:p w14:paraId="6BFE7FAE" w14:textId="77777777" w:rsidR="00F648B9" w:rsidRPr="00774D38" w:rsidRDefault="00F648B9" w:rsidP="00774D38">
      <w:pPr>
        <w:pStyle w:val="NormalWeb"/>
        <w:spacing w:line="276" w:lineRule="auto"/>
        <w:jc w:val="both"/>
        <w:rPr>
          <w:color w:val="000000"/>
        </w:rPr>
      </w:pPr>
      <w:r w:rsidRPr="00774D38">
        <w:rPr>
          <w:color w:val="000000"/>
        </w:rPr>
        <w:t>‌</w:t>
      </w:r>
    </w:p>
    <w:p w14:paraId="0A0B8858" w14:textId="6824764F" w:rsidR="00F648B9" w:rsidRPr="00F648B9" w:rsidRDefault="00F648B9" w:rsidP="00F648B9">
      <w:pPr>
        <w:spacing w:line="480" w:lineRule="auto"/>
        <w:jc w:val="center"/>
        <w:rPr>
          <w:rFonts w:ascii="Times New Roman" w:hAnsi="Times New Roman" w:cs="Times New Roman"/>
          <w:b/>
          <w:bCs/>
          <w:sz w:val="28"/>
          <w:szCs w:val="28"/>
        </w:rPr>
      </w:pPr>
    </w:p>
    <w:sectPr w:rsidR="00F648B9" w:rsidRPr="00F648B9">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7EE61C" w14:textId="77777777" w:rsidR="00232C12" w:rsidRDefault="00232C12" w:rsidP="00B62BC8">
      <w:pPr>
        <w:spacing w:after="0" w:line="240" w:lineRule="auto"/>
      </w:pPr>
      <w:r>
        <w:separator/>
      </w:r>
    </w:p>
  </w:endnote>
  <w:endnote w:type="continuationSeparator" w:id="0">
    <w:p w14:paraId="1D8001E3" w14:textId="77777777" w:rsidR="00232C12" w:rsidRDefault="00232C12" w:rsidP="00B62B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3838991"/>
      <w:docPartObj>
        <w:docPartGallery w:val="Page Numbers (Bottom of Page)"/>
        <w:docPartUnique/>
      </w:docPartObj>
    </w:sdtPr>
    <w:sdtEndPr>
      <w:rPr>
        <w:noProof/>
      </w:rPr>
    </w:sdtEndPr>
    <w:sdtContent>
      <w:p w14:paraId="388F2FCA" w14:textId="1AA5FEB3" w:rsidR="00B62BC8" w:rsidRDefault="00B62BC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31DD00" w14:textId="77777777" w:rsidR="00B62BC8" w:rsidRDefault="00B62B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FC584B" w14:textId="77777777" w:rsidR="00232C12" w:rsidRDefault="00232C12" w:rsidP="00B62BC8">
      <w:pPr>
        <w:spacing w:after="0" w:line="240" w:lineRule="auto"/>
      </w:pPr>
      <w:r>
        <w:separator/>
      </w:r>
    </w:p>
  </w:footnote>
  <w:footnote w:type="continuationSeparator" w:id="0">
    <w:p w14:paraId="24B49E3B" w14:textId="77777777" w:rsidR="00232C12" w:rsidRDefault="00232C12" w:rsidP="00B62B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FB3D6F"/>
    <w:multiLevelType w:val="hybridMultilevel"/>
    <w:tmpl w:val="3572AA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27783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BC8"/>
    <w:rsid w:val="0012171E"/>
    <w:rsid w:val="00232C12"/>
    <w:rsid w:val="00774D38"/>
    <w:rsid w:val="007B15C2"/>
    <w:rsid w:val="00B151A8"/>
    <w:rsid w:val="00B62BC8"/>
    <w:rsid w:val="00F648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24CBE"/>
  <w15:chartTrackingRefBased/>
  <w15:docId w15:val="{915EE869-93EA-4261-A6FB-992F632AB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2B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2BC8"/>
  </w:style>
  <w:style w:type="paragraph" w:styleId="Footer">
    <w:name w:val="footer"/>
    <w:basedOn w:val="Normal"/>
    <w:link w:val="FooterChar"/>
    <w:uiPriority w:val="99"/>
    <w:unhideWhenUsed/>
    <w:rsid w:val="00B62B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2BC8"/>
  </w:style>
  <w:style w:type="paragraph" w:styleId="NormalWeb">
    <w:name w:val="Normal (Web)"/>
    <w:basedOn w:val="Normal"/>
    <w:uiPriority w:val="99"/>
    <w:unhideWhenUsed/>
    <w:rsid w:val="00F648B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12171E"/>
    <w:rPr>
      <w:color w:val="0563C1" w:themeColor="hyperlink"/>
      <w:u w:val="single"/>
    </w:rPr>
  </w:style>
  <w:style w:type="character" w:styleId="UnresolvedMention">
    <w:name w:val="Unresolved Mention"/>
    <w:basedOn w:val="DefaultParagraphFont"/>
    <w:uiPriority w:val="99"/>
    <w:semiHidden/>
    <w:unhideWhenUsed/>
    <w:rsid w:val="001217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2033">
      <w:bodyDiv w:val="1"/>
      <w:marLeft w:val="0"/>
      <w:marRight w:val="0"/>
      <w:marTop w:val="0"/>
      <w:marBottom w:val="0"/>
      <w:divBdr>
        <w:top w:val="none" w:sz="0" w:space="0" w:color="auto"/>
        <w:left w:val="none" w:sz="0" w:space="0" w:color="auto"/>
        <w:bottom w:val="none" w:sz="0" w:space="0" w:color="auto"/>
        <w:right w:val="none" w:sz="0" w:space="0" w:color="auto"/>
      </w:divBdr>
    </w:div>
    <w:div w:id="22445120">
      <w:bodyDiv w:val="1"/>
      <w:marLeft w:val="0"/>
      <w:marRight w:val="0"/>
      <w:marTop w:val="0"/>
      <w:marBottom w:val="0"/>
      <w:divBdr>
        <w:top w:val="none" w:sz="0" w:space="0" w:color="auto"/>
        <w:left w:val="none" w:sz="0" w:space="0" w:color="auto"/>
        <w:bottom w:val="none" w:sz="0" w:space="0" w:color="auto"/>
        <w:right w:val="none" w:sz="0" w:space="0" w:color="auto"/>
      </w:divBdr>
    </w:div>
    <w:div w:id="72749116">
      <w:bodyDiv w:val="1"/>
      <w:marLeft w:val="0"/>
      <w:marRight w:val="0"/>
      <w:marTop w:val="0"/>
      <w:marBottom w:val="0"/>
      <w:divBdr>
        <w:top w:val="none" w:sz="0" w:space="0" w:color="auto"/>
        <w:left w:val="none" w:sz="0" w:space="0" w:color="auto"/>
        <w:bottom w:val="none" w:sz="0" w:space="0" w:color="auto"/>
        <w:right w:val="none" w:sz="0" w:space="0" w:color="auto"/>
      </w:divBdr>
    </w:div>
    <w:div w:id="329019171">
      <w:bodyDiv w:val="1"/>
      <w:marLeft w:val="0"/>
      <w:marRight w:val="0"/>
      <w:marTop w:val="0"/>
      <w:marBottom w:val="0"/>
      <w:divBdr>
        <w:top w:val="none" w:sz="0" w:space="0" w:color="auto"/>
        <w:left w:val="none" w:sz="0" w:space="0" w:color="auto"/>
        <w:bottom w:val="none" w:sz="0" w:space="0" w:color="auto"/>
        <w:right w:val="none" w:sz="0" w:space="0" w:color="auto"/>
      </w:divBdr>
    </w:div>
    <w:div w:id="859395552">
      <w:bodyDiv w:val="1"/>
      <w:marLeft w:val="0"/>
      <w:marRight w:val="0"/>
      <w:marTop w:val="0"/>
      <w:marBottom w:val="0"/>
      <w:divBdr>
        <w:top w:val="none" w:sz="0" w:space="0" w:color="auto"/>
        <w:left w:val="none" w:sz="0" w:space="0" w:color="auto"/>
        <w:bottom w:val="none" w:sz="0" w:space="0" w:color="auto"/>
        <w:right w:val="none" w:sz="0" w:space="0" w:color="auto"/>
      </w:divBdr>
    </w:div>
    <w:div w:id="1952280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legislation.gov.uk/uksi/2005/1541/contents/mad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3</Pages>
  <Words>536</Words>
  <Characters>3057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mihaela caradan</cp:lastModifiedBy>
  <cp:revision>2</cp:revision>
  <dcterms:created xsi:type="dcterms:W3CDTF">2023-02-11T18:40:00Z</dcterms:created>
  <dcterms:modified xsi:type="dcterms:W3CDTF">2023-02-11T19:38:00Z</dcterms:modified>
</cp:coreProperties>
</file>