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0E33C905" w:rsidR="00DA436C" w:rsidRDefault="003F02EE">
      <w:pPr>
        <w:ind w:right="30"/>
        <w:jc w:val="center"/>
        <w:rPr>
          <w:b/>
          <w:sz w:val="32"/>
          <w:szCs w:val="32"/>
        </w:rPr>
      </w:pPr>
      <w:r>
        <w:rPr>
          <w:noProof/>
        </w:rPr>
        <w:drawing>
          <wp:inline distT="0" distB="0" distL="0" distR="0" wp14:anchorId="73B38FF7" wp14:editId="0D365D51">
            <wp:extent cx="2048510" cy="810895"/>
            <wp:effectExtent l="0" t="0" r="8890" b="8255"/>
            <wp:docPr id="1125522443"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522443" name="Picture 2" descr="A close-up of a sign&#10;&#10;Description automatically generated"/>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48510" cy="810895"/>
                    </a:xfrm>
                    <a:prstGeom prst="rect">
                      <a:avLst/>
                    </a:prstGeom>
                    <a:noFill/>
                  </pic:spPr>
                </pic:pic>
              </a:graphicData>
            </a:graphic>
          </wp:inline>
        </w:drawing>
      </w:r>
    </w:p>
    <w:p w14:paraId="00000002" w14:textId="77777777" w:rsidR="00DA436C" w:rsidRDefault="00DA436C">
      <w:pPr>
        <w:ind w:right="30"/>
        <w:jc w:val="center"/>
        <w:rPr>
          <w:b/>
          <w:sz w:val="32"/>
          <w:szCs w:val="32"/>
        </w:rPr>
      </w:pPr>
    </w:p>
    <w:p w14:paraId="611F9F9D" w14:textId="77777777" w:rsidR="00B00F92" w:rsidRDefault="00B00F92">
      <w:pPr>
        <w:ind w:right="30"/>
        <w:jc w:val="center"/>
        <w:rPr>
          <w:b/>
          <w:sz w:val="32"/>
          <w:szCs w:val="32"/>
        </w:rPr>
      </w:pPr>
    </w:p>
    <w:p w14:paraId="0878A475" w14:textId="77777777" w:rsidR="002C17C2" w:rsidRDefault="002C17C2">
      <w:pPr>
        <w:ind w:right="30"/>
        <w:jc w:val="center"/>
        <w:rPr>
          <w:b/>
          <w:sz w:val="32"/>
          <w:szCs w:val="32"/>
        </w:rPr>
      </w:pPr>
    </w:p>
    <w:p w14:paraId="0401F5C7" w14:textId="77777777" w:rsidR="002C17C2" w:rsidRDefault="002C17C2">
      <w:pPr>
        <w:ind w:right="30"/>
        <w:jc w:val="center"/>
        <w:rPr>
          <w:b/>
          <w:sz w:val="32"/>
          <w:szCs w:val="32"/>
        </w:rPr>
      </w:pPr>
    </w:p>
    <w:p w14:paraId="0303B8A9" w14:textId="5978EFF5" w:rsidR="002C17C2" w:rsidRDefault="002C17C2" w:rsidP="002C17C2">
      <w:pPr>
        <w:jc w:val="center"/>
        <w:rPr>
          <w:rFonts w:ascii="Arial" w:hAnsi="Arial"/>
          <w:b/>
          <w:sz w:val="48"/>
          <w:szCs w:val="48"/>
        </w:rPr>
      </w:pPr>
      <w:r w:rsidRPr="002C17C2">
        <w:rPr>
          <w:rFonts w:ascii="Arial" w:hAnsi="Arial"/>
          <w:b/>
          <w:sz w:val="48"/>
          <w:szCs w:val="48"/>
        </w:rPr>
        <w:t>University of Wales Trinity Saint David</w:t>
      </w:r>
    </w:p>
    <w:p w14:paraId="29132447" w14:textId="77777777" w:rsidR="002C17C2" w:rsidRDefault="002C17C2" w:rsidP="002C17C2">
      <w:pPr>
        <w:jc w:val="center"/>
        <w:rPr>
          <w:rFonts w:ascii="Arial" w:hAnsi="Arial"/>
          <w:b/>
          <w:sz w:val="48"/>
          <w:szCs w:val="48"/>
        </w:rPr>
      </w:pPr>
    </w:p>
    <w:p w14:paraId="1C34B383" w14:textId="77777777" w:rsidR="00B00F92" w:rsidRPr="002C17C2" w:rsidRDefault="00B00F92" w:rsidP="002C17C2">
      <w:pPr>
        <w:jc w:val="center"/>
        <w:rPr>
          <w:rFonts w:ascii="Arial" w:hAnsi="Arial"/>
          <w:b/>
          <w:sz w:val="48"/>
          <w:szCs w:val="48"/>
        </w:rPr>
      </w:pPr>
    </w:p>
    <w:p w14:paraId="4094DD76" w14:textId="311312BC" w:rsidR="002C17C2" w:rsidRPr="002C17C2" w:rsidRDefault="002C17C2" w:rsidP="002C17C2">
      <w:pPr>
        <w:ind w:right="30"/>
        <w:rPr>
          <w:b/>
          <w:sz w:val="36"/>
          <w:szCs w:val="36"/>
        </w:rPr>
      </w:pPr>
      <w:r>
        <w:rPr>
          <w:b/>
          <w:sz w:val="32"/>
          <w:szCs w:val="32"/>
        </w:rPr>
        <w:t xml:space="preserve">             </w:t>
      </w:r>
      <w:r w:rsidR="00313F7B" w:rsidRPr="002C17C2">
        <w:rPr>
          <w:b/>
          <w:sz w:val="36"/>
          <w:szCs w:val="36"/>
        </w:rPr>
        <w:t>MODULE NAME: INTERNATIONAL BUSINESS</w:t>
      </w:r>
    </w:p>
    <w:p w14:paraId="00000005" w14:textId="33C4D665" w:rsidR="00DA436C" w:rsidRPr="002C17C2" w:rsidRDefault="002C17C2" w:rsidP="002C17C2">
      <w:pPr>
        <w:ind w:right="30"/>
        <w:rPr>
          <w:b/>
          <w:sz w:val="36"/>
          <w:szCs w:val="36"/>
        </w:rPr>
      </w:pPr>
      <w:r w:rsidRPr="002C17C2">
        <w:rPr>
          <w:b/>
          <w:sz w:val="36"/>
          <w:szCs w:val="36"/>
        </w:rPr>
        <w:t xml:space="preserve">                                  </w:t>
      </w:r>
      <w:r w:rsidR="00313F7B" w:rsidRPr="002C17C2">
        <w:rPr>
          <w:b/>
          <w:sz w:val="36"/>
          <w:szCs w:val="36"/>
        </w:rPr>
        <w:t>COMMUNICATIONS</w:t>
      </w:r>
      <w:r w:rsidRPr="002C17C2">
        <w:rPr>
          <w:b/>
          <w:sz w:val="36"/>
          <w:szCs w:val="36"/>
        </w:rPr>
        <w:t xml:space="preserve">   </w:t>
      </w:r>
    </w:p>
    <w:p w14:paraId="00000007" w14:textId="5E6388CA" w:rsidR="00DA436C" w:rsidRPr="002C17C2" w:rsidRDefault="002C17C2" w:rsidP="002C17C2">
      <w:pPr>
        <w:ind w:right="30"/>
        <w:rPr>
          <w:b/>
          <w:sz w:val="36"/>
          <w:szCs w:val="36"/>
        </w:rPr>
      </w:pPr>
      <w:r w:rsidRPr="002C17C2">
        <w:rPr>
          <w:b/>
          <w:sz w:val="36"/>
          <w:szCs w:val="36"/>
        </w:rPr>
        <w:t xml:space="preserve">                             </w:t>
      </w:r>
      <w:r w:rsidR="00313F7B" w:rsidRPr="002C17C2">
        <w:rPr>
          <w:b/>
          <w:sz w:val="36"/>
          <w:szCs w:val="36"/>
        </w:rPr>
        <w:t>MODULE CODE: LCBB</w:t>
      </w:r>
      <w:r>
        <w:rPr>
          <w:b/>
          <w:sz w:val="36"/>
          <w:szCs w:val="36"/>
        </w:rPr>
        <w:t xml:space="preserve"> </w:t>
      </w:r>
      <w:r w:rsidR="00313F7B" w:rsidRPr="002C17C2">
        <w:rPr>
          <w:b/>
          <w:sz w:val="36"/>
          <w:szCs w:val="36"/>
        </w:rPr>
        <w:t>6001</w:t>
      </w:r>
    </w:p>
    <w:p w14:paraId="7C4368C9" w14:textId="77777777" w:rsidR="002C17C2" w:rsidRPr="002C17C2" w:rsidRDefault="002C17C2" w:rsidP="002C17C2">
      <w:pPr>
        <w:ind w:right="30"/>
        <w:jc w:val="center"/>
        <w:rPr>
          <w:b/>
          <w:sz w:val="36"/>
          <w:szCs w:val="36"/>
        </w:rPr>
      </w:pPr>
      <w:r w:rsidRPr="002C17C2">
        <w:rPr>
          <w:b/>
          <w:sz w:val="36"/>
          <w:szCs w:val="36"/>
        </w:rPr>
        <w:t>ASSIGNMENT TITLE: INDIVIDUAL ESSAY</w:t>
      </w:r>
    </w:p>
    <w:p w14:paraId="00000009" w14:textId="734369EC" w:rsidR="00DA436C" w:rsidRPr="002C17C2" w:rsidRDefault="00313F7B" w:rsidP="002C17C2">
      <w:pPr>
        <w:ind w:right="30"/>
        <w:jc w:val="center"/>
        <w:rPr>
          <w:b/>
          <w:sz w:val="36"/>
          <w:szCs w:val="36"/>
        </w:rPr>
      </w:pPr>
      <w:r w:rsidRPr="002C17C2">
        <w:rPr>
          <w:b/>
          <w:sz w:val="36"/>
          <w:szCs w:val="36"/>
        </w:rPr>
        <w:t>MODULE LEADER: AFZAL MUNNA</w:t>
      </w:r>
    </w:p>
    <w:p w14:paraId="0000000D" w14:textId="14630236" w:rsidR="00DA436C" w:rsidRPr="002C17C2" w:rsidRDefault="00313F7B">
      <w:pPr>
        <w:ind w:right="30"/>
        <w:jc w:val="center"/>
        <w:rPr>
          <w:b/>
          <w:sz w:val="36"/>
          <w:szCs w:val="36"/>
          <w:lang w:val="nl-NL"/>
        </w:rPr>
      </w:pPr>
      <w:r w:rsidRPr="002C17C2">
        <w:rPr>
          <w:b/>
          <w:sz w:val="36"/>
          <w:szCs w:val="36"/>
          <w:lang w:val="nl-NL"/>
        </w:rPr>
        <w:t xml:space="preserve">STUDENT NAME: </w:t>
      </w:r>
      <w:r w:rsidR="002C17C2" w:rsidRPr="002C17C2">
        <w:rPr>
          <w:b/>
          <w:sz w:val="36"/>
          <w:szCs w:val="36"/>
          <w:lang w:val="nl-NL"/>
        </w:rPr>
        <w:t>ANGELA MURESAN</w:t>
      </w:r>
    </w:p>
    <w:p w14:paraId="0000000E" w14:textId="5486FDCE" w:rsidR="00DA436C" w:rsidRPr="002C17C2" w:rsidRDefault="00313F7B">
      <w:pPr>
        <w:ind w:right="30"/>
        <w:jc w:val="center"/>
        <w:rPr>
          <w:b/>
          <w:sz w:val="36"/>
          <w:szCs w:val="36"/>
          <w:lang w:val="nl-NL"/>
        </w:rPr>
      </w:pPr>
      <w:r w:rsidRPr="002C17C2">
        <w:rPr>
          <w:b/>
          <w:sz w:val="36"/>
          <w:szCs w:val="36"/>
          <w:lang w:val="nl-NL"/>
        </w:rPr>
        <w:t xml:space="preserve">STUDENT ID: </w:t>
      </w:r>
      <w:r w:rsidR="002C17C2" w:rsidRPr="002C17C2">
        <w:rPr>
          <w:b/>
          <w:sz w:val="36"/>
          <w:szCs w:val="36"/>
          <w:lang w:val="nl-NL"/>
        </w:rPr>
        <w:t>2131060</w:t>
      </w:r>
    </w:p>
    <w:p w14:paraId="31EEB2D6" w14:textId="241CD4D2" w:rsidR="002C17C2" w:rsidRPr="00B00F92" w:rsidRDefault="002C17C2">
      <w:pPr>
        <w:ind w:right="30"/>
        <w:jc w:val="center"/>
        <w:rPr>
          <w:b/>
          <w:sz w:val="36"/>
          <w:szCs w:val="36"/>
        </w:rPr>
      </w:pPr>
      <w:r w:rsidRPr="00B00F92">
        <w:rPr>
          <w:b/>
          <w:sz w:val="36"/>
          <w:szCs w:val="36"/>
        </w:rPr>
        <w:t>DATA:24.11.2024</w:t>
      </w:r>
    </w:p>
    <w:p w14:paraId="0000000F" w14:textId="3FB9CB8E" w:rsidR="00DA436C" w:rsidRPr="00B00F92" w:rsidRDefault="00313F7B">
      <w:pPr>
        <w:ind w:right="30"/>
        <w:rPr>
          <w:b/>
          <w:shd w:val="clear" w:color="auto" w:fill="A4C2F4"/>
        </w:rPr>
      </w:pPr>
      <w:r w:rsidRPr="00B00F92">
        <w:br w:type="page"/>
      </w:r>
    </w:p>
    <w:p w14:paraId="00000010" w14:textId="77777777" w:rsidR="00DA436C" w:rsidRDefault="00313F7B">
      <w:pPr>
        <w:ind w:right="30"/>
        <w:rPr>
          <w:b/>
        </w:rPr>
      </w:pPr>
      <w:r>
        <w:rPr>
          <w:b/>
        </w:rPr>
        <w:lastRenderedPageBreak/>
        <w:t xml:space="preserve">Introduction </w:t>
      </w:r>
    </w:p>
    <w:p w14:paraId="00000011" w14:textId="1940A361" w:rsidR="00DA436C" w:rsidRDefault="00313F7B">
      <w:pPr>
        <w:keepNext/>
        <w:keepLines/>
        <w:ind w:right="30"/>
      </w:pPr>
      <w:r>
        <w:t xml:space="preserve">International business communication is also known as the process of communication with colleagues and clients from several cultures. This involves different types of communication like spoken, written and electronic to take the palace over multinational borders. It is important for building trust, engaging with clients, collaborating across </w:t>
      </w:r>
      <w:r w:rsidR="000A3BF9">
        <w:t>teams,</w:t>
      </w:r>
      <w:r>
        <w:t xml:space="preserve"> and gaining global recognition. </w:t>
      </w:r>
    </w:p>
    <w:p w14:paraId="00000012" w14:textId="67B9268D" w:rsidR="00DA436C" w:rsidRDefault="00313F7B">
      <w:pPr>
        <w:keepNext/>
        <w:keepLines/>
        <w:ind w:right="30"/>
      </w:pPr>
      <w:r>
        <w:t xml:space="preserve">As a Country Director of </w:t>
      </w:r>
      <w:r w:rsidR="000A3BF9">
        <w:t>Tesco’s,</w:t>
      </w:r>
      <w:r>
        <w:t xml:space="preserve"> the company will expand their operations into Japan for developing and marketing new products with ensuring smooth communication and a successful implementation of the project (</w:t>
      </w:r>
      <w:proofErr w:type="spellStart"/>
      <w:r>
        <w:t>Szkudlarek</w:t>
      </w:r>
      <w:proofErr w:type="spellEnd"/>
      <w:r>
        <w:t xml:space="preserve"> </w:t>
      </w:r>
      <w:r>
        <w:rPr>
          <w:i/>
        </w:rPr>
        <w:t>et al</w:t>
      </w:r>
      <w:r>
        <w:t>., 2020).</w:t>
      </w:r>
    </w:p>
    <w:p w14:paraId="00000013" w14:textId="77777777" w:rsidR="00DA436C" w:rsidRDefault="00313F7B">
      <w:pPr>
        <w:keepNext/>
        <w:keepLines/>
        <w:ind w:right="30"/>
        <w:rPr>
          <w:b/>
        </w:rPr>
      </w:pPr>
      <w:r>
        <w:t xml:space="preserve">This study will evaluate the distinctness between the UK and Japanese team’s communication styles to mitigate the misunderstanding and miscommunication. Additionally, this study will apply the “high-context and low-context” communication theory, and “Hofstede’s cultural dimensions” for the evaluation. </w:t>
      </w:r>
    </w:p>
    <w:p w14:paraId="00000014" w14:textId="77777777" w:rsidR="00DA436C" w:rsidRDefault="00313F7B">
      <w:pPr>
        <w:ind w:right="30"/>
        <w:rPr>
          <w:b/>
        </w:rPr>
      </w:pPr>
      <w:r>
        <w:rPr>
          <w:b/>
        </w:rPr>
        <w:t>Discussion</w:t>
      </w:r>
    </w:p>
    <w:p w14:paraId="00000015" w14:textId="77777777" w:rsidR="00DA436C" w:rsidRDefault="00313F7B">
      <w:pPr>
        <w:ind w:right="30"/>
        <w:rPr>
          <w:b/>
          <w:i/>
        </w:rPr>
      </w:pPr>
      <w:r>
        <w:rPr>
          <w:b/>
          <w:i/>
        </w:rPr>
        <w:t>Overview of company- Tesco</w:t>
      </w:r>
    </w:p>
    <w:p w14:paraId="00000016" w14:textId="014F0BDD" w:rsidR="00DA436C" w:rsidRDefault="00313F7B">
      <w:pPr>
        <w:ind w:right="30"/>
      </w:pPr>
      <w:r>
        <w:t xml:space="preserve">Tesco is the largest retail company of the UK which is seen to follow the hierarchical structure. The market structure of this organisation is oligopolistic, Ken Murphy </w:t>
      </w:r>
      <w:r w:rsidR="000A3BF9">
        <w:t>is</w:t>
      </w:r>
      <w:r>
        <w:t xml:space="preserve"> the current CEO of Tesco. The company has headquarters in London, UK. This company was established in 1919 by Jack Cohen. As per the year 2024 total number of the workers of Tesco is 330,000 (tescoplc.com,2024). Currently, Tesco is conducting businesses in a total 4673 countries. The objectives of Teso are: to provide consumer satisfaction, to improve the overall </w:t>
      </w:r>
      <w:proofErr w:type="spellStart"/>
      <w:r>
        <w:t>performance,abce</w:t>
      </w:r>
      <w:proofErr w:type="spellEnd"/>
      <w:r>
        <w:t xml:space="preserve"> f company, enhance productivity  and profitability as a whole. </w:t>
      </w:r>
    </w:p>
    <w:p w14:paraId="00000017" w14:textId="77777777" w:rsidR="00DA436C" w:rsidRDefault="00313F7B">
      <w:pPr>
        <w:ind w:right="30"/>
      </w:pPr>
      <w:r>
        <w:rPr>
          <w:b/>
          <w:i/>
        </w:rPr>
        <w:t xml:space="preserve">Analysing cultural differences between UK and Japan using “Hofstede’s Cultural Dimensions” </w:t>
      </w:r>
    </w:p>
    <w:p w14:paraId="00000018" w14:textId="5CB37527" w:rsidR="00DA436C" w:rsidRDefault="00313F7B">
      <w:pPr>
        <w:ind w:right="30"/>
      </w:pPr>
      <w:r>
        <w:t xml:space="preserve">“Hofstede’s Cultural Dimensions theory” is the framework for determining distinctness of different national cultures, the measurements of the culture and the impact on protocols to facilitate easy communication in the areas of fluctuating from businesses to statesmanship. This theory is divided into “power distance index, uncertainty avoidance index, collectivism vs. individualism, femininity vs. masculinity, restraint vs. indulgence, and short-term vs. long-term orientation”. </w:t>
      </w:r>
      <w:r w:rsidR="000A3BF9">
        <w:t>In the</w:t>
      </w:r>
      <w:r>
        <w:t xml:space="preserve"> time of negotiation between Japan and the UK, Hofstede used six types of dimensions. Ensuring respectful and clear communication is important to overpass those gaps and reach a successful agreement. With the help of the country comparison tool and Hofstede’s Cultural Dimensions theory it has analysed that, UK and Japan have different cultural differences between them (Jan, </w:t>
      </w:r>
      <w:proofErr w:type="spellStart"/>
      <w:r>
        <w:t>Alshare</w:t>
      </w:r>
      <w:proofErr w:type="spellEnd"/>
      <w:r>
        <w:t xml:space="preserve">, and Lane, 2024). </w:t>
      </w:r>
    </w:p>
    <w:p w14:paraId="00000019" w14:textId="20EDC0A7" w:rsidR="00DA436C" w:rsidRDefault="00313F7B">
      <w:pPr>
        <w:ind w:right="30"/>
      </w:pPr>
      <w:r>
        <w:rPr>
          <w:b/>
        </w:rPr>
        <w:lastRenderedPageBreak/>
        <w:t xml:space="preserve">Power Distance- </w:t>
      </w:r>
      <w:r>
        <w:t xml:space="preserve">This is the cultural dimension to measure the process of how employees are accepting the relationships between lowest and highest ranked organisations members. It is for knowing about the power distance through PDI, high and low power distance, and cultural awareness. The UK has a low power distance and Japan has a </w:t>
      </w:r>
      <w:r w:rsidR="000A3BF9">
        <w:t>high-power</w:t>
      </w:r>
      <w:r>
        <w:t xml:space="preserve"> distance between them. Japan has a </w:t>
      </w:r>
      <w:r w:rsidR="000A3BF9">
        <w:t>high-power</w:t>
      </w:r>
      <w:r>
        <w:t xml:space="preserve"> distance with differences to superiors, less direct </w:t>
      </w:r>
      <w:r w:rsidR="000A3BF9">
        <w:t>confrontation,</w:t>
      </w:r>
      <w:r>
        <w:t xml:space="preserve"> and respect for hierarchy. Similarly, the UK has a low power distance with open communication, comfortable challenging </w:t>
      </w:r>
      <w:r w:rsidR="000A3BF9">
        <w:t>authority,</w:t>
      </w:r>
      <w:r>
        <w:t xml:space="preserve"> and more egalitarianism. The report of theculturefactor.com (2024) has helped to find the power distance of Japan is 54 and UK is 35 (Alqarni, 2022).</w:t>
      </w:r>
    </w:p>
    <w:p w14:paraId="0000001A" w14:textId="77777777" w:rsidR="00DA436C" w:rsidRDefault="00313F7B">
      <w:pPr>
        <w:ind w:right="30"/>
      </w:pPr>
      <w:r>
        <w:rPr>
          <w:b/>
        </w:rPr>
        <w:t xml:space="preserve">Uncertainty Avoidance Index- </w:t>
      </w:r>
      <w:r>
        <w:t>This is also known as UAI to measure the society or culture deals with ambiguity and uncertainty, it can be used for understanding the process of doing comfortable into the culture by human beings with unstructured situations and the process of explain the future. Japan has high uncertainty avoidance with preferences for clear rules, aversion to ambiguity, and the UK has moderate uncertainty avoidance with more comfortable ambiguity, and flexible approach to the agreements. The report of theculturefactor.com (2024) has helped to find the UAI of Japan is 92 and UK is 35.</w:t>
      </w:r>
    </w:p>
    <w:p w14:paraId="0000001B" w14:textId="488258D1" w:rsidR="00DA436C" w:rsidRDefault="00313F7B">
      <w:pPr>
        <w:ind w:right="30"/>
      </w:pPr>
      <w:r>
        <w:rPr>
          <w:b/>
        </w:rPr>
        <w:t xml:space="preserve">Collectivism vs. Individualism- </w:t>
      </w:r>
      <w:r>
        <w:t>It is for valuing human beings and their relationships. They can be seen in the workspace in the terms of decisions making and being rewarded. Collectivism is for valuing the group over the single person and prioritising cooperation and harmony within the collectivist workspace, working together as a team for achieving the shared goal, and ensuring to share the reward with the entire team. Similarly, individualism for valuing the single person above the team, and prioritising personal independence and goals. As an individual workspace, employees are expected to make independent decisions, and rewarded to the single person who has the better performance. The report of theculturefactor.com (2024) has helped to find the Collectivism vs. Individualism in Japan is 62 and the UK is 76. Japan has high collectivism and the UK has high individualism (</w:t>
      </w:r>
      <w:proofErr w:type="spellStart"/>
      <w:r>
        <w:t>Dabiriyan</w:t>
      </w:r>
      <w:proofErr w:type="spellEnd"/>
      <w:r>
        <w:t xml:space="preserve"> Tehrani and </w:t>
      </w:r>
      <w:r w:rsidR="000A3BF9">
        <w:t>Yamini,</w:t>
      </w:r>
      <w:r>
        <w:t xml:space="preserve"> 2022).</w:t>
      </w:r>
    </w:p>
    <w:p w14:paraId="0000001C" w14:textId="2E83B87E" w:rsidR="00DA436C" w:rsidRDefault="00313F7B">
      <w:pPr>
        <w:ind w:right="30"/>
      </w:pPr>
      <w:r>
        <w:rPr>
          <w:b/>
        </w:rPr>
        <w:t xml:space="preserve">Femininity vs. Masculinity- </w:t>
      </w:r>
      <w:r>
        <w:t xml:space="preserve">It can be referred to the traits that are associated with women and men. Masculinity is explained as the man is expected to be confident, </w:t>
      </w:r>
      <w:r w:rsidR="000A3BF9">
        <w:t>focused, and</w:t>
      </w:r>
      <w:r>
        <w:t xml:space="preserve"> competitive on information success. These traits can also include being independent, risk taking and self-oriented. Similarly, femininity as the gender are roles being more fluid with both genders, and they are expected to be tender, </w:t>
      </w:r>
      <w:r w:rsidR="000A3BF9">
        <w:t>concerned,</w:t>
      </w:r>
      <w:r>
        <w:t xml:space="preserve"> and </w:t>
      </w:r>
      <w:r w:rsidR="000A3BF9">
        <w:t>modest about</w:t>
      </w:r>
      <w:r>
        <w:t xml:space="preserve"> the life quality within the workplace, these traits can include caring for team members, being receptive and listening to intuition. Japan has a high masculinity with emphasis on competition, achievement and </w:t>
      </w:r>
      <w:r>
        <w:lastRenderedPageBreak/>
        <w:t xml:space="preserve">assertive communication, and the UK has moderate masculinity with balanced life quality and achievement, and collaboration approach (Hsu </w:t>
      </w:r>
      <w:r>
        <w:rPr>
          <w:i/>
        </w:rPr>
        <w:t>et al</w:t>
      </w:r>
      <w:r>
        <w:t xml:space="preserve">.,2021). </w:t>
      </w:r>
    </w:p>
    <w:p w14:paraId="0000001D" w14:textId="78633B23" w:rsidR="00DA436C" w:rsidRDefault="00313F7B">
      <w:pPr>
        <w:ind w:right="30"/>
      </w:pPr>
      <w:r>
        <w:rPr>
          <w:b/>
        </w:rPr>
        <w:t xml:space="preserve">Short-term vs. Long-term orientation- </w:t>
      </w:r>
      <w:r>
        <w:t xml:space="preserve">The report of theculturefactor.com (2024) has helped to find the orientation of Japan is 100 and UK is 60. Japan is focused on the </w:t>
      </w:r>
      <w:r w:rsidR="000A3BF9">
        <w:t>long-term</w:t>
      </w:r>
      <w:r>
        <w:t xml:space="preserve"> goals, perseverance and saving for the future with high long-term orientation. Similarly, the UK has balanced between long term goals and immediate with moderate </w:t>
      </w:r>
      <w:r w:rsidR="000A3BF9">
        <w:t>long-term</w:t>
      </w:r>
      <w:r>
        <w:t xml:space="preserve"> orientation (Saether </w:t>
      </w:r>
      <w:r>
        <w:rPr>
          <w:i/>
        </w:rPr>
        <w:t>et al</w:t>
      </w:r>
      <w:r>
        <w:t xml:space="preserve">., 2021). </w:t>
      </w:r>
    </w:p>
    <w:p w14:paraId="0000001E" w14:textId="77777777" w:rsidR="00DA436C" w:rsidRDefault="00313F7B">
      <w:pPr>
        <w:ind w:right="30"/>
        <w:rPr>
          <w:b/>
          <w:i/>
        </w:rPr>
      </w:pPr>
      <w:r>
        <w:rPr>
          <w:b/>
        </w:rPr>
        <w:t>Restraint vs. Indulgence-</w:t>
      </w:r>
      <w:r>
        <w:t xml:space="preserve"> The report of theculturefactor.com (2024) has helped to find the indulgence of Japan is 42 and UK is 69. Japan has moderate resistance with emphasis on social norms and self-control, and the UK has moderate indulgence with more openness for personal gratification (Smart, and Pontes, 2023). </w:t>
      </w:r>
    </w:p>
    <w:p w14:paraId="0000001F" w14:textId="77777777" w:rsidR="00DA436C" w:rsidRDefault="00313F7B">
      <w:pPr>
        <w:ind w:right="30"/>
        <w:rPr>
          <w:b/>
          <w:i/>
        </w:rPr>
      </w:pPr>
      <w:r>
        <w:rPr>
          <w:b/>
          <w:i/>
        </w:rPr>
        <w:t>Assessing Differences in Communication Styles in UK and Japan</w:t>
      </w:r>
    </w:p>
    <w:p w14:paraId="00000020" w14:textId="2616383B" w:rsidR="00DA436C" w:rsidRDefault="00313F7B">
      <w:pPr>
        <w:ind w:right="30"/>
      </w:pPr>
      <w:r>
        <w:t xml:space="preserve">In </w:t>
      </w:r>
      <w:r w:rsidR="000A3BF9">
        <w:t>Japan the</w:t>
      </w:r>
      <w:r>
        <w:t xml:space="preserve"> people are found to make eye contact to </w:t>
      </w:r>
      <w:r w:rsidR="000A3BF9">
        <w:t>communion and</w:t>
      </w:r>
      <w:r>
        <w:t xml:space="preserve"> this is a style of communication used by the Japanese. On the other </w:t>
      </w:r>
      <w:r w:rsidR="000A3BF9">
        <w:t>hand,</w:t>
      </w:r>
      <w:r>
        <w:t xml:space="preserve"> UK residents are found to communicate in a direct manner without any eye contact (</w:t>
      </w:r>
      <w:proofErr w:type="spellStart"/>
      <w:r>
        <w:rPr>
          <w:color w:val="222222"/>
          <w:highlight w:val="white"/>
        </w:rPr>
        <w:t>Roshid</w:t>
      </w:r>
      <w:proofErr w:type="spellEnd"/>
      <w:r>
        <w:rPr>
          <w:color w:val="222222"/>
          <w:highlight w:val="white"/>
        </w:rPr>
        <w:t xml:space="preserve"> and </w:t>
      </w:r>
      <w:proofErr w:type="spellStart"/>
      <w:r>
        <w:rPr>
          <w:color w:val="222222"/>
          <w:highlight w:val="white"/>
        </w:rPr>
        <w:t>Kankaanranta</w:t>
      </w:r>
      <w:proofErr w:type="spellEnd"/>
      <w:r>
        <w:rPr>
          <w:color w:val="222222"/>
          <w:highlight w:val="white"/>
        </w:rPr>
        <w:t xml:space="preserve"> 2023)</w:t>
      </w:r>
      <w:r>
        <w:t xml:space="preserve">. The language of communication in Japan is Japanese. On the other hand, the </w:t>
      </w:r>
      <w:r w:rsidR="000A3BF9">
        <w:t>language of</w:t>
      </w:r>
      <w:r>
        <w:t xml:space="preserve"> communication in the UK is English. The British people are seen to focus on the transfer of information, accuracy as the virtue of the language. On the contrary, the role of the language of Japan is ambiguous. The style of community of Japan is explicit and communicating through this style of communication is slightly problematic for the inhabitants and the </w:t>
      </w:r>
      <w:r w:rsidR="000A3BF9">
        <w:t>businessmen of</w:t>
      </w:r>
      <w:r>
        <w:t xml:space="preserve"> Japan. The constant communication of the UK is implicit which is so easy for communication and excessively this style is used by the businessmen and the dwellers of Japan. The style of speech adhered to by the people in Japan depends on subtleness which is highly important. Comparatively, the specific style of the speech of the UK is relying on the subtleness which is of less importance. As acknowledged by </w:t>
      </w:r>
      <w:r>
        <w:rPr>
          <w:color w:val="222222"/>
          <w:highlight w:val="white"/>
        </w:rPr>
        <w:t xml:space="preserve">Wang </w:t>
      </w:r>
      <w:r>
        <w:rPr>
          <w:i/>
          <w:color w:val="222222"/>
          <w:highlight w:val="white"/>
        </w:rPr>
        <w:t>et al</w:t>
      </w:r>
      <w:r>
        <w:rPr>
          <w:color w:val="222222"/>
          <w:highlight w:val="white"/>
        </w:rPr>
        <w:t xml:space="preserve">. (2020), </w:t>
      </w:r>
      <w:r>
        <w:t xml:space="preserve">the context of the </w:t>
      </w:r>
      <w:r w:rsidR="000A3BF9">
        <w:t>message followed</w:t>
      </w:r>
      <w:r>
        <w:t xml:space="preserve"> by Japan is excessively meaningful. On the contrary, the contract of the message in the UK is not as meaningful as that of Japan. The people of Japan are using their style of communication argumentatively to resolve conflict which is hazardous. In comparison the UK is using logical representation and language to resolve conflict which is up to the mark. The nonverbal gesture in Japan is highly significant. On the other hand, </w:t>
      </w:r>
      <w:r w:rsidR="000A3BF9">
        <w:t>the gesture</w:t>
      </w:r>
      <w:r>
        <w:t xml:space="preserve"> of the people of the UK which is non-verbal is not as crucial as in Japan. This comparison has provided testimony that the style of communication connected to the culture is completely different from each other. </w:t>
      </w:r>
    </w:p>
    <w:p w14:paraId="07EC971F" w14:textId="77777777" w:rsidR="003F02EE" w:rsidRDefault="003F02EE">
      <w:pPr>
        <w:ind w:right="30"/>
      </w:pPr>
    </w:p>
    <w:p w14:paraId="00000021" w14:textId="77777777" w:rsidR="00DA436C" w:rsidRDefault="00313F7B">
      <w:pPr>
        <w:ind w:right="30"/>
        <w:rPr>
          <w:b/>
          <w:i/>
        </w:rPr>
      </w:pPr>
      <w:r>
        <w:rPr>
          <w:b/>
          <w:i/>
        </w:rPr>
        <w:lastRenderedPageBreak/>
        <w:t>Implication of Cultural Differences in Communication</w:t>
      </w:r>
    </w:p>
    <w:p w14:paraId="00000022" w14:textId="6D43B7E3" w:rsidR="00DA436C" w:rsidRDefault="00313F7B">
      <w:pPr>
        <w:ind w:right="30"/>
      </w:pPr>
      <w:r>
        <w:t xml:space="preserve">Cultural differences in communication can lead to different problems. For example, it can create misunderstandings by the people from several cultures and they may have different communications styles, gestures, </w:t>
      </w:r>
      <w:r w:rsidR="000A3BF9">
        <w:t>language,</w:t>
      </w:r>
      <w:r>
        <w:t xml:space="preserve"> and phrases. It can lead to tension, </w:t>
      </w:r>
      <w:r w:rsidR="000A3BF9">
        <w:t>conflict,</w:t>
      </w:r>
      <w:r>
        <w:t xml:space="preserve"> and misunderstandings. Similarly, it can create different expectations for etiquette, different attitudes towards conflict, different perceptions of topics, different communication styles in meetings, and different power dynamics and hierarchy. Moreover, the cultural differences in communication between the UK and Japan are, silence, communication style, eye contact, gift giving and humble forms. In the UK, </w:t>
      </w:r>
      <w:r>
        <w:rPr>
          <w:b/>
        </w:rPr>
        <w:t>silence</w:t>
      </w:r>
      <w:r>
        <w:t xml:space="preserve"> can be seen as a people’s lack of confidence, and in Japan silence is valued over unnecessary talking. It can represent emotional </w:t>
      </w:r>
      <w:r w:rsidR="000A3BF9">
        <w:t>self-control</w:t>
      </w:r>
      <w:r>
        <w:t xml:space="preserve"> and wisdom. Further, Japanese </w:t>
      </w:r>
      <w:r>
        <w:rPr>
          <w:b/>
        </w:rPr>
        <w:t>communication</w:t>
      </w:r>
      <w:r>
        <w:t xml:space="preserve"> style is indirect with </w:t>
      </w:r>
      <w:r w:rsidR="000A3BF9">
        <w:t>individuals by</w:t>
      </w:r>
      <w:r>
        <w:t xml:space="preserve"> using of nonverbal communication and subtle cues for getting the message over. In the UK, communication is more direct with human beings who love to speak directly in their minds. Furthermore, in Japan people frequently break </w:t>
      </w:r>
      <w:r>
        <w:rPr>
          <w:b/>
        </w:rPr>
        <w:t>eye contact</w:t>
      </w:r>
      <w:r>
        <w:t xml:space="preserve"> with no reaction in the time of others, and in the </w:t>
      </w:r>
      <w:r w:rsidR="000A3BF9">
        <w:t>UK,</w:t>
      </w:r>
      <w:r>
        <w:t xml:space="preserve"> individuals are frequently smiling for showing politeness and being nice (Higgins, 2022).</w:t>
      </w:r>
    </w:p>
    <w:p w14:paraId="00000023" w14:textId="77777777" w:rsidR="00DA436C" w:rsidRDefault="00313F7B">
      <w:pPr>
        <w:ind w:right="30"/>
        <w:rPr>
          <w:b/>
        </w:rPr>
      </w:pPr>
      <w:r>
        <w:rPr>
          <w:b/>
        </w:rPr>
        <w:t>Low and high context culture</w:t>
      </w:r>
    </w:p>
    <w:p w14:paraId="00000024" w14:textId="78B18F36" w:rsidR="00DA436C" w:rsidRPr="00313F7B" w:rsidRDefault="00313F7B" w:rsidP="00313F7B">
      <w:pPr>
        <w:rPr>
          <w:lang w:val="en-US"/>
        </w:rPr>
      </w:pPr>
      <w:r>
        <w:rPr>
          <w:b/>
        </w:rPr>
        <w:t>High context culture</w:t>
      </w:r>
      <w:r>
        <w:t xml:space="preserve"> has relied on implicit and context communication. They frequently use nonverbal and less direct verbal communication like facial expressions, body language and tone. The context of the people, nonverbal elements and situations are more important than the words. </w:t>
      </w:r>
      <w:r w:rsidRPr="00313F7B">
        <w:rPr>
          <w:lang w:val="en-US"/>
        </w:rPr>
        <w:t> To mitigate cultural difference, understanding high and low culture context is essential to unveil the tacit knowledge and nonverbal communication. Japan mainly focuses on context whereas people in the UK rely most on direct and content-oriented communication. Therefore exploring emotional intelligence, empathy and trust building can be helpful to negotiate between home and host country personnel. </w:t>
      </w:r>
    </w:p>
    <w:p w14:paraId="00000025" w14:textId="77777777" w:rsidR="00DA436C" w:rsidRDefault="00313F7B">
      <w:pPr>
        <w:ind w:right="30"/>
      </w:pPr>
      <w:r>
        <w:rPr>
          <w:b/>
        </w:rPr>
        <w:t xml:space="preserve">Low-context cultures </w:t>
      </w:r>
      <w:r>
        <w:t xml:space="preserve">have relied on the explicit verbal communication with more straightforward, and they preferred to direct rules and formulations. They are aimed at concise and efficient use of words. </w:t>
      </w:r>
    </w:p>
    <w:p w14:paraId="00000026" w14:textId="77777777" w:rsidR="00DA436C" w:rsidRDefault="00313F7B">
      <w:pPr>
        <w:ind w:right="30"/>
        <w:rPr>
          <w:b/>
        </w:rPr>
      </w:pPr>
      <w:r>
        <w:rPr>
          <w:b/>
        </w:rPr>
        <w:t>Significance of negotiation</w:t>
      </w:r>
    </w:p>
    <w:p w14:paraId="00000027" w14:textId="4251BADF" w:rsidR="00DA436C" w:rsidRDefault="00313F7B">
      <w:pPr>
        <w:ind w:right="30"/>
      </w:pPr>
      <w:r>
        <w:t xml:space="preserve">Negotiation is important for the reason to help the individual for resolving the conflicts, achieving mutually beneficial </w:t>
      </w:r>
      <w:r w:rsidR="000A3BF9">
        <w:t>outcomes,</w:t>
      </w:r>
      <w:r>
        <w:t xml:space="preserve"> and building relationships. It can also be used for business, personal relationships and in daily life.</w:t>
      </w:r>
    </w:p>
    <w:p w14:paraId="0F53BBE4" w14:textId="77777777" w:rsidR="003F02EE" w:rsidRDefault="003F02EE">
      <w:pPr>
        <w:ind w:right="30"/>
      </w:pPr>
    </w:p>
    <w:p w14:paraId="4D5ECC56" w14:textId="77777777" w:rsidR="003F02EE" w:rsidRDefault="003F02EE">
      <w:pPr>
        <w:ind w:right="30"/>
      </w:pPr>
    </w:p>
    <w:p w14:paraId="00000028" w14:textId="77777777" w:rsidR="00DA436C" w:rsidRDefault="00313F7B">
      <w:pPr>
        <w:ind w:right="30"/>
        <w:rPr>
          <w:b/>
          <w:i/>
        </w:rPr>
      </w:pPr>
      <w:r>
        <w:rPr>
          <w:b/>
          <w:i/>
        </w:rPr>
        <w:lastRenderedPageBreak/>
        <w:t xml:space="preserve">Cultural Challenges to be faced by British Business for expansion in Japan </w:t>
      </w:r>
    </w:p>
    <w:p w14:paraId="00000029" w14:textId="481F04FD" w:rsidR="00DA436C" w:rsidRDefault="00313F7B">
      <w:pPr>
        <w:ind w:right="30"/>
        <w:rPr>
          <w:b/>
          <w:i/>
          <w:highlight w:val="white"/>
        </w:rPr>
      </w:pPr>
      <w:r>
        <w:t>The UK's business can face different types of cultural challenges in the time of expansion into Japan. For example,</w:t>
      </w:r>
      <w:r>
        <w:rPr>
          <w:b/>
        </w:rPr>
        <w:t xml:space="preserve"> the language barrier </w:t>
      </w:r>
      <w:r>
        <w:t xml:space="preserve">and the reason behind it, most of the Japanese are not able to speak in English, and most of the businesses are conducted in the Japanese. All of those can make this difficult for communicating and building relationships. Similarly, Japanese </w:t>
      </w:r>
      <w:r>
        <w:rPr>
          <w:b/>
        </w:rPr>
        <w:t>business culture</w:t>
      </w:r>
      <w:r>
        <w:t xml:space="preserve"> depends on respect, </w:t>
      </w:r>
      <w:r w:rsidR="000A3BF9">
        <w:t>trust,</w:t>
      </w:r>
      <w:r>
        <w:t xml:space="preserve"> and tradition. This can be different from the UK’s culture and it can result in a slower approach for building relationships. Moreover, </w:t>
      </w:r>
      <w:r>
        <w:rPr>
          <w:b/>
        </w:rPr>
        <w:t xml:space="preserve">decision making </w:t>
      </w:r>
      <w:r>
        <w:t xml:space="preserve">processes of Japanese frequently favours a consensus-based approach. The approach of confrontation is not successful and it helps to push them hard on deadlines and it may be seen as disrespectful. Further, </w:t>
      </w:r>
      <w:r>
        <w:rPr>
          <w:b/>
        </w:rPr>
        <w:t xml:space="preserve">social etiquette </w:t>
      </w:r>
      <w:r>
        <w:t xml:space="preserve">for Japanese business culture is complex, and it is important to navigate social protocols and etiquette. Lastly, </w:t>
      </w:r>
      <w:r>
        <w:rPr>
          <w:b/>
        </w:rPr>
        <w:t xml:space="preserve">group harmony and hierarchy’s </w:t>
      </w:r>
      <w:r>
        <w:t xml:space="preserve">importance to understand the Japanese business culture (Aizawa </w:t>
      </w:r>
      <w:r>
        <w:rPr>
          <w:i/>
        </w:rPr>
        <w:t>et al</w:t>
      </w:r>
      <w:r>
        <w:t xml:space="preserve">., 2023). </w:t>
      </w:r>
    </w:p>
    <w:p w14:paraId="0000002A" w14:textId="77777777" w:rsidR="00DA436C" w:rsidRDefault="00313F7B">
      <w:pPr>
        <w:ind w:right="30"/>
        <w:rPr>
          <w:b/>
          <w:i/>
        </w:rPr>
      </w:pPr>
      <w:r>
        <w:rPr>
          <w:b/>
          <w:i/>
        </w:rPr>
        <w:t xml:space="preserve">Analysing strategies to mitigate the challenges of communication and making a good work </w:t>
      </w:r>
    </w:p>
    <w:p w14:paraId="0000002B" w14:textId="77777777" w:rsidR="00DA436C" w:rsidRDefault="00313F7B">
      <w:pPr>
        <w:ind w:right="30"/>
        <w:rPr>
          <w:b/>
          <w:i/>
        </w:rPr>
      </w:pPr>
      <w:r>
        <w:rPr>
          <w:b/>
          <w:i/>
        </w:rPr>
        <w:t>environment</w:t>
      </w:r>
    </w:p>
    <w:p w14:paraId="0000002C" w14:textId="77777777" w:rsidR="00DA436C" w:rsidRDefault="00313F7B">
      <w:pPr>
        <w:ind w:right="30"/>
      </w:pPr>
      <w:r>
        <w:t>Tesco has used several strategies to alleviate the all challenges of communication. An important strategy to mitigate the issues of communication is creating a strong relationship with others to improve the communication which is certainly significant. Another vital strategy to remove the gaps in communications is collaborating with all members which is important for helping others (</w:t>
      </w:r>
      <w:r>
        <w:rPr>
          <w:color w:val="222222"/>
          <w:highlight w:val="white"/>
        </w:rPr>
        <w:t xml:space="preserve">Nugroho </w:t>
      </w:r>
      <w:r>
        <w:rPr>
          <w:i/>
          <w:color w:val="222222"/>
          <w:highlight w:val="white"/>
        </w:rPr>
        <w:t>et al</w:t>
      </w:r>
      <w:r>
        <w:rPr>
          <w:color w:val="222222"/>
          <w:highlight w:val="white"/>
        </w:rPr>
        <w:t>., 2023)</w:t>
      </w:r>
      <w:r>
        <w:t xml:space="preserve">. Providing proper feedback gradually can be seen to be a strategy for obliterating the errors or gap in communicating with others applied by Tesco. In fact, Tesco has used active listening to understand the concept of language for mitigating the issues in communication which is important. Participating in group discussion can mitigate the problem in communicating with others. These all have been viewed to be the strategies to lessen the issues associated with communication followers by Tesco. </w:t>
      </w:r>
    </w:p>
    <w:p w14:paraId="0000002D" w14:textId="61FBF515" w:rsidR="00DA436C" w:rsidRDefault="000A3BF9">
      <w:pPr>
        <w:ind w:right="30"/>
      </w:pPr>
      <w:r>
        <w:t>Moreover,</w:t>
      </w:r>
      <w:r w:rsidR="00313F7B">
        <w:t xml:space="preserve"> </w:t>
      </w:r>
      <w:r>
        <w:t>Tesco has</w:t>
      </w:r>
      <w:r w:rsidR="00313F7B">
        <w:t xml:space="preserve"> created better working enables by following some strategies </w:t>
      </w:r>
      <w:r>
        <w:t>which have</w:t>
      </w:r>
      <w:r w:rsidR="00313F7B">
        <w:t xml:space="preserve"> been associated with the development of the organisation. As reported by </w:t>
      </w:r>
      <w:r w:rsidR="00313F7B">
        <w:rPr>
          <w:color w:val="222222"/>
          <w:highlight w:val="white"/>
        </w:rPr>
        <w:t xml:space="preserve">Ghauri, Strange and Cooke (2021), </w:t>
      </w:r>
      <w:r w:rsidR="00313F7B">
        <w:t xml:space="preserve">satisfying staff by showing emotional intelligence can create a better working ambience in which all the workers can work amicably together. Using technology to reduce pollution so that the workers can work in a hygienic place is a process or way to evoke a better working ambience. Providing the staff proper protection and safety can help to establish better working innocence which is effective for the overall wellbeing of Tesco. Even resolving conflict by providing equal feedback to al; the employees and equal work delegation are two strategies which have a relation to the eviction of a good and amiable working environment. </w:t>
      </w:r>
      <w:r w:rsidR="00313F7B">
        <w:lastRenderedPageBreak/>
        <w:t xml:space="preserve">These all have been seen to be sone verified and influential strategies to make a better working environment in the Tesco </w:t>
      </w:r>
    </w:p>
    <w:p w14:paraId="0000002E" w14:textId="77777777" w:rsidR="00DA436C" w:rsidRDefault="00313F7B">
      <w:pPr>
        <w:ind w:right="30"/>
        <w:rPr>
          <w:b/>
          <w:i/>
        </w:rPr>
      </w:pPr>
      <w:r>
        <w:rPr>
          <w:b/>
          <w:i/>
        </w:rPr>
        <w:t>Recommendation for expanding British business</w:t>
      </w:r>
    </w:p>
    <w:p w14:paraId="0000002F" w14:textId="03AD5E5D" w:rsidR="00DA436C" w:rsidRDefault="00313F7B">
      <w:pPr>
        <w:ind w:right="30"/>
      </w:pPr>
      <w:r>
        <w:t xml:space="preserve">Some </w:t>
      </w:r>
      <w:r w:rsidR="000A3BF9">
        <w:t>crucial recommendations</w:t>
      </w:r>
      <w:r>
        <w:t xml:space="preserve"> must be followed by the Te</w:t>
      </w:r>
      <w:r w:rsidR="000A3BF9">
        <w:t>sc</w:t>
      </w:r>
      <w:r>
        <w:t xml:space="preserve">o which are all crucial. Conducting the market research of another country in this case </w:t>
      </w:r>
      <w:r w:rsidR="000A3BF9">
        <w:t>Japan for</w:t>
      </w:r>
      <w:r>
        <w:t xml:space="preserve"> </w:t>
      </w:r>
      <w:r w:rsidR="000A3BF9">
        <w:t>knowing the</w:t>
      </w:r>
      <w:r>
        <w:t xml:space="preserve"> current retail market </w:t>
      </w:r>
      <w:r w:rsidR="000A3BF9">
        <w:t>trends and</w:t>
      </w:r>
      <w:r>
        <w:t xml:space="preserve"> competition is a crucial recommendation which should be adhered to by Tesco for expanding its business (</w:t>
      </w:r>
      <w:r>
        <w:rPr>
          <w:color w:val="222222"/>
          <w:highlight w:val="white"/>
        </w:rPr>
        <w:t xml:space="preserve">Mayfield, </w:t>
      </w:r>
      <w:r w:rsidR="000A3BF9">
        <w:rPr>
          <w:color w:val="222222"/>
          <w:highlight w:val="white"/>
        </w:rPr>
        <w:t>Mayfield,</w:t>
      </w:r>
      <w:r>
        <w:rPr>
          <w:color w:val="222222"/>
          <w:highlight w:val="white"/>
        </w:rPr>
        <w:t xml:space="preserve"> and Walker, 2020)</w:t>
      </w:r>
      <w:r>
        <w:t xml:space="preserve">. Using several market entry modes such as import &amp; export, licensing, partnership and acquiring company is a crucial recommendation which must be </w:t>
      </w:r>
      <w:r w:rsidR="000A3BF9">
        <w:t>followed by</w:t>
      </w:r>
      <w:r>
        <w:t xml:space="preserve"> the Tes</w:t>
      </w:r>
      <w:r w:rsidR="000A3BF9">
        <w:t>c</w:t>
      </w:r>
      <w:r>
        <w:t xml:space="preserve">o to </w:t>
      </w:r>
      <w:r w:rsidR="000A3BF9">
        <w:t>enter</w:t>
      </w:r>
      <w:r>
        <w:t xml:space="preserve"> the competitive market of Japan. Knowing the consumers and Japan and collecting feedback from the consumers of Japan should be recommended for Tesco for expanding business. Promoting products and service so that all the products can reach the global audience and specially the people of Japan can be seen to be crucial for developing the business and expanding the business of Tesco in Japan. This is </w:t>
      </w:r>
      <w:r w:rsidR="000A3BF9">
        <w:t>weird to</w:t>
      </w:r>
      <w:r>
        <w:t xml:space="preserve"> be a vital recommendation for the business </w:t>
      </w:r>
      <w:r w:rsidR="000A3BF9">
        <w:t>expansion.</w:t>
      </w:r>
      <w:r>
        <w:t xml:space="preserve"> As opined by </w:t>
      </w:r>
      <w:proofErr w:type="spellStart"/>
      <w:r>
        <w:rPr>
          <w:color w:val="222222"/>
          <w:highlight w:val="white"/>
        </w:rPr>
        <w:t>Czinkota</w:t>
      </w:r>
      <w:proofErr w:type="spellEnd"/>
      <w:r>
        <w:rPr>
          <w:color w:val="222222"/>
          <w:highlight w:val="white"/>
        </w:rPr>
        <w:t xml:space="preserve">, Khan and Knight (2021), </w:t>
      </w:r>
      <w:r>
        <w:t xml:space="preserve">creating brand awareness to increase the reach of the products is a recommended crucial for Tesco to expand its overall </w:t>
      </w:r>
      <w:r w:rsidR="000A3BF9">
        <w:t>business</w:t>
      </w:r>
      <w:r>
        <w:t>. These all recommendations have been seen to be vital recommendations which must be followed by T</w:t>
      </w:r>
      <w:r w:rsidR="000A3BF9">
        <w:t>es</w:t>
      </w:r>
      <w:r>
        <w:t xml:space="preserve">co for widening its business and all these recommendations have an interlink to each other. </w:t>
      </w:r>
    </w:p>
    <w:p w14:paraId="00000030" w14:textId="77777777" w:rsidR="00DA436C" w:rsidRDefault="00313F7B">
      <w:pPr>
        <w:ind w:right="30"/>
      </w:pPr>
      <w:r>
        <w:rPr>
          <w:b/>
        </w:rPr>
        <w:t>Conclusion</w:t>
      </w:r>
    </w:p>
    <w:p w14:paraId="00000031" w14:textId="68AF2136" w:rsidR="00DA436C" w:rsidRDefault="00313F7B">
      <w:pPr>
        <w:ind w:right="30"/>
      </w:pPr>
      <w:r>
        <w:t xml:space="preserve">Tesco has been seen to follow the hierarchical structure and the oligopolistic market structure which are both important for the overall development. The main difference between the communication between Japan and the UK is the language difference. The language has been </w:t>
      </w:r>
      <w:r w:rsidR="000A3BF9">
        <w:t>popular.</w:t>
      </w:r>
      <w:r>
        <w:t xml:space="preserve"> On the other hand, the UK has followers of the English language.  Strategies to develop the communication has included active listening, group discussion, providing feedback and others. Some recommendations which have been adhered to by Tesco are, the market research and promotion. This study has analysed the cultural differences between Japan and UK using Hofstede's cultural dimensions with “power distance, uncertainty avoidance index, collectivism vs. individualism, femininity vs. masculinity, short-term vs. long-term orientation, and restraint vs. indulgence”. Further, this study has been discussing the Implication of cultural differences in communication. Additionally, this study has discussed the high and low context culture, Significance of negotiation, and cultural challenges to be faced by British business for expansion in Japan.</w:t>
      </w:r>
      <w:r>
        <w:br w:type="page"/>
      </w:r>
    </w:p>
    <w:p w14:paraId="00000032" w14:textId="77777777" w:rsidR="00DA436C" w:rsidRDefault="00313F7B">
      <w:pPr>
        <w:ind w:right="30"/>
        <w:rPr>
          <w:b/>
        </w:rPr>
      </w:pPr>
      <w:r>
        <w:rPr>
          <w:b/>
        </w:rPr>
        <w:lastRenderedPageBreak/>
        <w:t xml:space="preserve">References </w:t>
      </w:r>
    </w:p>
    <w:p w14:paraId="3838C5B0" w14:textId="77777777" w:rsidR="000A3BF9" w:rsidRDefault="000A3BF9">
      <w:pPr>
        <w:ind w:right="30"/>
        <w:rPr>
          <w:color w:val="222222"/>
          <w:highlight w:val="white"/>
        </w:rPr>
      </w:pPr>
      <w:r>
        <w:t>Aizawa, I., Rose, H., Thompson, G. and Curle, S., (2023). Beyond the threshold: Exploring English language proficiency, linguistic challenges, and academic language skills of Japanese students in an English medium instruction programme.</w:t>
      </w:r>
      <w:r>
        <w:rPr>
          <w:i/>
        </w:rPr>
        <w:t xml:space="preserve"> Language Teaching Research</w:t>
      </w:r>
      <w:r>
        <w:t>, 27(4), pp.837-861.</w:t>
      </w:r>
    </w:p>
    <w:p w14:paraId="7504B74B" w14:textId="77777777" w:rsidR="000A3BF9" w:rsidRDefault="000A3BF9">
      <w:pPr>
        <w:ind w:right="30"/>
      </w:pPr>
      <w:r>
        <w:t xml:space="preserve">Alqarni, A.M., (2022). Hofstede's cultural dimensions in relation to learning behaviours and learning styles: A critical analysis of studies under different cultural and language learning environments. </w:t>
      </w:r>
      <w:r>
        <w:rPr>
          <w:i/>
        </w:rPr>
        <w:t>Journal of Language and Linguistic Studies</w:t>
      </w:r>
      <w:r>
        <w:t>, 18.</w:t>
      </w:r>
    </w:p>
    <w:p w14:paraId="50F8A797" w14:textId="77777777" w:rsidR="000A3BF9" w:rsidRDefault="000A3BF9">
      <w:pPr>
        <w:ind w:right="30"/>
        <w:rPr>
          <w:color w:val="222222"/>
          <w:highlight w:val="white"/>
        </w:rPr>
      </w:pPr>
      <w:proofErr w:type="spellStart"/>
      <w:r>
        <w:rPr>
          <w:color w:val="222222"/>
          <w:highlight w:val="white"/>
        </w:rPr>
        <w:t>Czinkota</w:t>
      </w:r>
      <w:proofErr w:type="spellEnd"/>
      <w:r>
        <w:rPr>
          <w:color w:val="222222"/>
          <w:highlight w:val="white"/>
        </w:rPr>
        <w:t xml:space="preserve">, M., Khan, Z. and Knight, G., (2021). International business and the migrant-owned enterprise. </w:t>
      </w:r>
      <w:r>
        <w:rPr>
          <w:i/>
          <w:color w:val="222222"/>
          <w:highlight w:val="white"/>
        </w:rPr>
        <w:t>Journal of Business Research</w:t>
      </w:r>
      <w:r>
        <w:rPr>
          <w:color w:val="222222"/>
          <w:highlight w:val="white"/>
        </w:rPr>
        <w:t xml:space="preserve">, </w:t>
      </w:r>
      <w:r>
        <w:rPr>
          <w:i/>
          <w:color w:val="222222"/>
          <w:highlight w:val="white"/>
        </w:rPr>
        <w:t>122</w:t>
      </w:r>
      <w:r>
        <w:rPr>
          <w:color w:val="222222"/>
          <w:highlight w:val="white"/>
        </w:rPr>
        <w:t>, pp.657-669.</w:t>
      </w:r>
    </w:p>
    <w:p w14:paraId="6E4222B2" w14:textId="77777777" w:rsidR="000A3BF9" w:rsidRDefault="000A3BF9">
      <w:pPr>
        <w:ind w:right="30"/>
      </w:pPr>
      <w:proofErr w:type="spellStart"/>
      <w:r>
        <w:t>Dabiriyan</w:t>
      </w:r>
      <w:proofErr w:type="spellEnd"/>
      <w:r>
        <w:t xml:space="preserve"> Tehrani, H. and Yamini, S., (2022). Gender differences concerning the horizontal and vertical individualism and collectivism: A meta-analysis. </w:t>
      </w:r>
      <w:r>
        <w:rPr>
          <w:i/>
        </w:rPr>
        <w:t>Psychological Studies</w:t>
      </w:r>
      <w:r>
        <w:t xml:space="preserve">, </w:t>
      </w:r>
      <w:r>
        <w:rPr>
          <w:i/>
        </w:rPr>
        <w:t>67</w:t>
      </w:r>
      <w:r>
        <w:t>(1), pp.11-27.</w:t>
      </w:r>
    </w:p>
    <w:p w14:paraId="7A39F481" w14:textId="77777777" w:rsidR="000A3BF9" w:rsidRDefault="000A3BF9">
      <w:pPr>
        <w:ind w:right="30"/>
        <w:rPr>
          <w:color w:val="222222"/>
          <w:highlight w:val="white"/>
        </w:rPr>
      </w:pPr>
      <w:r>
        <w:rPr>
          <w:color w:val="222222"/>
          <w:highlight w:val="white"/>
        </w:rPr>
        <w:t xml:space="preserve">Ghauri, P., Strange, R. and Cooke, F.L., (2021). Research on international business: The new realities. </w:t>
      </w:r>
      <w:r>
        <w:rPr>
          <w:i/>
          <w:color w:val="222222"/>
          <w:highlight w:val="white"/>
        </w:rPr>
        <w:t>International Business Review</w:t>
      </w:r>
      <w:r>
        <w:rPr>
          <w:color w:val="222222"/>
          <w:highlight w:val="white"/>
        </w:rPr>
        <w:t xml:space="preserve">, </w:t>
      </w:r>
      <w:r>
        <w:rPr>
          <w:i/>
          <w:color w:val="222222"/>
          <w:highlight w:val="white"/>
        </w:rPr>
        <w:t>30</w:t>
      </w:r>
      <w:r>
        <w:rPr>
          <w:color w:val="222222"/>
          <w:highlight w:val="white"/>
        </w:rPr>
        <w:t>(2), p.101794.</w:t>
      </w:r>
    </w:p>
    <w:p w14:paraId="1C660428" w14:textId="77777777" w:rsidR="000A3BF9" w:rsidRDefault="000A3BF9">
      <w:pPr>
        <w:ind w:right="30"/>
      </w:pPr>
      <w:r>
        <w:t xml:space="preserve">Higgins, E.T., (2022). The “communication game”: Implications for social cognition and persuasion. </w:t>
      </w:r>
      <w:r>
        <w:rPr>
          <w:i/>
        </w:rPr>
        <w:t>In Social cognition</w:t>
      </w:r>
      <w:r>
        <w:t xml:space="preserve"> (pp. 343-392). Routledge.</w:t>
      </w:r>
    </w:p>
    <w:p w14:paraId="10BA3FC9" w14:textId="77777777" w:rsidR="000A3BF9" w:rsidRDefault="000A3BF9">
      <w:pPr>
        <w:ind w:right="30"/>
      </w:pPr>
      <w:r>
        <w:t xml:space="preserve">Hsu, N., Badura, K.L., Newman, D.A. and </w:t>
      </w:r>
      <w:proofErr w:type="spellStart"/>
      <w:r>
        <w:t>Speach</w:t>
      </w:r>
      <w:proofErr w:type="spellEnd"/>
      <w:r>
        <w:t xml:space="preserve">, M.E.P., (2021). </w:t>
      </w:r>
      <w:proofErr w:type="spellStart"/>
      <w:r>
        <w:t>Gender,“masculinity</w:t>
      </w:r>
      <w:proofErr w:type="spellEnd"/>
      <w:r>
        <w:t xml:space="preserve">,” and “femininity”: A meta-analytic review of gender differences in agency and communion. </w:t>
      </w:r>
      <w:r>
        <w:rPr>
          <w:i/>
        </w:rPr>
        <w:t>Psychological Bulletin</w:t>
      </w:r>
      <w:r>
        <w:t>, 147(10), p.987.</w:t>
      </w:r>
    </w:p>
    <w:p w14:paraId="542DBFE9" w14:textId="77777777" w:rsidR="000A3BF9" w:rsidRDefault="000A3BF9">
      <w:pPr>
        <w:ind w:right="30"/>
      </w:pPr>
      <w:r>
        <w:t xml:space="preserve">Jan, J., </w:t>
      </w:r>
      <w:proofErr w:type="spellStart"/>
      <w:r>
        <w:t>Alshare</w:t>
      </w:r>
      <w:proofErr w:type="spellEnd"/>
      <w:r>
        <w:t xml:space="preserve">, K.A. and Lane, P.L., (2024). Hofstede’s cultural dimensions in technology acceptance models: a meta-analysis. </w:t>
      </w:r>
      <w:r>
        <w:rPr>
          <w:i/>
        </w:rPr>
        <w:t xml:space="preserve">Universal Access in the Information Society, </w:t>
      </w:r>
      <w:r>
        <w:t>23(2), pp.717-741.</w:t>
      </w:r>
    </w:p>
    <w:p w14:paraId="7A2828D4" w14:textId="77777777" w:rsidR="000A3BF9" w:rsidRDefault="000A3BF9">
      <w:pPr>
        <w:ind w:right="30"/>
        <w:rPr>
          <w:color w:val="222222"/>
          <w:highlight w:val="white"/>
        </w:rPr>
      </w:pPr>
      <w:r>
        <w:rPr>
          <w:color w:val="222222"/>
          <w:highlight w:val="white"/>
        </w:rPr>
        <w:t xml:space="preserve">Mayfield, M., Mayfield, J. and Walker, R., (2020). </w:t>
      </w:r>
      <w:r>
        <w:rPr>
          <w:i/>
          <w:color w:val="222222"/>
          <w:highlight w:val="white"/>
        </w:rPr>
        <w:t>Fundamental theories of business communication: Laying a foundation for the field</w:t>
      </w:r>
      <w:r>
        <w:rPr>
          <w:color w:val="222222"/>
          <w:highlight w:val="white"/>
        </w:rPr>
        <w:t>. Springer Nature.</w:t>
      </w:r>
    </w:p>
    <w:p w14:paraId="71B34F63" w14:textId="77777777" w:rsidR="000A3BF9" w:rsidRDefault="000A3BF9">
      <w:pPr>
        <w:ind w:right="30"/>
        <w:rPr>
          <w:color w:val="222222"/>
          <w:highlight w:val="white"/>
        </w:rPr>
      </w:pPr>
      <w:r>
        <w:rPr>
          <w:color w:val="222222"/>
          <w:highlight w:val="white"/>
        </w:rPr>
        <w:t xml:space="preserve">Nugroho, S., </w:t>
      </w:r>
      <w:proofErr w:type="spellStart"/>
      <w:r>
        <w:rPr>
          <w:color w:val="222222"/>
          <w:highlight w:val="white"/>
        </w:rPr>
        <w:t>Sitorus</w:t>
      </w:r>
      <w:proofErr w:type="spellEnd"/>
      <w:r>
        <w:rPr>
          <w:color w:val="222222"/>
          <w:highlight w:val="white"/>
        </w:rPr>
        <w:t xml:space="preserve">, A.T., Habibi, M., </w:t>
      </w:r>
      <w:proofErr w:type="spellStart"/>
      <w:r>
        <w:rPr>
          <w:color w:val="222222"/>
          <w:highlight w:val="white"/>
        </w:rPr>
        <w:t>Wihardjo</w:t>
      </w:r>
      <w:proofErr w:type="spellEnd"/>
      <w:r>
        <w:rPr>
          <w:color w:val="222222"/>
          <w:highlight w:val="white"/>
        </w:rPr>
        <w:t xml:space="preserve">, E. and </w:t>
      </w:r>
      <w:proofErr w:type="spellStart"/>
      <w:r>
        <w:rPr>
          <w:color w:val="222222"/>
          <w:highlight w:val="white"/>
        </w:rPr>
        <w:t>Iswahyudi</w:t>
      </w:r>
      <w:proofErr w:type="spellEnd"/>
      <w:r>
        <w:rPr>
          <w:color w:val="222222"/>
          <w:highlight w:val="white"/>
        </w:rPr>
        <w:t xml:space="preserve">, M.S., (2023). The role of ChatGPT in improving the efficiency of business communication in management science. </w:t>
      </w:r>
      <w:proofErr w:type="spellStart"/>
      <w:r>
        <w:rPr>
          <w:i/>
          <w:color w:val="222222"/>
          <w:highlight w:val="white"/>
        </w:rPr>
        <w:t>Jurnal</w:t>
      </w:r>
      <w:proofErr w:type="spellEnd"/>
      <w:r>
        <w:rPr>
          <w:i/>
          <w:color w:val="222222"/>
          <w:highlight w:val="white"/>
        </w:rPr>
        <w:t xml:space="preserve"> </w:t>
      </w:r>
      <w:proofErr w:type="spellStart"/>
      <w:r>
        <w:rPr>
          <w:i/>
          <w:color w:val="222222"/>
          <w:highlight w:val="white"/>
        </w:rPr>
        <w:t>Minfo</w:t>
      </w:r>
      <w:proofErr w:type="spellEnd"/>
      <w:r>
        <w:rPr>
          <w:i/>
          <w:color w:val="222222"/>
          <w:highlight w:val="white"/>
        </w:rPr>
        <w:t xml:space="preserve"> </w:t>
      </w:r>
      <w:proofErr w:type="spellStart"/>
      <w:r>
        <w:rPr>
          <w:i/>
          <w:color w:val="222222"/>
          <w:highlight w:val="white"/>
        </w:rPr>
        <w:t>Polgan</w:t>
      </w:r>
      <w:proofErr w:type="spellEnd"/>
      <w:r>
        <w:rPr>
          <w:color w:val="222222"/>
          <w:highlight w:val="white"/>
        </w:rPr>
        <w:t xml:space="preserve">, </w:t>
      </w:r>
      <w:r>
        <w:rPr>
          <w:i/>
          <w:color w:val="222222"/>
          <w:highlight w:val="white"/>
        </w:rPr>
        <w:t>12</w:t>
      </w:r>
      <w:r>
        <w:rPr>
          <w:color w:val="222222"/>
          <w:highlight w:val="white"/>
        </w:rPr>
        <w:t>(1), pp.1482-1491.</w:t>
      </w:r>
    </w:p>
    <w:p w14:paraId="06F98B45" w14:textId="77777777" w:rsidR="000A3BF9" w:rsidRDefault="000A3BF9">
      <w:pPr>
        <w:ind w:right="30"/>
        <w:rPr>
          <w:color w:val="222222"/>
          <w:highlight w:val="white"/>
        </w:rPr>
      </w:pPr>
      <w:proofErr w:type="spellStart"/>
      <w:r>
        <w:rPr>
          <w:color w:val="222222"/>
          <w:highlight w:val="white"/>
        </w:rPr>
        <w:t>Roshid</w:t>
      </w:r>
      <w:proofErr w:type="spellEnd"/>
      <w:r>
        <w:rPr>
          <w:color w:val="222222"/>
          <w:highlight w:val="white"/>
        </w:rPr>
        <w:t xml:space="preserve">, M.M. and </w:t>
      </w:r>
      <w:proofErr w:type="spellStart"/>
      <w:r>
        <w:rPr>
          <w:color w:val="222222"/>
          <w:highlight w:val="white"/>
        </w:rPr>
        <w:t>Kankaanranta</w:t>
      </w:r>
      <w:proofErr w:type="spellEnd"/>
      <w:r>
        <w:rPr>
          <w:color w:val="222222"/>
          <w:highlight w:val="white"/>
        </w:rPr>
        <w:t xml:space="preserve">, A., (2023). English communication skills in international business: Industry expectations versus university preparation. </w:t>
      </w:r>
      <w:r>
        <w:rPr>
          <w:i/>
          <w:color w:val="222222"/>
          <w:highlight w:val="white"/>
        </w:rPr>
        <w:t>Business and Professional Communication Quarterly</w:t>
      </w:r>
      <w:r>
        <w:rPr>
          <w:color w:val="222222"/>
          <w:highlight w:val="white"/>
        </w:rPr>
        <w:t>, p.23294906231184814.</w:t>
      </w:r>
    </w:p>
    <w:p w14:paraId="2E6084C0" w14:textId="77777777" w:rsidR="000A3BF9" w:rsidRDefault="000A3BF9">
      <w:pPr>
        <w:ind w:right="30"/>
      </w:pPr>
      <w:r>
        <w:t xml:space="preserve">Saether, E.A., Eide, A.E. and Bjørgum, Ø., (2021). Sustainability among Norwegian maritime firms: Green strategy and innovation as mediators of long‐term orientation and emission reduction. </w:t>
      </w:r>
      <w:r>
        <w:rPr>
          <w:i/>
        </w:rPr>
        <w:t xml:space="preserve">Business Strategy and the Environment, </w:t>
      </w:r>
      <w:r>
        <w:t>30(5), pp.2382-2395.</w:t>
      </w:r>
    </w:p>
    <w:p w14:paraId="47D17372" w14:textId="77777777" w:rsidR="000A3BF9" w:rsidRDefault="000A3BF9">
      <w:pPr>
        <w:ind w:right="30"/>
      </w:pPr>
      <w:r>
        <w:lastRenderedPageBreak/>
        <w:t xml:space="preserve">Smart, M.A. and Pontes, N., (2023). The role of consumer restraint versus indulgence on purchase intentions of hybrid meat analogues. </w:t>
      </w:r>
      <w:r>
        <w:rPr>
          <w:i/>
        </w:rPr>
        <w:t>Food Quality and Preference</w:t>
      </w:r>
      <w:r>
        <w:t>, 104, p.104738.</w:t>
      </w:r>
    </w:p>
    <w:p w14:paraId="4946B102" w14:textId="77777777" w:rsidR="000A3BF9" w:rsidRDefault="000A3BF9">
      <w:pPr>
        <w:ind w:right="30"/>
      </w:pPr>
      <w:proofErr w:type="spellStart"/>
      <w:r>
        <w:t>Szkudlarek</w:t>
      </w:r>
      <w:proofErr w:type="spellEnd"/>
      <w:r>
        <w:t xml:space="preserve">, B., Osland, J.S., </w:t>
      </w:r>
      <w:proofErr w:type="spellStart"/>
      <w:r>
        <w:t>Nardon</w:t>
      </w:r>
      <w:proofErr w:type="spellEnd"/>
      <w:r>
        <w:t xml:space="preserve">, L. and Zander, L., (2020). Communication and culture in international business–Moving the field forward. </w:t>
      </w:r>
      <w:r>
        <w:rPr>
          <w:i/>
        </w:rPr>
        <w:t>Journal of World Business,</w:t>
      </w:r>
      <w:r>
        <w:t xml:space="preserve"> 55(6), p.101126.</w:t>
      </w:r>
    </w:p>
    <w:p w14:paraId="38017657" w14:textId="77777777" w:rsidR="000A3BF9" w:rsidRDefault="000A3BF9">
      <w:pPr>
        <w:ind w:right="30"/>
      </w:pPr>
      <w:r>
        <w:t xml:space="preserve">tescoplc.com, (2024). </w:t>
      </w:r>
      <w:r>
        <w:rPr>
          <w:i/>
        </w:rPr>
        <w:t>About the company</w:t>
      </w:r>
      <w:r>
        <w:t>. Available at: https://www.tescoplc.com/ [Accessed on: 31st October, 2024]</w:t>
      </w:r>
    </w:p>
    <w:p w14:paraId="2B25AE90" w14:textId="77777777" w:rsidR="000A3BF9" w:rsidRDefault="000A3BF9">
      <w:pPr>
        <w:ind w:right="30"/>
      </w:pPr>
      <w:r>
        <w:t xml:space="preserve">theculturefactor.com, (2024). </w:t>
      </w:r>
      <w:r>
        <w:rPr>
          <w:i/>
        </w:rPr>
        <w:t>Country comparison tool.</w:t>
      </w:r>
      <w:r>
        <w:t xml:space="preserve"> Available at: https://www.theculturefactor.com/country-comparison-tool?countries=japan%2Cunited+kingdom [Accessed on: 1st November 2024].</w:t>
      </w:r>
    </w:p>
    <w:p w14:paraId="00000046" w14:textId="17085CF0" w:rsidR="00DA436C" w:rsidRPr="000A3BF9" w:rsidRDefault="000A3BF9">
      <w:pPr>
        <w:ind w:right="30"/>
        <w:rPr>
          <w:color w:val="222222"/>
          <w:highlight w:val="white"/>
        </w:rPr>
      </w:pPr>
      <w:r>
        <w:rPr>
          <w:color w:val="222222"/>
          <w:highlight w:val="white"/>
        </w:rPr>
        <w:t xml:space="preserve">Wang, Q., Clegg, J., Gajewska-De Mattos, H. and Buckley, P., (2020). The role of emotions in intercultural business communication: Language standardization in the context of international knowledge transfer. </w:t>
      </w:r>
      <w:r>
        <w:rPr>
          <w:i/>
          <w:color w:val="222222"/>
          <w:highlight w:val="white"/>
        </w:rPr>
        <w:t>Journal of World Business</w:t>
      </w:r>
      <w:r>
        <w:rPr>
          <w:color w:val="222222"/>
          <w:highlight w:val="white"/>
        </w:rPr>
        <w:t xml:space="preserve">, </w:t>
      </w:r>
      <w:r>
        <w:rPr>
          <w:i/>
          <w:color w:val="222222"/>
          <w:highlight w:val="white"/>
        </w:rPr>
        <w:t>55</w:t>
      </w:r>
      <w:r>
        <w:rPr>
          <w:color w:val="222222"/>
          <w:highlight w:val="white"/>
        </w:rPr>
        <w:t>(6), p.100973.</w:t>
      </w:r>
    </w:p>
    <w:sectPr w:rsidR="00DA436C" w:rsidRPr="000A3BF9">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7247A4" w14:textId="77777777" w:rsidR="0046081B" w:rsidRDefault="0046081B" w:rsidP="00F62500">
      <w:pPr>
        <w:spacing w:line="240" w:lineRule="auto"/>
      </w:pPr>
      <w:r>
        <w:separator/>
      </w:r>
    </w:p>
  </w:endnote>
  <w:endnote w:type="continuationSeparator" w:id="0">
    <w:p w14:paraId="28F0DCA2" w14:textId="77777777" w:rsidR="0046081B" w:rsidRDefault="0046081B" w:rsidP="00F625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1592"/>
      <w:docPartObj>
        <w:docPartGallery w:val="Page Numbers (Bottom of Page)"/>
        <w:docPartUnique/>
      </w:docPartObj>
    </w:sdtPr>
    <w:sdtEndPr>
      <w:rPr>
        <w:noProof/>
      </w:rPr>
    </w:sdtEndPr>
    <w:sdtContent>
      <w:p w14:paraId="252E641C" w14:textId="03C0365B" w:rsidR="00F62500" w:rsidRDefault="00F625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58930E" w14:textId="77777777" w:rsidR="00F62500" w:rsidRDefault="00F625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87B3ED" w14:textId="77777777" w:rsidR="0046081B" w:rsidRDefault="0046081B" w:rsidP="00F62500">
      <w:pPr>
        <w:spacing w:line="240" w:lineRule="auto"/>
      </w:pPr>
      <w:r>
        <w:separator/>
      </w:r>
    </w:p>
  </w:footnote>
  <w:footnote w:type="continuationSeparator" w:id="0">
    <w:p w14:paraId="47048DBF" w14:textId="77777777" w:rsidR="0046081B" w:rsidRDefault="0046081B" w:rsidP="00F6250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436C"/>
    <w:rsid w:val="000A3BF9"/>
    <w:rsid w:val="002C17C2"/>
    <w:rsid w:val="002E4A0E"/>
    <w:rsid w:val="00313F7B"/>
    <w:rsid w:val="003E26C8"/>
    <w:rsid w:val="003F02EE"/>
    <w:rsid w:val="0042329E"/>
    <w:rsid w:val="0046081B"/>
    <w:rsid w:val="00546287"/>
    <w:rsid w:val="007B2C05"/>
    <w:rsid w:val="008203E1"/>
    <w:rsid w:val="00AA1EBD"/>
    <w:rsid w:val="00B00F92"/>
    <w:rsid w:val="00B5426F"/>
    <w:rsid w:val="00B9679A"/>
    <w:rsid w:val="00DA436C"/>
    <w:rsid w:val="00F625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9D582"/>
  <w15:docId w15:val="{EFDFFEA3-9DE2-4D2A-A574-4BE5363BA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NormalWeb">
    <w:name w:val="Normal (Web)"/>
    <w:basedOn w:val="Normal"/>
    <w:uiPriority w:val="99"/>
    <w:semiHidden/>
    <w:unhideWhenUsed/>
    <w:rsid w:val="00313F7B"/>
  </w:style>
  <w:style w:type="paragraph" w:styleId="Header">
    <w:name w:val="header"/>
    <w:basedOn w:val="Normal"/>
    <w:link w:val="HeaderChar"/>
    <w:uiPriority w:val="99"/>
    <w:unhideWhenUsed/>
    <w:rsid w:val="00F62500"/>
    <w:pPr>
      <w:tabs>
        <w:tab w:val="center" w:pos="4680"/>
        <w:tab w:val="right" w:pos="9360"/>
      </w:tabs>
      <w:spacing w:line="240" w:lineRule="auto"/>
    </w:pPr>
  </w:style>
  <w:style w:type="character" w:customStyle="1" w:styleId="HeaderChar">
    <w:name w:val="Header Char"/>
    <w:basedOn w:val="DefaultParagraphFont"/>
    <w:link w:val="Header"/>
    <w:uiPriority w:val="99"/>
    <w:rsid w:val="00F62500"/>
  </w:style>
  <w:style w:type="paragraph" w:styleId="Footer">
    <w:name w:val="footer"/>
    <w:basedOn w:val="Normal"/>
    <w:link w:val="FooterChar"/>
    <w:uiPriority w:val="99"/>
    <w:unhideWhenUsed/>
    <w:rsid w:val="00F62500"/>
    <w:pPr>
      <w:tabs>
        <w:tab w:val="center" w:pos="4680"/>
        <w:tab w:val="right" w:pos="9360"/>
      </w:tabs>
      <w:spacing w:line="240" w:lineRule="auto"/>
    </w:pPr>
  </w:style>
  <w:style w:type="character" w:customStyle="1" w:styleId="FooterChar">
    <w:name w:val="Footer Char"/>
    <w:basedOn w:val="DefaultParagraphFont"/>
    <w:link w:val="Footer"/>
    <w:uiPriority w:val="99"/>
    <w:rsid w:val="00F625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4816661">
      <w:bodyDiv w:val="1"/>
      <w:marLeft w:val="0"/>
      <w:marRight w:val="0"/>
      <w:marTop w:val="0"/>
      <w:marBottom w:val="0"/>
      <w:divBdr>
        <w:top w:val="none" w:sz="0" w:space="0" w:color="auto"/>
        <w:left w:val="none" w:sz="0" w:space="0" w:color="auto"/>
        <w:bottom w:val="none" w:sz="0" w:space="0" w:color="auto"/>
        <w:right w:val="none" w:sz="0" w:space="0" w:color="auto"/>
      </w:divBdr>
    </w:div>
    <w:div w:id="8117519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2997</Words>
  <Characters>17083</Characters>
  <Application>Microsoft Office Word</Application>
  <DocSecurity>0</DocSecurity>
  <Lines>142</Lines>
  <Paragraphs>40</Paragraphs>
  <ScaleCrop>false</ScaleCrop>
  <Company/>
  <LinksUpToDate>false</LinksUpToDate>
  <CharactersWithSpaces>20040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Angela Muresan</cp:lastModifiedBy>
  <cp:revision>5</cp:revision>
  <dcterms:created xsi:type="dcterms:W3CDTF">2024-11-08T05:26:00Z</dcterms:created>
  <dcterms:modified xsi:type="dcterms:W3CDTF">2024-11-17T10:37:00Z</dcterms:modified>
</cp:coreProperties>
</file>