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CA281" w14:textId="063A75A1" w:rsidR="004B33A7" w:rsidRPr="004B33A7" w:rsidRDefault="004B33A7" w:rsidP="004B33A7">
      <w:pPr>
        <w:jc w:val="center"/>
        <w:rPr>
          <w:rFonts w:asciiTheme="minorBidi" w:hAnsiTheme="minorBidi"/>
          <w:sz w:val="36"/>
          <w:szCs w:val="36"/>
        </w:rPr>
      </w:pPr>
      <w:r w:rsidRPr="004B33A7">
        <w:rPr>
          <w:rFonts w:asciiTheme="minorBidi" w:hAnsiTheme="minorBidi"/>
          <w:noProof/>
          <w:sz w:val="36"/>
          <w:szCs w:val="36"/>
        </w:rPr>
        <w:drawing>
          <wp:inline distT="0" distB="0" distL="0" distR="0" wp14:anchorId="61CDE6CA" wp14:editId="59EEC665">
            <wp:extent cx="3546986" cy="1409700"/>
            <wp:effectExtent l="0" t="0" r="0" b="0"/>
            <wp:docPr id="747771418" name="Picture 2"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71418" name="Picture 2" descr="A close-up of black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80709" cy="1423103"/>
                    </a:xfrm>
                    <a:prstGeom prst="rect">
                      <a:avLst/>
                    </a:prstGeom>
                    <a:noFill/>
                    <a:ln>
                      <a:noFill/>
                    </a:ln>
                  </pic:spPr>
                </pic:pic>
              </a:graphicData>
            </a:graphic>
          </wp:inline>
        </w:drawing>
      </w:r>
    </w:p>
    <w:p w14:paraId="462E3946" w14:textId="77777777" w:rsidR="004B33A7" w:rsidRDefault="004B33A7" w:rsidP="004B33A7">
      <w:pPr>
        <w:rPr>
          <w:rFonts w:asciiTheme="minorBidi" w:hAnsiTheme="minorBidi"/>
          <w:b/>
          <w:bCs/>
          <w:sz w:val="36"/>
          <w:szCs w:val="36"/>
        </w:rPr>
      </w:pPr>
    </w:p>
    <w:p w14:paraId="2A2C2CA1" w14:textId="77777777" w:rsidR="004B33A7" w:rsidRPr="004B33A7" w:rsidRDefault="004B33A7" w:rsidP="004B33A7">
      <w:pPr>
        <w:rPr>
          <w:rFonts w:asciiTheme="minorBidi" w:hAnsiTheme="minorBidi"/>
          <w:b/>
          <w:bCs/>
          <w:sz w:val="48"/>
          <w:szCs w:val="48"/>
        </w:rPr>
      </w:pPr>
    </w:p>
    <w:p w14:paraId="0F83051C" w14:textId="03102CB4" w:rsidR="004B33A7" w:rsidRPr="00703E2E" w:rsidRDefault="004B33A7" w:rsidP="004B33A7">
      <w:pPr>
        <w:rPr>
          <w:rFonts w:asciiTheme="minorBidi" w:hAnsiTheme="minorBidi"/>
          <w:color w:val="FF0000"/>
          <w:sz w:val="48"/>
          <w:szCs w:val="48"/>
        </w:rPr>
      </w:pPr>
      <w:r w:rsidRPr="00703E2E">
        <w:rPr>
          <w:rFonts w:asciiTheme="minorBidi" w:hAnsiTheme="minorBidi"/>
          <w:b/>
          <w:bCs/>
          <w:sz w:val="48"/>
          <w:szCs w:val="48"/>
        </w:rPr>
        <w:t xml:space="preserve">MODULE CODE: </w:t>
      </w:r>
      <w:r w:rsidR="00BD079C" w:rsidRPr="005A3393">
        <w:rPr>
          <w:rFonts w:asciiTheme="minorBidi" w:hAnsiTheme="minorBidi"/>
          <w:b/>
          <w:bCs/>
          <w:sz w:val="48"/>
          <w:szCs w:val="48"/>
        </w:rPr>
        <w:t xml:space="preserve">ECPT6004 </w:t>
      </w:r>
    </w:p>
    <w:p w14:paraId="3067B945" w14:textId="77777777" w:rsidR="004B33A7" w:rsidRPr="00703E2E" w:rsidRDefault="004B33A7" w:rsidP="004B33A7">
      <w:pPr>
        <w:rPr>
          <w:rFonts w:asciiTheme="minorBidi" w:hAnsiTheme="minorBidi"/>
          <w:sz w:val="48"/>
          <w:szCs w:val="48"/>
        </w:rPr>
      </w:pPr>
      <w:r w:rsidRPr="00703E2E">
        <w:rPr>
          <w:rFonts w:asciiTheme="minorBidi" w:hAnsiTheme="minorBidi"/>
          <w:sz w:val="48"/>
          <w:szCs w:val="48"/>
        </w:rPr>
        <w:t> </w:t>
      </w:r>
    </w:p>
    <w:p w14:paraId="163B6B74" w14:textId="6B3D839C" w:rsidR="004B33A7" w:rsidRPr="004B33A7" w:rsidRDefault="004B33A7" w:rsidP="004B33A7">
      <w:pPr>
        <w:rPr>
          <w:rFonts w:asciiTheme="minorBidi" w:hAnsiTheme="minorBidi"/>
          <w:sz w:val="48"/>
          <w:szCs w:val="48"/>
        </w:rPr>
      </w:pPr>
      <w:r w:rsidRPr="004B33A7">
        <w:rPr>
          <w:rFonts w:asciiTheme="minorBidi" w:hAnsiTheme="minorBidi"/>
          <w:b/>
          <w:bCs/>
          <w:sz w:val="48"/>
          <w:szCs w:val="48"/>
        </w:rPr>
        <w:t xml:space="preserve">ASSESSMENT COMPONENT: </w:t>
      </w:r>
      <w:r w:rsidR="00703E2E">
        <w:rPr>
          <w:rFonts w:asciiTheme="minorBidi" w:hAnsiTheme="minorBidi"/>
          <w:b/>
          <w:bCs/>
          <w:sz w:val="48"/>
          <w:szCs w:val="48"/>
        </w:rPr>
        <w:t>One</w:t>
      </w:r>
    </w:p>
    <w:p w14:paraId="0095FD63" w14:textId="77777777" w:rsidR="004B33A7" w:rsidRPr="004B33A7" w:rsidRDefault="004B33A7" w:rsidP="004B33A7">
      <w:pPr>
        <w:rPr>
          <w:rFonts w:asciiTheme="minorBidi" w:hAnsiTheme="minorBidi"/>
          <w:sz w:val="48"/>
          <w:szCs w:val="48"/>
        </w:rPr>
      </w:pPr>
      <w:r w:rsidRPr="004B33A7">
        <w:rPr>
          <w:rFonts w:asciiTheme="minorBidi" w:hAnsiTheme="minorBidi"/>
          <w:sz w:val="48"/>
          <w:szCs w:val="48"/>
        </w:rPr>
        <w:t> </w:t>
      </w:r>
    </w:p>
    <w:p w14:paraId="152673F1" w14:textId="1BCE8EF3" w:rsidR="004B33A7" w:rsidRPr="004B33A7" w:rsidRDefault="004B33A7" w:rsidP="004B33A7">
      <w:pPr>
        <w:rPr>
          <w:rFonts w:asciiTheme="minorBidi" w:hAnsiTheme="minorBidi"/>
          <w:sz w:val="48"/>
          <w:szCs w:val="48"/>
        </w:rPr>
      </w:pPr>
      <w:r w:rsidRPr="004B33A7">
        <w:rPr>
          <w:rFonts w:asciiTheme="minorBidi" w:hAnsiTheme="minorBidi"/>
          <w:b/>
          <w:bCs/>
          <w:sz w:val="48"/>
          <w:szCs w:val="48"/>
        </w:rPr>
        <w:t>STUDENT NAME:</w:t>
      </w:r>
      <w:r w:rsidRPr="004B33A7">
        <w:rPr>
          <w:rFonts w:asciiTheme="minorBidi" w:hAnsiTheme="minorBidi"/>
          <w:sz w:val="48"/>
          <w:szCs w:val="48"/>
        </w:rPr>
        <w:t> </w:t>
      </w:r>
      <w:r w:rsidR="0062663C">
        <w:rPr>
          <w:rFonts w:asciiTheme="minorBidi" w:hAnsiTheme="minorBidi"/>
          <w:sz w:val="48"/>
          <w:szCs w:val="48"/>
        </w:rPr>
        <w:t>Joanne Wozencroft</w:t>
      </w:r>
    </w:p>
    <w:p w14:paraId="7F3AA822" w14:textId="77777777" w:rsidR="004B33A7" w:rsidRPr="004B33A7" w:rsidRDefault="004B33A7" w:rsidP="004B33A7">
      <w:pPr>
        <w:rPr>
          <w:rFonts w:asciiTheme="minorBidi" w:hAnsiTheme="minorBidi"/>
          <w:sz w:val="48"/>
          <w:szCs w:val="48"/>
        </w:rPr>
      </w:pPr>
      <w:r w:rsidRPr="004B33A7">
        <w:rPr>
          <w:rFonts w:asciiTheme="minorBidi" w:hAnsiTheme="minorBidi"/>
          <w:sz w:val="48"/>
          <w:szCs w:val="48"/>
        </w:rPr>
        <w:t> </w:t>
      </w:r>
    </w:p>
    <w:p w14:paraId="2C284020" w14:textId="398BAE71" w:rsidR="004B33A7" w:rsidRDefault="004B33A7" w:rsidP="004B33A7">
      <w:pPr>
        <w:rPr>
          <w:rFonts w:asciiTheme="minorBidi" w:hAnsiTheme="minorBidi"/>
          <w:sz w:val="48"/>
          <w:szCs w:val="48"/>
        </w:rPr>
      </w:pPr>
      <w:r w:rsidRPr="004B33A7">
        <w:rPr>
          <w:rFonts w:asciiTheme="minorBidi" w:hAnsiTheme="minorBidi"/>
          <w:b/>
          <w:bCs/>
          <w:sz w:val="48"/>
          <w:szCs w:val="48"/>
        </w:rPr>
        <w:t>STUDENT NUMBER:</w:t>
      </w:r>
      <w:r w:rsidRPr="004B33A7">
        <w:rPr>
          <w:rFonts w:asciiTheme="minorBidi" w:hAnsiTheme="minorBidi"/>
          <w:sz w:val="48"/>
          <w:szCs w:val="48"/>
        </w:rPr>
        <w:t> </w:t>
      </w:r>
      <w:r w:rsidR="0062663C">
        <w:rPr>
          <w:rFonts w:asciiTheme="minorBidi" w:hAnsiTheme="minorBidi"/>
          <w:sz w:val="48"/>
          <w:szCs w:val="48"/>
        </w:rPr>
        <w:t>0652449</w:t>
      </w:r>
    </w:p>
    <w:p w14:paraId="0E8CEFBF" w14:textId="77777777" w:rsidR="00CF39E3" w:rsidRDefault="00CF39E3" w:rsidP="004B33A7">
      <w:pPr>
        <w:rPr>
          <w:rFonts w:asciiTheme="minorBidi" w:hAnsiTheme="minorBidi"/>
          <w:sz w:val="48"/>
          <w:szCs w:val="48"/>
        </w:rPr>
      </w:pPr>
    </w:p>
    <w:p w14:paraId="69208DCC" w14:textId="7C4D8916" w:rsidR="00CF39E3" w:rsidRPr="004B33A7" w:rsidRDefault="00CF39E3" w:rsidP="004B33A7">
      <w:pPr>
        <w:rPr>
          <w:rFonts w:asciiTheme="minorBidi" w:hAnsiTheme="minorBidi"/>
          <w:sz w:val="48"/>
          <w:szCs w:val="48"/>
        </w:rPr>
      </w:pPr>
      <w:r>
        <w:rPr>
          <w:rFonts w:asciiTheme="minorBidi" w:hAnsiTheme="minorBidi"/>
          <w:sz w:val="48"/>
          <w:szCs w:val="48"/>
        </w:rPr>
        <w:t>Word Count: 2750</w:t>
      </w:r>
    </w:p>
    <w:p w14:paraId="35756ACA" w14:textId="77777777" w:rsidR="004B33A7" w:rsidRDefault="004B33A7" w:rsidP="004B33A7">
      <w:pPr>
        <w:rPr>
          <w:rFonts w:asciiTheme="minorBidi" w:hAnsiTheme="minorBidi"/>
          <w:b/>
          <w:bCs/>
          <w:sz w:val="28"/>
          <w:szCs w:val="28"/>
        </w:rPr>
      </w:pPr>
    </w:p>
    <w:p w14:paraId="1EBD9108" w14:textId="77777777" w:rsidR="004B33A7" w:rsidRDefault="004B33A7" w:rsidP="004B33A7">
      <w:pPr>
        <w:rPr>
          <w:rFonts w:asciiTheme="minorBidi" w:hAnsiTheme="minorBidi"/>
          <w:b/>
          <w:bCs/>
          <w:sz w:val="28"/>
          <w:szCs w:val="28"/>
        </w:rPr>
      </w:pPr>
    </w:p>
    <w:p w14:paraId="46D95522" w14:textId="77777777" w:rsidR="004B33A7" w:rsidRDefault="004B33A7" w:rsidP="004B33A7">
      <w:pPr>
        <w:rPr>
          <w:rFonts w:asciiTheme="minorBidi" w:hAnsiTheme="minorBidi"/>
          <w:b/>
          <w:bCs/>
          <w:sz w:val="28"/>
          <w:szCs w:val="28"/>
        </w:rPr>
      </w:pPr>
    </w:p>
    <w:p w14:paraId="1A6E0A87" w14:textId="77777777" w:rsidR="004B33A7" w:rsidRDefault="004B33A7" w:rsidP="004B33A7">
      <w:pPr>
        <w:rPr>
          <w:rFonts w:asciiTheme="minorBidi" w:hAnsiTheme="minorBidi"/>
          <w:b/>
          <w:bCs/>
          <w:sz w:val="28"/>
          <w:szCs w:val="28"/>
        </w:rPr>
      </w:pPr>
    </w:p>
    <w:p w14:paraId="4D780CE2" w14:textId="77777777" w:rsidR="004B33A7" w:rsidRDefault="004B33A7" w:rsidP="004B33A7">
      <w:pPr>
        <w:rPr>
          <w:rFonts w:asciiTheme="minorBidi" w:hAnsiTheme="minorBidi"/>
          <w:b/>
          <w:bCs/>
          <w:sz w:val="28"/>
          <w:szCs w:val="28"/>
        </w:rPr>
      </w:pPr>
    </w:p>
    <w:p w14:paraId="54CC7B10" w14:textId="77777777" w:rsidR="004B33A7" w:rsidRDefault="004B33A7" w:rsidP="004B33A7">
      <w:pPr>
        <w:rPr>
          <w:rFonts w:asciiTheme="minorBidi" w:hAnsiTheme="minorBidi"/>
          <w:b/>
          <w:bCs/>
          <w:sz w:val="28"/>
          <w:szCs w:val="28"/>
        </w:rPr>
      </w:pPr>
    </w:p>
    <w:p w14:paraId="19F056A0" w14:textId="77777777" w:rsidR="00874814" w:rsidRDefault="00874814" w:rsidP="004B33A7">
      <w:pPr>
        <w:rPr>
          <w:rFonts w:asciiTheme="minorBidi" w:hAnsiTheme="minorBidi"/>
          <w:b/>
          <w:bCs/>
          <w:sz w:val="28"/>
          <w:szCs w:val="28"/>
        </w:rPr>
      </w:pPr>
    </w:p>
    <w:p w14:paraId="59737CA7" w14:textId="481CF503" w:rsidR="004B33A7" w:rsidRPr="004B33A7" w:rsidRDefault="004B33A7" w:rsidP="004B33A7">
      <w:pPr>
        <w:rPr>
          <w:rFonts w:asciiTheme="minorBidi" w:hAnsiTheme="minorBidi"/>
          <w:sz w:val="28"/>
          <w:szCs w:val="28"/>
        </w:rPr>
      </w:pPr>
      <w:r w:rsidRPr="004B33A7">
        <w:rPr>
          <w:rFonts w:asciiTheme="minorBidi" w:hAnsiTheme="minorBidi"/>
          <w:b/>
          <w:bCs/>
          <w:sz w:val="28"/>
          <w:szCs w:val="28"/>
          <w:u w:val="single"/>
        </w:rPr>
        <w:lastRenderedPageBreak/>
        <w:t>AI Acknowledgement  </w:t>
      </w:r>
      <w:r w:rsidRPr="004B33A7">
        <w:rPr>
          <w:rFonts w:asciiTheme="minorBidi" w:hAnsiTheme="minorBidi"/>
          <w:sz w:val="28"/>
          <w:szCs w:val="28"/>
        </w:rPr>
        <w:t> </w:t>
      </w:r>
    </w:p>
    <w:p w14:paraId="6F586E49" w14:textId="2EE19EFE" w:rsidR="004B33A7" w:rsidRPr="004B33A7" w:rsidRDefault="004B33A7" w:rsidP="004B33A7">
      <w:pPr>
        <w:rPr>
          <w:rFonts w:asciiTheme="minorBidi" w:hAnsiTheme="minorBidi"/>
          <w:sz w:val="24"/>
          <w:szCs w:val="24"/>
        </w:rPr>
      </w:pPr>
      <w:r w:rsidRPr="004B33A7">
        <w:rPr>
          <w:rFonts w:asciiTheme="minorBidi" w:hAnsiTheme="minorBidi"/>
          <w:sz w:val="24"/>
          <w:szCs w:val="24"/>
        </w:rPr>
        <w:t> I confirm that I have not used any AI tools in the research and creation of this assignment.  </w:t>
      </w:r>
    </w:p>
    <w:p w14:paraId="2E8BD4F7" w14:textId="77777777" w:rsidR="004B33A7" w:rsidRPr="004B33A7" w:rsidRDefault="004B33A7" w:rsidP="004B33A7">
      <w:pPr>
        <w:rPr>
          <w:rFonts w:asciiTheme="minorBidi" w:hAnsiTheme="minorBidi"/>
          <w:sz w:val="24"/>
          <w:szCs w:val="24"/>
        </w:rPr>
      </w:pPr>
      <w:r w:rsidRPr="004B33A7">
        <w:rPr>
          <w:rFonts w:asciiTheme="minorBidi" w:hAnsiTheme="minorBidi"/>
          <w:sz w:val="24"/>
          <w:szCs w:val="24"/>
        </w:rPr>
        <w:t>I confirm that I have not presented any AI generated materials as my own work.  </w:t>
      </w:r>
    </w:p>
    <w:p w14:paraId="4575D7AE" w14:textId="77777777" w:rsidR="004B33A7" w:rsidRPr="004B33A7" w:rsidRDefault="004B33A7" w:rsidP="004B33A7">
      <w:pPr>
        <w:rPr>
          <w:rFonts w:asciiTheme="minorBidi" w:hAnsiTheme="minorBidi"/>
          <w:sz w:val="24"/>
          <w:szCs w:val="24"/>
        </w:rPr>
      </w:pPr>
      <w:r w:rsidRPr="004B33A7">
        <w:rPr>
          <w:rFonts w:asciiTheme="minorBidi" w:hAnsiTheme="minorBidi"/>
          <w:sz w:val="24"/>
          <w:szCs w:val="24"/>
        </w:rPr>
        <w:t>I confirm that I have copies of my drafts, notes, and other resources I used, which I may be asked to provide in evidence. </w:t>
      </w:r>
    </w:p>
    <w:p w14:paraId="53A1B4B3" w14:textId="77777777" w:rsidR="00E317BF" w:rsidRDefault="00E317BF" w:rsidP="005571B7">
      <w:pPr>
        <w:rPr>
          <w:rFonts w:asciiTheme="minorBidi" w:hAnsiTheme="minorBidi"/>
          <w:sz w:val="24"/>
          <w:szCs w:val="24"/>
        </w:rPr>
      </w:pPr>
    </w:p>
    <w:p w14:paraId="54B6F891" w14:textId="674B6D01" w:rsidR="005571B7" w:rsidRPr="005571B7" w:rsidRDefault="005571B7" w:rsidP="005571B7">
      <w:pPr>
        <w:rPr>
          <w:rFonts w:asciiTheme="minorBidi" w:hAnsiTheme="minorBidi"/>
          <w:b/>
          <w:bCs/>
          <w:sz w:val="28"/>
          <w:szCs w:val="28"/>
          <w:u w:val="single"/>
        </w:rPr>
      </w:pPr>
      <w:r w:rsidRPr="005571B7">
        <w:rPr>
          <w:rFonts w:asciiTheme="minorBidi" w:hAnsiTheme="minorBidi"/>
          <w:b/>
          <w:bCs/>
          <w:sz w:val="28"/>
          <w:szCs w:val="28"/>
          <w:u w:val="single"/>
        </w:rPr>
        <w:t xml:space="preserve">Learning Support Report </w:t>
      </w:r>
      <w:r>
        <w:rPr>
          <w:rFonts w:asciiTheme="minorBidi" w:hAnsiTheme="minorBidi"/>
          <w:b/>
          <w:bCs/>
          <w:sz w:val="28"/>
          <w:szCs w:val="28"/>
          <w:u w:val="single"/>
        </w:rPr>
        <w:t xml:space="preserve">- </w:t>
      </w:r>
      <w:r w:rsidRPr="005571B7">
        <w:rPr>
          <w:rFonts w:asciiTheme="minorBidi" w:hAnsiTheme="minorBidi"/>
          <w:b/>
          <w:bCs/>
          <w:sz w:val="28"/>
          <w:szCs w:val="28"/>
          <w:u w:val="single"/>
        </w:rPr>
        <w:t xml:space="preserve">Part 1 </w:t>
      </w:r>
    </w:p>
    <w:p w14:paraId="78501584" w14:textId="77777777" w:rsidR="00942CAC" w:rsidRPr="0057001A" w:rsidRDefault="00942CAC" w:rsidP="00942CAC">
      <w:pPr>
        <w:spacing w:line="360" w:lineRule="auto"/>
        <w:rPr>
          <w:rFonts w:ascii="Arial" w:hAnsi="Arial" w:cs="Arial"/>
          <w:sz w:val="24"/>
          <w:szCs w:val="24"/>
        </w:rPr>
      </w:pPr>
      <w:r w:rsidRPr="0057001A">
        <w:rPr>
          <w:rFonts w:ascii="Arial" w:hAnsi="Arial" w:cs="Arial"/>
          <w:sz w:val="24"/>
          <w:szCs w:val="24"/>
        </w:rPr>
        <w:t>Inclusive education is a central priority within Welsh post-compulsory education and training (PCET), where widening participation and increasingly diverse learner populations require equitable, responsive and evidence-informed provision (MEDR, 2025; HESA, 2026). This aligns with national ambitions for a fair, inclusive and sustainable education system (Welsh Government, 2023; OECD, 2021). Practitioners across further education (FE), work-based learning and higher education (HE) must accommodate a broad spectrum of Additional Learning Needs (ALN), disabilities and complex learner profiles, reflecting sector-wide commitments to widening participation (HEFCW, 2022). This requires understanding individual needs alongside critical engagement with the legal, regulatory and policy frameworks shaping inclusive practice.</w:t>
      </w:r>
    </w:p>
    <w:p w14:paraId="01B7F5FA" w14:textId="193BAA6C" w:rsidR="00962CCE" w:rsidRDefault="00887CF4" w:rsidP="00942CAC">
      <w:pPr>
        <w:spacing w:line="360" w:lineRule="auto"/>
        <w:rPr>
          <w:rFonts w:ascii="Arial" w:hAnsi="Arial" w:cs="Arial"/>
          <w:sz w:val="24"/>
          <w:szCs w:val="24"/>
        </w:rPr>
      </w:pPr>
      <w:r w:rsidRPr="00887CF4">
        <w:rPr>
          <w:rFonts w:ascii="Arial" w:hAnsi="Arial" w:cs="Arial"/>
          <w:sz w:val="24"/>
          <w:szCs w:val="24"/>
        </w:rPr>
        <w:t>M</w:t>
      </w:r>
      <w:r w:rsidR="00894A10">
        <w:rPr>
          <w:rFonts w:ascii="Arial" w:hAnsi="Arial" w:cs="Arial"/>
          <w:sz w:val="24"/>
          <w:szCs w:val="24"/>
        </w:rPr>
        <w:t>EDR</w:t>
      </w:r>
      <w:r w:rsidRPr="00887CF4">
        <w:rPr>
          <w:rFonts w:ascii="Arial" w:hAnsi="Arial" w:cs="Arial"/>
          <w:sz w:val="24"/>
          <w:szCs w:val="24"/>
        </w:rPr>
        <w:t xml:space="preserve"> is intended to oversee funding, performance and national priorities across post-compulsory education and training (PCET) (MEDR, 2025)</w:t>
      </w:r>
      <w:r w:rsidR="00962CCE">
        <w:rPr>
          <w:rFonts w:ascii="Arial" w:hAnsi="Arial" w:cs="Arial"/>
          <w:sz w:val="24"/>
          <w:szCs w:val="24"/>
        </w:rPr>
        <w:t xml:space="preserve"> </w:t>
      </w:r>
      <w:r w:rsidRPr="00887CF4">
        <w:rPr>
          <w:rFonts w:ascii="Arial" w:hAnsi="Arial" w:cs="Arial"/>
          <w:sz w:val="24"/>
          <w:szCs w:val="24"/>
        </w:rPr>
        <w:t>but does not undertake inspection. Instead, quality assurance in further education and work-based learning is carried out by Estyn (Estyn, 2023). This division of roles reflects the multi-layered governance of Welsh education, where accountability for inclusion is distributed across policy, regulatory and inspection frameworks, including the Additional Learning Needs and Education Tribunal (Wales) Act 2018. While intended to strengthen oversight, this complexity can create challenges in achieving consistent inclusive practice (Norwich, 2014; Riddell and Weedon, 2014; Estyn, 2023).</w:t>
      </w:r>
    </w:p>
    <w:p w14:paraId="125DF41D" w14:textId="4871F82A" w:rsidR="00942CAC" w:rsidRPr="0057001A" w:rsidRDefault="00942CAC" w:rsidP="00942CAC">
      <w:pPr>
        <w:spacing w:line="360" w:lineRule="auto"/>
        <w:rPr>
          <w:rFonts w:ascii="Arial" w:hAnsi="Arial" w:cs="Arial"/>
          <w:sz w:val="24"/>
          <w:szCs w:val="24"/>
        </w:rPr>
      </w:pPr>
      <w:r w:rsidRPr="0057001A">
        <w:rPr>
          <w:rFonts w:ascii="Arial" w:hAnsi="Arial" w:cs="Arial"/>
          <w:sz w:val="24"/>
          <w:szCs w:val="24"/>
        </w:rPr>
        <w:t xml:space="preserve">The Additional Learning Needs and Education Tribunal (Wales) Act 2018 introduced a unified ALN system for learners aged 0–25, replacing the previous SEN framework and establishing Individual Development Plans (IDPs) to support continuity across </w:t>
      </w:r>
      <w:r w:rsidRPr="0057001A">
        <w:rPr>
          <w:rFonts w:ascii="Arial" w:hAnsi="Arial" w:cs="Arial"/>
          <w:sz w:val="24"/>
          <w:szCs w:val="24"/>
        </w:rPr>
        <w:lastRenderedPageBreak/>
        <w:t xml:space="preserve">transitions (Welsh Government, 2018; Welsh Government, 2021a). The ALN Code (2021) reinforces early identification, multi-agency collaboration and person-centred planning, reflecting a rights-based approach aligned with Article 24 of the Convention on the Rights of Persons with Disabilities (Office of the High Commissioner for Human Rights (OHCHR), 2006) and UNESCO principles (UNESCO, 2020). Although the ALN system does not extend formally into higher education, its principles influence inclusive practice within Welsh </w:t>
      </w:r>
      <w:r w:rsidR="002C10D2">
        <w:rPr>
          <w:rFonts w:ascii="Arial" w:hAnsi="Arial" w:cs="Arial"/>
          <w:sz w:val="24"/>
          <w:szCs w:val="24"/>
        </w:rPr>
        <w:t>universities</w:t>
      </w:r>
      <w:r w:rsidRPr="0057001A">
        <w:rPr>
          <w:rFonts w:ascii="Arial" w:hAnsi="Arial" w:cs="Arial"/>
          <w:sz w:val="24"/>
          <w:szCs w:val="24"/>
        </w:rPr>
        <w:t>, where support is delivered through reasonable adjustments under the Equality Act 2010 (Universities Wales, 2020; Equality and Human Rights Commission (EHRC), 2022). However, the absence of a statutory ALN framework in HE creates inconsistencies in provision and accountability (HEFCW, 2021), reflecting broader structural differences between FE and HE (Riddell and Weedon, 2014). This highlights a tension between policy aspirations for continuity and uneven support across sectors, aligning with the social model of disability (Oliver, 1990) and inclusive pedagogy, which emphasise proactive design (Florian and Black-Hawkins, 2011; Hockings, 2010).</w:t>
      </w:r>
    </w:p>
    <w:p w14:paraId="396AC96A" w14:textId="77777777" w:rsidR="00942CAC" w:rsidRPr="0057001A" w:rsidRDefault="00942CAC" w:rsidP="00942CAC">
      <w:pPr>
        <w:spacing w:line="360" w:lineRule="auto"/>
        <w:rPr>
          <w:rFonts w:ascii="Arial" w:hAnsi="Arial" w:cs="Arial"/>
          <w:sz w:val="24"/>
          <w:szCs w:val="24"/>
        </w:rPr>
      </w:pPr>
      <w:r w:rsidRPr="0057001A">
        <w:rPr>
          <w:rFonts w:ascii="Arial" w:hAnsi="Arial" w:cs="Arial"/>
          <w:sz w:val="24"/>
          <w:szCs w:val="24"/>
        </w:rPr>
        <w:t>Learner agency is central to ALN reforms. Involving learners in decision-making promotes autonomy, particularly in HE where responsibility for accessing support shifts to the individual (Madriaga et al., 2010; Waterfield and West, 2006). However, implementation remains inconsistent. Norwich (2014) argues that policy is often aspirational, while Riddell and Weedon (2014) highlight structural and resource constraints. Estyn (2023) similarly reports variability in staff confidence. This demonstrates that inclusion depends on institutional capacity, practitioner expertise and organisational culture (Hodkinson, 2019; Fuller et al., 2004). The Equality Act 2010 identifies nine protected characteristics (UK Government, 2010), and learners with ALN may experience compounded disadvantage where disability intersects with socio-economic background, ethnicity or gender (Crenshaw, 1989; Collins and Bilge, 2016; ECU, 2017).</w:t>
      </w:r>
    </w:p>
    <w:p w14:paraId="50BDA8EB" w14:textId="77777777" w:rsidR="00942CAC" w:rsidRPr="0057001A" w:rsidRDefault="00942CAC" w:rsidP="00942CAC">
      <w:pPr>
        <w:spacing w:line="360" w:lineRule="auto"/>
        <w:rPr>
          <w:rFonts w:ascii="Arial" w:hAnsi="Arial" w:cs="Arial"/>
          <w:sz w:val="24"/>
          <w:szCs w:val="24"/>
        </w:rPr>
      </w:pPr>
      <w:r w:rsidRPr="0057001A">
        <w:rPr>
          <w:rFonts w:ascii="Arial" w:hAnsi="Arial" w:cs="Arial"/>
          <w:sz w:val="24"/>
          <w:szCs w:val="24"/>
        </w:rPr>
        <w:t xml:space="preserve">Institutions must make reasonable adjustments, including accessible materials, assistive technology and flexible assessment (Gravells, 2012; Higher Education Funding Council for England (HEFCE), 2015). However, this approach is often reactive, relying on disclosure and placing responsibility on learners (Riddell and Weedon, 2014; Shakespeare, 2018; Brown and Leigh, 2018). Compliance alone is insufficient. While the Public Sector Equality Duty requires advancing equality </w:t>
      </w:r>
      <w:r w:rsidRPr="0057001A">
        <w:rPr>
          <w:rFonts w:ascii="Arial" w:hAnsi="Arial" w:cs="Arial"/>
          <w:sz w:val="24"/>
          <w:szCs w:val="24"/>
        </w:rPr>
        <w:lastRenderedPageBreak/>
        <w:t xml:space="preserve">(Equality and Human Rights Commission (EHRC), 2021), achieving equity requires differentiated provision (Warwick-Booth, 2019). Over-reliance on individual adjustments risks reproducing inequality and limiting proactive, universally designed learning environments (Advance HE, 2024a; CAST, 2018). Although the Well-being of Future Generations (Wales) Act 2015 and the UNCRPD position inclusion as social justice (Office of the High Commissioner for Human Rights (OHCHR), 2006; Welsh Government, 2025), disabled learners continue to experience fragmented support and poorer outcomes, particularly at transition points (Riddell et al., 2007; Carroll and </w:t>
      </w:r>
      <w:proofErr w:type="spellStart"/>
      <w:r w:rsidRPr="0057001A">
        <w:rPr>
          <w:rFonts w:ascii="Arial" w:hAnsi="Arial" w:cs="Arial"/>
          <w:sz w:val="24"/>
          <w:szCs w:val="24"/>
        </w:rPr>
        <w:t>Dockrell</w:t>
      </w:r>
      <w:proofErr w:type="spellEnd"/>
      <w:r w:rsidRPr="0057001A">
        <w:rPr>
          <w:rFonts w:ascii="Arial" w:hAnsi="Arial" w:cs="Arial"/>
          <w:sz w:val="24"/>
          <w:szCs w:val="24"/>
        </w:rPr>
        <w:t>, 2012; UCAS, 2023). This suggests that legislative protection alone does not guarantee meaningful inclusion in practice.</w:t>
      </w:r>
    </w:p>
    <w:p w14:paraId="17062F2B" w14:textId="77777777" w:rsidR="00942CAC" w:rsidRPr="0057001A" w:rsidRDefault="00942CAC" w:rsidP="00942CAC">
      <w:pPr>
        <w:spacing w:line="360" w:lineRule="auto"/>
        <w:rPr>
          <w:rFonts w:ascii="Arial" w:hAnsi="Arial" w:cs="Arial"/>
          <w:sz w:val="24"/>
          <w:szCs w:val="24"/>
        </w:rPr>
      </w:pPr>
      <w:r w:rsidRPr="0057001A">
        <w:rPr>
          <w:rFonts w:ascii="Arial" w:hAnsi="Arial" w:cs="Arial"/>
          <w:sz w:val="24"/>
          <w:szCs w:val="24"/>
        </w:rPr>
        <w:t xml:space="preserve">Learners in PCET present with diverse, overlapping needs. Dyslexia affects literacy (Reid, 2016; </w:t>
      </w:r>
      <w:proofErr w:type="spellStart"/>
      <w:r w:rsidRPr="0057001A">
        <w:rPr>
          <w:rFonts w:ascii="Arial" w:hAnsi="Arial" w:cs="Arial"/>
          <w:sz w:val="24"/>
          <w:szCs w:val="24"/>
        </w:rPr>
        <w:t>Snowling</w:t>
      </w:r>
      <w:proofErr w:type="spellEnd"/>
      <w:r w:rsidRPr="0057001A">
        <w:rPr>
          <w:rFonts w:ascii="Arial" w:hAnsi="Arial" w:cs="Arial"/>
          <w:sz w:val="24"/>
          <w:szCs w:val="24"/>
        </w:rPr>
        <w:t xml:space="preserve">, 2019), ADHD impacts attention and executive functioning (Farrell, 2006; Jansen et al., 2017), and autism influences communication and sensory processing (Crane et al., 2021; Anderson et al., 2017; National Autistic Society (NAS), 2022). Mental health conditions affect engagement and persistence (Fernando, 2010; UCAS, 2023; Universities UK, 2020). These needs frequently co-occur, reinforcing the need for holistic, inclusive approaches (Florian and Black-Hawkins, 2011; Norwich, 2013). Research shows that unmet needs reduce attainment, while inclusive provision improves outcomes (Riddell et al., 2007; Pino and </w:t>
      </w:r>
      <w:proofErr w:type="spellStart"/>
      <w:r w:rsidRPr="0057001A">
        <w:rPr>
          <w:rFonts w:ascii="Arial" w:hAnsi="Arial" w:cs="Arial"/>
          <w:sz w:val="24"/>
          <w:szCs w:val="24"/>
        </w:rPr>
        <w:t>Mortari</w:t>
      </w:r>
      <w:proofErr w:type="spellEnd"/>
      <w:r w:rsidRPr="0057001A">
        <w:rPr>
          <w:rFonts w:ascii="Arial" w:hAnsi="Arial" w:cs="Arial"/>
          <w:sz w:val="24"/>
          <w:szCs w:val="24"/>
        </w:rPr>
        <w:t>, 2014; Thomas, 2021). Protective factors such as supportive relationships, inclusive teaching practices and belonging enhance participation (Barden and Caleb, 2019; Thomas, 2012). Educational resilience is therefore central to post-16 inclusion (Borrett, 2023; Ungar, 2018).</w:t>
      </w:r>
    </w:p>
    <w:p w14:paraId="634C3865" w14:textId="77777777" w:rsidR="00942CAC" w:rsidRPr="0057001A" w:rsidRDefault="00942CAC" w:rsidP="00942CAC">
      <w:pPr>
        <w:spacing w:line="360" w:lineRule="auto"/>
        <w:rPr>
          <w:rFonts w:ascii="Arial" w:hAnsi="Arial" w:cs="Arial"/>
          <w:sz w:val="24"/>
          <w:szCs w:val="24"/>
        </w:rPr>
      </w:pPr>
      <w:r w:rsidRPr="0057001A">
        <w:rPr>
          <w:rFonts w:ascii="Arial" w:hAnsi="Arial" w:cs="Arial"/>
          <w:sz w:val="24"/>
          <w:szCs w:val="24"/>
        </w:rPr>
        <w:t xml:space="preserve">Models of disability shape interpretations of need. The medical model locates difficulty within the individual, while the social model highlights systemic barriers (Swain and French, 2000; Shakespeare, 2018). Rights-based approaches position inclusion as entitlement (Office of the High Commissioner for Human Rights (OHCHR), 2006; UNESCO, 2020). In PCET, barriers often arise from inflexible curricula and inaccessible assessment (Oliver, 2013; Hockings, 2010). Neuro-affirming approaches further challenge deficit-based assumptions by recognising neurodivergence as natural variation, reframing difference as diversity and promoting strengths-based practice (Walker, 2021; Chapman, 2021; Kapp, 2020). Intersectionality further illuminates how structural inequalities shape progression </w:t>
      </w:r>
      <w:r w:rsidRPr="0057001A">
        <w:rPr>
          <w:rFonts w:ascii="Arial" w:hAnsi="Arial" w:cs="Arial"/>
          <w:sz w:val="24"/>
          <w:szCs w:val="24"/>
        </w:rPr>
        <w:lastRenderedPageBreak/>
        <w:t>(Archer et al., 2003; Riddell et al., 2007), while unconscious bias influences decision-making (Kirwan Institute, 2015; Advance HE, 2020). Inclusive practice must therefore recognise the complexity of learner experience rather than reducing need to a single category or diagnosis (Booth and Ainscow, 2011; Ainscow, 2020).</w:t>
      </w:r>
    </w:p>
    <w:p w14:paraId="7E1C683C" w14:textId="77777777" w:rsidR="00942CAC" w:rsidRPr="0057001A" w:rsidRDefault="00942CAC" w:rsidP="00942CAC">
      <w:pPr>
        <w:spacing w:line="360" w:lineRule="auto"/>
        <w:rPr>
          <w:rFonts w:ascii="Arial" w:hAnsi="Arial" w:cs="Arial"/>
          <w:sz w:val="24"/>
          <w:szCs w:val="24"/>
        </w:rPr>
      </w:pPr>
      <w:r w:rsidRPr="0057001A">
        <w:rPr>
          <w:rFonts w:ascii="Arial" w:hAnsi="Arial" w:cs="Arial"/>
          <w:sz w:val="24"/>
          <w:szCs w:val="24"/>
        </w:rPr>
        <w:t>Inclusive pedagogy responds proactively to learner diversity. Florian and Black-Hawkins (2011) emphasise extending learning opportunities to all learners, while Booth and Ainscow (2011) focus on identifying and removing barriers to participation. Effective inclusive strategies include scaffolded instruction, multimodal teaching and the use of assistive technologies (Petty, 2014; Reece and Walker, 2007; Jisc, 2022). Universal Design for Learning (UDL) further embeds flexibility through multiple means of engagement, representation and expression (Meyer et al., 2014; CAST, 2018). Foundational learning theories underpin inclusive practice: Vygotsky (1978) and Bruner (1966) highlight the importance of structured support, Maslow (1943) emphasises the role of wellbeing, and Bronfenbrenner (1979) recognises the influence of environmental systems. Bloom’s Taxonomy (Adams, 2015) supports progression through structured cognitive development.</w:t>
      </w:r>
    </w:p>
    <w:p w14:paraId="033B75CF" w14:textId="513A290A" w:rsidR="008B5A4C" w:rsidRPr="00942CAC" w:rsidRDefault="008B5A4C" w:rsidP="00942CAC">
      <w:pPr>
        <w:tabs>
          <w:tab w:val="left" w:pos="1260"/>
        </w:tabs>
        <w:rPr>
          <w:rFonts w:ascii="Arial" w:hAnsi="Arial" w:cs="Arial"/>
        </w:rPr>
      </w:pPr>
      <w:r w:rsidRPr="008B5A4C">
        <w:rPr>
          <w:rFonts w:ascii="Arial" w:hAnsi="Arial" w:cs="Arial"/>
          <w:b/>
          <w:bCs/>
          <w:sz w:val="24"/>
          <w:szCs w:val="24"/>
          <w:u w:val="single"/>
        </w:rPr>
        <w:t xml:space="preserve">Part 2 </w:t>
      </w:r>
    </w:p>
    <w:p w14:paraId="709B62EE" w14:textId="1475B8B3" w:rsidR="005C722E" w:rsidRPr="005B5120" w:rsidRDefault="005C722E" w:rsidP="00660C5A">
      <w:pPr>
        <w:spacing w:line="360" w:lineRule="auto"/>
        <w:rPr>
          <w:rFonts w:ascii="Arial" w:hAnsi="Arial" w:cs="Arial"/>
          <w:b/>
          <w:bCs/>
          <w:sz w:val="24"/>
          <w:szCs w:val="24"/>
        </w:rPr>
      </w:pPr>
      <w:r w:rsidRPr="005B5120">
        <w:rPr>
          <w:rFonts w:ascii="Arial" w:hAnsi="Arial" w:cs="Arial"/>
          <w:b/>
          <w:bCs/>
          <w:sz w:val="24"/>
          <w:szCs w:val="24"/>
        </w:rPr>
        <w:t>Scenario 1 – Iwan</w:t>
      </w:r>
    </w:p>
    <w:p w14:paraId="142F396D" w14:textId="517F7E7F"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 xml:space="preserve">As a lecturer in Inclusive Education within the Centre for Childhood, Youth and Education at UWTSD, I recognise that Iwan’s circumstances present both an immediate welfare concern and a significant barrier to his engagement with the programme. Financial hardship is a well-documented structural barrier to participation in higher education, disproportionately affecting students from lower </w:t>
      </w:r>
      <w:r w:rsidR="003F5210" w:rsidRPr="005B5120">
        <w:rPr>
          <w:rFonts w:ascii="Arial" w:hAnsi="Arial" w:cs="Arial"/>
          <w:sz w:val="24"/>
          <w:szCs w:val="24"/>
        </w:rPr>
        <w:t>socio-economic</w:t>
      </w:r>
      <w:r w:rsidRPr="005B5120">
        <w:rPr>
          <w:rFonts w:ascii="Arial" w:hAnsi="Arial" w:cs="Arial"/>
          <w:sz w:val="24"/>
          <w:szCs w:val="24"/>
        </w:rPr>
        <w:t xml:space="preserve"> backgrounds and </w:t>
      </w:r>
      <w:r w:rsidR="005B2848" w:rsidRPr="005B5120">
        <w:rPr>
          <w:rFonts w:ascii="Arial" w:hAnsi="Arial" w:cs="Arial"/>
          <w:sz w:val="24"/>
          <w:szCs w:val="24"/>
        </w:rPr>
        <w:t>first-generation</w:t>
      </w:r>
      <w:r w:rsidRPr="005B5120">
        <w:rPr>
          <w:rFonts w:ascii="Arial" w:hAnsi="Arial" w:cs="Arial"/>
          <w:sz w:val="24"/>
          <w:szCs w:val="24"/>
        </w:rPr>
        <w:t xml:space="preserve"> entrants (Archer, Hutchings and Ross, 2003; Callender and Mason, 2017). In Wales, these inequalities are particularly pronounced: 28% of the population lives in poverty, the highest rate of any UK nation (Bevan Foundation, 2023). HEFCW (2023) further reports that students from low participation Welsh postcodes are more likely to experience financial stress, reduced study time and lower continuation rates, demonstrating how structural inequality directly shapes educational outcomes and progression.</w:t>
      </w:r>
    </w:p>
    <w:p w14:paraId="72BAD2E7" w14:textId="77777777"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 xml:space="preserve">Within Inclusive Education programmes, where sustained reading, reflective writing and seminar-based discussion are central, financial precarity can significantly reduce </w:t>
      </w:r>
      <w:r w:rsidRPr="005B5120">
        <w:rPr>
          <w:rFonts w:ascii="Arial" w:hAnsi="Arial" w:cs="Arial"/>
          <w:sz w:val="24"/>
          <w:szCs w:val="24"/>
        </w:rPr>
        <w:lastRenderedPageBreak/>
        <w:t>cognitive capacity, study time and sense of belonging (Thomas, 2012). First generation students often experience reduced cultural capital and uncertainty navigating university systems (Reay, Crozier and Clayton, 2010), which may compound feelings of exclusion. Behavioural research also demonstrates that poverty reduces working memory and executive functioning, narrowing attention and impairing decision making (Mani et al., 2013). This provides a clear explanation for why Iwan is falling behind despite strong motivation, highlighting that his difficulties are not individual deficits but responses to structural pressures.</w:t>
      </w:r>
    </w:p>
    <w:p w14:paraId="0439CCA0" w14:textId="36B0E137" w:rsidR="005C722E" w:rsidRPr="005B5120" w:rsidRDefault="00664E87" w:rsidP="00660C5A">
      <w:pPr>
        <w:spacing w:line="360" w:lineRule="auto"/>
        <w:rPr>
          <w:rFonts w:ascii="Arial" w:hAnsi="Arial" w:cs="Arial"/>
          <w:sz w:val="24"/>
          <w:szCs w:val="24"/>
        </w:rPr>
      </w:pPr>
      <w:r w:rsidRPr="00664E87">
        <w:rPr>
          <w:rFonts w:ascii="Arial" w:hAnsi="Arial" w:cs="Arial"/>
          <w:sz w:val="24"/>
          <w:szCs w:val="24"/>
        </w:rPr>
        <w:t xml:space="preserve">My response must therefore be grounded in Welsh legislation and institutional frameworks. Under the Equality Act 2010 (UK Government, 2010), I have a duty to ensure Iwan is not placed at a substantial disadvantage. The Well-being of Future Generations (Wales) Act 2015 (Welsh Government, 2015) emphasises prevention, equity and long-term wellbeing, requiring public bodies to work towards a “more equal Wales.” UWTSD’s Strategic Equality Plan (2024–2028) (UWTSD, 2024a) reinforces institutional responsibility to remove barriers to participation, while HEFCW’s Widening Access Policy (2023) (HEFCW, 2023) prioritises support for learners from deprived Welsh </w:t>
      </w:r>
      <w:r w:rsidR="00942CAC" w:rsidRPr="00664E87">
        <w:rPr>
          <w:rFonts w:ascii="Arial" w:hAnsi="Arial" w:cs="Arial"/>
          <w:sz w:val="24"/>
          <w:szCs w:val="24"/>
        </w:rPr>
        <w:t>communities.</w:t>
      </w:r>
      <w:r w:rsidR="00942CAC" w:rsidRPr="005B5120">
        <w:rPr>
          <w:rFonts w:ascii="Arial" w:hAnsi="Arial" w:cs="Arial"/>
          <w:sz w:val="24"/>
          <w:szCs w:val="24"/>
        </w:rPr>
        <w:t xml:space="preserve"> These</w:t>
      </w:r>
      <w:r w:rsidR="005C722E" w:rsidRPr="005B5120">
        <w:rPr>
          <w:rFonts w:ascii="Arial" w:hAnsi="Arial" w:cs="Arial"/>
          <w:sz w:val="24"/>
          <w:szCs w:val="24"/>
        </w:rPr>
        <w:t xml:space="preserve"> frameworks collectively demonstrate that addressing financial hardship is central to inclusive practice.</w:t>
      </w:r>
    </w:p>
    <w:p w14:paraId="1AD9E258" w14:textId="7ED96A91" w:rsidR="005C722E" w:rsidRPr="005B5120" w:rsidRDefault="003C036D" w:rsidP="00660C5A">
      <w:pPr>
        <w:spacing w:line="360" w:lineRule="auto"/>
        <w:rPr>
          <w:rFonts w:ascii="Arial" w:hAnsi="Arial" w:cs="Arial"/>
          <w:sz w:val="24"/>
          <w:szCs w:val="24"/>
        </w:rPr>
      </w:pPr>
      <w:r w:rsidRPr="003C036D">
        <w:rPr>
          <w:rFonts w:ascii="Arial" w:hAnsi="Arial" w:cs="Arial"/>
          <w:sz w:val="24"/>
          <w:szCs w:val="24"/>
        </w:rPr>
        <w:t>My approach must also align with the Professional Standards Framework for Teaching and Supporting Learning in Higher Education (Advance HE, 2023). This requires a commitment to recognising the diverse circumstances of learners and actively reducing barriers to participation through inclusive and equitable practice. Responding to Iwan’s situation involves adapting teaching, assessment and support to enable meaningful engagement, while drawing on research-informed understanding of how financial hardship impacts cognition, participation and attainment. In doing so, I am enacting professional expectations to design inclusive learning environments, support student progression and make evidence-informed decisions that enhance student success.</w:t>
      </w:r>
      <w:r w:rsidR="00A369B1">
        <w:rPr>
          <w:rFonts w:ascii="Arial" w:hAnsi="Arial" w:cs="Arial"/>
          <w:sz w:val="24"/>
          <w:szCs w:val="24"/>
        </w:rPr>
        <w:t xml:space="preserve"> </w:t>
      </w:r>
      <w:r w:rsidR="005C722E" w:rsidRPr="005B5120">
        <w:rPr>
          <w:rFonts w:ascii="Arial" w:hAnsi="Arial" w:cs="Arial"/>
          <w:sz w:val="24"/>
          <w:szCs w:val="24"/>
        </w:rPr>
        <w:t xml:space="preserve">The Professional Standards for Teaching and Leadership (Welsh Government, 2023) require practitioners to demonstrate care, collaboration and a commitment to equity. Responding with empathy and professional curiosity aligns with these expectations. My approach would be </w:t>
      </w:r>
      <w:r w:rsidR="00A369B1" w:rsidRPr="005B5120">
        <w:rPr>
          <w:rFonts w:ascii="Arial" w:hAnsi="Arial" w:cs="Arial"/>
          <w:sz w:val="24"/>
          <w:szCs w:val="24"/>
        </w:rPr>
        <w:t>non-judgemental</w:t>
      </w:r>
      <w:r w:rsidR="005C722E" w:rsidRPr="005B5120">
        <w:rPr>
          <w:rFonts w:ascii="Arial" w:hAnsi="Arial" w:cs="Arial"/>
          <w:sz w:val="24"/>
          <w:szCs w:val="24"/>
        </w:rPr>
        <w:t xml:space="preserve"> and sensitive to the stigma associated with financial hardship (Barden and Caleb, 2019). I would explore whether he is experiencing food insecurity or </w:t>
      </w:r>
      <w:r w:rsidR="005C722E" w:rsidRPr="005B5120">
        <w:rPr>
          <w:rFonts w:ascii="Arial" w:hAnsi="Arial" w:cs="Arial"/>
          <w:sz w:val="24"/>
          <w:szCs w:val="24"/>
        </w:rPr>
        <w:lastRenderedPageBreak/>
        <w:t>housing instability, as unmet basic needs constitute a safeguarding concern and directly affect learning.</w:t>
      </w:r>
    </w:p>
    <w:p w14:paraId="33CD01CB" w14:textId="77777777"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With his consent, I would refer him to Student Services, including the Money Support Team, hardship funds and university Food Hubs. This aligns with Maslow’s (1943) hierarchy of needs, which positions physiological and safety needs as foundational. I would also encourage engagement with wellbeing services, as financial stress is strongly associated with anxiety and reduced concentration (Richardson, Elliott and Roberts, 2017).</w:t>
      </w:r>
    </w:p>
    <w:p w14:paraId="5ACA8895" w14:textId="77777777"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Pedagogically, I would adopt inclusive strategies informed by Universal Design for Learning (Meyer, Rose and Gordon, 2014) and inclusive pedagogy (Florian and Black Hawkins, 2011). Providing recorded lectures, structured resources and scaffolded tasks supports learners experiencing external pressures (Hockings, 2010). Breaking assignments into stages aligns with Vygotsky’s Zone of Proximal Development, while trauma informed principles emphasise predictability and relational safety (Carello and Butler, 2015).</w:t>
      </w:r>
    </w:p>
    <w:p w14:paraId="26E6B30B" w14:textId="77777777"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 xml:space="preserve">Externally, I would signpost organisations such as Citizens Advice Cymru, Turn2us and </w:t>
      </w:r>
      <w:proofErr w:type="spellStart"/>
      <w:r w:rsidRPr="005B5120">
        <w:rPr>
          <w:rFonts w:ascii="Arial" w:hAnsi="Arial" w:cs="Arial"/>
          <w:sz w:val="24"/>
          <w:szCs w:val="24"/>
        </w:rPr>
        <w:t>StepChange</w:t>
      </w:r>
      <w:proofErr w:type="spellEnd"/>
      <w:r w:rsidRPr="005B5120">
        <w:rPr>
          <w:rFonts w:ascii="Arial" w:hAnsi="Arial" w:cs="Arial"/>
          <w:sz w:val="24"/>
          <w:szCs w:val="24"/>
        </w:rPr>
        <w:t>. Overall, my approach is holistic, proactive and grounded in social justice, integrating Welsh policy, institutional processes and inclusive pedagogy to sustain Iwan’s engagement and success.</w:t>
      </w:r>
    </w:p>
    <w:p w14:paraId="7C58E22B" w14:textId="77777777" w:rsidR="005C722E" w:rsidRPr="005B5120" w:rsidRDefault="005C722E" w:rsidP="00660C5A">
      <w:pPr>
        <w:spacing w:line="360" w:lineRule="auto"/>
        <w:rPr>
          <w:rFonts w:ascii="Arial" w:hAnsi="Arial" w:cs="Arial"/>
          <w:b/>
          <w:bCs/>
          <w:sz w:val="24"/>
          <w:szCs w:val="24"/>
          <w:u w:val="single"/>
        </w:rPr>
      </w:pPr>
      <w:r w:rsidRPr="005B5120">
        <w:rPr>
          <w:rFonts w:ascii="Arial" w:hAnsi="Arial" w:cs="Arial"/>
          <w:b/>
          <w:bCs/>
          <w:sz w:val="24"/>
          <w:szCs w:val="24"/>
          <w:u w:val="single"/>
        </w:rPr>
        <w:t>Scenario 2 – Megan</w:t>
      </w:r>
    </w:p>
    <w:p w14:paraId="78E97830" w14:textId="77777777"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As a lecturer in Inclusive Education within the Centre for Childhood, Youth and Education at UWTSD, I recognise that Megan’s disclosure highlights potential barriers to participation, learning and wellbeing even before she begins the programme. Anxiety is one of the most prevalent mental health challenges among students in Wales, with 44% reporting symptoms that impact their studies (NUS Wales, 2023). Megan’s long-standing anxiety, difficulty speaking in groups and challenges mixing with new people may significantly affect her ability to engage in seminar-based discussion, collaborative tasks and reflective activities central to Inclusive Education programmes, potentially limiting her sense of belonging and participation.</w:t>
      </w:r>
    </w:p>
    <w:p w14:paraId="2FB4D149" w14:textId="77777777"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lastRenderedPageBreak/>
        <w:t>Her difficulties with concentration and maintaining attention, alongside possible dyslexia, indicate overlapping cognitive and emotional needs. A neurodiversity framework positions these differences as natural human variation rather than deficit (Armstrong, 2010; Doyle, 2020). A neuro affirming approach further emphasises validating Megan’s communication preferences and processing style as legitimate expressions of neurodivergence, challenging deficit-based interpretations and promoting psychological safety (Walker, 2021; Chapman, 2021). This aligns with the social model of disability, which locates barriers within educational environments rather than the learner (Shakespeare, 2018). Undiagnosed learners often experience heightened anxiety and difficulty accessing support (Madriaga et al., 2010), reinforcing the need for anticipatory provision.</w:t>
      </w:r>
    </w:p>
    <w:p w14:paraId="46CD9D22" w14:textId="4BBE3090" w:rsidR="005C722E" w:rsidRPr="005B5120" w:rsidRDefault="005E0765" w:rsidP="00660C5A">
      <w:pPr>
        <w:spacing w:line="360" w:lineRule="auto"/>
        <w:rPr>
          <w:rFonts w:ascii="Arial" w:hAnsi="Arial" w:cs="Arial"/>
          <w:sz w:val="24"/>
          <w:szCs w:val="24"/>
        </w:rPr>
      </w:pPr>
      <w:r w:rsidRPr="005E0765">
        <w:rPr>
          <w:rFonts w:ascii="Arial" w:hAnsi="Arial" w:cs="Arial"/>
          <w:sz w:val="24"/>
          <w:szCs w:val="24"/>
        </w:rPr>
        <w:t>Under the Equality Act 2010 (UK Government, 2010), UWTSD has an anticipatory duty to remove barriers before disadvantage occurs. The Well-being of Future Generations (Wales) Act 2015 (Welsh Government, 2015) emphasises prevention and equity, while UWTSD’s Strategic Equality Plan (2024–2028) (UWTSD, 2024a–d) promotes inclusive practice and early intervention.</w:t>
      </w:r>
      <w:r w:rsidR="00254A83">
        <w:rPr>
          <w:rFonts w:ascii="Arial" w:hAnsi="Arial" w:cs="Arial"/>
          <w:sz w:val="24"/>
          <w:szCs w:val="24"/>
        </w:rPr>
        <w:t xml:space="preserve"> </w:t>
      </w:r>
      <w:r w:rsidR="005C722E" w:rsidRPr="005B5120">
        <w:rPr>
          <w:rFonts w:ascii="Arial" w:hAnsi="Arial" w:cs="Arial"/>
          <w:sz w:val="24"/>
          <w:szCs w:val="24"/>
        </w:rPr>
        <w:t>The Welsh Professional Standards (2023) further emphasise care and learner wellbeing.</w:t>
      </w:r>
    </w:p>
    <w:p w14:paraId="5912035B" w14:textId="77777777"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My approach must also reflect the Professional Standards Framework for Teaching and Supporting Learning in Higher Education (Advance HE, 2023). This involves creating supportive and inclusive learning environments that recognise and respond to diverse learner needs, particularly where anxiety and neurodivergence may affect participation. Designing flexible approaches to engagement, such as multiple modes of participation, demonstrates a commitment to inclusive curriculum design, while drawing on research into neurodiversity and cognitive load supports informed pedagogical decision-making. Facilitating early access to support services further reflects my responsibility to enable student success and foster a sense of belonging within the learning environment.</w:t>
      </w:r>
    </w:p>
    <w:p w14:paraId="2317AA61" w14:textId="5AC1B25F"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I would respond sensitively and refer Megan to Student Services, including Learning Support and Disability Services for screening and DSA guidance. Early support improves confidence and retention (Thomas, 2012). I would also signpost</w:t>
      </w:r>
      <w:r w:rsidR="00BD0F13">
        <w:rPr>
          <w:rFonts w:ascii="Arial" w:hAnsi="Arial" w:cs="Arial"/>
          <w:sz w:val="24"/>
          <w:szCs w:val="24"/>
        </w:rPr>
        <w:t xml:space="preserve"> student</w:t>
      </w:r>
      <w:r w:rsidRPr="005B5120">
        <w:rPr>
          <w:rFonts w:ascii="Arial" w:hAnsi="Arial" w:cs="Arial"/>
          <w:sz w:val="24"/>
          <w:szCs w:val="24"/>
        </w:rPr>
        <w:t xml:space="preserve"> wellbeing services and external organisations such as Mind Cymru and Student Minds.</w:t>
      </w:r>
    </w:p>
    <w:p w14:paraId="5CA691A8" w14:textId="4BB9C015" w:rsidR="005C722E" w:rsidRPr="005B5120" w:rsidRDefault="00810BCD" w:rsidP="00660C5A">
      <w:pPr>
        <w:spacing w:line="360" w:lineRule="auto"/>
        <w:rPr>
          <w:rFonts w:ascii="Arial" w:hAnsi="Arial" w:cs="Arial"/>
          <w:sz w:val="24"/>
          <w:szCs w:val="24"/>
        </w:rPr>
      </w:pPr>
      <w:r w:rsidRPr="00810BCD">
        <w:rPr>
          <w:rFonts w:ascii="Arial" w:hAnsi="Arial" w:cs="Arial"/>
          <w:sz w:val="24"/>
          <w:szCs w:val="24"/>
        </w:rPr>
        <w:lastRenderedPageBreak/>
        <w:t>Pedagogically, I would adopt UDL (Meyer et al., 2014), offering multiple participation methods such as written responses, small groups and online forums. Structured delivery and advance materials reduce cognitive load (</w:t>
      </w:r>
      <w:proofErr w:type="spellStart"/>
      <w:r w:rsidRPr="00810BCD">
        <w:rPr>
          <w:rFonts w:ascii="Arial" w:hAnsi="Arial" w:cs="Arial"/>
          <w:sz w:val="24"/>
          <w:szCs w:val="24"/>
        </w:rPr>
        <w:t>Sweller</w:t>
      </w:r>
      <w:proofErr w:type="spellEnd"/>
      <w:r w:rsidRPr="00810BCD">
        <w:rPr>
          <w:rFonts w:ascii="Arial" w:hAnsi="Arial" w:cs="Arial"/>
          <w:sz w:val="24"/>
          <w:szCs w:val="24"/>
        </w:rPr>
        <w:t xml:space="preserve">, 2011). Accessible practices should be implemented without waiting for diagnosis (Pino and </w:t>
      </w:r>
      <w:proofErr w:type="spellStart"/>
      <w:r w:rsidRPr="00810BCD">
        <w:rPr>
          <w:rFonts w:ascii="Arial" w:hAnsi="Arial" w:cs="Arial"/>
          <w:sz w:val="24"/>
          <w:szCs w:val="24"/>
        </w:rPr>
        <w:t>Mortari</w:t>
      </w:r>
      <w:proofErr w:type="spellEnd"/>
      <w:r w:rsidRPr="00810BCD">
        <w:rPr>
          <w:rFonts w:ascii="Arial" w:hAnsi="Arial" w:cs="Arial"/>
          <w:sz w:val="24"/>
          <w:szCs w:val="24"/>
        </w:rPr>
        <w:t>, 2014). This aligns with Vygotsky’s (1978) social constructivist theory and Bloom’s revised taxonomy (Anderson and Krathwohl, 2001)</w:t>
      </w:r>
      <w:r w:rsidR="00C41EF0">
        <w:rPr>
          <w:rFonts w:ascii="Arial" w:hAnsi="Arial" w:cs="Arial"/>
          <w:sz w:val="24"/>
          <w:szCs w:val="24"/>
        </w:rPr>
        <w:t xml:space="preserve">. </w:t>
      </w:r>
      <w:r w:rsidR="005C722E" w:rsidRPr="005B5120">
        <w:rPr>
          <w:rFonts w:ascii="Arial" w:hAnsi="Arial" w:cs="Arial"/>
          <w:sz w:val="24"/>
          <w:szCs w:val="24"/>
        </w:rPr>
        <w:t>However, reliance on self-advocacy may disadvantage students with anxiety, highlighting tensions between inclusive ideals and institutional systems (Riddell and Weedon, 2014). Without systemic change, barriers may persist despite inclusive practice.</w:t>
      </w:r>
    </w:p>
    <w:p w14:paraId="7D2ECBEB" w14:textId="77777777"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Overall, my approach is proactive, inclusive and student centred, embedding support within both teaching and institutional practice (Thomas, 2012; Kahu and Nelson, 2018).</w:t>
      </w:r>
    </w:p>
    <w:p w14:paraId="6EF730F0" w14:textId="77777777" w:rsidR="005C722E" w:rsidRPr="005B5120" w:rsidRDefault="005C722E" w:rsidP="00660C5A">
      <w:pPr>
        <w:spacing w:line="360" w:lineRule="auto"/>
        <w:rPr>
          <w:rFonts w:ascii="Arial" w:hAnsi="Arial" w:cs="Arial"/>
          <w:b/>
          <w:bCs/>
          <w:sz w:val="24"/>
          <w:szCs w:val="24"/>
          <w:u w:val="single"/>
        </w:rPr>
      </w:pPr>
      <w:r w:rsidRPr="005B5120">
        <w:rPr>
          <w:rFonts w:ascii="Arial" w:hAnsi="Arial" w:cs="Arial"/>
          <w:b/>
          <w:bCs/>
          <w:sz w:val="24"/>
          <w:szCs w:val="24"/>
          <w:u w:val="single"/>
        </w:rPr>
        <w:t>Scenario 3 – Dafydd</w:t>
      </w:r>
    </w:p>
    <w:p w14:paraId="1C1D67EB" w14:textId="77777777"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 xml:space="preserve">As a lecturer in Inclusive Education within the Centre for Childhood, Youth and Education at UWTSD, I recognise that Dafydd’s cerebral palsy, partial sight and fatigue may create barriers to participation, access and assessment unless support is proactively planned. I adopt a </w:t>
      </w:r>
      <w:proofErr w:type="gramStart"/>
      <w:r w:rsidRPr="005B5120">
        <w:rPr>
          <w:rFonts w:ascii="Arial" w:hAnsi="Arial" w:cs="Arial"/>
          <w:sz w:val="24"/>
          <w:szCs w:val="24"/>
        </w:rPr>
        <w:t>rights</w:t>
      </w:r>
      <w:proofErr w:type="gramEnd"/>
      <w:r w:rsidRPr="005B5120">
        <w:rPr>
          <w:rFonts w:ascii="Arial" w:hAnsi="Arial" w:cs="Arial"/>
          <w:sz w:val="24"/>
          <w:szCs w:val="24"/>
        </w:rPr>
        <w:t xml:space="preserve"> based, non-deficit perspective, drawing on the social model of disability, which locates barriers within environments rather than individuals (Shakespeare, 2018). This aligns with Welsh Government commitments to equity and participation.</w:t>
      </w:r>
    </w:p>
    <w:p w14:paraId="2F28583F" w14:textId="76EB9183" w:rsidR="005C722E" w:rsidRPr="005B5120" w:rsidRDefault="003733AB" w:rsidP="00660C5A">
      <w:pPr>
        <w:spacing w:line="360" w:lineRule="auto"/>
        <w:rPr>
          <w:rFonts w:ascii="Arial" w:hAnsi="Arial" w:cs="Arial"/>
          <w:sz w:val="24"/>
          <w:szCs w:val="24"/>
        </w:rPr>
      </w:pPr>
      <w:r w:rsidRPr="003733AB">
        <w:rPr>
          <w:rFonts w:ascii="Arial" w:hAnsi="Arial" w:cs="Arial"/>
          <w:sz w:val="24"/>
          <w:szCs w:val="24"/>
        </w:rPr>
        <w:t>Under the Equality Act 2010 (UK Government, 2010), UWTSD has an anticipatory duty to make reasonable adjustments. The Well-being of Future Generations (Wales) Act 2015 (Welsh Government, 2015) reinforces this by emphasising prevention and long-term wellbeing. UWTSD’s Strategic Equality Plan (2024–2028) and Accessibility policies promote proactive inclusion (UWTSD, 2024a–d), while the Professional Standards for Teaching and Leadership emphasise care and equity (Welsh Government, 2023).</w:t>
      </w:r>
    </w:p>
    <w:p w14:paraId="39CE335E" w14:textId="77777777"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 xml:space="preserve">My approach must also reflect the Professional Standards Framework for Teaching and Supporting Learning in Higher Education (Advance HE, 2023). This involves proactively designing accessible learning environments and anticipating barriers that may affect participation, rather than responding only after difficulties arise. Embedding inclusive pedagogical approaches ensures that teaching, learning and </w:t>
      </w:r>
      <w:r w:rsidRPr="005B5120">
        <w:rPr>
          <w:rFonts w:ascii="Arial" w:hAnsi="Arial" w:cs="Arial"/>
          <w:sz w:val="24"/>
          <w:szCs w:val="24"/>
        </w:rPr>
        <w:lastRenderedPageBreak/>
        <w:t>assessment are accessible to all students, while maintaining academic standards. Supporting Dafydd’s autonomy and independence reflects a commitment to respecting learners as individuals, while applying evidence-informed strategies ensures that adjustments are both appropriate and effective in enabling full participation.</w:t>
      </w:r>
    </w:p>
    <w:p w14:paraId="369565C1" w14:textId="77777777"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My initial approach would be a supportive discussion, acknowledging Dafydd’s desire for independence. With consent, I would refer him to Student Services, including Learning Support and Disability Services, and support access to Disabled Students’ Allowance (DSA) for assistive technologies such as voice to text and screen magnification (McNicholl et al., 2021).</w:t>
      </w:r>
    </w:p>
    <w:p w14:paraId="1C6D7754" w14:textId="77777777"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 xml:space="preserve">At an institutional level, I would ensure accessible environments and consider fatigue, a commonly overlooked aspect of cerebral palsy (Seyhan </w:t>
      </w:r>
      <w:proofErr w:type="spellStart"/>
      <w:r w:rsidRPr="005B5120">
        <w:rPr>
          <w:rFonts w:ascii="Arial" w:hAnsi="Arial" w:cs="Arial"/>
          <w:sz w:val="24"/>
          <w:szCs w:val="24"/>
        </w:rPr>
        <w:t>Bıyık</w:t>
      </w:r>
      <w:proofErr w:type="spellEnd"/>
      <w:r w:rsidRPr="005B5120">
        <w:rPr>
          <w:rFonts w:ascii="Arial" w:hAnsi="Arial" w:cs="Arial"/>
          <w:sz w:val="24"/>
          <w:szCs w:val="24"/>
        </w:rPr>
        <w:t xml:space="preserve"> et al., 2022). Flexible timetabling and pacing are essential.</w:t>
      </w:r>
    </w:p>
    <w:p w14:paraId="2E879FAB" w14:textId="2634CD88"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Pedagogically, I would embed inclusive practice using UDL and inclusive pedagogy (Meyer et al., 2014; Florian and Black Hawkins, 2011). Accessible materials and recordings support participation (Croft, 2020; Firat, 2021). Bruner’s scaffolding supports pacing, while Bloom</w:t>
      </w:r>
      <w:r w:rsidR="00A876C2">
        <w:rPr>
          <w:rFonts w:ascii="Arial" w:hAnsi="Arial" w:cs="Arial"/>
          <w:sz w:val="24"/>
          <w:szCs w:val="24"/>
        </w:rPr>
        <w:t xml:space="preserve"> Taxonomy </w:t>
      </w:r>
      <w:r w:rsidRPr="005B5120">
        <w:rPr>
          <w:rFonts w:ascii="Arial" w:hAnsi="Arial" w:cs="Arial"/>
          <w:sz w:val="24"/>
          <w:szCs w:val="24"/>
        </w:rPr>
        <w:t>supports progression.</w:t>
      </w:r>
    </w:p>
    <w:p w14:paraId="240527E8" w14:textId="77777777" w:rsidR="005C722E" w:rsidRPr="005B5120" w:rsidRDefault="005C722E" w:rsidP="00660C5A">
      <w:pPr>
        <w:spacing w:line="360" w:lineRule="auto"/>
        <w:rPr>
          <w:rFonts w:ascii="Arial" w:hAnsi="Arial" w:cs="Arial"/>
          <w:sz w:val="24"/>
          <w:szCs w:val="24"/>
        </w:rPr>
      </w:pPr>
      <w:r w:rsidRPr="005B5120">
        <w:rPr>
          <w:rFonts w:ascii="Arial" w:hAnsi="Arial" w:cs="Arial"/>
          <w:sz w:val="24"/>
          <w:szCs w:val="24"/>
        </w:rPr>
        <w:t>Assessment design would avoid privileging speed, offering flexible formats. However, institutional constraints may limit full implementation (Hockings, 2010).</w:t>
      </w:r>
    </w:p>
    <w:p w14:paraId="74D8BF60" w14:textId="77777777" w:rsidR="005C722E" w:rsidRPr="00C81BB1" w:rsidRDefault="005C722E" w:rsidP="00660C5A">
      <w:pPr>
        <w:spacing w:line="360" w:lineRule="auto"/>
        <w:rPr>
          <w:rFonts w:ascii="Arial" w:hAnsi="Arial" w:cs="Arial"/>
          <w:sz w:val="24"/>
          <w:szCs w:val="24"/>
        </w:rPr>
      </w:pPr>
      <w:r w:rsidRPr="005B5120">
        <w:rPr>
          <w:rFonts w:ascii="Arial" w:hAnsi="Arial" w:cs="Arial"/>
          <w:sz w:val="24"/>
          <w:szCs w:val="24"/>
        </w:rPr>
        <w:t>With consent, I would liaise with organisations such as RNIB, Scope and Disability Rights UK. Overall, my approach is collaborative, enabling and rooted in inclusive design, focusing on transforming systems rather than adapting the learner.</w:t>
      </w:r>
    </w:p>
    <w:p w14:paraId="4AE40A6C" w14:textId="77777777" w:rsidR="007037FF" w:rsidRDefault="00521EF9" w:rsidP="00521EF9">
      <w:pPr>
        <w:spacing w:line="360" w:lineRule="auto"/>
        <w:rPr>
          <w:rFonts w:ascii="Arial" w:hAnsi="Arial" w:cs="Arial"/>
          <w:sz w:val="24"/>
          <w:szCs w:val="24"/>
        </w:rPr>
      </w:pPr>
      <w:r>
        <w:rPr>
          <w:rFonts w:ascii="Arial" w:hAnsi="Arial" w:cs="Arial"/>
          <w:sz w:val="24"/>
          <w:szCs w:val="24"/>
        </w:rPr>
        <w:t xml:space="preserve">In conclusion, </w:t>
      </w:r>
      <w:r w:rsidRPr="00521EF9">
        <w:rPr>
          <w:rFonts w:ascii="Arial" w:hAnsi="Arial" w:cs="Arial"/>
          <w:sz w:val="24"/>
          <w:szCs w:val="24"/>
        </w:rPr>
        <w:t xml:space="preserve">Inclusive education within Welsh post-compulsory education and training is underpinned by a robust legislative and policy framework, including the Additional Learning Needs and Education Tribunal (Wales) Act 2018, the Equality Act 2010 (UK Government, 2010) and the Well-being of Future Generations (Wales) Act 2015 (Welsh Government, 2015). However, the effectiveness of these frameworks is contingent upon consistent and critically reflective implementation in practice. </w:t>
      </w:r>
    </w:p>
    <w:p w14:paraId="7BB0BFB9" w14:textId="312729AD" w:rsidR="00521EF9" w:rsidRDefault="00521EF9" w:rsidP="00521EF9">
      <w:pPr>
        <w:spacing w:line="360" w:lineRule="auto"/>
        <w:rPr>
          <w:rFonts w:ascii="Arial" w:hAnsi="Arial" w:cs="Arial"/>
          <w:sz w:val="24"/>
          <w:szCs w:val="24"/>
        </w:rPr>
      </w:pPr>
      <w:r w:rsidRPr="00521EF9">
        <w:rPr>
          <w:rFonts w:ascii="Arial" w:hAnsi="Arial" w:cs="Arial"/>
          <w:sz w:val="24"/>
          <w:szCs w:val="24"/>
        </w:rPr>
        <w:t xml:space="preserve">Learners present with complex, intersecting needs shaped by disability, mental health, socio-economic inequality and prior educational experiences, challenging </w:t>
      </w:r>
      <w:r w:rsidRPr="00521EF9">
        <w:rPr>
          <w:rFonts w:ascii="Arial" w:hAnsi="Arial" w:cs="Arial"/>
          <w:sz w:val="24"/>
          <w:szCs w:val="24"/>
        </w:rPr>
        <w:lastRenderedPageBreak/>
        <w:t>deficit-oriented interpretations and reinforcing the need for social and rights-based approaches that locate responsibility within institutions rather than individuals (Oliver, 2013; OHCHR, 2006). Inclusive pedagogy and Universal Design for Learning provide practical mechanisms for anticipating diversity and embedding accessibility, supported by theoretical foundations that recognise the interplay between cognitive, social and emotional dimensions of learning (Florian and Black-Hawkins, 2011; Meyer et al., 2014). Nevertheless, persistent tensions between policy and practice</w:t>
      </w:r>
      <w:r w:rsidR="00BF4288">
        <w:rPr>
          <w:rFonts w:ascii="Arial" w:hAnsi="Arial" w:cs="Arial"/>
          <w:sz w:val="24"/>
          <w:szCs w:val="24"/>
        </w:rPr>
        <w:t xml:space="preserve">, </w:t>
      </w:r>
      <w:r w:rsidRPr="00521EF9">
        <w:rPr>
          <w:rFonts w:ascii="Arial" w:hAnsi="Arial" w:cs="Arial"/>
          <w:sz w:val="24"/>
          <w:szCs w:val="24"/>
        </w:rPr>
        <w:t>including reliance on self-disclosure and variability in reasonable adjustments</w:t>
      </w:r>
      <w:r w:rsidR="00BF4288">
        <w:rPr>
          <w:rFonts w:ascii="Arial" w:hAnsi="Arial" w:cs="Arial"/>
          <w:sz w:val="24"/>
          <w:szCs w:val="24"/>
        </w:rPr>
        <w:t xml:space="preserve">, </w:t>
      </w:r>
      <w:r w:rsidRPr="00521EF9">
        <w:rPr>
          <w:rFonts w:ascii="Arial" w:hAnsi="Arial" w:cs="Arial"/>
          <w:sz w:val="24"/>
          <w:szCs w:val="24"/>
        </w:rPr>
        <w:t>highlight the limitations of compliance-driven approaches and the need for systemic cultural change (Hockings, 2010; Riddell and Weedon, 2014). Ultimately, meaningful inclusion requires a sustained commitment to proactive, evidence-informed and learner-centred practice, where educational systems are transformed to ensure equitable participation, progression and success for all learners.</w:t>
      </w:r>
    </w:p>
    <w:p w14:paraId="5057F5CC" w14:textId="28C7BFED" w:rsidR="004E068F" w:rsidRPr="00C64F55" w:rsidRDefault="004E068F" w:rsidP="004E068F">
      <w:pPr>
        <w:pStyle w:val="NormalWeb"/>
        <w:spacing w:line="360" w:lineRule="auto"/>
        <w:rPr>
          <w:rFonts w:ascii="Arial" w:hAnsi="Arial" w:cs="Arial"/>
          <w:b/>
          <w:bCs/>
          <w:sz w:val="28"/>
          <w:szCs w:val="28"/>
          <w:u w:val="single"/>
        </w:rPr>
      </w:pPr>
      <w:r w:rsidRPr="00C64F55">
        <w:rPr>
          <w:rFonts w:ascii="Arial" w:hAnsi="Arial" w:cs="Arial"/>
          <w:b/>
          <w:bCs/>
          <w:sz w:val="28"/>
          <w:szCs w:val="28"/>
          <w:u w:val="single"/>
        </w:rPr>
        <w:t xml:space="preserve">Reference List </w:t>
      </w:r>
    </w:p>
    <w:p w14:paraId="69F9FA85"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Adams, N.E. (2015) ‘Bloom’s taxonomy of cognitive learning objectives’, </w:t>
      </w:r>
      <w:r w:rsidRPr="0035457A">
        <w:rPr>
          <w:rFonts w:asciiTheme="minorBidi" w:hAnsiTheme="minorBidi"/>
          <w:i/>
          <w:iCs/>
          <w:sz w:val="24"/>
          <w:szCs w:val="24"/>
        </w:rPr>
        <w:t>Journal of the Medical Library Association</w:t>
      </w:r>
      <w:r w:rsidRPr="0035457A">
        <w:rPr>
          <w:rFonts w:asciiTheme="minorBidi" w:hAnsiTheme="minorBidi"/>
          <w:sz w:val="24"/>
          <w:szCs w:val="24"/>
        </w:rPr>
        <w:t>, 103(3), pp. 152–153.</w:t>
      </w:r>
    </w:p>
    <w:p w14:paraId="360CB85A"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Advance HE (2020) </w:t>
      </w:r>
      <w:r w:rsidRPr="0035457A">
        <w:rPr>
          <w:rFonts w:asciiTheme="minorBidi" w:hAnsiTheme="minorBidi"/>
          <w:i/>
          <w:iCs/>
          <w:sz w:val="24"/>
          <w:szCs w:val="24"/>
        </w:rPr>
        <w:t>Tackling racial harassment in higher education</w:t>
      </w:r>
      <w:r w:rsidRPr="0035457A">
        <w:rPr>
          <w:rFonts w:asciiTheme="minorBidi" w:hAnsiTheme="minorBidi"/>
          <w:sz w:val="24"/>
          <w:szCs w:val="24"/>
        </w:rPr>
        <w:t>. York: Advance HE.</w:t>
      </w:r>
    </w:p>
    <w:p w14:paraId="21092E16"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Advance HE (2023) </w:t>
      </w:r>
      <w:r w:rsidRPr="0035457A">
        <w:rPr>
          <w:rFonts w:asciiTheme="minorBidi" w:hAnsiTheme="minorBidi"/>
          <w:i/>
          <w:iCs/>
          <w:sz w:val="24"/>
          <w:szCs w:val="24"/>
        </w:rPr>
        <w:t>Professional Standards Framework for teaching and supporting learning in higher education</w:t>
      </w:r>
      <w:r w:rsidRPr="0035457A">
        <w:rPr>
          <w:rFonts w:asciiTheme="minorBidi" w:hAnsiTheme="minorBidi"/>
          <w:sz w:val="24"/>
          <w:szCs w:val="24"/>
        </w:rPr>
        <w:t>. York: Advance HE.</w:t>
      </w:r>
    </w:p>
    <w:p w14:paraId="7839D037"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Advance HE (2024a) </w:t>
      </w:r>
      <w:r w:rsidRPr="0035457A">
        <w:rPr>
          <w:rFonts w:asciiTheme="minorBidi" w:hAnsiTheme="minorBidi"/>
          <w:i/>
          <w:iCs/>
          <w:sz w:val="24"/>
          <w:szCs w:val="24"/>
        </w:rPr>
        <w:t>Inclusive teaching and learning in higher education</w:t>
      </w:r>
      <w:r w:rsidRPr="0035457A">
        <w:rPr>
          <w:rFonts w:asciiTheme="minorBidi" w:hAnsiTheme="minorBidi"/>
          <w:sz w:val="24"/>
          <w:szCs w:val="24"/>
        </w:rPr>
        <w:t>. York: Advance HE.</w:t>
      </w:r>
    </w:p>
    <w:p w14:paraId="5CF5C018"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Ainscow, M. (2020) ‘Promoting inclusion and equity in education: Lessons from international experiences’, </w:t>
      </w:r>
      <w:r w:rsidRPr="0035457A">
        <w:rPr>
          <w:rFonts w:asciiTheme="minorBidi" w:hAnsiTheme="minorBidi"/>
          <w:i/>
          <w:iCs/>
          <w:sz w:val="24"/>
          <w:szCs w:val="24"/>
        </w:rPr>
        <w:t>Nordic Journal of Studies in Educational Policy</w:t>
      </w:r>
      <w:r w:rsidRPr="0035457A">
        <w:rPr>
          <w:rFonts w:asciiTheme="minorBidi" w:hAnsiTheme="minorBidi"/>
          <w:sz w:val="24"/>
          <w:szCs w:val="24"/>
        </w:rPr>
        <w:t>, 6(1), pp. 7–16.</w:t>
      </w:r>
    </w:p>
    <w:p w14:paraId="5AD74B22"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Anderson, A., Stephenson, J. and Carter, M. (2017) ‘A systematic literature review of the experiences and supports of students with autism spectrum disorder in post-secondary education’, </w:t>
      </w:r>
      <w:r w:rsidRPr="0035457A">
        <w:rPr>
          <w:rFonts w:asciiTheme="minorBidi" w:hAnsiTheme="minorBidi"/>
          <w:i/>
          <w:iCs/>
          <w:sz w:val="24"/>
          <w:szCs w:val="24"/>
        </w:rPr>
        <w:t>Research in Autism Spectrum Disorders</w:t>
      </w:r>
      <w:r w:rsidRPr="0035457A">
        <w:rPr>
          <w:rFonts w:asciiTheme="minorBidi" w:hAnsiTheme="minorBidi"/>
          <w:sz w:val="24"/>
          <w:szCs w:val="24"/>
        </w:rPr>
        <w:t>, 39, pp. 33–53.</w:t>
      </w:r>
    </w:p>
    <w:p w14:paraId="106A3F35"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lastRenderedPageBreak/>
        <w:t xml:space="preserve">Anderson, L.W. and Krathwohl, D.R. (eds.) (2001) </w:t>
      </w:r>
      <w:r w:rsidRPr="0035457A">
        <w:rPr>
          <w:rFonts w:asciiTheme="minorBidi" w:hAnsiTheme="minorBidi"/>
          <w:i/>
          <w:iCs/>
          <w:sz w:val="24"/>
          <w:szCs w:val="24"/>
        </w:rPr>
        <w:t>A taxonomy for learning, teaching, and assessing: A revision of Bloom’s taxonomy of educational objectives</w:t>
      </w:r>
      <w:r w:rsidRPr="0035457A">
        <w:rPr>
          <w:rFonts w:asciiTheme="minorBidi" w:hAnsiTheme="minorBidi"/>
          <w:sz w:val="24"/>
          <w:szCs w:val="24"/>
        </w:rPr>
        <w:t>. New York: Longman.</w:t>
      </w:r>
    </w:p>
    <w:p w14:paraId="57077E4A" w14:textId="0B3C994B"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Archer, L., Hutchings, M. and Ross, A. (2003) </w:t>
      </w:r>
      <w:r w:rsidRPr="0035457A">
        <w:rPr>
          <w:rFonts w:asciiTheme="minorBidi" w:hAnsiTheme="minorBidi"/>
          <w:i/>
          <w:iCs/>
          <w:sz w:val="24"/>
          <w:szCs w:val="24"/>
        </w:rPr>
        <w:t>Higher education and social class: Issues of exclusion and inclusion</w:t>
      </w:r>
      <w:r w:rsidRPr="0035457A">
        <w:rPr>
          <w:rFonts w:asciiTheme="minorBidi" w:hAnsiTheme="minorBidi"/>
          <w:sz w:val="24"/>
          <w:szCs w:val="24"/>
        </w:rPr>
        <w:t>. London: Routledge</w:t>
      </w:r>
      <w:r w:rsidR="00A9381A">
        <w:rPr>
          <w:rFonts w:asciiTheme="minorBidi" w:hAnsiTheme="minorBidi"/>
          <w:sz w:val="24"/>
          <w:szCs w:val="24"/>
        </w:rPr>
        <w:t xml:space="preserve"> </w:t>
      </w:r>
      <w:r w:rsidRPr="0035457A">
        <w:rPr>
          <w:rFonts w:asciiTheme="minorBidi" w:hAnsiTheme="minorBidi"/>
          <w:sz w:val="24"/>
          <w:szCs w:val="24"/>
        </w:rPr>
        <w:t>Falmer.</w:t>
      </w:r>
    </w:p>
    <w:p w14:paraId="5584B2E6"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Armstrong, T. (2010) </w:t>
      </w:r>
      <w:r w:rsidRPr="0035457A">
        <w:rPr>
          <w:rFonts w:asciiTheme="minorBidi" w:hAnsiTheme="minorBidi"/>
          <w:i/>
          <w:iCs/>
          <w:sz w:val="24"/>
          <w:szCs w:val="24"/>
        </w:rPr>
        <w:t>The power of neurodiversity: Unleashing the advantages of your differently wired brain</w:t>
      </w:r>
      <w:r w:rsidRPr="0035457A">
        <w:rPr>
          <w:rFonts w:asciiTheme="minorBidi" w:hAnsiTheme="minorBidi"/>
          <w:sz w:val="24"/>
          <w:szCs w:val="24"/>
        </w:rPr>
        <w:t>. Cambridge, MA: Da Capo Press.</w:t>
      </w:r>
    </w:p>
    <w:p w14:paraId="5ED00F79"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Barden, N. and Caleb, R. (2019) ‘Student financial hardship and stigma in higher education’, </w:t>
      </w:r>
      <w:r w:rsidRPr="0035457A">
        <w:rPr>
          <w:rFonts w:asciiTheme="minorBidi" w:hAnsiTheme="minorBidi"/>
          <w:i/>
          <w:iCs/>
          <w:sz w:val="24"/>
          <w:szCs w:val="24"/>
        </w:rPr>
        <w:t>Journal of Further and Higher Education</w:t>
      </w:r>
      <w:r w:rsidRPr="0035457A">
        <w:rPr>
          <w:rFonts w:asciiTheme="minorBidi" w:hAnsiTheme="minorBidi"/>
          <w:sz w:val="24"/>
          <w:szCs w:val="24"/>
        </w:rPr>
        <w:t>, 43(7), pp. 988–1001.</w:t>
      </w:r>
    </w:p>
    <w:p w14:paraId="6EEE80B4"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Bevan Foundation (2023) </w:t>
      </w:r>
      <w:r w:rsidRPr="0035457A">
        <w:rPr>
          <w:rFonts w:asciiTheme="minorBidi" w:hAnsiTheme="minorBidi"/>
          <w:i/>
          <w:iCs/>
          <w:sz w:val="24"/>
          <w:szCs w:val="24"/>
        </w:rPr>
        <w:t>State of Wales: Poverty in 2023</w:t>
      </w:r>
      <w:r w:rsidRPr="0035457A">
        <w:rPr>
          <w:rFonts w:asciiTheme="minorBidi" w:hAnsiTheme="minorBidi"/>
          <w:sz w:val="24"/>
          <w:szCs w:val="24"/>
        </w:rPr>
        <w:t>. Merthyr Tydfil: Bevan Foundation.</w:t>
      </w:r>
    </w:p>
    <w:p w14:paraId="4ECC5ADF"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Booth, T. and Ainscow, M. (2011) </w:t>
      </w:r>
      <w:r w:rsidRPr="0035457A">
        <w:rPr>
          <w:rFonts w:asciiTheme="minorBidi" w:hAnsiTheme="minorBidi"/>
          <w:i/>
          <w:iCs/>
          <w:sz w:val="24"/>
          <w:szCs w:val="24"/>
        </w:rPr>
        <w:t>The Index for Inclusion: Developing learning and participation in schools</w:t>
      </w:r>
      <w:r w:rsidRPr="0035457A">
        <w:rPr>
          <w:rFonts w:asciiTheme="minorBidi" w:hAnsiTheme="minorBidi"/>
          <w:sz w:val="24"/>
          <w:szCs w:val="24"/>
        </w:rPr>
        <w:t xml:space="preserve">. 3rd </w:t>
      </w:r>
      <w:proofErr w:type="spellStart"/>
      <w:r w:rsidRPr="0035457A">
        <w:rPr>
          <w:rFonts w:asciiTheme="minorBidi" w:hAnsiTheme="minorBidi"/>
          <w:sz w:val="24"/>
          <w:szCs w:val="24"/>
        </w:rPr>
        <w:t>edn</w:t>
      </w:r>
      <w:proofErr w:type="spellEnd"/>
      <w:r w:rsidRPr="0035457A">
        <w:rPr>
          <w:rFonts w:asciiTheme="minorBidi" w:hAnsiTheme="minorBidi"/>
          <w:sz w:val="24"/>
          <w:szCs w:val="24"/>
        </w:rPr>
        <w:t>. Bristol: CSIE.</w:t>
      </w:r>
    </w:p>
    <w:p w14:paraId="10C702FE"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Borrett, J. (2023) ‘Resilience in post-16 learners: A review of protective factors’, </w:t>
      </w:r>
      <w:r w:rsidRPr="0035457A">
        <w:rPr>
          <w:rFonts w:asciiTheme="minorBidi" w:hAnsiTheme="minorBidi"/>
          <w:i/>
          <w:iCs/>
          <w:sz w:val="24"/>
          <w:szCs w:val="24"/>
        </w:rPr>
        <w:t>Educational Review</w:t>
      </w:r>
      <w:r w:rsidRPr="0035457A">
        <w:rPr>
          <w:rFonts w:asciiTheme="minorBidi" w:hAnsiTheme="minorBidi"/>
          <w:sz w:val="24"/>
          <w:szCs w:val="24"/>
        </w:rPr>
        <w:t>, 75(4), pp. 567–583.</w:t>
      </w:r>
    </w:p>
    <w:p w14:paraId="3DCA85EB"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Bronfenbrenner, U. (1979) </w:t>
      </w:r>
      <w:r w:rsidRPr="0035457A">
        <w:rPr>
          <w:rFonts w:asciiTheme="minorBidi" w:hAnsiTheme="minorBidi"/>
          <w:i/>
          <w:iCs/>
          <w:sz w:val="24"/>
          <w:szCs w:val="24"/>
        </w:rPr>
        <w:t>The ecology of human development</w:t>
      </w:r>
      <w:r w:rsidRPr="0035457A">
        <w:rPr>
          <w:rFonts w:asciiTheme="minorBidi" w:hAnsiTheme="minorBidi"/>
          <w:sz w:val="24"/>
          <w:szCs w:val="24"/>
        </w:rPr>
        <w:t>. Cambridge, MA: Harvard University Press.</w:t>
      </w:r>
    </w:p>
    <w:p w14:paraId="1D805254"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Brown, N. and Leigh, J. (2018) ‘Ableism in academia’, </w:t>
      </w:r>
      <w:r w:rsidRPr="0035457A">
        <w:rPr>
          <w:rFonts w:asciiTheme="minorBidi" w:hAnsiTheme="minorBidi"/>
          <w:i/>
          <w:iCs/>
          <w:sz w:val="24"/>
          <w:szCs w:val="24"/>
        </w:rPr>
        <w:t>Disability &amp; Society</w:t>
      </w:r>
      <w:r w:rsidRPr="0035457A">
        <w:rPr>
          <w:rFonts w:asciiTheme="minorBidi" w:hAnsiTheme="minorBidi"/>
          <w:sz w:val="24"/>
          <w:szCs w:val="24"/>
        </w:rPr>
        <w:t>, 33(6), pp. 985–989.</w:t>
      </w:r>
    </w:p>
    <w:p w14:paraId="5EE31EB4"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Bruner, J.S. (1966) </w:t>
      </w:r>
      <w:r w:rsidRPr="0035457A">
        <w:rPr>
          <w:rFonts w:asciiTheme="minorBidi" w:hAnsiTheme="minorBidi"/>
          <w:i/>
          <w:iCs/>
          <w:sz w:val="24"/>
          <w:szCs w:val="24"/>
        </w:rPr>
        <w:t>Toward a theory of instruction</w:t>
      </w:r>
      <w:r w:rsidRPr="0035457A">
        <w:rPr>
          <w:rFonts w:asciiTheme="minorBidi" w:hAnsiTheme="minorBidi"/>
          <w:sz w:val="24"/>
          <w:szCs w:val="24"/>
        </w:rPr>
        <w:t>. Cambridge, MA: Harvard University Press.</w:t>
      </w:r>
    </w:p>
    <w:p w14:paraId="4A1DD674"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Callender, C. and Mason, G. (2017) ‘Does student loan debt deter higher education participation?’, </w:t>
      </w:r>
      <w:r w:rsidRPr="0035457A">
        <w:rPr>
          <w:rFonts w:asciiTheme="minorBidi" w:hAnsiTheme="minorBidi"/>
          <w:i/>
          <w:iCs/>
          <w:sz w:val="24"/>
          <w:szCs w:val="24"/>
        </w:rPr>
        <w:t>Journal of Social Policy</w:t>
      </w:r>
      <w:r w:rsidRPr="0035457A">
        <w:rPr>
          <w:rFonts w:asciiTheme="minorBidi" w:hAnsiTheme="minorBidi"/>
          <w:sz w:val="24"/>
          <w:szCs w:val="24"/>
        </w:rPr>
        <w:t>, 46(3), pp. 1–23.</w:t>
      </w:r>
    </w:p>
    <w:p w14:paraId="75B8EBAA"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Carello, J. and Butler, L.D. (2015) ‘Trauma-informed educational practice’, </w:t>
      </w:r>
      <w:r w:rsidRPr="0035457A">
        <w:rPr>
          <w:rFonts w:asciiTheme="minorBidi" w:hAnsiTheme="minorBidi"/>
          <w:i/>
          <w:iCs/>
          <w:sz w:val="24"/>
          <w:szCs w:val="24"/>
        </w:rPr>
        <w:t>Journal of Teaching in Social Work</w:t>
      </w:r>
      <w:r w:rsidRPr="0035457A">
        <w:rPr>
          <w:rFonts w:asciiTheme="minorBidi" w:hAnsiTheme="minorBidi"/>
          <w:sz w:val="24"/>
          <w:szCs w:val="24"/>
        </w:rPr>
        <w:t>, 35(3), pp. 262–278.</w:t>
      </w:r>
    </w:p>
    <w:p w14:paraId="5235DC8E"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Carroll, C. and </w:t>
      </w:r>
      <w:proofErr w:type="spellStart"/>
      <w:r w:rsidRPr="0035457A">
        <w:rPr>
          <w:rFonts w:asciiTheme="minorBidi" w:hAnsiTheme="minorBidi"/>
          <w:sz w:val="24"/>
          <w:szCs w:val="24"/>
        </w:rPr>
        <w:t>Dockrell</w:t>
      </w:r>
      <w:proofErr w:type="spellEnd"/>
      <w:r w:rsidRPr="0035457A">
        <w:rPr>
          <w:rFonts w:asciiTheme="minorBidi" w:hAnsiTheme="minorBidi"/>
          <w:sz w:val="24"/>
          <w:szCs w:val="24"/>
        </w:rPr>
        <w:t>, J. (2012) ‘</w:t>
      </w:r>
      <w:proofErr w:type="gramStart"/>
      <w:r w:rsidRPr="0035457A">
        <w:rPr>
          <w:rFonts w:asciiTheme="minorBidi" w:hAnsiTheme="minorBidi"/>
          <w:sz w:val="24"/>
          <w:szCs w:val="24"/>
        </w:rPr>
        <w:t>Post-16</w:t>
      </w:r>
      <w:proofErr w:type="gramEnd"/>
      <w:r w:rsidRPr="0035457A">
        <w:rPr>
          <w:rFonts w:asciiTheme="minorBidi" w:hAnsiTheme="minorBidi"/>
          <w:sz w:val="24"/>
          <w:szCs w:val="24"/>
        </w:rPr>
        <w:t xml:space="preserve"> outcomes’, </w:t>
      </w:r>
      <w:r w:rsidRPr="0035457A">
        <w:rPr>
          <w:rFonts w:asciiTheme="minorBidi" w:hAnsiTheme="minorBidi"/>
          <w:i/>
          <w:iCs/>
          <w:sz w:val="24"/>
          <w:szCs w:val="24"/>
        </w:rPr>
        <w:t>European Journal of Special Needs Education</w:t>
      </w:r>
      <w:r w:rsidRPr="0035457A">
        <w:rPr>
          <w:rFonts w:asciiTheme="minorBidi" w:hAnsiTheme="minorBidi"/>
          <w:sz w:val="24"/>
          <w:szCs w:val="24"/>
        </w:rPr>
        <w:t>, 27(4), pp. 423–440.</w:t>
      </w:r>
    </w:p>
    <w:p w14:paraId="775B20E7"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CAST (2018) </w:t>
      </w:r>
      <w:r w:rsidRPr="0035457A">
        <w:rPr>
          <w:rFonts w:asciiTheme="minorBidi" w:hAnsiTheme="minorBidi"/>
          <w:i/>
          <w:iCs/>
          <w:sz w:val="24"/>
          <w:szCs w:val="24"/>
        </w:rPr>
        <w:t>Universal Design for Learning Guidelines version 2.2</w:t>
      </w:r>
      <w:r w:rsidRPr="0035457A">
        <w:rPr>
          <w:rFonts w:asciiTheme="minorBidi" w:hAnsiTheme="minorBidi"/>
          <w:sz w:val="24"/>
          <w:szCs w:val="24"/>
        </w:rPr>
        <w:t>. Wakefield, MA: CAST.</w:t>
      </w:r>
    </w:p>
    <w:p w14:paraId="7E0A3EA4"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lastRenderedPageBreak/>
        <w:t xml:space="preserve">Chapman, R. (2021) ‘Neurodiversity and the social ecology of mental functions’, </w:t>
      </w:r>
      <w:r w:rsidRPr="0035457A">
        <w:rPr>
          <w:rFonts w:asciiTheme="minorBidi" w:hAnsiTheme="minorBidi"/>
          <w:i/>
          <w:iCs/>
          <w:sz w:val="24"/>
          <w:szCs w:val="24"/>
        </w:rPr>
        <w:t>Perspectives on Psychological Science</w:t>
      </w:r>
      <w:r w:rsidRPr="0035457A">
        <w:rPr>
          <w:rFonts w:asciiTheme="minorBidi" w:hAnsiTheme="minorBidi"/>
          <w:sz w:val="24"/>
          <w:szCs w:val="24"/>
        </w:rPr>
        <w:t>, 16(6), pp. 1360–1372.</w:t>
      </w:r>
    </w:p>
    <w:p w14:paraId="6A121C2D"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Collins, P.H. and Bilge, S. (2016) </w:t>
      </w:r>
      <w:r w:rsidRPr="0035457A">
        <w:rPr>
          <w:rFonts w:asciiTheme="minorBidi" w:hAnsiTheme="minorBidi"/>
          <w:i/>
          <w:iCs/>
          <w:sz w:val="24"/>
          <w:szCs w:val="24"/>
        </w:rPr>
        <w:t>Intersectionality</w:t>
      </w:r>
      <w:r w:rsidRPr="0035457A">
        <w:rPr>
          <w:rFonts w:asciiTheme="minorBidi" w:hAnsiTheme="minorBidi"/>
          <w:sz w:val="24"/>
          <w:szCs w:val="24"/>
        </w:rPr>
        <w:t>. Cambridge: Polity Press.</w:t>
      </w:r>
    </w:p>
    <w:p w14:paraId="53CFDB44"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Crane, L. et al. (2021) ‘Mental health experiences of autistic adults’, </w:t>
      </w:r>
      <w:r w:rsidRPr="0035457A">
        <w:rPr>
          <w:rFonts w:asciiTheme="minorBidi" w:hAnsiTheme="minorBidi"/>
          <w:i/>
          <w:iCs/>
          <w:sz w:val="24"/>
          <w:szCs w:val="24"/>
        </w:rPr>
        <w:t>Autism</w:t>
      </w:r>
      <w:r w:rsidRPr="0035457A">
        <w:rPr>
          <w:rFonts w:asciiTheme="minorBidi" w:hAnsiTheme="minorBidi"/>
          <w:sz w:val="24"/>
          <w:szCs w:val="24"/>
        </w:rPr>
        <w:t>, 25(2), pp. 477–493.</w:t>
      </w:r>
    </w:p>
    <w:p w14:paraId="681B8F46"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Crenshaw, K. (1989) ‘Demarginalizing the intersection of race and sex’, </w:t>
      </w:r>
      <w:r w:rsidRPr="0035457A">
        <w:rPr>
          <w:rFonts w:asciiTheme="minorBidi" w:hAnsiTheme="minorBidi"/>
          <w:i/>
          <w:iCs/>
          <w:sz w:val="24"/>
          <w:szCs w:val="24"/>
        </w:rPr>
        <w:t>University of Chicago Legal Forum</w:t>
      </w:r>
      <w:r w:rsidRPr="0035457A">
        <w:rPr>
          <w:rFonts w:asciiTheme="minorBidi" w:hAnsiTheme="minorBidi"/>
          <w:sz w:val="24"/>
          <w:szCs w:val="24"/>
        </w:rPr>
        <w:t>, pp. 139–167.</w:t>
      </w:r>
    </w:p>
    <w:p w14:paraId="04546CE4"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Croft, S. (2020) ‘Barriers to learning for visually impaired students’, </w:t>
      </w:r>
      <w:r w:rsidRPr="0035457A">
        <w:rPr>
          <w:rFonts w:asciiTheme="minorBidi" w:hAnsiTheme="minorBidi"/>
          <w:i/>
          <w:iCs/>
          <w:sz w:val="24"/>
          <w:szCs w:val="24"/>
        </w:rPr>
        <w:t>British Journal of Visual Impairment</w:t>
      </w:r>
      <w:r w:rsidRPr="0035457A">
        <w:rPr>
          <w:rFonts w:asciiTheme="minorBidi" w:hAnsiTheme="minorBidi"/>
          <w:sz w:val="24"/>
          <w:szCs w:val="24"/>
        </w:rPr>
        <w:t>, 38(3), pp. 233–247.</w:t>
      </w:r>
    </w:p>
    <w:p w14:paraId="35E20EFE"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Doyle, N. (2020) ‘Neurodiversity at work’, </w:t>
      </w:r>
      <w:r w:rsidRPr="0035457A">
        <w:rPr>
          <w:rFonts w:asciiTheme="minorBidi" w:hAnsiTheme="minorBidi"/>
          <w:i/>
          <w:iCs/>
          <w:sz w:val="24"/>
          <w:szCs w:val="24"/>
        </w:rPr>
        <w:t>British Medical Bulletin</w:t>
      </w:r>
      <w:r w:rsidRPr="0035457A">
        <w:rPr>
          <w:rFonts w:asciiTheme="minorBidi" w:hAnsiTheme="minorBidi"/>
          <w:sz w:val="24"/>
          <w:szCs w:val="24"/>
        </w:rPr>
        <w:t>, 135(1), pp. 108–125.</w:t>
      </w:r>
    </w:p>
    <w:p w14:paraId="3C65E789"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ECU (2017) </w:t>
      </w:r>
      <w:r w:rsidRPr="0035457A">
        <w:rPr>
          <w:rFonts w:asciiTheme="minorBidi" w:hAnsiTheme="minorBidi"/>
          <w:i/>
          <w:iCs/>
          <w:sz w:val="24"/>
          <w:szCs w:val="24"/>
        </w:rPr>
        <w:t>Equality in higher education: Statistical report</w:t>
      </w:r>
      <w:r w:rsidRPr="0035457A">
        <w:rPr>
          <w:rFonts w:asciiTheme="minorBidi" w:hAnsiTheme="minorBidi"/>
          <w:sz w:val="24"/>
          <w:szCs w:val="24"/>
        </w:rPr>
        <w:t>. London: ECU.</w:t>
      </w:r>
    </w:p>
    <w:p w14:paraId="2C7054A1"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Education Workforce Council (2025) </w:t>
      </w:r>
      <w:r w:rsidRPr="0035457A">
        <w:rPr>
          <w:rFonts w:asciiTheme="minorBidi" w:hAnsiTheme="minorBidi"/>
          <w:i/>
          <w:iCs/>
          <w:sz w:val="24"/>
          <w:szCs w:val="24"/>
        </w:rPr>
        <w:t>Code of professional conduct and practice</w:t>
      </w:r>
      <w:r w:rsidRPr="0035457A">
        <w:rPr>
          <w:rFonts w:asciiTheme="minorBidi" w:hAnsiTheme="minorBidi"/>
          <w:sz w:val="24"/>
          <w:szCs w:val="24"/>
        </w:rPr>
        <w:t>. Cardiff: EWC.</w:t>
      </w:r>
    </w:p>
    <w:p w14:paraId="6C6B6081"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Equality and Human Rights Commission (2021) </w:t>
      </w:r>
      <w:r w:rsidRPr="0035457A">
        <w:rPr>
          <w:rFonts w:asciiTheme="minorBidi" w:hAnsiTheme="minorBidi"/>
          <w:i/>
          <w:iCs/>
          <w:sz w:val="24"/>
          <w:szCs w:val="24"/>
        </w:rPr>
        <w:t>Public Sector Equality Duty guidance</w:t>
      </w:r>
      <w:r w:rsidRPr="0035457A">
        <w:rPr>
          <w:rFonts w:asciiTheme="minorBidi" w:hAnsiTheme="minorBidi"/>
          <w:sz w:val="24"/>
          <w:szCs w:val="24"/>
        </w:rPr>
        <w:t>. London: EHRC.</w:t>
      </w:r>
    </w:p>
    <w:p w14:paraId="6E6221A8"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Equality and Human Rights Commission (2022) </w:t>
      </w:r>
      <w:r w:rsidRPr="0035457A">
        <w:rPr>
          <w:rFonts w:asciiTheme="minorBidi" w:hAnsiTheme="minorBidi"/>
          <w:i/>
          <w:iCs/>
          <w:sz w:val="24"/>
          <w:szCs w:val="24"/>
        </w:rPr>
        <w:t>Reasonable adjustments for disabled students</w:t>
      </w:r>
      <w:r w:rsidRPr="0035457A">
        <w:rPr>
          <w:rFonts w:asciiTheme="minorBidi" w:hAnsiTheme="minorBidi"/>
          <w:sz w:val="24"/>
          <w:szCs w:val="24"/>
        </w:rPr>
        <w:t>. London: EHRC.</w:t>
      </w:r>
    </w:p>
    <w:p w14:paraId="45B22058"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Estyn (2023) </w:t>
      </w:r>
      <w:r w:rsidRPr="0035457A">
        <w:rPr>
          <w:rFonts w:asciiTheme="minorBidi" w:hAnsiTheme="minorBidi"/>
          <w:i/>
          <w:iCs/>
          <w:sz w:val="24"/>
          <w:szCs w:val="24"/>
        </w:rPr>
        <w:t>Annual report and accounts 2022–2023</w:t>
      </w:r>
      <w:r w:rsidRPr="0035457A">
        <w:rPr>
          <w:rFonts w:asciiTheme="minorBidi" w:hAnsiTheme="minorBidi"/>
          <w:sz w:val="24"/>
          <w:szCs w:val="24"/>
        </w:rPr>
        <w:t xml:space="preserve">. Cardiff: Estyn. Available at: </w:t>
      </w:r>
      <w:hyperlink r:id="rId5" w:tgtFrame="_new" w:history="1">
        <w:r w:rsidRPr="0035457A">
          <w:rPr>
            <w:rStyle w:val="Hyperlink"/>
            <w:rFonts w:asciiTheme="minorBidi" w:hAnsiTheme="minorBidi"/>
            <w:sz w:val="24"/>
            <w:szCs w:val="24"/>
          </w:rPr>
          <w:t>https://www.estyn.gov.wales</w:t>
        </w:r>
      </w:hyperlink>
      <w:r w:rsidRPr="0035457A">
        <w:rPr>
          <w:rFonts w:asciiTheme="minorBidi" w:hAnsiTheme="minorBidi"/>
          <w:sz w:val="24"/>
          <w:szCs w:val="24"/>
        </w:rPr>
        <w:t xml:space="preserve"> (Accessed: 27 March 2026).</w:t>
      </w:r>
    </w:p>
    <w:p w14:paraId="5D8FA29D"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Farrell, M. (2006) </w:t>
      </w:r>
      <w:r w:rsidRPr="0035457A">
        <w:rPr>
          <w:rFonts w:asciiTheme="minorBidi" w:hAnsiTheme="minorBidi"/>
          <w:i/>
          <w:iCs/>
          <w:sz w:val="24"/>
          <w:szCs w:val="24"/>
        </w:rPr>
        <w:t>ADHD: Supporting students in school</w:t>
      </w:r>
      <w:r w:rsidRPr="0035457A">
        <w:rPr>
          <w:rFonts w:asciiTheme="minorBidi" w:hAnsiTheme="minorBidi"/>
          <w:sz w:val="24"/>
          <w:szCs w:val="24"/>
        </w:rPr>
        <w:t>. London: Routledge.</w:t>
      </w:r>
    </w:p>
    <w:p w14:paraId="6A5E4849"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Fernando, S. (2010) </w:t>
      </w:r>
      <w:r w:rsidRPr="0035457A">
        <w:rPr>
          <w:rFonts w:asciiTheme="minorBidi" w:hAnsiTheme="minorBidi"/>
          <w:i/>
          <w:iCs/>
          <w:sz w:val="24"/>
          <w:szCs w:val="24"/>
        </w:rPr>
        <w:t>Mental health, race and culture</w:t>
      </w:r>
      <w:r w:rsidRPr="0035457A">
        <w:rPr>
          <w:rFonts w:asciiTheme="minorBidi" w:hAnsiTheme="minorBidi"/>
          <w:sz w:val="24"/>
          <w:szCs w:val="24"/>
        </w:rPr>
        <w:t xml:space="preserve">. 3rd </w:t>
      </w:r>
      <w:proofErr w:type="spellStart"/>
      <w:r w:rsidRPr="0035457A">
        <w:rPr>
          <w:rFonts w:asciiTheme="minorBidi" w:hAnsiTheme="minorBidi"/>
          <w:sz w:val="24"/>
          <w:szCs w:val="24"/>
        </w:rPr>
        <w:t>edn</w:t>
      </w:r>
      <w:proofErr w:type="spellEnd"/>
      <w:r w:rsidRPr="0035457A">
        <w:rPr>
          <w:rFonts w:asciiTheme="minorBidi" w:hAnsiTheme="minorBidi"/>
          <w:sz w:val="24"/>
          <w:szCs w:val="24"/>
        </w:rPr>
        <w:t>. Basingstoke: Palgrave Macmillan.</w:t>
      </w:r>
    </w:p>
    <w:p w14:paraId="3E07FDE6"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Firat, M. (2021) ‘Accessibility challenges’, </w:t>
      </w:r>
      <w:r w:rsidRPr="0035457A">
        <w:rPr>
          <w:rFonts w:asciiTheme="minorBidi" w:hAnsiTheme="minorBidi"/>
          <w:i/>
          <w:iCs/>
          <w:sz w:val="24"/>
          <w:szCs w:val="24"/>
        </w:rPr>
        <w:t>Open Learning</w:t>
      </w:r>
      <w:r w:rsidRPr="0035457A">
        <w:rPr>
          <w:rFonts w:asciiTheme="minorBidi" w:hAnsiTheme="minorBidi"/>
          <w:sz w:val="24"/>
          <w:szCs w:val="24"/>
        </w:rPr>
        <w:t>, 36(2), pp. 140–155.</w:t>
      </w:r>
    </w:p>
    <w:p w14:paraId="53A4312D"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Florian, L. and Black-Hawkins, K. (2011) ‘Exploring inclusive pedagogy’, </w:t>
      </w:r>
      <w:r w:rsidRPr="0035457A">
        <w:rPr>
          <w:rFonts w:asciiTheme="minorBidi" w:hAnsiTheme="minorBidi"/>
          <w:i/>
          <w:iCs/>
          <w:sz w:val="24"/>
          <w:szCs w:val="24"/>
        </w:rPr>
        <w:t>Cambridge Journal of Education</w:t>
      </w:r>
      <w:r w:rsidRPr="0035457A">
        <w:rPr>
          <w:rFonts w:asciiTheme="minorBidi" w:hAnsiTheme="minorBidi"/>
          <w:sz w:val="24"/>
          <w:szCs w:val="24"/>
        </w:rPr>
        <w:t>, 41(4), pp. 429–444.</w:t>
      </w:r>
    </w:p>
    <w:p w14:paraId="5CFF7645"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Fuller, M. et al. (2004) ‘Barriers to learning’, </w:t>
      </w:r>
      <w:r w:rsidRPr="0035457A">
        <w:rPr>
          <w:rFonts w:asciiTheme="minorBidi" w:hAnsiTheme="minorBidi"/>
          <w:i/>
          <w:iCs/>
          <w:sz w:val="24"/>
          <w:szCs w:val="24"/>
        </w:rPr>
        <w:t>Studies in Higher Education</w:t>
      </w:r>
      <w:r w:rsidRPr="0035457A">
        <w:rPr>
          <w:rFonts w:asciiTheme="minorBidi" w:hAnsiTheme="minorBidi"/>
          <w:sz w:val="24"/>
          <w:szCs w:val="24"/>
        </w:rPr>
        <w:t>, 29(3), pp. 303–318.</w:t>
      </w:r>
    </w:p>
    <w:p w14:paraId="4F69169F"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lastRenderedPageBreak/>
        <w:t xml:space="preserve">Gravells, A. (2012) </w:t>
      </w:r>
      <w:r w:rsidRPr="0035457A">
        <w:rPr>
          <w:rFonts w:asciiTheme="minorBidi" w:hAnsiTheme="minorBidi"/>
          <w:i/>
          <w:iCs/>
          <w:sz w:val="24"/>
          <w:szCs w:val="24"/>
        </w:rPr>
        <w:t>Preparing to teach in the lifelong learning sector</w:t>
      </w:r>
      <w:r w:rsidRPr="0035457A">
        <w:rPr>
          <w:rFonts w:asciiTheme="minorBidi" w:hAnsiTheme="minorBidi"/>
          <w:sz w:val="24"/>
          <w:szCs w:val="24"/>
        </w:rPr>
        <w:t xml:space="preserve">. 5th </w:t>
      </w:r>
      <w:proofErr w:type="spellStart"/>
      <w:r w:rsidRPr="0035457A">
        <w:rPr>
          <w:rFonts w:asciiTheme="minorBidi" w:hAnsiTheme="minorBidi"/>
          <w:sz w:val="24"/>
          <w:szCs w:val="24"/>
        </w:rPr>
        <w:t>edn</w:t>
      </w:r>
      <w:proofErr w:type="spellEnd"/>
      <w:r w:rsidRPr="0035457A">
        <w:rPr>
          <w:rFonts w:asciiTheme="minorBidi" w:hAnsiTheme="minorBidi"/>
          <w:sz w:val="24"/>
          <w:szCs w:val="24"/>
        </w:rPr>
        <w:t>. London: Learning Matters.</w:t>
      </w:r>
    </w:p>
    <w:p w14:paraId="0D95BEA3"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Higher Education Funding Council for England (2015) </w:t>
      </w:r>
      <w:r w:rsidRPr="0035457A">
        <w:rPr>
          <w:rFonts w:asciiTheme="minorBidi" w:hAnsiTheme="minorBidi"/>
          <w:i/>
          <w:iCs/>
          <w:sz w:val="24"/>
          <w:szCs w:val="24"/>
        </w:rPr>
        <w:t>Support for disabled students in higher education</w:t>
      </w:r>
      <w:r w:rsidRPr="0035457A">
        <w:rPr>
          <w:rFonts w:asciiTheme="minorBidi" w:hAnsiTheme="minorBidi"/>
          <w:sz w:val="24"/>
          <w:szCs w:val="24"/>
        </w:rPr>
        <w:t>. Bristol: HEFCE.</w:t>
      </w:r>
    </w:p>
    <w:p w14:paraId="44BF23C5"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Higher Education Funding Council for Wales (2021) </w:t>
      </w:r>
      <w:r w:rsidRPr="0035457A">
        <w:rPr>
          <w:rFonts w:asciiTheme="minorBidi" w:hAnsiTheme="minorBidi"/>
          <w:i/>
          <w:iCs/>
          <w:sz w:val="24"/>
          <w:szCs w:val="24"/>
        </w:rPr>
        <w:t>Equality and diversity annual report</w:t>
      </w:r>
      <w:r w:rsidRPr="0035457A">
        <w:rPr>
          <w:rFonts w:asciiTheme="minorBidi" w:hAnsiTheme="minorBidi"/>
          <w:sz w:val="24"/>
          <w:szCs w:val="24"/>
        </w:rPr>
        <w:t>. Cardiff: HEFCW.</w:t>
      </w:r>
    </w:p>
    <w:p w14:paraId="73CC0B03"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Higher Education Funding Council for Wales (2022) </w:t>
      </w:r>
      <w:r w:rsidRPr="0035457A">
        <w:rPr>
          <w:rFonts w:asciiTheme="minorBidi" w:hAnsiTheme="minorBidi"/>
          <w:i/>
          <w:iCs/>
          <w:sz w:val="24"/>
          <w:szCs w:val="24"/>
        </w:rPr>
        <w:t>Widening access in higher education</w:t>
      </w:r>
      <w:r w:rsidRPr="0035457A">
        <w:rPr>
          <w:rFonts w:asciiTheme="minorBidi" w:hAnsiTheme="minorBidi"/>
          <w:sz w:val="24"/>
          <w:szCs w:val="24"/>
        </w:rPr>
        <w:t>. Cardiff: HEFCW.</w:t>
      </w:r>
    </w:p>
    <w:p w14:paraId="75CF791C"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Higher Education Funding Council for Wales (2023) </w:t>
      </w:r>
      <w:r w:rsidRPr="0035457A">
        <w:rPr>
          <w:rFonts w:asciiTheme="minorBidi" w:hAnsiTheme="minorBidi"/>
          <w:i/>
          <w:iCs/>
          <w:sz w:val="24"/>
          <w:szCs w:val="24"/>
        </w:rPr>
        <w:t>Widening Access Policy Statement</w:t>
      </w:r>
      <w:r w:rsidRPr="0035457A">
        <w:rPr>
          <w:rFonts w:asciiTheme="minorBidi" w:hAnsiTheme="minorBidi"/>
          <w:sz w:val="24"/>
          <w:szCs w:val="24"/>
        </w:rPr>
        <w:t>. Cardiff: HEFCW.</w:t>
      </w:r>
    </w:p>
    <w:p w14:paraId="33660D4D"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Higher Education Statistics Agency (2026) </w:t>
      </w:r>
      <w:r w:rsidRPr="0035457A">
        <w:rPr>
          <w:rFonts w:asciiTheme="minorBidi" w:hAnsiTheme="minorBidi"/>
          <w:i/>
          <w:iCs/>
          <w:sz w:val="24"/>
          <w:szCs w:val="24"/>
        </w:rPr>
        <w:t>Higher education student statistics</w:t>
      </w:r>
      <w:r w:rsidRPr="0035457A">
        <w:rPr>
          <w:rFonts w:asciiTheme="minorBidi" w:hAnsiTheme="minorBidi"/>
          <w:sz w:val="24"/>
          <w:szCs w:val="24"/>
        </w:rPr>
        <w:t>. Cheltenham: HESA.</w:t>
      </w:r>
    </w:p>
    <w:p w14:paraId="6D190CA0"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Hockings, C. (2010) </w:t>
      </w:r>
      <w:r w:rsidRPr="0035457A">
        <w:rPr>
          <w:rFonts w:asciiTheme="minorBidi" w:hAnsiTheme="minorBidi"/>
          <w:i/>
          <w:iCs/>
          <w:sz w:val="24"/>
          <w:szCs w:val="24"/>
        </w:rPr>
        <w:t>Inclusive learning and teaching in higher education</w:t>
      </w:r>
      <w:r w:rsidRPr="0035457A">
        <w:rPr>
          <w:rFonts w:asciiTheme="minorBidi" w:hAnsiTheme="minorBidi"/>
          <w:sz w:val="24"/>
          <w:szCs w:val="24"/>
        </w:rPr>
        <w:t>. York: HEA.</w:t>
      </w:r>
    </w:p>
    <w:p w14:paraId="7506452A"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Hodkinson, A. (2019) </w:t>
      </w:r>
      <w:r w:rsidRPr="0035457A">
        <w:rPr>
          <w:rFonts w:asciiTheme="minorBidi" w:hAnsiTheme="minorBidi"/>
          <w:i/>
          <w:iCs/>
          <w:sz w:val="24"/>
          <w:szCs w:val="24"/>
        </w:rPr>
        <w:t>Key issues in special educational needs and inclusion</w:t>
      </w:r>
      <w:r w:rsidRPr="0035457A">
        <w:rPr>
          <w:rFonts w:asciiTheme="minorBidi" w:hAnsiTheme="minorBidi"/>
          <w:sz w:val="24"/>
          <w:szCs w:val="24"/>
        </w:rPr>
        <w:t>. London: Sage.</w:t>
      </w:r>
    </w:p>
    <w:p w14:paraId="0C9863F5"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Jansen, B.R.J. et al. (2017) ‘Cognitive functioning in ADHD’, </w:t>
      </w:r>
      <w:r w:rsidRPr="0035457A">
        <w:rPr>
          <w:rFonts w:asciiTheme="minorBidi" w:hAnsiTheme="minorBidi"/>
          <w:i/>
          <w:iCs/>
          <w:sz w:val="24"/>
          <w:szCs w:val="24"/>
        </w:rPr>
        <w:t>Journal of Attention Disorders</w:t>
      </w:r>
      <w:r w:rsidRPr="0035457A">
        <w:rPr>
          <w:rFonts w:asciiTheme="minorBidi" w:hAnsiTheme="minorBidi"/>
          <w:sz w:val="24"/>
          <w:szCs w:val="24"/>
        </w:rPr>
        <w:t>, 21(4), pp. 284–296.</w:t>
      </w:r>
    </w:p>
    <w:p w14:paraId="4D3F5FAE"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Jisc (2022) </w:t>
      </w:r>
      <w:r w:rsidRPr="0035457A">
        <w:rPr>
          <w:rFonts w:asciiTheme="minorBidi" w:hAnsiTheme="minorBidi"/>
          <w:i/>
          <w:iCs/>
          <w:sz w:val="24"/>
          <w:szCs w:val="24"/>
        </w:rPr>
        <w:t>Digital accessibility toolkit</w:t>
      </w:r>
      <w:r w:rsidRPr="0035457A">
        <w:rPr>
          <w:rFonts w:asciiTheme="minorBidi" w:hAnsiTheme="minorBidi"/>
          <w:sz w:val="24"/>
          <w:szCs w:val="24"/>
        </w:rPr>
        <w:t>. Bristol: Jisc.</w:t>
      </w:r>
    </w:p>
    <w:p w14:paraId="13468076"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Kahu, E.R. and Nelson, K. (2018) ‘Student engagement’, </w:t>
      </w:r>
      <w:r w:rsidRPr="0035457A">
        <w:rPr>
          <w:rFonts w:asciiTheme="minorBidi" w:hAnsiTheme="minorBidi"/>
          <w:i/>
          <w:iCs/>
          <w:sz w:val="24"/>
          <w:szCs w:val="24"/>
        </w:rPr>
        <w:t>Higher Education Research &amp; Development</w:t>
      </w:r>
      <w:r w:rsidRPr="0035457A">
        <w:rPr>
          <w:rFonts w:asciiTheme="minorBidi" w:hAnsiTheme="minorBidi"/>
          <w:sz w:val="24"/>
          <w:szCs w:val="24"/>
        </w:rPr>
        <w:t>, 37(1), pp. 58–71.</w:t>
      </w:r>
    </w:p>
    <w:p w14:paraId="12BAF813"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Kapp, S.K. (2020) </w:t>
      </w:r>
      <w:r w:rsidRPr="0035457A">
        <w:rPr>
          <w:rFonts w:asciiTheme="minorBidi" w:hAnsiTheme="minorBidi"/>
          <w:i/>
          <w:iCs/>
          <w:sz w:val="24"/>
          <w:szCs w:val="24"/>
        </w:rPr>
        <w:t>Autistic community and the neurodiversity movement</w:t>
      </w:r>
      <w:r w:rsidRPr="0035457A">
        <w:rPr>
          <w:rFonts w:asciiTheme="minorBidi" w:hAnsiTheme="minorBidi"/>
          <w:sz w:val="24"/>
          <w:szCs w:val="24"/>
        </w:rPr>
        <w:t>. Singapore: Palgrave Macmillan.</w:t>
      </w:r>
    </w:p>
    <w:p w14:paraId="29CBB623"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Kirwan Institute (2015) </w:t>
      </w:r>
      <w:r w:rsidRPr="0035457A">
        <w:rPr>
          <w:rFonts w:asciiTheme="minorBidi" w:hAnsiTheme="minorBidi"/>
          <w:i/>
          <w:iCs/>
          <w:sz w:val="24"/>
          <w:szCs w:val="24"/>
        </w:rPr>
        <w:t>Implicit bias review</w:t>
      </w:r>
      <w:r w:rsidRPr="0035457A">
        <w:rPr>
          <w:rFonts w:asciiTheme="minorBidi" w:hAnsiTheme="minorBidi"/>
          <w:sz w:val="24"/>
          <w:szCs w:val="24"/>
        </w:rPr>
        <w:t>. Columbus, OH: Kirwan Institute.</w:t>
      </w:r>
    </w:p>
    <w:p w14:paraId="07173044"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Madriaga, M. et al. (2010) ‘Disabled students in higher education’, </w:t>
      </w:r>
      <w:r w:rsidRPr="0035457A">
        <w:rPr>
          <w:rFonts w:asciiTheme="minorBidi" w:hAnsiTheme="minorBidi"/>
          <w:i/>
          <w:iCs/>
          <w:sz w:val="24"/>
          <w:szCs w:val="24"/>
        </w:rPr>
        <w:t>British Journal of Sociology of Education</w:t>
      </w:r>
      <w:r w:rsidRPr="0035457A">
        <w:rPr>
          <w:rFonts w:asciiTheme="minorBidi" w:hAnsiTheme="minorBidi"/>
          <w:sz w:val="24"/>
          <w:szCs w:val="24"/>
        </w:rPr>
        <w:t>, 31(3), pp. 339–353.</w:t>
      </w:r>
    </w:p>
    <w:p w14:paraId="1FA34220"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Mani, A. et al. (2013) ‘Poverty impedes cognitive function’, </w:t>
      </w:r>
      <w:r w:rsidRPr="0035457A">
        <w:rPr>
          <w:rFonts w:asciiTheme="minorBidi" w:hAnsiTheme="minorBidi"/>
          <w:i/>
          <w:iCs/>
          <w:sz w:val="24"/>
          <w:szCs w:val="24"/>
        </w:rPr>
        <w:t>Science</w:t>
      </w:r>
      <w:r w:rsidRPr="0035457A">
        <w:rPr>
          <w:rFonts w:asciiTheme="minorBidi" w:hAnsiTheme="minorBidi"/>
          <w:sz w:val="24"/>
          <w:szCs w:val="24"/>
        </w:rPr>
        <w:t>, 341(6149), pp. 976–980.</w:t>
      </w:r>
    </w:p>
    <w:p w14:paraId="552C798D"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lastRenderedPageBreak/>
        <w:t xml:space="preserve">Maslow, A.H. (1943) ‘A theory of human motivation’, </w:t>
      </w:r>
      <w:r w:rsidRPr="0035457A">
        <w:rPr>
          <w:rFonts w:asciiTheme="minorBidi" w:hAnsiTheme="minorBidi"/>
          <w:i/>
          <w:iCs/>
          <w:sz w:val="24"/>
          <w:szCs w:val="24"/>
        </w:rPr>
        <w:t>Psychological Review</w:t>
      </w:r>
      <w:r w:rsidRPr="0035457A">
        <w:rPr>
          <w:rFonts w:asciiTheme="minorBidi" w:hAnsiTheme="minorBidi"/>
          <w:sz w:val="24"/>
          <w:szCs w:val="24"/>
        </w:rPr>
        <w:t>, 50(4), pp. 370–396.</w:t>
      </w:r>
    </w:p>
    <w:p w14:paraId="263FEB58"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McNicholl, A. et al. (2021) ‘Assistive technology use’, </w:t>
      </w:r>
      <w:r w:rsidRPr="0035457A">
        <w:rPr>
          <w:rFonts w:asciiTheme="minorBidi" w:hAnsiTheme="minorBidi"/>
          <w:i/>
          <w:iCs/>
          <w:sz w:val="24"/>
          <w:szCs w:val="24"/>
        </w:rPr>
        <w:t>Disability and Rehabilitation</w:t>
      </w:r>
      <w:r w:rsidRPr="0035457A">
        <w:rPr>
          <w:rFonts w:asciiTheme="minorBidi" w:hAnsiTheme="minorBidi"/>
          <w:sz w:val="24"/>
          <w:szCs w:val="24"/>
        </w:rPr>
        <w:t>, 16(2), pp. 196–205.</w:t>
      </w:r>
    </w:p>
    <w:p w14:paraId="7D344FA1" w14:textId="77777777" w:rsidR="0035457A" w:rsidRPr="0035457A" w:rsidRDefault="0035457A" w:rsidP="0035457A">
      <w:pPr>
        <w:spacing w:line="360" w:lineRule="auto"/>
        <w:rPr>
          <w:rFonts w:asciiTheme="minorBidi" w:hAnsiTheme="minorBidi"/>
          <w:sz w:val="24"/>
          <w:szCs w:val="24"/>
        </w:rPr>
      </w:pPr>
      <w:proofErr w:type="spellStart"/>
      <w:r w:rsidRPr="0035457A">
        <w:rPr>
          <w:rFonts w:asciiTheme="minorBidi" w:hAnsiTheme="minorBidi"/>
          <w:sz w:val="24"/>
          <w:szCs w:val="24"/>
        </w:rPr>
        <w:t>Medr</w:t>
      </w:r>
      <w:proofErr w:type="spellEnd"/>
      <w:r w:rsidRPr="0035457A">
        <w:rPr>
          <w:rFonts w:asciiTheme="minorBidi" w:hAnsiTheme="minorBidi"/>
          <w:sz w:val="24"/>
          <w:szCs w:val="24"/>
        </w:rPr>
        <w:t xml:space="preserve"> (2025) </w:t>
      </w:r>
      <w:r w:rsidRPr="0035457A">
        <w:rPr>
          <w:rFonts w:asciiTheme="minorBidi" w:hAnsiTheme="minorBidi"/>
          <w:i/>
          <w:iCs/>
          <w:sz w:val="24"/>
          <w:szCs w:val="24"/>
        </w:rPr>
        <w:t>Tertiary education and research in Wales: Strategic overview</w:t>
      </w:r>
      <w:r w:rsidRPr="0035457A">
        <w:rPr>
          <w:rFonts w:asciiTheme="minorBidi" w:hAnsiTheme="minorBidi"/>
          <w:sz w:val="24"/>
          <w:szCs w:val="24"/>
        </w:rPr>
        <w:t xml:space="preserve">. Cardiff: </w:t>
      </w:r>
      <w:proofErr w:type="spellStart"/>
      <w:r w:rsidRPr="0035457A">
        <w:rPr>
          <w:rFonts w:asciiTheme="minorBidi" w:hAnsiTheme="minorBidi"/>
          <w:sz w:val="24"/>
          <w:szCs w:val="24"/>
        </w:rPr>
        <w:t>Medr</w:t>
      </w:r>
      <w:proofErr w:type="spellEnd"/>
      <w:r w:rsidRPr="0035457A">
        <w:rPr>
          <w:rFonts w:asciiTheme="minorBidi" w:hAnsiTheme="minorBidi"/>
          <w:sz w:val="24"/>
          <w:szCs w:val="24"/>
        </w:rPr>
        <w:t xml:space="preserve">. Available at: </w:t>
      </w:r>
      <w:hyperlink r:id="rId6" w:tgtFrame="_new" w:history="1">
        <w:r w:rsidRPr="0035457A">
          <w:rPr>
            <w:rStyle w:val="Hyperlink"/>
            <w:rFonts w:asciiTheme="minorBidi" w:hAnsiTheme="minorBidi"/>
            <w:sz w:val="24"/>
            <w:szCs w:val="24"/>
          </w:rPr>
          <w:t>https://www.medr.cymru</w:t>
        </w:r>
      </w:hyperlink>
      <w:r w:rsidRPr="0035457A">
        <w:rPr>
          <w:rFonts w:asciiTheme="minorBidi" w:hAnsiTheme="minorBidi"/>
          <w:sz w:val="24"/>
          <w:szCs w:val="24"/>
        </w:rPr>
        <w:t xml:space="preserve"> (Accessed: 27 March 2026).</w:t>
      </w:r>
    </w:p>
    <w:p w14:paraId="5ADFCA53"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Meyer, A., Rose, D.H. and Gordon, D. (2014) </w:t>
      </w:r>
      <w:r w:rsidRPr="0035457A">
        <w:rPr>
          <w:rFonts w:asciiTheme="minorBidi" w:hAnsiTheme="minorBidi"/>
          <w:i/>
          <w:iCs/>
          <w:sz w:val="24"/>
          <w:szCs w:val="24"/>
        </w:rPr>
        <w:t>Universal Design for Learning</w:t>
      </w:r>
      <w:r w:rsidRPr="0035457A">
        <w:rPr>
          <w:rFonts w:asciiTheme="minorBidi" w:hAnsiTheme="minorBidi"/>
          <w:sz w:val="24"/>
          <w:szCs w:val="24"/>
        </w:rPr>
        <w:t>. Wakefield, MA: CAST.</w:t>
      </w:r>
    </w:p>
    <w:p w14:paraId="5661AF4A"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National Union of Students Wales (2023) </w:t>
      </w:r>
      <w:r w:rsidRPr="0035457A">
        <w:rPr>
          <w:rFonts w:asciiTheme="minorBidi" w:hAnsiTheme="minorBidi"/>
          <w:i/>
          <w:iCs/>
          <w:sz w:val="24"/>
          <w:szCs w:val="24"/>
        </w:rPr>
        <w:t>Student mental health in Wales</w:t>
      </w:r>
      <w:r w:rsidRPr="0035457A">
        <w:rPr>
          <w:rFonts w:asciiTheme="minorBidi" w:hAnsiTheme="minorBidi"/>
          <w:sz w:val="24"/>
          <w:szCs w:val="24"/>
        </w:rPr>
        <w:t>. Cardiff: NUS Wales.</w:t>
      </w:r>
    </w:p>
    <w:p w14:paraId="7C8E7B40"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National Autistic Society (2022) </w:t>
      </w:r>
      <w:r w:rsidRPr="0035457A">
        <w:rPr>
          <w:rFonts w:asciiTheme="minorBidi" w:hAnsiTheme="minorBidi"/>
          <w:i/>
          <w:iCs/>
          <w:sz w:val="24"/>
          <w:szCs w:val="24"/>
        </w:rPr>
        <w:t>Understanding autism</w:t>
      </w:r>
      <w:r w:rsidRPr="0035457A">
        <w:rPr>
          <w:rFonts w:asciiTheme="minorBidi" w:hAnsiTheme="minorBidi"/>
          <w:sz w:val="24"/>
          <w:szCs w:val="24"/>
        </w:rPr>
        <w:t>. London: NAS.</w:t>
      </w:r>
    </w:p>
    <w:p w14:paraId="011B507F"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Norwich, B. (2013) </w:t>
      </w:r>
      <w:r w:rsidRPr="0035457A">
        <w:rPr>
          <w:rFonts w:asciiTheme="minorBidi" w:hAnsiTheme="minorBidi"/>
          <w:i/>
          <w:iCs/>
          <w:sz w:val="24"/>
          <w:szCs w:val="24"/>
        </w:rPr>
        <w:t>Addressing tensions in inclusive education</w:t>
      </w:r>
      <w:r w:rsidRPr="0035457A">
        <w:rPr>
          <w:rFonts w:asciiTheme="minorBidi" w:hAnsiTheme="minorBidi"/>
          <w:sz w:val="24"/>
          <w:szCs w:val="24"/>
        </w:rPr>
        <w:t>. London: Routledge.</w:t>
      </w:r>
    </w:p>
    <w:p w14:paraId="0FEBD090"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Norwich, B. (2014) ‘Policy and legislation’, </w:t>
      </w:r>
      <w:r w:rsidRPr="0035457A">
        <w:rPr>
          <w:rFonts w:asciiTheme="minorBidi" w:hAnsiTheme="minorBidi"/>
          <w:i/>
          <w:iCs/>
          <w:sz w:val="24"/>
          <w:szCs w:val="24"/>
        </w:rPr>
        <w:t>British Journal of Special Education</w:t>
      </w:r>
      <w:r w:rsidRPr="0035457A">
        <w:rPr>
          <w:rFonts w:asciiTheme="minorBidi" w:hAnsiTheme="minorBidi"/>
          <w:sz w:val="24"/>
          <w:szCs w:val="24"/>
        </w:rPr>
        <w:t>, 41(4), pp. 403–425.</w:t>
      </w:r>
    </w:p>
    <w:p w14:paraId="64ACCF2C"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OECD (2021) </w:t>
      </w:r>
      <w:r w:rsidRPr="0035457A">
        <w:rPr>
          <w:rFonts w:asciiTheme="minorBidi" w:hAnsiTheme="minorBidi"/>
          <w:i/>
          <w:iCs/>
          <w:sz w:val="24"/>
          <w:szCs w:val="24"/>
        </w:rPr>
        <w:t>Education in Wales</w:t>
      </w:r>
      <w:r w:rsidRPr="0035457A">
        <w:rPr>
          <w:rFonts w:asciiTheme="minorBidi" w:hAnsiTheme="minorBidi"/>
          <w:sz w:val="24"/>
          <w:szCs w:val="24"/>
        </w:rPr>
        <w:t>. Paris: OECD.</w:t>
      </w:r>
    </w:p>
    <w:p w14:paraId="5494AC6D"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Office of the High Commissioner for Human Rights (2006) </w:t>
      </w:r>
      <w:r w:rsidRPr="0035457A">
        <w:rPr>
          <w:rFonts w:asciiTheme="minorBidi" w:hAnsiTheme="minorBidi"/>
          <w:i/>
          <w:iCs/>
          <w:sz w:val="24"/>
          <w:szCs w:val="24"/>
        </w:rPr>
        <w:t>Convention on the Rights of Persons with Disabilities</w:t>
      </w:r>
      <w:r w:rsidRPr="0035457A">
        <w:rPr>
          <w:rFonts w:asciiTheme="minorBidi" w:hAnsiTheme="minorBidi"/>
          <w:sz w:val="24"/>
          <w:szCs w:val="24"/>
        </w:rPr>
        <w:t>. Geneva: United Nations.</w:t>
      </w:r>
    </w:p>
    <w:p w14:paraId="66A7C73C"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Oliver, M. (1990) </w:t>
      </w:r>
      <w:r w:rsidRPr="0035457A">
        <w:rPr>
          <w:rFonts w:asciiTheme="minorBidi" w:hAnsiTheme="minorBidi"/>
          <w:i/>
          <w:iCs/>
          <w:sz w:val="24"/>
          <w:szCs w:val="24"/>
        </w:rPr>
        <w:t>The politics of disablement</w:t>
      </w:r>
      <w:r w:rsidRPr="0035457A">
        <w:rPr>
          <w:rFonts w:asciiTheme="minorBidi" w:hAnsiTheme="minorBidi"/>
          <w:sz w:val="24"/>
          <w:szCs w:val="24"/>
        </w:rPr>
        <w:t>. Basingstoke: Macmillan.</w:t>
      </w:r>
    </w:p>
    <w:p w14:paraId="4D932961"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Oliver, M. (2013) ‘The social model of disability’, </w:t>
      </w:r>
      <w:r w:rsidRPr="0035457A">
        <w:rPr>
          <w:rFonts w:asciiTheme="minorBidi" w:hAnsiTheme="minorBidi"/>
          <w:i/>
          <w:iCs/>
          <w:sz w:val="24"/>
          <w:szCs w:val="24"/>
        </w:rPr>
        <w:t>Disability &amp; Society</w:t>
      </w:r>
      <w:r w:rsidRPr="0035457A">
        <w:rPr>
          <w:rFonts w:asciiTheme="minorBidi" w:hAnsiTheme="minorBidi"/>
          <w:sz w:val="24"/>
          <w:szCs w:val="24"/>
        </w:rPr>
        <w:t>, 28(7), pp. 1024–1026.</w:t>
      </w:r>
    </w:p>
    <w:p w14:paraId="21A74D40"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Petty, G. (2014) </w:t>
      </w:r>
      <w:r w:rsidRPr="0035457A">
        <w:rPr>
          <w:rFonts w:asciiTheme="minorBidi" w:hAnsiTheme="minorBidi"/>
          <w:i/>
          <w:iCs/>
          <w:sz w:val="24"/>
          <w:szCs w:val="24"/>
        </w:rPr>
        <w:t>Teaching today</w:t>
      </w:r>
      <w:r w:rsidRPr="0035457A">
        <w:rPr>
          <w:rFonts w:asciiTheme="minorBidi" w:hAnsiTheme="minorBidi"/>
          <w:sz w:val="24"/>
          <w:szCs w:val="24"/>
        </w:rPr>
        <w:t xml:space="preserve">. 5th </w:t>
      </w:r>
      <w:proofErr w:type="spellStart"/>
      <w:r w:rsidRPr="0035457A">
        <w:rPr>
          <w:rFonts w:asciiTheme="minorBidi" w:hAnsiTheme="minorBidi"/>
          <w:sz w:val="24"/>
          <w:szCs w:val="24"/>
        </w:rPr>
        <w:t>edn</w:t>
      </w:r>
      <w:proofErr w:type="spellEnd"/>
      <w:r w:rsidRPr="0035457A">
        <w:rPr>
          <w:rFonts w:asciiTheme="minorBidi" w:hAnsiTheme="minorBidi"/>
          <w:sz w:val="24"/>
          <w:szCs w:val="24"/>
        </w:rPr>
        <w:t>. Oxford: Oxford University Press.</w:t>
      </w:r>
    </w:p>
    <w:p w14:paraId="2A4B5004"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Pino, M. and </w:t>
      </w:r>
      <w:proofErr w:type="spellStart"/>
      <w:r w:rsidRPr="0035457A">
        <w:rPr>
          <w:rFonts w:asciiTheme="minorBidi" w:hAnsiTheme="minorBidi"/>
          <w:sz w:val="24"/>
          <w:szCs w:val="24"/>
        </w:rPr>
        <w:t>Mortari</w:t>
      </w:r>
      <w:proofErr w:type="spellEnd"/>
      <w:r w:rsidRPr="0035457A">
        <w:rPr>
          <w:rFonts w:asciiTheme="minorBidi" w:hAnsiTheme="minorBidi"/>
          <w:sz w:val="24"/>
          <w:szCs w:val="24"/>
        </w:rPr>
        <w:t xml:space="preserve">, L. (2014) ‘Dyslexia in higher education’, </w:t>
      </w:r>
      <w:r w:rsidRPr="0035457A">
        <w:rPr>
          <w:rFonts w:asciiTheme="minorBidi" w:hAnsiTheme="minorBidi"/>
          <w:i/>
          <w:iCs/>
          <w:sz w:val="24"/>
          <w:szCs w:val="24"/>
        </w:rPr>
        <w:t>Disability &amp; Society</w:t>
      </w:r>
      <w:r w:rsidRPr="0035457A">
        <w:rPr>
          <w:rFonts w:asciiTheme="minorBidi" w:hAnsiTheme="minorBidi"/>
          <w:sz w:val="24"/>
          <w:szCs w:val="24"/>
        </w:rPr>
        <w:t>, 29(5), pp. 747–760.</w:t>
      </w:r>
    </w:p>
    <w:p w14:paraId="26497309"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Reay, D., Crozier, G. and Clayton, J. (2010) ‘“Fitting in” or “standing out”’, </w:t>
      </w:r>
      <w:r w:rsidRPr="0035457A">
        <w:rPr>
          <w:rFonts w:asciiTheme="minorBidi" w:hAnsiTheme="minorBidi"/>
          <w:i/>
          <w:iCs/>
          <w:sz w:val="24"/>
          <w:szCs w:val="24"/>
        </w:rPr>
        <w:t>British Educational Research Journal</w:t>
      </w:r>
      <w:r w:rsidRPr="0035457A">
        <w:rPr>
          <w:rFonts w:asciiTheme="minorBidi" w:hAnsiTheme="minorBidi"/>
          <w:sz w:val="24"/>
          <w:szCs w:val="24"/>
        </w:rPr>
        <w:t>, 36(1), pp. 107–124.</w:t>
      </w:r>
    </w:p>
    <w:p w14:paraId="6ACEE1FB"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Reece, I. and Walker, S. (2007) </w:t>
      </w:r>
      <w:r w:rsidRPr="0035457A">
        <w:rPr>
          <w:rFonts w:asciiTheme="minorBidi" w:hAnsiTheme="minorBidi"/>
          <w:i/>
          <w:iCs/>
          <w:sz w:val="24"/>
          <w:szCs w:val="24"/>
        </w:rPr>
        <w:t>Teaching, training and learning</w:t>
      </w:r>
      <w:r w:rsidRPr="0035457A">
        <w:rPr>
          <w:rFonts w:asciiTheme="minorBidi" w:hAnsiTheme="minorBidi"/>
          <w:sz w:val="24"/>
          <w:szCs w:val="24"/>
        </w:rPr>
        <w:t>. Sunderland: Business Education Publishers.</w:t>
      </w:r>
    </w:p>
    <w:p w14:paraId="1DC03F7D"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lastRenderedPageBreak/>
        <w:t xml:space="preserve">Reid, G. (2016) </w:t>
      </w:r>
      <w:r w:rsidRPr="0035457A">
        <w:rPr>
          <w:rFonts w:asciiTheme="minorBidi" w:hAnsiTheme="minorBidi"/>
          <w:i/>
          <w:iCs/>
          <w:sz w:val="24"/>
          <w:szCs w:val="24"/>
        </w:rPr>
        <w:t>Dyslexia: A practitioner’s handbook</w:t>
      </w:r>
      <w:r w:rsidRPr="0035457A">
        <w:rPr>
          <w:rFonts w:asciiTheme="minorBidi" w:hAnsiTheme="minorBidi"/>
          <w:sz w:val="24"/>
          <w:szCs w:val="24"/>
        </w:rPr>
        <w:t xml:space="preserve">. 5th </w:t>
      </w:r>
      <w:proofErr w:type="spellStart"/>
      <w:r w:rsidRPr="0035457A">
        <w:rPr>
          <w:rFonts w:asciiTheme="minorBidi" w:hAnsiTheme="minorBidi"/>
          <w:sz w:val="24"/>
          <w:szCs w:val="24"/>
        </w:rPr>
        <w:t>edn</w:t>
      </w:r>
      <w:proofErr w:type="spellEnd"/>
      <w:r w:rsidRPr="0035457A">
        <w:rPr>
          <w:rFonts w:asciiTheme="minorBidi" w:hAnsiTheme="minorBidi"/>
          <w:sz w:val="24"/>
          <w:szCs w:val="24"/>
        </w:rPr>
        <w:t>. Chichester: Wiley.</w:t>
      </w:r>
    </w:p>
    <w:p w14:paraId="73506810"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Richardson, T., Elliott, P. and Roberts, R. (2017) ‘Financial difficulties and mental health’, </w:t>
      </w:r>
      <w:r w:rsidRPr="0035457A">
        <w:rPr>
          <w:rFonts w:asciiTheme="minorBidi" w:hAnsiTheme="minorBidi"/>
          <w:i/>
          <w:iCs/>
          <w:sz w:val="24"/>
          <w:szCs w:val="24"/>
        </w:rPr>
        <w:t>Journal of Public Mental Health</w:t>
      </w:r>
      <w:r w:rsidRPr="0035457A">
        <w:rPr>
          <w:rFonts w:asciiTheme="minorBidi" w:hAnsiTheme="minorBidi"/>
          <w:sz w:val="24"/>
          <w:szCs w:val="24"/>
        </w:rPr>
        <w:t>, 16(3), pp. 130–138.</w:t>
      </w:r>
    </w:p>
    <w:p w14:paraId="6EB51CDB"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Riddell, S. and Weedon, E. (2014) ‘Disabled students in higher education’, </w:t>
      </w:r>
      <w:r w:rsidRPr="0035457A">
        <w:rPr>
          <w:rFonts w:asciiTheme="minorBidi" w:hAnsiTheme="minorBidi"/>
          <w:i/>
          <w:iCs/>
          <w:sz w:val="24"/>
          <w:szCs w:val="24"/>
        </w:rPr>
        <w:t>International Journal of Inclusive Education</w:t>
      </w:r>
      <w:r w:rsidRPr="0035457A">
        <w:rPr>
          <w:rFonts w:asciiTheme="minorBidi" w:hAnsiTheme="minorBidi"/>
          <w:sz w:val="24"/>
          <w:szCs w:val="24"/>
        </w:rPr>
        <w:t>, 18(2), pp. 1–16.</w:t>
      </w:r>
    </w:p>
    <w:p w14:paraId="3520DEE4"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Riddell, S. et al. (2007) </w:t>
      </w:r>
      <w:r w:rsidRPr="0035457A">
        <w:rPr>
          <w:rFonts w:asciiTheme="minorBidi" w:hAnsiTheme="minorBidi"/>
          <w:i/>
          <w:iCs/>
          <w:sz w:val="24"/>
          <w:szCs w:val="24"/>
        </w:rPr>
        <w:t>Disabled students in higher education</w:t>
      </w:r>
      <w:r w:rsidRPr="0035457A">
        <w:rPr>
          <w:rFonts w:asciiTheme="minorBidi" w:hAnsiTheme="minorBidi"/>
          <w:sz w:val="24"/>
          <w:szCs w:val="24"/>
        </w:rPr>
        <w:t>. London: Routledge.</w:t>
      </w:r>
    </w:p>
    <w:p w14:paraId="4913A8DE" w14:textId="77777777" w:rsidR="0035457A" w:rsidRPr="0035457A" w:rsidRDefault="0035457A" w:rsidP="0035457A">
      <w:pPr>
        <w:spacing w:line="360" w:lineRule="auto"/>
        <w:rPr>
          <w:rFonts w:asciiTheme="minorBidi" w:hAnsiTheme="minorBidi"/>
          <w:sz w:val="24"/>
          <w:szCs w:val="24"/>
        </w:rPr>
      </w:pPr>
      <w:proofErr w:type="spellStart"/>
      <w:r w:rsidRPr="0035457A">
        <w:rPr>
          <w:rFonts w:asciiTheme="minorBidi" w:hAnsiTheme="minorBidi"/>
          <w:sz w:val="24"/>
          <w:szCs w:val="24"/>
        </w:rPr>
        <w:t>Römhild</w:t>
      </w:r>
      <w:proofErr w:type="spellEnd"/>
      <w:r w:rsidRPr="0035457A">
        <w:rPr>
          <w:rFonts w:asciiTheme="minorBidi" w:hAnsiTheme="minorBidi"/>
          <w:sz w:val="24"/>
          <w:szCs w:val="24"/>
        </w:rPr>
        <w:t xml:space="preserve">, R. et al. (2024) ‘Barriers to inclusion’, </w:t>
      </w:r>
      <w:r w:rsidRPr="0035457A">
        <w:rPr>
          <w:rFonts w:asciiTheme="minorBidi" w:hAnsiTheme="minorBidi"/>
          <w:i/>
          <w:iCs/>
          <w:sz w:val="24"/>
          <w:szCs w:val="24"/>
        </w:rPr>
        <w:t>Studies in Higher Education</w:t>
      </w:r>
      <w:r w:rsidRPr="0035457A">
        <w:rPr>
          <w:rFonts w:asciiTheme="minorBidi" w:hAnsiTheme="minorBidi"/>
          <w:sz w:val="24"/>
          <w:szCs w:val="24"/>
        </w:rPr>
        <w:t>, pp. 1–15.</w:t>
      </w:r>
    </w:p>
    <w:p w14:paraId="124236E6"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Seyhan Bıyık, H. et al. (2022) ‘Fatigue in cerebral palsy’, </w:t>
      </w:r>
      <w:r w:rsidRPr="0035457A">
        <w:rPr>
          <w:rFonts w:asciiTheme="minorBidi" w:hAnsiTheme="minorBidi"/>
          <w:i/>
          <w:iCs/>
          <w:sz w:val="24"/>
          <w:szCs w:val="24"/>
        </w:rPr>
        <w:t>Developmental Medicine &amp; Child Neurology</w:t>
      </w:r>
      <w:r w:rsidRPr="0035457A">
        <w:rPr>
          <w:rFonts w:asciiTheme="minorBidi" w:hAnsiTheme="minorBidi"/>
          <w:sz w:val="24"/>
          <w:szCs w:val="24"/>
        </w:rPr>
        <w:t>, 64(5), pp. 623–630.</w:t>
      </w:r>
    </w:p>
    <w:p w14:paraId="1140DEC3"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Shakespeare, T. (2018) </w:t>
      </w:r>
      <w:r w:rsidRPr="0035457A">
        <w:rPr>
          <w:rFonts w:asciiTheme="minorBidi" w:hAnsiTheme="minorBidi"/>
          <w:i/>
          <w:iCs/>
          <w:sz w:val="24"/>
          <w:szCs w:val="24"/>
        </w:rPr>
        <w:t>Disability: The basics</w:t>
      </w:r>
      <w:r w:rsidRPr="0035457A">
        <w:rPr>
          <w:rFonts w:asciiTheme="minorBidi" w:hAnsiTheme="minorBidi"/>
          <w:sz w:val="24"/>
          <w:szCs w:val="24"/>
        </w:rPr>
        <w:t xml:space="preserve">. 2nd </w:t>
      </w:r>
      <w:proofErr w:type="spellStart"/>
      <w:r w:rsidRPr="0035457A">
        <w:rPr>
          <w:rFonts w:asciiTheme="minorBidi" w:hAnsiTheme="minorBidi"/>
          <w:sz w:val="24"/>
          <w:szCs w:val="24"/>
        </w:rPr>
        <w:t>edn</w:t>
      </w:r>
      <w:proofErr w:type="spellEnd"/>
      <w:r w:rsidRPr="0035457A">
        <w:rPr>
          <w:rFonts w:asciiTheme="minorBidi" w:hAnsiTheme="minorBidi"/>
          <w:sz w:val="24"/>
          <w:szCs w:val="24"/>
        </w:rPr>
        <w:t>. London: Routledge.</w:t>
      </w:r>
    </w:p>
    <w:p w14:paraId="00AEA414" w14:textId="77777777" w:rsidR="0035457A" w:rsidRPr="0035457A" w:rsidRDefault="0035457A" w:rsidP="0035457A">
      <w:pPr>
        <w:spacing w:line="360" w:lineRule="auto"/>
        <w:rPr>
          <w:rFonts w:asciiTheme="minorBidi" w:hAnsiTheme="minorBidi"/>
          <w:sz w:val="24"/>
          <w:szCs w:val="24"/>
        </w:rPr>
      </w:pPr>
      <w:proofErr w:type="spellStart"/>
      <w:r w:rsidRPr="0035457A">
        <w:rPr>
          <w:rFonts w:asciiTheme="minorBidi" w:hAnsiTheme="minorBidi"/>
          <w:sz w:val="24"/>
          <w:szCs w:val="24"/>
        </w:rPr>
        <w:t>Snowling</w:t>
      </w:r>
      <w:proofErr w:type="spellEnd"/>
      <w:r w:rsidRPr="0035457A">
        <w:rPr>
          <w:rFonts w:asciiTheme="minorBidi" w:hAnsiTheme="minorBidi"/>
          <w:sz w:val="24"/>
          <w:szCs w:val="24"/>
        </w:rPr>
        <w:t xml:space="preserve">, M.J. (2019) </w:t>
      </w:r>
      <w:r w:rsidRPr="0035457A">
        <w:rPr>
          <w:rFonts w:asciiTheme="minorBidi" w:hAnsiTheme="minorBidi"/>
          <w:i/>
          <w:iCs/>
          <w:sz w:val="24"/>
          <w:szCs w:val="24"/>
        </w:rPr>
        <w:t>Dyslexia</w:t>
      </w:r>
      <w:r w:rsidRPr="0035457A">
        <w:rPr>
          <w:rFonts w:asciiTheme="minorBidi" w:hAnsiTheme="minorBidi"/>
          <w:sz w:val="24"/>
          <w:szCs w:val="24"/>
        </w:rPr>
        <w:t>. Oxford: Oxford University Press.</w:t>
      </w:r>
    </w:p>
    <w:p w14:paraId="46D94073"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Swain, J. and French, S. (2000) ‘Affirmation model of disability’, </w:t>
      </w:r>
      <w:r w:rsidRPr="0035457A">
        <w:rPr>
          <w:rFonts w:asciiTheme="minorBidi" w:hAnsiTheme="minorBidi"/>
          <w:i/>
          <w:iCs/>
          <w:sz w:val="24"/>
          <w:szCs w:val="24"/>
        </w:rPr>
        <w:t>Disability &amp; Society</w:t>
      </w:r>
      <w:r w:rsidRPr="0035457A">
        <w:rPr>
          <w:rFonts w:asciiTheme="minorBidi" w:hAnsiTheme="minorBidi"/>
          <w:sz w:val="24"/>
          <w:szCs w:val="24"/>
        </w:rPr>
        <w:t>, 15(4), pp. 569–582.</w:t>
      </w:r>
    </w:p>
    <w:p w14:paraId="178A4390" w14:textId="77777777" w:rsidR="0035457A" w:rsidRPr="0035457A" w:rsidRDefault="0035457A" w:rsidP="0035457A">
      <w:pPr>
        <w:spacing w:line="360" w:lineRule="auto"/>
        <w:rPr>
          <w:rFonts w:asciiTheme="minorBidi" w:hAnsiTheme="minorBidi"/>
          <w:sz w:val="24"/>
          <w:szCs w:val="24"/>
        </w:rPr>
      </w:pPr>
      <w:proofErr w:type="spellStart"/>
      <w:r w:rsidRPr="0035457A">
        <w:rPr>
          <w:rFonts w:asciiTheme="minorBidi" w:hAnsiTheme="minorBidi"/>
          <w:sz w:val="24"/>
          <w:szCs w:val="24"/>
        </w:rPr>
        <w:t>Sweller</w:t>
      </w:r>
      <w:proofErr w:type="spellEnd"/>
      <w:r w:rsidRPr="0035457A">
        <w:rPr>
          <w:rFonts w:asciiTheme="minorBidi" w:hAnsiTheme="minorBidi"/>
          <w:sz w:val="24"/>
          <w:szCs w:val="24"/>
        </w:rPr>
        <w:t xml:space="preserve">, J. (2011) ‘Cognitive load theory’, </w:t>
      </w:r>
      <w:r w:rsidRPr="0035457A">
        <w:rPr>
          <w:rFonts w:asciiTheme="minorBidi" w:hAnsiTheme="minorBidi"/>
          <w:i/>
          <w:iCs/>
          <w:sz w:val="24"/>
          <w:szCs w:val="24"/>
        </w:rPr>
        <w:t>Psychology of Learning and Motivation</w:t>
      </w:r>
      <w:r w:rsidRPr="0035457A">
        <w:rPr>
          <w:rFonts w:asciiTheme="minorBidi" w:hAnsiTheme="minorBidi"/>
          <w:sz w:val="24"/>
          <w:szCs w:val="24"/>
        </w:rPr>
        <w:t>, 55, pp. 37–76.</w:t>
      </w:r>
    </w:p>
    <w:p w14:paraId="2E4EAAB4"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Thomas, L. (2012) </w:t>
      </w:r>
      <w:r w:rsidRPr="0035457A">
        <w:rPr>
          <w:rFonts w:asciiTheme="minorBidi" w:hAnsiTheme="minorBidi"/>
          <w:i/>
          <w:iCs/>
          <w:sz w:val="24"/>
          <w:szCs w:val="24"/>
        </w:rPr>
        <w:t>Building student engagement</w:t>
      </w:r>
      <w:r w:rsidRPr="0035457A">
        <w:rPr>
          <w:rFonts w:asciiTheme="minorBidi" w:hAnsiTheme="minorBidi"/>
          <w:sz w:val="24"/>
          <w:szCs w:val="24"/>
        </w:rPr>
        <w:t>. York: HEA.</w:t>
      </w:r>
    </w:p>
    <w:p w14:paraId="1AF7887F"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Thomas, L. (2021) ‘Student success’, </w:t>
      </w:r>
      <w:r w:rsidRPr="0035457A">
        <w:rPr>
          <w:rFonts w:asciiTheme="minorBidi" w:hAnsiTheme="minorBidi"/>
          <w:i/>
          <w:iCs/>
          <w:sz w:val="24"/>
          <w:szCs w:val="24"/>
        </w:rPr>
        <w:t>Higher Education Quarterly</w:t>
      </w:r>
      <w:r w:rsidRPr="0035457A">
        <w:rPr>
          <w:rFonts w:asciiTheme="minorBidi" w:hAnsiTheme="minorBidi"/>
          <w:sz w:val="24"/>
          <w:szCs w:val="24"/>
        </w:rPr>
        <w:t>, 75(3), pp. 1–17.</w:t>
      </w:r>
    </w:p>
    <w:p w14:paraId="253C2018"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UCAS (2023) </w:t>
      </w:r>
      <w:r w:rsidRPr="0035457A">
        <w:rPr>
          <w:rFonts w:asciiTheme="minorBidi" w:hAnsiTheme="minorBidi"/>
          <w:i/>
          <w:iCs/>
          <w:sz w:val="24"/>
          <w:szCs w:val="24"/>
        </w:rPr>
        <w:t>Students with mental health conditions</w:t>
      </w:r>
      <w:r w:rsidRPr="0035457A">
        <w:rPr>
          <w:rFonts w:asciiTheme="minorBidi" w:hAnsiTheme="minorBidi"/>
          <w:sz w:val="24"/>
          <w:szCs w:val="24"/>
        </w:rPr>
        <w:t>. Cheltenham: UCAS.</w:t>
      </w:r>
    </w:p>
    <w:p w14:paraId="0EA7F5CA"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UNESCO (2020) </w:t>
      </w:r>
      <w:r w:rsidRPr="0035457A">
        <w:rPr>
          <w:rFonts w:asciiTheme="minorBidi" w:hAnsiTheme="minorBidi"/>
          <w:i/>
          <w:iCs/>
          <w:sz w:val="24"/>
          <w:szCs w:val="24"/>
        </w:rPr>
        <w:t>Inclusion and education: All means all</w:t>
      </w:r>
      <w:r w:rsidRPr="0035457A">
        <w:rPr>
          <w:rFonts w:asciiTheme="minorBidi" w:hAnsiTheme="minorBidi"/>
          <w:sz w:val="24"/>
          <w:szCs w:val="24"/>
        </w:rPr>
        <w:t>. Paris: UNESCO.</w:t>
      </w:r>
    </w:p>
    <w:p w14:paraId="5C8CFB48"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Ungar, M. (2018) ‘Systemic resilience’, </w:t>
      </w:r>
      <w:r w:rsidRPr="0035457A">
        <w:rPr>
          <w:rFonts w:asciiTheme="minorBidi" w:hAnsiTheme="minorBidi"/>
          <w:i/>
          <w:iCs/>
          <w:sz w:val="24"/>
          <w:szCs w:val="24"/>
        </w:rPr>
        <w:t>Ecology and Society</w:t>
      </w:r>
      <w:r w:rsidRPr="0035457A">
        <w:rPr>
          <w:rFonts w:asciiTheme="minorBidi" w:hAnsiTheme="minorBidi"/>
          <w:sz w:val="24"/>
          <w:szCs w:val="24"/>
        </w:rPr>
        <w:t>, 23(4), article 34.</w:t>
      </w:r>
    </w:p>
    <w:p w14:paraId="2790DC23"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UK Government (2010) </w:t>
      </w:r>
      <w:r w:rsidRPr="0035457A">
        <w:rPr>
          <w:rFonts w:asciiTheme="minorBidi" w:hAnsiTheme="minorBidi"/>
          <w:i/>
          <w:iCs/>
          <w:sz w:val="24"/>
          <w:szCs w:val="24"/>
        </w:rPr>
        <w:t>Equality Act 2010</w:t>
      </w:r>
      <w:r w:rsidRPr="0035457A">
        <w:rPr>
          <w:rFonts w:asciiTheme="minorBidi" w:hAnsiTheme="minorBidi"/>
          <w:sz w:val="24"/>
          <w:szCs w:val="24"/>
        </w:rPr>
        <w:t>. London: TSO.</w:t>
      </w:r>
    </w:p>
    <w:p w14:paraId="7B5A0287"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Universities UK (2020) </w:t>
      </w:r>
      <w:proofErr w:type="spellStart"/>
      <w:r w:rsidRPr="0035457A">
        <w:rPr>
          <w:rFonts w:asciiTheme="minorBidi" w:hAnsiTheme="minorBidi"/>
          <w:i/>
          <w:iCs/>
          <w:sz w:val="24"/>
          <w:szCs w:val="24"/>
        </w:rPr>
        <w:t>Stepchange</w:t>
      </w:r>
      <w:proofErr w:type="spellEnd"/>
      <w:r w:rsidRPr="0035457A">
        <w:rPr>
          <w:rFonts w:asciiTheme="minorBidi" w:hAnsiTheme="minorBidi"/>
          <w:sz w:val="24"/>
          <w:szCs w:val="24"/>
        </w:rPr>
        <w:t>. London: Universities UK.</w:t>
      </w:r>
    </w:p>
    <w:p w14:paraId="471FF0C0"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Universities Wales (2020) </w:t>
      </w:r>
      <w:r w:rsidRPr="0035457A">
        <w:rPr>
          <w:rFonts w:asciiTheme="minorBidi" w:hAnsiTheme="minorBidi"/>
          <w:i/>
          <w:iCs/>
          <w:sz w:val="24"/>
          <w:szCs w:val="24"/>
        </w:rPr>
        <w:t>Widening access and inclusion</w:t>
      </w:r>
      <w:r w:rsidRPr="0035457A">
        <w:rPr>
          <w:rFonts w:asciiTheme="minorBidi" w:hAnsiTheme="minorBidi"/>
          <w:sz w:val="24"/>
          <w:szCs w:val="24"/>
        </w:rPr>
        <w:t>. Cardiff: Universities Wales.</w:t>
      </w:r>
    </w:p>
    <w:p w14:paraId="2F63CB65"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University of Wales Trinity Saint David (2024a) </w:t>
      </w:r>
      <w:r w:rsidRPr="0035457A">
        <w:rPr>
          <w:rFonts w:asciiTheme="minorBidi" w:hAnsiTheme="minorBidi"/>
          <w:i/>
          <w:iCs/>
          <w:sz w:val="24"/>
          <w:szCs w:val="24"/>
        </w:rPr>
        <w:t>Strategic Equality Plan 2024–2028</w:t>
      </w:r>
      <w:r w:rsidRPr="0035457A">
        <w:rPr>
          <w:rFonts w:asciiTheme="minorBidi" w:hAnsiTheme="minorBidi"/>
          <w:sz w:val="24"/>
          <w:szCs w:val="24"/>
        </w:rPr>
        <w:t>. Swansea: UWTSD.</w:t>
      </w:r>
    </w:p>
    <w:p w14:paraId="227EACC6"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lastRenderedPageBreak/>
        <w:t xml:space="preserve">University of Wales Trinity Saint David (2024b) </w:t>
      </w:r>
      <w:r w:rsidRPr="0035457A">
        <w:rPr>
          <w:rFonts w:asciiTheme="minorBidi" w:hAnsiTheme="minorBidi"/>
          <w:i/>
          <w:iCs/>
          <w:sz w:val="24"/>
          <w:szCs w:val="24"/>
        </w:rPr>
        <w:t>Accessibility and Inclusion Policy</w:t>
      </w:r>
      <w:r w:rsidRPr="0035457A">
        <w:rPr>
          <w:rFonts w:asciiTheme="minorBidi" w:hAnsiTheme="minorBidi"/>
          <w:sz w:val="24"/>
          <w:szCs w:val="24"/>
        </w:rPr>
        <w:t>. Swansea: UWTSD.</w:t>
      </w:r>
    </w:p>
    <w:p w14:paraId="70B6DB8D"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University of Wales Trinity Saint David (2024c) </w:t>
      </w:r>
      <w:r w:rsidRPr="0035457A">
        <w:rPr>
          <w:rFonts w:asciiTheme="minorBidi" w:hAnsiTheme="minorBidi"/>
          <w:i/>
          <w:iCs/>
          <w:sz w:val="24"/>
          <w:szCs w:val="24"/>
        </w:rPr>
        <w:t>Equality, Diversity and Inclusion Framework</w:t>
      </w:r>
      <w:r w:rsidRPr="0035457A">
        <w:rPr>
          <w:rFonts w:asciiTheme="minorBidi" w:hAnsiTheme="minorBidi"/>
          <w:sz w:val="24"/>
          <w:szCs w:val="24"/>
        </w:rPr>
        <w:t>. Swansea: UWTSD.</w:t>
      </w:r>
    </w:p>
    <w:p w14:paraId="3211B632"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University of Wales Trinity Saint David (2024d) </w:t>
      </w:r>
      <w:r w:rsidRPr="0035457A">
        <w:rPr>
          <w:rFonts w:asciiTheme="minorBidi" w:hAnsiTheme="minorBidi"/>
          <w:i/>
          <w:iCs/>
          <w:sz w:val="24"/>
          <w:szCs w:val="24"/>
        </w:rPr>
        <w:t>Support for Study Policy</w:t>
      </w:r>
      <w:r w:rsidRPr="0035457A">
        <w:rPr>
          <w:rFonts w:asciiTheme="minorBidi" w:hAnsiTheme="minorBidi"/>
          <w:sz w:val="24"/>
          <w:szCs w:val="24"/>
        </w:rPr>
        <w:t>. Swansea: UWTSD.</w:t>
      </w:r>
    </w:p>
    <w:p w14:paraId="6C876D4F"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Vygotsky, L.S. (1978) </w:t>
      </w:r>
      <w:r w:rsidRPr="0035457A">
        <w:rPr>
          <w:rFonts w:asciiTheme="minorBidi" w:hAnsiTheme="minorBidi"/>
          <w:i/>
          <w:iCs/>
          <w:sz w:val="24"/>
          <w:szCs w:val="24"/>
        </w:rPr>
        <w:t>Mind in society</w:t>
      </w:r>
      <w:r w:rsidRPr="0035457A">
        <w:rPr>
          <w:rFonts w:asciiTheme="minorBidi" w:hAnsiTheme="minorBidi"/>
          <w:sz w:val="24"/>
          <w:szCs w:val="24"/>
        </w:rPr>
        <w:t>. Cambridge, MA: Harvard University Press.</w:t>
      </w:r>
    </w:p>
    <w:p w14:paraId="2279650A"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Walker, N. (2021) </w:t>
      </w:r>
      <w:proofErr w:type="spellStart"/>
      <w:r w:rsidRPr="0035457A">
        <w:rPr>
          <w:rFonts w:asciiTheme="minorBidi" w:hAnsiTheme="minorBidi"/>
          <w:i/>
          <w:iCs/>
          <w:sz w:val="24"/>
          <w:szCs w:val="24"/>
        </w:rPr>
        <w:t>Neuroqueer</w:t>
      </w:r>
      <w:proofErr w:type="spellEnd"/>
      <w:r w:rsidRPr="0035457A">
        <w:rPr>
          <w:rFonts w:asciiTheme="minorBidi" w:hAnsiTheme="minorBidi"/>
          <w:i/>
          <w:iCs/>
          <w:sz w:val="24"/>
          <w:szCs w:val="24"/>
        </w:rPr>
        <w:t xml:space="preserve"> heresies</w:t>
      </w:r>
      <w:r w:rsidRPr="0035457A">
        <w:rPr>
          <w:rFonts w:asciiTheme="minorBidi" w:hAnsiTheme="minorBidi"/>
          <w:sz w:val="24"/>
          <w:szCs w:val="24"/>
        </w:rPr>
        <w:t>. California: Autonomous Press.</w:t>
      </w:r>
    </w:p>
    <w:p w14:paraId="2625F57E"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Waterfield, J. and West, B. (2006) </w:t>
      </w:r>
      <w:r w:rsidRPr="0035457A">
        <w:rPr>
          <w:rFonts w:asciiTheme="minorBidi" w:hAnsiTheme="minorBidi"/>
          <w:i/>
          <w:iCs/>
          <w:sz w:val="24"/>
          <w:szCs w:val="24"/>
        </w:rPr>
        <w:t>Inclusive assessment in higher education</w:t>
      </w:r>
      <w:r w:rsidRPr="0035457A">
        <w:rPr>
          <w:rFonts w:asciiTheme="minorBidi" w:hAnsiTheme="minorBidi"/>
          <w:sz w:val="24"/>
          <w:szCs w:val="24"/>
        </w:rPr>
        <w:t>. Plymouth: University of Plymouth.</w:t>
      </w:r>
    </w:p>
    <w:p w14:paraId="1947B9D8"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Warwick-Booth, L. (2019) </w:t>
      </w:r>
      <w:r w:rsidRPr="0035457A">
        <w:rPr>
          <w:rFonts w:asciiTheme="minorBidi" w:hAnsiTheme="minorBidi"/>
          <w:i/>
          <w:iCs/>
          <w:sz w:val="24"/>
          <w:szCs w:val="24"/>
        </w:rPr>
        <w:t>Social inequality and health</w:t>
      </w:r>
      <w:r w:rsidRPr="0035457A">
        <w:rPr>
          <w:rFonts w:asciiTheme="minorBidi" w:hAnsiTheme="minorBidi"/>
          <w:sz w:val="24"/>
          <w:szCs w:val="24"/>
        </w:rPr>
        <w:t>. Bristol: Policy Press.</w:t>
      </w:r>
    </w:p>
    <w:p w14:paraId="6FB1497D"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Welsh Government (2015) </w:t>
      </w:r>
      <w:r w:rsidRPr="0035457A">
        <w:rPr>
          <w:rFonts w:asciiTheme="minorBidi" w:hAnsiTheme="minorBidi"/>
          <w:i/>
          <w:iCs/>
          <w:sz w:val="24"/>
          <w:szCs w:val="24"/>
        </w:rPr>
        <w:t>Well-being of Future Generations (Wales) Act 2015</w:t>
      </w:r>
      <w:r w:rsidRPr="0035457A">
        <w:rPr>
          <w:rFonts w:asciiTheme="minorBidi" w:hAnsiTheme="minorBidi"/>
          <w:sz w:val="24"/>
          <w:szCs w:val="24"/>
        </w:rPr>
        <w:t>. Cardiff: Welsh Government.</w:t>
      </w:r>
    </w:p>
    <w:p w14:paraId="7F5D3F2F"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Welsh Government (2018) </w:t>
      </w:r>
      <w:r w:rsidRPr="0035457A">
        <w:rPr>
          <w:rFonts w:asciiTheme="minorBidi" w:hAnsiTheme="minorBidi"/>
          <w:i/>
          <w:iCs/>
          <w:sz w:val="24"/>
          <w:szCs w:val="24"/>
        </w:rPr>
        <w:t>Additional Learning Needs and Education Tribunal (Wales) Act 2018</w:t>
      </w:r>
      <w:r w:rsidRPr="0035457A">
        <w:rPr>
          <w:rFonts w:asciiTheme="minorBidi" w:hAnsiTheme="minorBidi"/>
          <w:sz w:val="24"/>
          <w:szCs w:val="24"/>
        </w:rPr>
        <w:t>. Cardiff: Welsh Government.</w:t>
      </w:r>
    </w:p>
    <w:p w14:paraId="374DFB2A"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Welsh Government (2021a) </w:t>
      </w:r>
      <w:r w:rsidRPr="0035457A">
        <w:rPr>
          <w:rFonts w:asciiTheme="minorBidi" w:hAnsiTheme="minorBidi"/>
          <w:i/>
          <w:iCs/>
          <w:sz w:val="24"/>
          <w:szCs w:val="24"/>
        </w:rPr>
        <w:t>Additional Learning Needs Code for Wales</w:t>
      </w:r>
      <w:r w:rsidRPr="0035457A">
        <w:rPr>
          <w:rFonts w:asciiTheme="minorBidi" w:hAnsiTheme="minorBidi"/>
          <w:sz w:val="24"/>
          <w:szCs w:val="24"/>
        </w:rPr>
        <w:t>. Cardiff: Welsh Government.</w:t>
      </w:r>
    </w:p>
    <w:p w14:paraId="45A9554C"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Welsh Government (2023) </w:t>
      </w:r>
      <w:r w:rsidRPr="0035457A">
        <w:rPr>
          <w:rFonts w:asciiTheme="minorBidi" w:hAnsiTheme="minorBidi"/>
          <w:i/>
          <w:iCs/>
          <w:sz w:val="24"/>
          <w:szCs w:val="24"/>
        </w:rPr>
        <w:t>Professional standards for teaching and leadership</w:t>
      </w:r>
      <w:r w:rsidRPr="0035457A">
        <w:rPr>
          <w:rFonts w:asciiTheme="minorBidi" w:hAnsiTheme="minorBidi"/>
          <w:sz w:val="24"/>
          <w:szCs w:val="24"/>
        </w:rPr>
        <w:t>. Cardiff: Welsh Government.</w:t>
      </w:r>
    </w:p>
    <w:p w14:paraId="0C3A12B0" w14:textId="77777777" w:rsidR="0035457A" w:rsidRPr="0035457A" w:rsidRDefault="0035457A" w:rsidP="0035457A">
      <w:pPr>
        <w:spacing w:line="360" w:lineRule="auto"/>
        <w:rPr>
          <w:rFonts w:asciiTheme="minorBidi" w:hAnsiTheme="minorBidi"/>
          <w:sz w:val="24"/>
          <w:szCs w:val="24"/>
        </w:rPr>
      </w:pPr>
      <w:r w:rsidRPr="0035457A">
        <w:rPr>
          <w:rFonts w:asciiTheme="minorBidi" w:hAnsiTheme="minorBidi"/>
          <w:sz w:val="24"/>
          <w:szCs w:val="24"/>
        </w:rPr>
        <w:t xml:space="preserve">Welsh Government (2025) </w:t>
      </w:r>
      <w:r w:rsidRPr="0035457A">
        <w:rPr>
          <w:rFonts w:asciiTheme="minorBidi" w:hAnsiTheme="minorBidi"/>
          <w:i/>
          <w:iCs/>
          <w:sz w:val="24"/>
          <w:szCs w:val="24"/>
        </w:rPr>
        <w:t>Well-being of Future Generations progress report</w:t>
      </w:r>
      <w:r w:rsidRPr="0035457A">
        <w:rPr>
          <w:rFonts w:asciiTheme="minorBidi" w:hAnsiTheme="minorBidi"/>
          <w:sz w:val="24"/>
          <w:szCs w:val="24"/>
        </w:rPr>
        <w:t>. Cardiff: Welsh Government.</w:t>
      </w:r>
    </w:p>
    <w:p w14:paraId="4F339D49" w14:textId="77777777" w:rsidR="00160540" w:rsidRPr="00A844B8" w:rsidRDefault="00160540" w:rsidP="00660C5A">
      <w:pPr>
        <w:spacing w:line="360" w:lineRule="auto"/>
        <w:rPr>
          <w:rFonts w:asciiTheme="minorBidi" w:hAnsiTheme="minorBidi"/>
          <w:sz w:val="24"/>
          <w:szCs w:val="24"/>
        </w:rPr>
      </w:pPr>
    </w:p>
    <w:sectPr w:rsidR="00160540" w:rsidRPr="00A844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3A7"/>
    <w:rsid w:val="00085862"/>
    <w:rsid w:val="000C3165"/>
    <w:rsid w:val="001063A2"/>
    <w:rsid w:val="00115A5D"/>
    <w:rsid w:val="001325CA"/>
    <w:rsid w:val="00160540"/>
    <w:rsid w:val="001B46E0"/>
    <w:rsid w:val="001B6BCF"/>
    <w:rsid w:val="001E76F0"/>
    <w:rsid w:val="00210368"/>
    <w:rsid w:val="00254A83"/>
    <w:rsid w:val="002C10D2"/>
    <w:rsid w:val="00320AC4"/>
    <w:rsid w:val="003509E8"/>
    <w:rsid w:val="0035457A"/>
    <w:rsid w:val="0035572A"/>
    <w:rsid w:val="003733AB"/>
    <w:rsid w:val="00385B11"/>
    <w:rsid w:val="003C036D"/>
    <w:rsid w:val="003F5210"/>
    <w:rsid w:val="0044049C"/>
    <w:rsid w:val="004B33A7"/>
    <w:rsid w:val="004E068F"/>
    <w:rsid w:val="004E40B8"/>
    <w:rsid w:val="00521EF9"/>
    <w:rsid w:val="005306D0"/>
    <w:rsid w:val="005571B7"/>
    <w:rsid w:val="005A3393"/>
    <w:rsid w:val="005A4A0A"/>
    <w:rsid w:val="005B2848"/>
    <w:rsid w:val="005C722E"/>
    <w:rsid w:val="005D014C"/>
    <w:rsid w:val="005E0765"/>
    <w:rsid w:val="0062663C"/>
    <w:rsid w:val="00660C5A"/>
    <w:rsid w:val="00664E87"/>
    <w:rsid w:val="006E27AD"/>
    <w:rsid w:val="007037FF"/>
    <w:rsid w:val="00703E2E"/>
    <w:rsid w:val="00721D33"/>
    <w:rsid w:val="007B1577"/>
    <w:rsid w:val="00810BCD"/>
    <w:rsid w:val="00857DE3"/>
    <w:rsid w:val="008652D3"/>
    <w:rsid w:val="00874814"/>
    <w:rsid w:val="00887CF4"/>
    <w:rsid w:val="00894A10"/>
    <w:rsid w:val="008B5A4C"/>
    <w:rsid w:val="008C677D"/>
    <w:rsid w:val="008D6914"/>
    <w:rsid w:val="00942CAC"/>
    <w:rsid w:val="00962CCE"/>
    <w:rsid w:val="009868A6"/>
    <w:rsid w:val="009F524F"/>
    <w:rsid w:val="00A15A14"/>
    <w:rsid w:val="00A22C0E"/>
    <w:rsid w:val="00A369B1"/>
    <w:rsid w:val="00A46C26"/>
    <w:rsid w:val="00A53E01"/>
    <w:rsid w:val="00A844B8"/>
    <w:rsid w:val="00A876C2"/>
    <w:rsid w:val="00A9381A"/>
    <w:rsid w:val="00AC6B1B"/>
    <w:rsid w:val="00BC56A4"/>
    <w:rsid w:val="00BD079C"/>
    <w:rsid w:val="00BD0F13"/>
    <w:rsid w:val="00BF4288"/>
    <w:rsid w:val="00C41EF0"/>
    <w:rsid w:val="00C64F55"/>
    <w:rsid w:val="00C81BB1"/>
    <w:rsid w:val="00C853F5"/>
    <w:rsid w:val="00CF39E3"/>
    <w:rsid w:val="00DA79F7"/>
    <w:rsid w:val="00E317BF"/>
    <w:rsid w:val="00E331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C3916"/>
  <w15:chartTrackingRefBased/>
  <w15:docId w15:val="{A133BC34-3EDE-4873-851B-1E7D7D677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3A7"/>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4B33A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4B33A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4B33A7"/>
    <w:pPr>
      <w:keepNext/>
      <w:keepLines/>
      <w:spacing w:before="160" w:after="80" w:line="278" w:lineRule="auto"/>
      <w:outlineLvl w:val="2"/>
    </w:pPr>
    <w:rPr>
      <w:rFonts w:eastAsiaTheme="majorEastAsia"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4B33A7"/>
    <w:pPr>
      <w:keepNext/>
      <w:keepLines/>
      <w:spacing w:before="80" w:after="40" w:line="278" w:lineRule="auto"/>
      <w:outlineLvl w:val="3"/>
    </w:pPr>
    <w:rPr>
      <w:rFonts w:eastAsiaTheme="majorEastAsia"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4B33A7"/>
    <w:pPr>
      <w:keepNext/>
      <w:keepLines/>
      <w:spacing w:before="80" w:after="40" w:line="278" w:lineRule="auto"/>
      <w:outlineLvl w:val="4"/>
    </w:pPr>
    <w:rPr>
      <w:rFonts w:eastAsiaTheme="majorEastAsia"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4B33A7"/>
    <w:pPr>
      <w:keepNext/>
      <w:keepLines/>
      <w:spacing w:before="40" w:after="0" w:line="278" w:lineRule="auto"/>
      <w:outlineLvl w:val="5"/>
    </w:pPr>
    <w:rPr>
      <w:rFonts w:eastAsiaTheme="majorEastAsia"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4B33A7"/>
    <w:pPr>
      <w:keepNext/>
      <w:keepLines/>
      <w:spacing w:before="40" w:after="0" w:line="278" w:lineRule="auto"/>
      <w:outlineLvl w:val="6"/>
    </w:pPr>
    <w:rPr>
      <w:rFonts w:eastAsiaTheme="majorEastAsia"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4B33A7"/>
    <w:pPr>
      <w:keepNext/>
      <w:keepLines/>
      <w:spacing w:after="0" w:line="278" w:lineRule="auto"/>
      <w:outlineLvl w:val="7"/>
    </w:pPr>
    <w:rPr>
      <w:rFonts w:eastAsiaTheme="majorEastAsia"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4B33A7"/>
    <w:pPr>
      <w:keepNext/>
      <w:keepLines/>
      <w:spacing w:after="0" w:line="278" w:lineRule="auto"/>
      <w:outlineLvl w:val="8"/>
    </w:pPr>
    <w:rPr>
      <w:rFonts w:eastAsiaTheme="majorEastAsia"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3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3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3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3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3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3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3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3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3A7"/>
    <w:rPr>
      <w:rFonts w:eastAsiaTheme="majorEastAsia" w:cstheme="majorBidi"/>
      <w:color w:val="272727" w:themeColor="text1" w:themeTint="D8"/>
    </w:rPr>
  </w:style>
  <w:style w:type="paragraph" w:styleId="Title">
    <w:name w:val="Title"/>
    <w:basedOn w:val="Normal"/>
    <w:next w:val="Normal"/>
    <w:link w:val="TitleChar"/>
    <w:uiPriority w:val="10"/>
    <w:qFormat/>
    <w:rsid w:val="004B33A7"/>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4B33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3A7"/>
    <w:pPr>
      <w:numPr>
        <w:ilvl w:val="1"/>
      </w:numPr>
      <w:spacing w:line="278" w:lineRule="auto"/>
    </w:pPr>
    <w:rPr>
      <w:rFonts w:eastAsiaTheme="majorEastAsia"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4B33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3A7"/>
    <w:pPr>
      <w:spacing w:before="160" w:line="278" w:lineRule="auto"/>
      <w:jc w:val="center"/>
    </w:pPr>
    <w:rPr>
      <w:rFonts w:eastAsiaTheme="minorEastAsia"/>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4B33A7"/>
    <w:rPr>
      <w:i/>
      <w:iCs/>
      <w:color w:val="404040" w:themeColor="text1" w:themeTint="BF"/>
    </w:rPr>
  </w:style>
  <w:style w:type="paragraph" w:styleId="ListParagraph">
    <w:name w:val="List Paragraph"/>
    <w:basedOn w:val="Normal"/>
    <w:uiPriority w:val="34"/>
    <w:qFormat/>
    <w:rsid w:val="004B33A7"/>
    <w:pPr>
      <w:spacing w:line="278" w:lineRule="auto"/>
      <w:ind w:left="720"/>
      <w:contextualSpacing/>
    </w:pPr>
    <w:rPr>
      <w:rFonts w:eastAsiaTheme="minorEastAsia"/>
      <w:kern w:val="2"/>
      <w:sz w:val="24"/>
      <w:szCs w:val="24"/>
      <w:lang w:eastAsia="zh-CN"/>
      <w14:ligatures w14:val="standardContextual"/>
    </w:rPr>
  </w:style>
  <w:style w:type="character" w:styleId="IntenseEmphasis">
    <w:name w:val="Intense Emphasis"/>
    <w:basedOn w:val="DefaultParagraphFont"/>
    <w:uiPriority w:val="21"/>
    <w:qFormat/>
    <w:rsid w:val="004B33A7"/>
    <w:rPr>
      <w:i/>
      <w:iCs/>
      <w:color w:val="0F4761" w:themeColor="accent1" w:themeShade="BF"/>
    </w:rPr>
  </w:style>
  <w:style w:type="paragraph" w:styleId="IntenseQuote">
    <w:name w:val="Intense Quote"/>
    <w:basedOn w:val="Normal"/>
    <w:next w:val="Normal"/>
    <w:link w:val="IntenseQuoteChar"/>
    <w:uiPriority w:val="30"/>
    <w:qFormat/>
    <w:rsid w:val="004B33A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4B33A7"/>
    <w:rPr>
      <w:i/>
      <w:iCs/>
      <w:color w:val="0F4761" w:themeColor="accent1" w:themeShade="BF"/>
    </w:rPr>
  </w:style>
  <w:style w:type="character" w:styleId="IntenseReference">
    <w:name w:val="Intense Reference"/>
    <w:basedOn w:val="DefaultParagraphFont"/>
    <w:uiPriority w:val="32"/>
    <w:qFormat/>
    <w:rsid w:val="004B33A7"/>
    <w:rPr>
      <w:b/>
      <w:bCs/>
      <w:smallCaps/>
      <w:color w:val="0F4761" w:themeColor="accent1" w:themeShade="BF"/>
      <w:spacing w:val="5"/>
    </w:rPr>
  </w:style>
  <w:style w:type="paragraph" w:styleId="NormalWeb">
    <w:name w:val="Normal (Web)"/>
    <w:basedOn w:val="Normal"/>
    <w:uiPriority w:val="99"/>
    <w:semiHidden/>
    <w:unhideWhenUsed/>
    <w:rsid w:val="005A4A0A"/>
    <w:rPr>
      <w:rFonts w:ascii="Times New Roman" w:hAnsi="Times New Roman" w:cs="Times New Roman"/>
      <w:sz w:val="24"/>
      <w:szCs w:val="24"/>
    </w:rPr>
  </w:style>
  <w:style w:type="character" w:styleId="Hyperlink">
    <w:name w:val="Hyperlink"/>
    <w:basedOn w:val="DefaultParagraphFont"/>
    <w:uiPriority w:val="99"/>
    <w:unhideWhenUsed/>
    <w:rsid w:val="004E068F"/>
    <w:rPr>
      <w:color w:val="467886" w:themeColor="hyperlink"/>
      <w:u w:val="single"/>
    </w:rPr>
  </w:style>
  <w:style w:type="character" w:styleId="UnresolvedMention">
    <w:name w:val="Unresolved Mention"/>
    <w:basedOn w:val="DefaultParagraphFont"/>
    <w:uiPriority w:val="99"/>
    <w:semiHidden/>
    <w:unhideWhenUsed/>
    <w:rsid w:val="00A844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edr.cymru" TargetMode="External"/><Relationship Id="rId5" Type="http://schemas.openxmlformats.org/officeDocument/2006/relationships/hyperlink" Target="https://www.estyn.gov.wale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4382</Words>
  <Characters>28398</Characters>
  <Application>Microsoft Office Word</Application>
  <DocSecurity>0</DocSecurity>
  <Lines>498</Lines>
  <Paragraphs>167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Joanne Wozencroft</cp:lastModifiedBy>
  <cp:revision>2</cp:revision>
  <dcterms:created xsi:type="dcterms:W3CDTF">2026-03-27T23:07:00Z</dcterms:created>
  <dcterms:modified xsi:type="dcterms:W3CDTF">2026-03-27T23:07:00Z</dcterms:modified>
</cp:coreProperties>
</file>