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CC148" w14:textId="2C3F8AFE" w:rsidR="00397734" w:rsidRDefault="00550939" w:rsidP="00550939">
      <w:pPr>
        <w:jc w:val="center"/>
        <w:rPr>
          <w:rFonts w:ascii="Times New Roman" w:hAnsi="Times New Roman" w:cs="Times New Roman"/>
          <w:b/>
          <w:bCs/>
          <w:i/>
          <w:iCs/>
          <w:color w:val="373A3C"/>
          <w:sz w:val="32"/>
          <w:szCs w:val="32"/>
          <w:u w:val="single"/>
          <w:shd w:val="clear" w:color="auto" w:fill="FFFFFF"/>
        </w:rPr>
      </w:pPr>
      <w:r w:rsidRPr="00550939">
        <w:rPr>
          <w:rFonts w:ascii="Times New Roman" w:hAnsi="Times New Roman" w:cs="Times New Roman"/>
          <w:b/>
          <w:bCs/>
          <w:i/>
          <w:iCs/>
          <w:color w:val="373A3C"/>
          <w:sz w:val="32"/>
          <w:szCs w:val="32"/>
          <w:u w:val="single"/>
          <w:shd w:val="clear" w:color="auto" w:fill="FFFFFF"/>
        </w:rPr>
        <w:t xml:space="preserve">Where </w:t>
      </w:r>
      <w:r w:rsidR="00142473">
        <w:rPr>
          <w:rFonts w:ascii="Times New Roman" w:hAnsi="Times New Roman" w:cs="Times New Roman"/>
          <w:b/>
          <w:bCs/>
          <w:i/>
          <w:iCs/>
          <w:color w:val="373A3C"/>
          <w:sz w:val="32"/>
          <w:szCs w:val="32"/>
          <w:u w:val="single"/>
          <w:shd w:val="clear" w:color="auto" w:fill="FFFFFF"/>
        </w:rPr>
        <w:t>D</w:t>
      </w:r>
      <w:r w:rsidRPr="00550939">
        <w:rPr>
          <w:rFonts w:ascii="Times New Roman" w:hAnsi="Times New Roman" w:cs="Times New Roman"/>
          <w:b/>
          <w:bCs/>
          <w:i/>
          <w:iCs/>
          <w:color w:val="373A3C"/>
          <w:sz w:val="32"/>
          <w:szCs w:val="32"/>
          <w:u w:val="single"/>
          <w:shd w:val="clear" w:color="auto" w:fill="FFFFFF"/>
        </w:rPr>
        <w:t xml:space="preserve">o </w:t>
      </w:r>
      <w:r w:rsidR="00142473">
        <w:rPr>
          <w:rFonts w:ascii="Times New Roman" w:hAnsi="Times New Roman" w:cs="Times New Roman"/>
          <w:b/>
          <w:bCs/>
          <w:i/>
          <w:iCs/>
          <w:color w:val="373A3C"/>
          <w:sz w:val="32"/>
          <w:szCs w:val="32"/>
          <w:u w:val="single"/>
          <w:shd w:val="clear" w:color="auto" w:fill="FFFFFF"/>
        </w:rPr>
        <w:t>R</w:t>
      </w:r>
      <w:r w:rsidRPr="00550939">
        <w:rPr>
          <w:rFonts w:ascii="Times New Roman" w:hAnsi="Times New Roman" w:cs="Times New Roman"/>
          <w:b/>
          <w:bCs/>
          <w:i/>
          <w:iCs/>
          <w:color w:val="373A3C"/>
          <w:sz w:val="32"/>
          <w:szCs w:val="32"/>
          <w:u w:val="single"/>
          <w:shd w:val="clear" w:color="auto" w:fill="FFFFFF"/>
        </w:rPr>
        <w:t xml:space="preserve">ights </w:t>
      </w:r>
      <w:r w:rsidR="00142473">
        <w:rPr>
          <w:rFonts w:ascii="Times New Roman" w:hAnsi="Times New Roman" w:cs="Times New Roman"/>
          <w:b/>
          <w:bCs/>
          <w:i/>
          <w:iCs/>
          <w:color w:val="373A3C"/>
          <w:sz w:val="32"/>
          <w:szCs w:val="32"/>
          <w:u w:val="single"/>
          <w:shd w:val="clear" w:color="auto" w:fill="FFFFFF"/>
        </w:rPr>
        <w:t>C</w:t>
      </w:r>
      <w:r w:rsidRPr="00550939">
        <w:rPr>
          <w:rFonts w:ascii="Times New Roman" w:hAnsi="Times New Roman" w:cs="Times New Roman"/>
          <w:b/>
          <w:bCs/>
          <w:i/>
          <w:iCs/>
          <w:color w:val="373A3C"/>
          <w:sz w:val="32"/>
          <w:szCs w:val="32"/>
          <w:u w:val="single"/>
          <w:shd w:val="clear" w:color="auto" w:fill="FFFFFF"/>
        </w:rPr>
        <w:t xml:space="preserve">ome </w:t>
      </w:r>
      <w:r w:rsidR="00142473">
        <w:rPr>
          <w:rFonts w:ascii="Times New Roman" w:hAnsi="Times New Roman" w:cs="Times New Roman"/>
          <w:b/>
          <w:bCs/>
          <w:i/>
          <w:iCs/>
          <w:color w:val="373A3C"/>
          <w:sz w:val="32"/>
          <w:szCs w:val="32"/>
          <w:u w:val="single"/>
          <w:shd w:val="clear" w:color="auto" w:fill="FFFFFF"/>
        </w:rPr>
        <w:t>F</w:t>
      </w:r>
      <w:r w:rsidRPr="00550939">
        <w:rPr>
          <w:rFonts w:ascii="Times New Roman" w:hAnsi="Times New Roman" w:cs="Times New Roman"/>
          <w:b/>
          <w:bCs/>
          <w:i/>
          <w:iCs/>
          <w:color w:val="373A3C"/>
          <w:sz w:val="32"/>
          <w:szCs w:val="32"/>
          <w:u w:val="single"/>
          <w:shd w:val="clear" w:color="auto" w:fill="FFFFFF"/>
        </w:rPr>
        <w:t>rom?</w:t>
      </w:r>
    </w:p>
    <w:p w14:paraId="3D106F9B" w14:textId="77777777" w:rsidR="00662F24" w:rsidRDefault="00662F24" w:rsidP="00550939">
      <w:pPr>
        <w:spacing w:line="480" w:lineRule="auto"/>
        <w:rPr>
          <w:rFonts w:ascii="Times New Roman" w:hAnsi="Times New Roman" w:cs="Times New Roman"/>
          <w:color w:val="373A3C"/>
          <w:sz w:val="28"/>
          <w:szCs w:val="28"/>
          <w:shd w:val="clear" w:color="auto" w:fill="FFFFFF"/>
        </w:rPr>
      </w:pPr>
    </w:p>
    <w:p w14:paraId="62CEB268" w14:textId="34AC9B36" w:rsidR="00550939" w:rsidRDefault="00142473" w:rsidP="00550939">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 ‘</w:t>
      </w:r>
      <w:r>
        <w:rPr>
          <w:rFonts w:ascii="Times New Roman" w:hAnsi="Times New Roman" w:cs="Times New Roman"/>
          <w:i/>
          <w:iCs/>
          <w:color w:val="373A3C"/>
          <w:sz w:val="28"/>
          <w:szCs w:val="28"/>
          <w:shd w:val="clear" w:color="auto" w:fill="FFFFFF"/>
        </w:rPr>
        <w:t xml:space="preserve">Where Do Rights Come From?’ </w:t>
      </w:r>
      <w:r>
        <w:rPr>
          <w:rFonts w:ascii="Times New Roman" w:hAnsi="Times New Roman" w:cs="Times New Roman"/>
          <w:color w:val="373A3C"/>
          <w:sz w:val="28"/>
          <w:szCs w:val="28"/>
          <w:shd w:val="clear" w:color="auto" w:fill="FFFFFF"/>
        </w:rPr>
        <w:t xml:space="preserve"> is an old and continuous concern, demonstrating the seriousness it has been dealt with. I am inclined to continue in this spirit.</w:t>
      </w:r>
      <w:r w:rsidR="00550939">
        <w:rPr>
          <w:rFonts w:ascii="Times New Roman" w:hAnsi="Times New Roman" w:cs="Times New Roman"/>
          <w:color w:val="373A3C"/>
          <w:sz w:val="28"/>
          <w:szCs w:val="28"/>
          <w:shd w:val="clear" w:color="auto" w:fill="FFFFFF"/>
        </w:rPr>
        <w:t xml:space="preserve"> In this essay I set out to discuss 2 different </w:t>
      </w:r>
      <w:r>
        <w:rPr>
          <w:rFonts w:ascii="Times New Roman" w:hAnsi="Times New Roman" w:cs="Times New Roman"/>
          <w:color w:val="373A3C"/>
          <w:sz w:val="28"/>
          <w:szCs w:val="28"/>
          <w:shd w:val="clear" w:color="auto" w:fill="FFFFFF"/>
        </w:rPr>
        <w:t xml:space="preserve">positions on human rights. </w:t>
      </w:r>
      <w:r w:rsidR="008C17FC">
        <w:rPr>
          <w:rFonts w:ascii="Times New Roman" w:hAnsi="Times New Roman" w:cs="Times New Roman"/>
          <w:color w:val="373A3C"/>
          <w:sz w:val="28"/>
          <w:szCs w:val="28"/>
          <w:shd w:val="clear" w:color="auto" w:fill="FFFFFF"/>
        </w:rPr>
        <w:t>One</w:t>
      </w:r>
      <w:r>
        <w:rPr>
          <w:rFonts w:ascii="Times New Roman" w:hAnsi="Times New Roman" w:cs="Times New Roman"/>
          <w:color w:val="373A3C"/>
          <w:sz w:val="28"/>
          <w:szCs w:val="28"/>
          <w:shd w:val="clear" w:color="auto" w:fill="FFFFFF"/>
        </w:rPr>
        <w:t xml:space="preserve"> will be a secular focused position, the </w:t>
      </w:r>
      <w:r w:rsidR="008C17FC">
        <w:rPr>
          <w:rFonts w:ascii="Times New Roman" w:hAnsi="Times New Roman" w:cs="Times New Roman"/>
          <w:color w:val="373A3C"/>
          <w:sz w:val="28"/>
          <w:szCs w:val="28"/>
          <w:shd w:val="clear" w:color="auto" w:fill="FFFFFF"/>
        </w:rPr>
        <w:t>other</w:t>
      </w:r>
      <w:r>
        <w:rPr>
          <w:rFonts w:ascii="Times New Roman" w:hAnsi="Times New Roman" w:cs="Times New Roman"/>
          <w:color w:val="373A3C"/>
          <w:sz w:val="28"/>
          <w:szCs w:val="28"/>
          <w:shd w:val="clear" w:color="auto" w:fill="FFFFFF"/>
        </w:rPr>
        <w:t xml:space="preserve"> a view grounded on the existence of God,</w:t>
      </w:r>
      <w:r w:rsidR="00A76FB7">
        <w:rPr>
          <w:rFonts w:ascii="Times New Roman" w:hAnsi="Times New Roman" w:cs="Times New Roman"/>
          <w:color w:val="373A3C"/>
          <w:sz w:val="28"/>
          <w:szCs w:val="28"/>
          <w:shd w:val="clear" w:color="auto" w:fill="FFFFFF"/>
        </w:rPr>
        <w:t xml:space="preserve"> more specifically an objective and prescribed order to be followed</w:t>
      </w:r>
      <w:r>
        <w:rPr>
          <w:rFonts w:ascii="Times New Roman" w:hAnsi="Times New Roman" w:cs="Times New Roman"/>
          <w:color w:val="373A3C"/>
          <w:sz w:val="28"/>
          <w:szCs w:val="28"/>
          <w:shd w:val="clear" w:color="auto" w:fill="FFFFFF"/>
        </w:rPr>
        <w:t xml:space="preserve">. I will </w:t>
      </w:r>
      <w:r w:rsidR="008C17FC">
        <w:rPr>
          <w:rFonts w:ascii="Times New Roman" w:hAnsi="Times New Roman" w:cs="Times New Roman"/>
          <w:color w:val="373A3C"/>
          <w:sz w:val="28"/>
          <w:szCs w:val="28"/>
          <w:shd w:val="clear" w:color="auto" w:fill="FFFFFF"/>
        </w:rPr>
        <w:t>analyse accordingly</w:t>
      </w:r>
      <w:r>
        <w:rPr>
          <w:rFonts w:ascii="Times New Roman" w:hAnsi="Times New Roman" w:cs="Times New Roman"/>
          <w:color w:val="373A3C"/>
          <w:sz w:val="28"/>
          <w:szCs w:val="28"/>
          <w:shd w:val="clear" w:color="auto" w:fill="FFFFFF"/>
        </w:rPr>
        <w:t xml:space="preserve"> for both positions, compare their merits/demerits and conclude which I think to be a more </w:t>
      </w:r>
      <w:r w:rsidR="00A76FB7">
        <w:rPr>
          <w:rFonts w:ascii="Times New Roman" w:hAnsi="Times New Roman" w:cs="Times New Roman"/>
          <w:color w:val="373A3C"/>
          <w:sz w:val="28"/>
          <w:szCs w:val="28"/>
          <w:shd w:val="clear" w:color="auto" w:fill="FFFFFF"/>
        </w:rPr>
        <w:t>amiable</w:t>
      </w:r>
      <w:r>
        <w:rPr>
          <w:rFonts w:ascii="Times New Roman" w:hAnsi="Times New Roman" w:cs="Times New Roman"/>
          <w:color w:val="373A3C"/>
          <w:sz w:val="28"/>
          <w:szCs w:val="28"/>
          <w:shd w:val="clear" w:color="auto" w:fill="FFFFFF"/>
        </w:rPr>
        <w:t xml:space="preserve"> framework.</w:t>
      </w:r>
      <w:r w:rsidR="008C17FC">
        <w:rPr>
          <w:rFonts w:ascii="Times New Roman" w:hAnsi="Times New Roman" w:cs="Times New Roman"/>
          <w:color w:val="373A3C"/>
          <w:sz w:val="28"/>
          <w:szCs w:val="28"/>
          <w:shd w:val="clear" w:color="auto" w:fill="FFFFFF"/>
        </w:rPr>
        <w:t xml:space="preserve"> To be clear, I am already biased on this matter, as an atheist, and that will no doubt show itself in my analysis of God based human rights. However, I would also stress that I take religion seriously, and in no way dismissive of its discourse, only cautious.</w:t>
      </w:r>
      <w:r w:rsidR="00662F24">
        <w:rPr>
          <w:rFonts w:ascii="Times New Roman" w:hAnsi="Times New Roman" w:cs="Times New Roman"/>
          <w:color w:val="373A3C"/>
          <w:sz w:val="28"/>
          <w:szCs w:val="28"/>
          <w:shd w:val="clear" w:color="auto" w:fill="FFFFFF"/>
        </w:rPr>
        <w:t xml:space="preserve"> I will ultimately offer the view that there is no ontological distinction in God based/secular based human rights.</w:t>
      </w:r>
    </w:p>
    <w:p w14:paraId="0B6BEFB9" w14:textId="6A9DF562" w:rsidR="00FE7311" w:rsidRDefault="008C17FC" w:rsidP="00550939">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It is not difficult to see how one could easily </w:t>
      </w:r>
      <w:r w:rsidR="00051019">
        <w:rPr>
          <w:rFonts w:ascii="Times New Roman" w:hAnsi="Times New Roman" w:cs="Times New Roman"/>
          <w:color w:val="373A3C"/>
          <w:sz w:val="28"/>
          <w:szCs w:val="28"/>
          <w:shd w:val="clear" w:color="auto" w:fill="FFFFFF"/>
        </w:rPr>
        <w:t xml:space="preserve">appreciate benefits that are </w:t>
      </w:r>
      <w:r>
        <w:rPr>
          <w:rFonts w:ascii="Times New Roman" w:hAnsi="Times New Roman" w:cs="Times New Roman"/>
          <w:color w:val="373A3C"/>
          <w:sz w:val="28"/>
          <w:szCs w:val="28"/>
          <w:shd w:val="clear" w:color="auto" w:fill="FFFFFF"/>
        </w:rPr>
        <w:t>characteristic</w:t>
      </w:r>
      <w:r w:rsidR="00051019">
        <w:rPr>
          <w:rFonts w:ascii="Times New Roman" w:hAnsi="Times New Roman" w:cs="Times New Roman"/>
          <w:color w:val="373A3C"/>
          <w:sz w:val="28"/>
          <w:szCs w:val="28"/>
          <w:shd w:val="clear" w:color="auto" w:fill="FFFFFF"/>
        </w:rPr>
        <w:t xml:space="preserve"> of God based human rights. Placing God as an indisputable entity, along with his creations and will, arguably allows for a clear and approachable manner in which to formulate and defend human rights. If we all recognise a central </w:t>
      </w:r>
      <w:r>
        <w:rPr>
          <w:rFonts w:ascii="Times New Roman" w:hAnsi="Times New Roman" w:cs="Times New Roman"/>
          <w:color w:val="373A3C"/>
          <w:sz w:val="28"/>
          <w:szCs w:val="28"/>
          <w:shd w:val="clear" w:color="auto" w:fill="FFFFFF"/>
        </w:rPr>
        <w:t>discourse</w:t>
      </w:r>
      <w:r w:rsidR="00051019">
        <w:rPr>
          <w:rFonts w:ascii="Times New Roman" w:hAnsi="Times New Roman" w:cs="Times New Roman"/>
          <w:color w:val="373A3C"/>
          <w:sz w:val="28"/>
          <w:szCs w:val="28"/>
          <w:shd w:val="clear" w:color="auto" w:fill="FFFFFF"/>
        </w:rPr>
        <w:t xml:space="preserve"> </w:t>
      </w:r>
      <w:r>
        <w:rPr>
          <w:rFonts w:ascii="Times New Roman" w:hAnsi="Times New Roman" w:cs="Times New Roman"/>
          <w:color w:val="373A3C"/>
          <w:sz w:val="28"/>
          <w:szCs w:val="28"/>
          <w:shd w:val="clear" w:color="auto" w:fill="FFFFFF"/>
        </w:rPr>
        <w:t xml:space="preserve">as a means and as </w:t>
      </w:r>
      <w:r w:rsidR="00E31570">
        <w:rPr>
          <w:rFonts w:ascii="Times New Roman" w:hAnsi="Times New Roman" w:cs="Times New Roman"/>
          <w:color w:val="373A3C"/>
          <w:sz w:val="28"/>
          <w:szCs w:val="28"/>
          <w:shd w:val="clear" w:color="auto" w:fill="FFFFFF"/>
        </w:rPr>
        <w:t>an</w:t>
      </w:r>
      <w:r>
        <w:rPr>
          <w:rFonts w:ascii="Times New Roman" w:hAnsi="Times New Roman" w:cs="Times New Roman"/>
          <w:color w:val="373A3C"/>
          <w:sz w:val="28"/>
          <w:szCs w:val="28"/>
          <w:shd w:val="clear" w:color="auto" w:fill="FFFFFF"/>
        </w:rPr>
        <w:t xml:space="preserve"> end</w:t>
      </w:r>
      <w:r w:rsidR="00051019">
        <w:rPr>
          <w:rFonts w:ascii="Times New Roman" w:hAnsi="Times New Roman" w:cs="Times New Roman"/>
          <w:color w:val="373A3C"/>
          <w:sz w:val="28"/>
          <w:szCs w:val="28"/>
          <w:shd w:val="clear" w:color="auto" w:fill="FFFFFF"/>
        </w:rPr>
        <w:t xml:space="preserve">, it reasonably follows that we are all equally responsible for upholding and recognising that particular ideal.  </w:t>
      </w:r>
      <w:r w:rsidR="00051019">
        <w:rPr>
          <w:rFonts w:ascii="Times New Roman" w:hAnsi="Times New Roman" w:cs="Times New Roman"/>
          <w:color w:val="373A3C"/>
          <w:sz w:val="28"/>
          <w:szCs w:val="28"/>
          <w:shd w:val="clear" w:color="auto" w:fill="FFFFFF"/>
        </w:rPr>
        <w:lastRenderedPageBreak/>
        <w:t>Generations can</w:t>
      </w:r>
      <w:r>
        <w:rPr>
          <w:rFonts w:ascii="Times New Roman" w:hAnsi="Times New Roman" w:cs="Times New Roman"/>
          <w:color w:val="373A3C"/>
          <w:sz w:val="28"/>
          <w:szCs w:val="28"/>
          <w:shd w:val="clear" w:color="auto" w:fill="FFFFFF"/>
        </w:rPr>
        <w:t xml:space="preserve"> then</w:t>
      </w:r>
      <w:r w:rsidR="00051019">
        <w:rPr>
          <w:rFonts w:ascii="Times New Roman" w:hAnsi="Times New Roman" w:cs="Times New Roman"/>
          <w:color w:val="373A3C"/>
          <w:sz w:val="28"/>
          <w:szCs w:val="28"/>
          <w:shd w:val="clear" w:color="auto" w:fill="FFFFFF"/>
        </w:rPr>
        <w:t xml:space="preserve"> be nurtured and taught in guidance and relation with the order of God.</w:t>
      </w:r>
      <w:r w:rsidR="002F076B">
        <w:rPr>
          <w:rFonts w:ascii="Times New Roman" w:hAnsi="Times New Roman" w:cs="Times New Roman"/>
          <w:color w:val="373A3C"/>
          <w:sz w:val="28"/>
          <w:szCs w:val="28"/>
          <w:shd w:val="clear" w:color="auto" w:fill="FFFFFF"/>
        </w:rPr>
        <w:t xml:space="preserve"> </w:t>
      </w:r>
    </w:p>
    <w:p w14:paraId="73C8281D" w14:textId="28038B07" w:rsidR="00A76FB7" w:rsidRPr="00FE7311" w:rsidRDefault="002F076B" w:rsidP="00550939">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Lisa Cahill in her </w:t>
      </w:r>
      <w:r w:rsidR="00FE7311">
        <w:rPr>
          <w:rFonts w:ascii="Times New Roman" w:hAnsi="Times New Roman" w:cs="Times New Roman"/>
          <w:color w:val="373A3C"/>
          <w:sz w:val="28"/>
          <w:szCs w:val="28"/>
          <w:shd w:val="clear" w:color="auto" w:fill="FFFFFF"/>
        </w:rPr>
        <w:t xml:space="preserve">essay </w:t>
      </w:r>
      <w:r w:rsidR="00FE7311">
        <w:rPr>
          <w:rFonts w:ascii="Times New Roman" w:hAnsi="Times New Roman" w:cs="Times New Roman"/>
          <w:i/>
          <w:iCs/>
          <w:color w:val="373A3C"/>
          <w:sz w:val="28"/>
          <w:szCs w:val="28"/>
          <w:shd w:val="clear" w:color="auto" w:fill="FFFFFF"/>
        </w:rPr>
        <w:t>Creation and Ethics</w:t>
      </w:r>
      <w:r w:rsidR="00FE7311">
        <w:rPr>
          <w:rFonts w:ascii="Times New Roman" w:hAnsi="Times New Roman" w:cs="Times New Roman"/>
          <w:color w:val="373A3C"/>
          <w:sz w:val="28"/>
          <w:szCs w:val="28"/>
          <w:shd w:val="clear" w:color="auto" w:fill="FFFFFF"/>
        </w:rPr>
        <w:t xml:space="preserve"> shows why God can offer guidance in an otherwise barren and suffering existence: </w:t>
      </w:r>
    </w:p>
    <w:p w14:paraId="4C7F66E2" w14:textId="17CF7857" w:rsidR="002F076B" w:rsidRDefault="002F076B" w:rsidP="00FE7311">
      <w:pPr>
        <w:spacing w:line="480" w:lineRule="auto"/>
        <w:ind w:left="720"/>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w:t>
      </w:r>
      <w:r w:rsidRPr="002F076B">
        <w:rPr>
          <w:rFonts w:ascii="Times New Roman" w:hAnsi="Times New Roman" w:cs="Times New Roman"/>
          <w:color w:val="373A3C"/>
          <w:sz w:val="28"/>
          <w:szCs w:val="28"/>
          <w:shd w:val="clear" w:color="auto" w:fill="FFFFFF"/>
        </w:rPr>
        <w:t>creation captures one dimension of humanity's entire existence before God. It is one symbolic strand in a multi-layered narrative of human su</w:t>
      </w:r>
      <w:r>
        <w:rPr>
          <w:rFonts w:ascii="Times New Roman" w:hAnsi="Times New Roman" w:cs="Times New Roman"/>
          <w:color w:val="373A3C"/>
          <w:sz w:val="28"/>
          <w:szCs w:val="28"/>
          <w:shd w:val="clear" w:color="auto" w:fill="FFFFFF"/>
        </w:rPr>
        <w:t>ff</w:t>
      </w:r>
      <w:r w:rsidRPr="002F076B">
        <w:rPr>
          <w:rFonts w:ascii="Times New Roman" w:hAnsi="Times New Roman" w:cs="Times New Roman"/>
          <w:color w:val="373A3C"/>
          <w:sz w:val="28"/>
          <w:szCs w:val="28"/>
          <w:shd w:val="clear" w:color="auto" w:fill="FFFFFF"/>
        </w:rPr>
        <w:t>ering, guilt, and hope, a narrative to which creation, redemption, church, and eschatology a</w:t>
      </w:r>
      <w:r>
        <w:rPr>
          <w:rFonts w:ascii="Times New Roman" w:hAnsi="Times New Roman" w:cs="Times New Roman"/>
          <w:color w:val="373A3C"/>
          <w:sz w:val="28"/>
          <w:szCs w:val="28"/>
          <w:shd w:val="clear" w:color="auto" w:fill="FFFFFF"/>
        </w:rPr>
        <w:t>ff</w:t>
      </w:r>
      <w:r w:rsidRPr="002F076B">
        <w:rPr>
          <w:rFonts w:ascii="Times New Roman" w:hAnsi="Times New Roman" w:cs="Times New Roman"/>
          <w:color w:val="373A3C"/>
          <w:sz w:val="28"/>
          <w:szCs w:val="28"/>
          <w:shd w:val="clear" w:color="auto" w:fill="FFFFFF"/>
        </w:rPr>
        <w:t>ord interdependent points of entry. The claim that Genesis o</w:t>
      </w:r>
      <w:r>
        <w:rPr>
          <w:rFonts w:ascii="Times New Roman" w:hAnsi="Times New Roman" w:cs="Times New Roman"/>
          <w:color w:val="373A3C"/>
          <w:sz w:val="28"/>
          <w:szCs w:val="28"/>
          <w:shd w:val="clear" w:color="auto" w:fill="FFFFFF"/>
        </w:rPr>
        <w:t>ff</w:t>
      </w:r>
      <w:r w:rsidRPr="002F076B">
        <w:rPr>
          <w:rFonts w:ascii="Times New Roman" w:hAnsi="Times New Roman" w:cs="Times New Roman"/>
          <w:color w:val="373A3C"/>
          <w:sz w:val="28"/>
          <w:szCs w:val="28"/>
          <w:shd w:val="clear" w:color="auto" w:fill="FFFFFF"/>
        </w:rPr>
        <w:t>ers ‘scienti</w:t>
      </w:r>
      <w:r>
        <w:rPr>
          <w:rFonts w:ascii="Times New Roman" w:hAnsi="Times New Roman" w:cs="Times New Roman"/>
          <w:color w:val="373A3C"/>
          <w:sz w:val="28"/>
          <w:szCs w:val="28"/>
          <w:shd w:val="clear" w:color="auto" w:fill="FFFFFF"/>
        </w:rPr>
        <w:t>fi</w:t>
      </w:r>
      <w:r w:rsidRPr="002F076B">
        <w:rPr>
          <w:rFonts w:ascii="Times New Roman" w:hAnsi="Times New Roman" w:cs="Times New Roman"/>
          <w:color w:val="373A3C"/>
          <w:sz w:val="28"/>
          <w:szCs w:val="28"/>
          <w:shd w:val="clear" w:color="auto" w:fill="FFFFFF"/>
        </w:rPr>
        <w:t>c’ evidence of the origins of the universe, and the claim that scienti</w:t>
      </w:r>
      <w:r>
        <w:rPr>
          <w:rFonts w:ascii="Times New Roman" w:hAnsi="Times New Roman" w:cs="Times New Roman"/>
          <w:color w:val="373A3C"/>
          <w:sz w:val="28"/>
          <w:szCs w:val="28"/>
          <w:shd w:val="clear" w:color="auto" w:fill="FFFFFF"/>
        </w:rPr>
        <w:t>fi</w:t>
      </w:r>
      <w:r w:rsidRPr="002F076B">
        <w:rPr>
          <w:rFonts w:ascii="Times New Roman" w:hAnsi="Times New Roman" w:cs="Times New Roman"/>
          <w:color w:val="373A3C"/>
          <w:sz w:val="28"/>
          <w:szCs w:val="28"/>
          <w:shd w:val="clear" w:color="auto" w:fill="FFFFFF"/>
        </w:rPr>
        <w:t>c evidence disproves divine creation, are equally misguided</w:t>
      </w:r>
      <w:r>
        <w:rPr>
          <w:rFonts w:ascii="Times New Roman" w:hAnsi="Times New Roman" w:cs="Times New Roman"/>
          <w:color w:val="373A3C"/>
          <w:sz w:val="28"/>
          <w:szCs w:val="28"/>
          <w:shd w:val="clear" w:color="auto" w:fill="FFFFFF"/>
        </w:rPr>
        <w:t>”</w:t>
      </w:r>
      <w:r w:rsidRPr="002F076B">
        <w:rPr>
          <w:rFonts w:ascii="Times New Roman" w:hAnsi="Times New Roman" w:cs="Times New Roman"/>
          <w:color w:val="373A3C"/>
          <w:sz w:val="28"/>
          <w:szCs w:val="28"/>
          <w:shd w:val="clear" w:color="auto" w:fill="FFFFFF"/>
        </w:rPr>
        <w:t>.</w:t>
      </w:r>
      <w:r>
        <w:rPr>
          <w:rFonts w:ascii="Times New Roman" w:hAnsi="Times New Roman" w:cs="Times New Roman"/>
          <w:color w:val="373A3C"/>
          <w:sz w:val="28"/>
          <w:szCs w:val="28"/>
          <w:shd w:val="clear" w:color="auto" w:fill="FFFFFF"/>
        </w:rPr>
        <w:t xml:space="preserve"> (Cahill 2007)</w:t>
      </w:r>
    </w:p>
    <w:p w14:paraId="324B0001" w14:textId="21773078" w:rsidR="00FE7311" w:rsidRDefault="00FE7311" w:rsidP="00662F24">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Demonstrated well here, the validity of proof or demonstrative truth is not of crucial importance in understanding the benefits and relief in acting towards a transcendental ideal. A relationship with God acknowledges the shared pains, needs, and hopes that are common among all humans. From that starting point it is then possible to ascribe certain rights that we are all entitled to, as we are all subject to God, God’s </w:t>
      </w:r>
      <w:r w:rsidR="008C17FC">
        <w:rPr>
          <w:rFonts w:ascii="Times New Roman" w:hAnsi="Times New Roman" w:cs="Times New Roman"/>
          <w:color w:val="373A3C"/>
          <w:sz w:val="28"/>
          <w:szCs w:val="28"/>
          <w:shd w:val="clear" w:color="auto" w:fill="FFFFFF"/>
        </w:rPr>
        <w:t>order,</w:t>
      </w:r>
      <w:r>
        <w:rPr>
          <w:rFonts w:ascii="Times New Roman" w:hAnsi="Times New Roman" w:cs="Times New Roman"/>
          <w:color w:val="373A3C"/>
          <w:sz w:val="28"/>
          <w:szCs w:val="28"/>
          <w:shd w:val="clear" w:color="auto" w:fill="FFFFFF"/>
        </w:rPr>
        <w:t xml:space="preserve"> and God’s will.</w:t>
      </w:r>
    </w:p>
    <w:p w14:paraId="71BD5C47" w14:textId="03DAB4D0" w:rsidR="008C17FC" w:rsidRDefault="008C17FC" w:rsidP="008C17FC">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When we discuss rights originating/found/created in God, it will be beneficial to lay out potential difficulties or inconsistencies. Acknowledging the fact that there is no consensus on what God/s is or represents, leaves arguing for or against God-centric rights slightly ambiguous. This ambiguity stems from the </w:t>
      </w:r>
      <w:r>
        <w:rPr>
          <w:rFonts w:ascii="Times New Roman" w:hAnsi="Times New Roman" w:cs="Times New Roman"/>
          <w:color w:val="373A3C"/>
          <w:sz w:val="28"/>
          <w:szCs w:val="28"/>
          <w:shd w:val="clear" w:color="auto" w:fill="FFFFFF"/>
        </w:rPr>
        <w:lastRenderedPageBreak/>
        <w:t>harsh separation between religious experience and interpretation of religion/religious experience.</w:t>
      </w:r>
    </w:p>
    <w:p w14:paraId="0889F0FB" w14:textId="7DD2EA37" w:rsidR="008C17FC" w:rsidRDefault="008C17FC" w:rsidP="008C17FC">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A Christian in the 21</w:t>
      </w:r>
      <w:r w:rsidRPr="00301D38">
        <w:rPr>
          <w:rFonts w:ascii="Times New Roman" w:hAnsi="Times New Roman" w:cs="Times New Roman"/>
          <w:color w:val="373A3C"/>
          <w:sz w:val="28"/>
          <w:szCs w:val="28"/>
          <w:shd w:val="clear" w:color="auto" w:fill="FFFFFF"/>
          <w:vertAlign w:val="superscript"/>
        </w:rPr>
        <w:t>st</w:t>
      </w:r>
      <w:r>
        <w:rPr>
          <w:rFonts w:ascii="Times New Roman" w:hAnsi="Times New Roman" w:cs="Times New Roman"/>
          <w:color w:val="373A3C"/>
          <w:sz w:val="28"/>
          <w:szCs w:val="28"/>
          <w:shd w:val="clear" w:color="auto" w:fill="FFFFFF"/>
        </w:rPr>
        <w:t xml:space="preserve"> century will find their answers to questions in the book. They may have a revelation from God mandating a particular right, but convincing individuals and society of its validity and ultimacy is all together a separate and difficult task. That leaves the Bible to answer for and justify itself when basing human rights on the order of God. Modern literary theory has shown us that with each reader, comes a different interpretation of the text</w:t>
      </w:r>
      <w:r w:rsidR="00E31570">
        <w:rPr>
          <w:rStyle w:val="FootnoteReference"/>
          <w:rFonts w:ascii="Times New Roman" w:hAnsi="Times New Roman" w:cs="Times New Roman"/>
          <w:color w:val="373A3C"/>
          <w:sz w:val="28"/>
          <w:szCs w:val="28"/>
          <w:shd w:val="clear" w:color="auto" w:fill="FFFFFF"/>
        </w:rPr>
        <w:footnoteReference w:id="1"/>
      </w:r>
      <w:r>
        <w:rPr>
          <w:rFonts w:ascii="Times New Roman" w:hAnsi="Times New Roman" w:cs="Times New Roman"/>
          <w:color w:val="373A3C"/>
          <w:sz w:val="28"/>
          <w:szCs w:val="28"/>
          <w:shd w:val="clear" w:color="auto" w:fill="FFFFFF"/>
        </w:rPr>
        <w:t xml:space="preserve">. This reduces any claim that God, as described in any literature (Christian or </w:t>
      </w:r>
      <w:proofErr w:type="spellStart"/>
      <w:r>
        <w:rPr>
          <w:rFonts w:ascii="Times New Roman" w:hAnsi="Times New Roman" w:cs="Times New Roman"/>
          <w:color w:val="373A3C"/>
          <w:sz w:val="28"/>
          <w:szCs w:val="28"/>
          <w:shd w:val="clear" w:color="auto" w:fill="FFFFFF"/>
        </w:rPr>
        <w:t>oherwise</w:t>
      </w:r>
      <w:proofErr w:type="spellEnd"/>
      <w:r>
        <w:rPr>
          <w:rFonts w:ascii="Times New Roman" w:hAnsi="Times New Roman" w:cs="Times New Roman"/>
          <w:color w:val="373A3C"/>
          <w:sz w:val="28"/>
          <w:szCs w:val="28"/>
          <w:shd w:val="clear" w:color="auto" w:fill="FFFFFF"/>
        </w:rPr>
        <w:t>), is not alone sufficient to support the claim of an objective/prescriptive order. If we refuse to acknowledge individual religious experiences (claiming supremacy on a mandate from God), and cannot trust textual sources as revealing indisputable order and direction, is it now still possible to derive human rights from God?</w:t>
      </w:r>
    </w:p>
    <w:p w14:paraId="3C4BB6EE" w14:textId="2B1BD79D" w:rsidR="00D1274C" w:rsidRDefault="00D1274C" w:rsidP="008C17FC">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On the flipside of the coin is, as far as I observe, a far more difficult endeavour. Namely, without appeal to an almighty being, advocate and defend human rights </w:t>
      </w:r>
      <w:r w:rsidR="000704A6">
        <w:rPr>
          <w:rFonts w:ascii="Times New Roman" w:hAnsi="Times New Roman" w:cs="Times New Roman"/>
          <w:color w:val="373A3C"/>
          <w:sz w:val="28"/>
          <w:szCs w:val="28"/>
          <w:shd w:val="clear" w:color="auto" w:fill="FFFFFF"/>
        </w:rPr>
        <w:t xml:space="preserve">as animals, as atoms, as members of a community, as commodities or a whole host of other qualities. What I mean to say here is that, without a divine decree for appeal, it is in no way clear how to approach human rights with certainty. </w:t>
      </w:r>
    </w:p>
    <w:p w14:paraId="5F9561EF" w14:textId="00DB056A" w:rsidR="00662F24" w:rsidRDefault="000704A6" w:rsidP="008C17FC">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lastRenderedPageBreak/>
        <w:t xml:space="preserve">Any end goal of social justice almost always falls short, fails, or rebounds with unforeseen circumstances. The project of enlightenment has offered grand visions but </w:t>
      </w:r>
      <w:r w:rsidR="00F87B3C">
        <w:rPr>
          <w:rFonts w:ascii="Times New Roman" w:hAnsi="Times New Roman" w:cs="Times New Roman"/>
          <w:color w:val="373A3C"/>
          <w:sz w:val="28"/>
          <w:szCs w:val="28"/>
          <w:shd w:val="clear" w:color="auto" w:fill="FFFFFF"/>
        </w:rPr>
        <w:t xml:space="preserve">has often been </w:t>
      </w:r>
      <w:r>
        <w:rPr>
          <w:rFonts w:ascii="Times New Roman" w:hAnsi="Times New Roman" w:cs="Times New Roman"/>
          <w:color w:val="373A3C"/>
          <w:sz w:val="28"/>
          <w:szCs w:val="28"/>
          <w:shd w:val="clear" w:color="auto" w:fill="FFFFFF"/>
        </w:rPr>
        <w:t>accompanied by harsh realities</w:t>
      </w:r>
      <w:r w:rsidR="00F87B3C">
        <w:rPr>
          <w:rFonts w:ascii="Times New Roman" w:hAnsi="Times New Roman" w:cs="Times New Roman"/>
          <w:color w:val="373A3C"/>
          <w:sz w:val="28"/>
          <w:szCs w:val="28"/>
          <w:shd w:val="clear" w:color="auto" w:fill="FFFFFF"/>
        </w:rPr>
        <w:t xml:space="preserve"> and broken promises</w:t>
      </w:r>
      <w:r>
        <w:rPr>
          <w:rFonts w:ascii="Times New Roman" w:hAnsi="Times New Roman" w:cs="Times New Roman"/>
          <w:color w:val="373A3C"/>
          <w:sz w:val="28"/>
          <w:szCs w:val="28"/>
          <w:shd w:val="clear" w:color="auto" w:fill="FFFFFF"/>
        </w:rPr>
        <w:t>. Even on a personal level, I encourage the reader to think of how many times an idea/plan they had went exactly as they managed. Of course</w:t>
      </w:r>
      <w:r w:rsidR="00321E36">
        <w:rPr>
          <w:rFonts w:ascii="Times New Roman" w:hAnsi="Times New Roman" w:cs="Times New Roman"/>
          <w:color w:val="373A3C"/>
          <w:sz w:val="28"/>
          <w:szCs w:val="28"/>
          <w:shd w:val="clear" w:color="auto" w:fill="FFFFFF"/>
        </w:rPr>
        <w:t>,</w:t>
      </w:r>
      <w:r>
        <w:rPr>
          <w:rFonts w:ascii="Times New Roman" w:hAnsi="Times New Roman" w:cs="Times New Roman"/>
          <w:color w:val="373A3C"/>
          <w:sz w:val="28"/>
          <w:szCs w:val="28"/>
          <w:shd w:val="clear" w:color="auto" w:fill="FFFFFF"/>
        </w:rPr>
        <w:t xml:space="preserve"> this is a truism, but truisms often offer at least a minimum of guidance, even if to eradicate the </w:t>
      </w:r>
      <w:r w:rsidR="00321E36">
        <w:rPr>
          <w:rFonts w:ascii="Times New Roman" w:hAnsi="Times New Roman" w:cs="Times New Roman"/>
          <w:color w:val="373A3C"/>
          <w:sz w:val="28"/>
          <w:szCs w:val="28"/>
          <w:shd w:val="clear" w:color="auto" w:fill="FFFFFF"/>
        </w:rPr>
        <w:t>ground of that maxim to start anew. There is then a consistently painful dichotomy between ideal and phenomenal. In this way I see very little difference between God based or secular based human rights.</w:t>
      </w:r>
      <w:r w:rsidR="00662F24">
        <w:rPr>
          <w:rFonts w:ascii="Times New Roman" w:hAnsi="Times New Roman" w:cs="Times New Roman"/>
          <w:color w:val="373A3C"/>
          <w:sz w:val="28"/>
          <w:szCs w:val="28"/>
          <w:shd w:val="clear" w:color="auto" w:fill="FFFFFF"/>
        </w:rPr>
        <w:t xml:space="preserve"> </w:t>
      </w:r>
    </w:p>
    <w:p w14:paraId="539FEC73" w14:textId="691BC06D" w:rsidR="00875F55" w:rsidRDefault="00662F24" w:rsidP="008C17FC">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I am propounding that God based human rights, are in practice almost </w:t>
      </w:r>
      <w:r w:rsidR="00875F55">
        <w:rPr>
          <w:rFonts w:ascii="Times New Roman" w:hAnsi="Times New Roman" w:cs="Times New Roman"/>
          <w:color w:val="373A3C"/>
          <w:sz w:val="28"/>
          <w:szCs w:val="28"/>
          <w:shd w:val="clear" w:color="auto" w:fill="FFFFFF"/>
        </w:rPr>
        <w:t>entirely</w:t>
      </w:r>
      <w:r>
        <w:rPr>
          <w:rFonts w:ascii="Times New Roman" w:hAnsi="Times New Roman" w:cs="Times New Roman"/>
          <w:color w:val="373A3C"/>
          <w:sz w:val="28"/>
          <w:szCs w:val="28"/>
          <w:shd w:val="clear" w:color="auto" w:fill="FFFFFF"/>
        </w:rPr>
        <w:t xml:space="preserve"> equivocal to secular based human rights. In short, I argue that human rights come from any and all interactions between narrative-based ideals and the phenomenal world.</w:t>
      </w:r>
      <w:r w:rsidR="00875F55">
        <w:rPr>
          <w:rFonts w:ascii="Times New Roman" w:hAnsi="Times New Roman" w:cs="Times New Roman"/>
          <w:color w:val="373A3C"/>
          <w:sz w:val="28"/>
          <w:szCs w:val="28"/>
          <w:shd w:val="clear" w:color="auto" w:fill="FFFFFF"/>
        </w:rPr>
        <w:t xml:space="preserve"> There is one key difference, that is the sanctity of the favoured ideal. Not always, but often enough to discuss, God is seen as a</w:t>
      </w:r>
      <w:r w:rsidR="00C678F3">
        <w:rPr>
          <w:rFonts w:ascii="Times New Roman" w:hAnsi="Times New Roman" w:cs="Times New Roman"/>
          <w:color w:val="373A3C"/>
          <w:sz w:val="28"/>
          <w:szCs w:val="28"/>
          <w:shd w:val="clear" w:color="auto" w:fill="FFFFFF"/>
        </w:rPr>
        <w:t xml:space="preserve"> supreme</w:t>
      </w:r>
      <w:r w:rsidR="00875F55">
        <w:rPr>
          <w:rFonts w:ascii="Times New Roman" w:hAnsi="Times New Roman" w:cs="Times New Roman"/>
          <w:color w:val="373A3C"/>
          <w:sz w:val="28"/>
          <w:szCs w:val="28"/>
          <w:shd w:val="clear" w:color="auto" w:fill="FFFFFF"/>
        </w:rPr>
        <w:t xml:space="preserve"> authority. God based human rights from this position must formulate these rights according to said authority. The weight of importance is on the authority of those rights, not their individual benefits/disadvantages. I see secular based rights as adhering to the </w:t>
      </w:r>
      <w:proofErr w:type="gramStart"/>
      <w:r w:rsidR="00875F55">
        <w:rPr>
          <w:rFonts w:ascii="Times New Roman" w:hAnsi="Times New Roman" w:cs="Times New Roman"/>
          <w:color w:val="373A3C"/>
          <w:sz w:val="28"/>
          <w:szCs w:val="28"/>
          <w:shd w:val="clear" w:color="auto" w:fill="FFFFFF"/>
        </w:rPr>
        <w:t>opposite;</w:t>
      </w:r>
      <w:proofErr w:type="gramEnd"/>
    </w:p>
    <w:p w14:paraId="5B85EFEF" w14:textId="2D19A215" w:rsidR="00875F55" w:rsidRDefault="00875F55" w:rsidP="00875F55">
      <w:pPr>
        <w:pStyle w:val="ListParagraph"/>
        <w:numPr>
          <w:ilvl w:val="0"/>
          <w:numId w:val="1"/>
        </w:num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God based rights aim to tailor its rights to authority. </w:t>
      </w:r>
    </w:p>
    <w:p w14:paraId="0E325A33" w14:textId="13292914" w:rsidR="00875F55" w:rsidRDefault="00875F55" w:rsidP="00875F55">
      <w:pPr>
        <w:pStyle w:val="ListParagraph"/>
        <w:numPr>
          <w:ilvl w:val="0"/>
          <w:numId w:val="1"/>
        </w:num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Secular based rights </w:t>
      </w:r>
      <w:r w:rsidR="00C678F3">
        <w:rPr>
          <w:rFonts w:ascii="Times New Roman" w:hAnsi="Times New Roman" w:cs="Times New Roman"/>
          <w:color w:val="373A3C"/>
          <w:sz w:val="28"/>
          <w:szCs w:val="28"/>
          <w:shd w:val="clear" w:color="auto" w:fill="FFFFFF"/>
        </w:rPr>
        <w:t>aim</w:t>
      </w:r>
      <w:r>
        <w:rPr>
          <w:rFonts w:ascii="Times New Roman" w:hAnsi="Times New Roman" w:cs="Times New Roman"/>
          <w:color w:val="373A3C"/>
          <w:sz w:val="28"/>
          <w:szCs w:val="28"/>
          <w:shd w:val="clear" w:color="auto" w:fill="FFFFFF"/>
        </w:rPr>
        <w:t xml:space="preserve"> to tailor authority to its rights.</w:t>
      </w:r>
    </w:p>
    <w:p w14:paraId="02AB0BF8" w14:textId="1A0CE3C9" w:rsidR="00C678F3" w:rsidRDefault="00C678F3" w:rsidP="00C678F3">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lastRenderedPageBreak/>
        <w:t xml:space="preserve">Considering point (1.) Any formulation or adjustment of rights is in a dialectical manner of adhering to God’s word. Rights of these kinds are not considered </w:t>
      </w:r>
      <w:r w:rsidR="009C17C0">
        <w:rPr>
          <w:rFonts w:ascii="Times New Roman" w:hAnsi="Times New Roman" w:cs="Times New Roman"/>
          <w:color w:val="373A3C"/>
          <w:sz w:val="28"/>
          <w:szCs w:val="28"/>
          <w:shd w:val="clear" w:color="auto" w:fill="FFFFFF"/>
        </w:rPr>
        <w:t>good in themselves, but good because they are decreed from God.</w:t>
      </w:r>
      <w:r w:rsidR="00BC0893">
        <w:rPr>
          <w:rFonts w:ascii="Times New Roman" w:hAnsi="Times New Roman" w:cs="Times New Roman"/>
          <w:color w:val="373A3C"/>
          <w:sz w:val="28"/>
          <w:szCs w:val="28"/>
          <w:shd w:val="clear" w:color="auto" w:fill="FFFFFF"/>
        </w:rPr>
        <w:t xml:space="preserve"> Socrates and Euthyphro had a similar discussion in Plato’s work, so named </w:t>
      </w:r>
      <w:r w:rsidR="00BC0893">
        <w:rPr>
          <w:rFonts w:ascii="Times New Roman" w:hAnsi="Times New Roman" w:cs="Times New Roman"/>
          <w:i/>
          <w:iCs/>
          <w:color w:val="373A3C"/>
          <w:sz w:val="28"/>
          <w:szCs w:val="28"/>
          <w:shd w:val="clear" w:color="auto" w:fill="FFFFFF"/>
        </w:rPr>
        <w:t>Euthyphro.</w:t>
      </w:r>
      <w:r w:rsidR="00BC0893">
        <w:rPr>
          <w:rFonts w:ascii="Times New Roman" w:hAnsi="Times New Roman" w:cs="Times New Roman"/>
          <w:color w:val="373A3C"/>
          <w:sz w:val="28"/>
          <w:szCs w:val="28"/>
          <w:shd w:val="clear" w:color="auto" w:fill="FFFFFF"/>
        </w:rPr>
        <w:t xml:space="preserve"> Socrates shows the presence of loving and being loved. They are stood outside a courthouse, both about to battle different legal cases. The most pressing question I believe can be asked of God based human rights, is the question gifted to us by Plato, through Socrates:</w:t>
      </w:r>
    </w:p>
    <w:p w14:paraId="4E63CD77" w14:textId="3CE7B890" w:rsidR="00BC0893" w:rsidRDefault="00BC0893" w:rsidP="00BC0893">
      <w:pPr>
        <w:spacing w:line="480" w:lineRule="auto"/>
        <w:ind w:left="720"/>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“It is being loved then because it is pious but is not pious because it is being loved?”.</w:t>
      </w:r>
      <w:r>
        <w:rPr>
          <w:rStyle w:val="FootnoteReference"/>
          <w:rFonts w:ascii="Times New Roman" w:hAnsi="Times New Roman" w:cs="Times New Roman"/>
          <w:color w:val="373A3C"/>
          <w:sz w:val="28"/>
          <w:szCs w:val="28"/>
          <w:shd w:val="clear" w:color="auto" w:fill="FFFFFF"/>
        </w:rPr>
        <w:footnoteReference w:id="2"/>
      </w:r>
    </w:p>
    <w:p w14:paraId="2C74FD72" w14:textId="19C8268E" w:rsidR="00BC0893" w:rsidRDefault="00BC0893" w:rsidP="00BC0893">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The question can be altered for modern consumption and be reworded as following: </w:t>
      </w:r>
    </w:p>
    <w:p w14:paraId="5CFFE671" w14:textId="7DFFA0A6" w:rsidR="00BC0893" w:rsidRDefault="00BC0893" w:rsidP="00597286">
      <w:pPr>
        <w:spacing w:line="480" w:lineRule="auto"/>
        <w:ind w:left="720"/>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Are human rights valuable because they are loved by </w:t>
      </w:r>
      <w:r w:rsidR="00597286">
        <w:rPr>
          <w:rFonts w:ascii="Times New Roman" w:hAnsi="Times New Roman" w:cs="Times New Roman"/>
          <w:color w:val="373A3C"/>
          <w:sz w:val="28"/>
          <w:szCs w:val="28"/>
          <w:shd w:val="clear" w:color="auto" w:fill="FFFFFF"/>
        </w:rPr>
        <w:t>G</w:t>
      </w:r>
      <w:r>
        <w:rPr>
          <w:rFonts w:ascii="Times New Roman" w:hAnsi="Times New Roman" w:cs="Times New Roman"/>
          <w:color w:val="373A3C"/>
          <w:sz w:val="28"/>
          <w:szCs w:val="28"/>
          <w:shd w:val="clear" w:color="auto" w:fill="FFFFFF"/>
        </w:rPr>
        <w:t>od, or is it that God loves human rights because they are valuable?</w:t>
      </w:r>
    </w:p>
    <w:p w14:paraId="4244C840" w14:textId="48F32D5A" w:rsidR="00BC0893" w:rsidRDefault="00597286" w:rsidP="00BC0893">
      <w:pPr>
        <w:spacing w:line="480" w:lineRule="auto"/>
        <w:rPr>
          <w:rFonts w:ascii="Times New Roman" w:hAnsi="Times New Roman" w:cs="Times New Roman"/>
          <w:i/>
          <w:iCs/>
          <w:color w:val="373A3C"/>
          <w:sz w:val="28"/>
          <w:szCs w:val="28"/>
          <w:shd w:val="clear" w:color="auto" w:fill="FFFFFF"/>
        </w:rPr>
      </w:pPr>
      <w:r>
        <w:rPr>
          <w:rFonts w:ascii="Times New Roman" w:hAnsi="Times New Roman" w:cs="Times New Roman"/>
          <w:color w:val="373A3C"/>
          <w:sz w:val="28"/>
          <w:szCs w:val="28"/>
          <w:shd w:val="clear" w:color="auto" w:fill="FFFFFF"/>
        </w:rPr>
        <w:t xml:space="preserve">Again, the question can be reworded in a panoply of variations and still retain its polemic weight. I will leave a comprehensive analysis stemming from implication of these questions to the discretion of the reader. I now turn my attention to those who are indifferent to the authority of God </w:t>
      </w:r>
      <w:r w:rsidR="00470931">
        <w:rPr>
          <w:rFonts w:ascii="Times New Roman" w:hAnsi="Times New Roman" w:cs="Times New Roman"/>
          <w:color w:val="373A3C"/>
          <w:sz w:val="28"/>
          <w:szCs w:val="28"/>
          <w:shd w:val="clear" w:color="auto" w:fill="FFFFFF"/>
        </w:rPr>
        <w:t>that</w:t>
      </w:r>
      <w:r>
        <w:rPr>
          <w:rFonts w:ascii="Times New Roman" w:hAnsi="Times New Roman" w:cs="Times New Roman"/>
          <w:color w:val="373A3C"/>
          <w:sz w:val="28"/>
          <w:szCs w:val="28"/>
          <w:shd w:val="clear" w:color="auto" w:fill="FFFFFF"/>
        </w:rPr>
        <w:t xml:space="preserve"> are interested </w:t>
      </w:r>
      <w:r>
        <w:rPr>
          <w:rFonts w:ascii="Times New Roman" w:hAnsi="Times New Roman" w:cs="Times New Roman"/>
          <w:color w:val="373A3C"/>
          <w:sz w:val="28"/>
          <w:szCs w:val="28"/>
          <w:shd w:val="clear" w:color="auto" w:fill="FFFFFF"/>
        </w:rPr>
        <w:lastRenderedPageBreak/>
        <w:t>in upholding some form of human rights</w:t>
      </w:r>
      <w:r w:rsidR="00470931">
        <w:rPr>
          <w:rFonts w:ascii="Times New Roman" w:hAnsi="Times New Roman" w:cs="Times New Roman"/>
          <w:color w:val="373A3C"/>
          <w:sz w:val="28"/>
          <w:szCs w:val="28"/>
          <w:shd w:val="clear" w:color="auto" w:fill="FFFFFF"/>
        </w:rPr>
        <w:t>, but</w:t>
      </w:r>
      <w:r>
        <w:rPr>
          <w:rFonts w:ascii="Times New Roman" w:hAnsi="Times New Roman" w:cs="Times New Roman"/>
          <w:color w:val="373A3C"/>
          <w:sz w:val="28"/>
          <w:szCs w:val="28"/>
          <w:shd w:val="clear" w:color="auto" w:fill="FFFFFF"/>
        </w:rPr>
        <w:t xml:space="preserve"> are </w:t>
      </w:r>
      <w:r w:rsidR="00470931">
        <w:rPr>
          <w:rFonts w:ascii="Times New Roman" w:hAnsi="Times New Roman" w:cs="Times New Roman"/>
          <w:color w:val="373A3C"/>
          <w:sz w:val="28"/>
          <w:szCs w:val="28"/>
          <w:shd w:val="clear" w:color="auto" w:fill="FFFFFF"/>
        </w:rPr>
        <w:t>still unsure of</w:t>
      </w:r>
      <w:r>
        <w:rPr>
          <w:rFonts w:ascii="Times New Roman" w:hAnsi="Times New Roman" w:cs="Times New Roman"/>
          <w:color w:val="373A3C"/>
          <w:sz w:val="28"/>
          <w:szCs w:val="28"/>
          <w:shd w:val="clear" w:color="auto" w:fill="FFFFFF"/>
        </w:rPr>
        <w:t xml:space="preserve"> </w:t>
      </w:r>
      <w:r w:rsidR="00470931">
        <w:rPr>
          <w:rFonts w:ascii="Times New Roman" w:hAnsi="Times New Roman" w:cs="Times New Roman"/>
          <w:i/>
          <w:iCs/>
          <w:color w:val="373A3C"/>
          <w:sz w:val="28"/>
          <w:szCs w:val="28"/>
          <w:shd w:val="clear" w:color="auto" w:fill="FFFFFF"/>
        </w:rPr>
        <w:t>Where Do Rights Come From?</w:t>
      </w:r>
    </w:p>
    <w:p w14:paraId="13C60B23" w14:textId="127F5132" w:rsidR="00597286" w:rsidRPr="00BC0893" w:rsidRDefault="00470931" w:rsidP="00BC0893">
      <w:pPr>
        <w:spacing w:line="480" w:lineRule="auto"/>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In this essay I have attempted to show that there is similarity between the two positions on where rights come from. Both rely on narrative-based idealisation, and hope to see this idealisation enacted/appear/exist in the world. Without that idealisation, the phenomenal world will not fall into a beneficial state accidentally and by chance. It is then necessary, to </w:t>
      </w:r>
      <w:r w:rsidRPr="00470931">
        <w:rPr>
          <w:rFonts w:ascii="Times New Roman" w:hAnsi="Times New Roman" w:cs="Times New Roman"/>
          <w:i/>
          <w:iCs/>
          <w:color w:val="373A3C"/>
          <w:sz w:val="28"/>
          <w:szCs w:val="28"/>
          <w:shd w:val="clear" w:color="auto" w:fill="FFFFFF"/>
        </w:rPr>
        <w:t>prioritise</w:t>
      </w:r>
      <w:r>
        <w:rPr>
          <w:rFonts w:ascii="Times New Roman" w:hAnsi="Times New Roman" w:cs="Times New Roman"/>
          <w:color w:val="373A3C"/>
          <w:sz w:val="28"/>
          <w:szCs w:val="28"/>
          <w:shd w:val="clear" w:color="auto" w:fill="FFFFFF"/>
        </w:rPr>
        <w:t xml:space="preserve"> a minimal degree of achievable changes that can then appear in the phenomenal world. To prioritise is important in this context</w:t>
      </w:r>
      <w:r w:rsidR="00CB0067">
        <w:rPr>
          <w:rFonts w:ascii="Times New Roman" w:hAnsi="Times New Roman" w:cs="Times New Roman"/>
          <w:color w:val="373A3C"/>
          <w:sz w:val="28"/>
          <w:szCs w:val="28"/>
          <w:shd w:val="clear" w:color="auto" w:fill="FFFFFF"/>
        </w:rPr>
        <w:t>. I</w:t>
      </w:r>
      <w:r>
        <w:rPr>
          <w:rFonts w:ascii="Times New Roman" w:hAnsi="Times New Roman" w:cs="Times New Roman"/>
          <w:color w:val="373A3C"/>
          <w:sz w:val="28"/>
          <w:szCs w:val="28"/>
          <w:shd w:val="clear" w:color="auto" w:fill="FFFFFF"/>
        </w:rPr>
        <w:t xml:space="preserve">n non-academic terms, you can’t fix everything at once. </w:t>
      </w:r>
      <w:r w:rsidR="00CB0067">
        <w:rPr>
          <w:rFonts w:ascii="Times New Roman" w:hAnsi="Times New Roman" w:cs="Times New Roman"/>
          <w:color w:val="373A3C"/>
          <w:sz w:val="28"/>
          <w:szCs w:val="28"/>
          <w:shd w:val="clear" w:color="auto" w:fill="FFFFFF"/>
        </w:rPr>
        <w:t xml:space="preserve">This is another truism, but also crucial to stress. In consequence of the fact that rights must be prioritised to be enacted in the phenomenal world, I conclude that rights come from the </w:t>
      </w:r>
      <w:proofErr w:type="spellStart"/>
      <w:r w:rsidR="00CB0067">
        <w:rPr>
          <w:rFonts w:ascii="Times New Roman" w:hAnsi="Times New Roman" w:cs="Times New Roman"/>
          <w:color w:val="373A3C"/>
          <w:sz w:val="28"/>
          <w:szCs w:val="28"/>
          <w:shd w:val="clear" w:color="auto" w:fill="FFFFFF"/>
        </w:rPr>
        <w:t>the</w:t>
      </w:r>
      <w:proofErr w:type="spellEnd"/>
      <w:r w:rsidR="00CB0067">
        <w:rPr>
          <w:rFonts w:ascii="Times New Roman" w:hAnsi="Times New Roman" w:cs="Times New Roman"/>
          <w:color w:val="373A3C"/>
          <w:sz w:val="28"/>
          <w:szCs w:val="28"/>
          <w:shd w:val="clear" w:color="auto" w:fill="FFFFFF"/>
        </w:rPr>
        <w:t xml:space="preserve"> need to uphold protection and direction in improving/alleviating the most pressing, shared problems, that an organised group can conceivably tackle. In this respect secular and religious alike would likely agree, that rights come from the very fact that we suffer and have the potential to tackle suffering. I do not claim that this is a clear outline on how to enforce and prioritise human rights, only that the position from which to start is ubiquitous among all human beings.</w:t>
      </w:r>
    </w:p>
    <w:p w14:paraId="3AE1566D" w14:textId="77777777" w:rsidR="008C17FC" w:rsidRDefault="008C17FC" w:rsidP="00FE7311">
      <w:pPr>
        <w:spacing w:line="480" w:lineRule="auto"/>
        <w:ind w:left="720"/>
        <w:rPr>
          <w:rFonts w:ascii="Times New Roman" w:hAnsi="Times New Roman" w:cs="Times New Roman"/>
          <w:color w:val="373A3C"/>
          <w:sz w:val="28"/>
          <w:szCs w:val="28"/>
          <w:shd w:val="clear" w:color="auto" w:fill="FFFFFF"/>
        </w:rPr>
      </w:pPr>
    </w:p>
    <w:p w14:paraId="6FE294FF" w14:textId="77777777" w:rsidR="002F076B" w:rsidRDefault="002F076B" w:rsidP="002F076B">
      <w:pPr>
        <w:spacing w:line="480" w:lineRule="auto"/>
        <w:ind w:left="720"/>
        <w:rPr>
          <w:rFonts w:ascii="Times New Roman" w:hAnsi="Times New Roman" w:cs="Times New Roman"/>
          <w:color w:val="373A3C"/>
          <w:sz w:val="28"/>
          <w:szCs w:val="28"/>
          <w:shd w:val="clear" w:color="auto" w:fill="FFFFFF"/>
        </w:rPr>
      </w:pPr>
    </w:p>
    <w:sdt>
      <w:sdtPr>
        <w:rPr>
          <w:rFonts w:asciiTheme="minorHAnsi" w:eastAsiaTheme="minorEastAsia" w:hAnsiTheme="minorHAnsi" w:cstheme="minorBidi"/>
          <w:color w:val="auto"/>
          <w:kern w:val="2"/>
          <w:sz w:val="22"/>
          <w:szCs w:val="22"/>
          <w:lang w:val="en-GB" w:eastAsia="ja-JP"/>
          <w14:ligatures w14:val="standardContextual"/>
        </w:rPr>
        <w:id w:val="1352616060"/>
        <w:docPartObj>
          <w:docPartGallery w:val="Bibliographies"/>
          <w:docPartUnique/>
        </w:docPartObj>
      </w:sdtPr>
      <w:sdtContent>
        <w:p w14:paraId="4F63730B" w14:textId="630A9702" w:rsidR="002F076B" w:rsidRDefault="002F076B">
          <w:pPr>
            <w:pStyle w:val="Heading1"/>
          </w:pPr>
          <w:r>
            <w:t>References</w:t>
          </w:r>
        </w:p>
        <w:sdt>
          <w:sdtPr>
            <w:id w:val="-573587230"/>
            <w:bibliography/>
          </w:sdtPr>
          <w:sdtContent>
            <w:p w14:paraId="72E43AAB" w14:textId="77777777" w:rsidR="009C17C0" w:rsidRDefault="002F076B" w:rsidP="009C17C0">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9C17C0">
                <w:rPr>
                  <w:noProof/>
                  <w:lang w:val="en-US"/>
                </w:rPr>
                <w:t xml:space="preserve">Cahill, L. S. (2007). Creation and Ethics. In G. M. Werpehowski, </w:t>
              </w:r>
              <w:r w:rsidR="009C17C0">
                <w:rPr>
                  <w:i/>
                  <w:iCs/>
                  <w:noProof/>
                  <w:lang w:val="en-US"/>
                </w:rPr>
                <w:t>The Oxford Handbook of Theological Ethics</w:t>
              </w:r>
              <w:r w:rsidR="009C17C0">
                <w:rPr>
                  <w:noProof/>
                  <w:lang w:val="en-US"/>
                </w:rPr>
                <w:t xml:space="preserve"> (pp. 7-24). Oxford: OXford University Press.</w:t>
              </w:r>
            </w:p>
            <w:p w14:paraId="38ABAECD" w14:textId="77777777" w:rsidR="009C17C0" w:rsidRDefault="009C17C0" w:rsidP="009C17C0">
              <w:pPr>
                <w:pStyle w:val="Bibliography"/>
                <w:ind w:left="720" w:hanging="720"/>
                <w:rPr>
                  <w:noProof/>
                  <w:lang w:val="en-US"/>
                </w:rPr>
              </w:pPr>
              <w:r>
                <w:rPr>
                  <w:noProof/>
                  <w:lang w:val="en-US"/>
                </w:rPr>
                <w:t xml:space="preserve">Plato. (1997). Euthyphro. In J. M. Cooper, </w:t>
              </w:r>
              <w:r>
                <w:rPr>
                  <w:i/>
                  <w:iCs/>
                  <w:noProof/>
                  <w:lang w:val="en-US"/>
                </w:rPr>
                <w:t>The Complete Works of Plato10</w:t>
              </w:r>
              <w:r>
                <w:rPr>
                  <w:noProof/>
                  <w:lang w:val="en-US"/>
                </w:rPr>
                <w:t xml:space="preserve"> (p. 10). Indianapolis: Hackett Publishing Company.</w:t>
              </w:r>
            </w:p>
            <w:p w14:paraId="35415645" w14:textId="48A452D5" w:rsidR="002F076B" w:rsidRDefault="002F076B" w:rsidP="009C17C0">
              <w:r>
                <w:rPr>
                  <w:b/>
                  <w:bCs/>
                  <w:noProof/>
                </w:rPr>
                <w:fldChar w:fldCharType="end"/>
              </w:r>
            </w:p>
          </w:sdtContent>
        </w:sdt>
      </w:sdtContent>
    </w:sdt>
    <w:p w14:paraId="2071F8D3" w14:textId="77777777" w:rsidR="002F076B" w:rsidRPr="00142473" w:rsidRDefault="002F076B" w:rsidP="002F076B">
      <w:pPr>
        <w:spacing w:line="480" w:lineRule="auto"/>
        <w:ind w:left="720"/>
        <w:rPr>
          <w:rFonts w:ascii="Times New Roman" w:hAnsi="Times New Roman" w:cs="Times New Roman"/>
          <w:color w:val="373A3C"/>
          <w:sz w:val="28"/>
          <w:szCs w:val="28"/>
          <w:shd w:val="clear" w:color="auto" w:fill="FFFFFF"/>
        </w:rPr>
      </w:pPr>
    </w:p>
    <w:sectPr w:rsidR="002F076B" w:rsidRPr="0014247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99C56" w14:textId="77777777" w:rsidR="00B04C12" w:rsidRDefault="00B04C12" w:rsidP="00FE7311">
      <w:pPr>
        <w:spacing w:after="0" w:line="240" w:lineRule="auto"/>
      </w:pPr>
      <w:r>
        <w:separator/>
      </w:r>
    </w:p>
  </w:endnote>
  <w:endnote w:type="continuationSeparator" w:id="0">
    <w:p w14:paraId="35A7BDD0" w14:textId="77777777" w:rsidR="00B04C12" w:rsidRDefault="00B04C12" w:rsidP="00FE7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D3F79" w14:textId="77777777" w:rsidR="00B04C12" w:rsidRDefault="00B04C12" w:rsidP="00FE7311">
      <w:pPr>
        <w:spacing w:after="0" w:line="240" w:lineRule="auto"/>
      </w:pPr>
      <w:r>
        <w:separator/>
      </w:r>
    </w:p>
  </w:footnote>
  <w:footnote w:type="continuationSeparator" w:id="0">
    <w:p w14:paraId="6A51171E" w14:textId="77777777" w:rsidR="00B04C12" w:rsidRDefault="00B04C12" w:rsidP="00FE7311">
      <w:pPr>
        <w:spacing w:after="0" w:line="240" w:lineRule="auto"/>
      </w:pPr>
      <w:r>
        <w:continuationSeparator/>
      </w:r>
    </w:p>
  </w:footnote>
  <w:footnote w:id="1">
    <w:p w14:paraId="1F704E1F" w14:textId="52DBADAC" w:rsidR="00E31570" w:rsidRPr="00E31570" w:rsidRDefault="00E31570">
      <w:pPr>
        <w:pStyle w:val="FootnoteText"/>
        <w:rPr>
          <w:lang w:val="en-US"/>
        </w:rPr>
      </w:pPr>
      <w:r>
        <w:rPr>
          <w:rStyle w:val="FootnoteReference"/>
        </w:rPr>
        <w:footnoteRef/>
      </w:r>
      <w:r>
        <w:t xml:space="preserve"> </w:t>
      </w:r>
      <w:r w:rsidRPr="00E31570">
        <w:t>youtube.com/</w:t>
      </w:r>
      <w:proofErr w:type="spellStart"/>
      <w:r w:rsidRPr="00E31570">
        <w:t>watch?v</w:t>
      </w:r>
      <w:proofErr w:type="spellEnd"/>
      <w:r w:rsidRPr="00E31570">
        <w:t>=cVfTgiE4FAY</w:t>
      </w:r>
      <w:r>
        <w:t xml:space="preserve"> &lt;Accessed 14/5/23&gt;</w:t>
      </w:r>
    </w:p>
  </w:footnote>
  <w:footnote w:id="2">
    <w:p w14:paraId="20A0531E" w14:textId="31C3C423" w:rsidR="00BC0893" w:rsidRPr="00BC0893" w:rsidRDefault="00BC0893">
      <w:pPr>
        <w:pStyle w:val="FootnoteText"/>
        <w:rPr>
          <w:lang w:val="en-US"/>
        </w:rPr>
      </w:pPr>
      <w:r>
        <w:rPr>
          <w:rStyle w:val="FootnoteReference"/>
        </w:rPr>
        <w:footnoteRef/>
      </w:r>
      <w:r>
        <w:t xml:space="preserve"> </w:t>
      </w:r>
      <w:r>
        <w:rPr>
          <w:noProof/>
          <w:lang w:val="en-US"/>
        </w:rPr>
        <w:t xml:space="preserve">Plato. (1997). Euthyphro. In J. M. Cooper, </w:t>
      </w:r>
      <w:r>
        <w:rPr>
          <w:i/>
          <w:iCs/>
          <w:noProof/>
          <w:lang w:val="en-US"/>
        </w:rPr>
        <w:t>The Complete Works of Plato10</w:t>
      </w:r>
      <w:r>
        <w:rPr>
          <w:noProof/>
          <w:lang w:val="en-US"/>
        </w:rPr>
        <w:t xml:space="preserve"> (p. 10). Indianapolis: Hackett Publishing Company.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3A2673"/>
    <w:multiLevelType w:val="hybridMultilevel"/>
    <w:tmpl w:val="CFF8F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1164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39"/>
    <w:rsid w:val="00051019"/>
    <w:rsid w:val="0007017E"/>
    <w:rsid w:val="000704A6"/>
    <w:rsid w:val="00142473"/>
    <w:rsid w:val="002350E6"/>
    <w:rsid w:val="002F076B"/>
    <w:rsid w:val="00301D38"/>
    <w:rsid w:val="00317019"/>
    <w:rsid w:val="00321E36"/>
    <w:rsid w:val="00470931"/>
    <w:rsid w:val="00485E25"/>
    <w:rsid w:val="00550939"/>
    <w:rsid w:val="00597286"/>
    <w:rsid w:val="00662F24"/>
    <w:rsid w:val="007D18A6"/>
    <w:rsid w:val="00850C0E"/>
    <w:rsid w:val="00875F55"/>
    <w:rsid w:val="008A2CC5"/>
    <w:rsid w:val="008C17FC"/>
    <w:rsid w:val="008C2A08"/>
    <w:rsid w:val="009A6A43"/>
    <w:rsid w:val="009C17C0"/>
    <w:rsid w:val="00A76FB7"/>
    <w:rsid w:val="00AF157E"/>
    <w:rsid w:val="00B04C12"/>
    <w:rsid w:val="00BC0893"/>
    <w:rsid w:val="00BD3C71"/>
    <w:rsid w:val="00C678F3"/>
    <w:rsid w:val="00CB0067"/>
    <w:rsid w:val="00CF38C2"/>
    <w:rsid w:val="00D1274C"/>
    <w:rsid w:val="00D56448"/>
    <w:rsid w:val="00DF6FE2"/>
    <w:rsid w:val="00E31570"/>
    <w:rsid w:val="00F87B3C"/>
    <w:rsid w:val="00FE731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6AC34"/>
  <w15:chartTrackingRefBased/>
  <w15:docId w15:val="{C12F11B4-182D-4008-982B-853D28302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76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76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2F076B"/>
  </w:style>
  <w:style w:type="paragraph" w:styleId="Header">
    <w:name w:val="header"/>
    <w:basedOn w:val="Normal"/>
    <w:link w:val="HeaderChar"/>
    <w:uiPriority w:val="99"/>
    <w:unhideWhenUsed/>
    <w:rsid w:val="00FE7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311"/>
  </w:style>
  <w:style w:type="paragraph" w:styleId="Footer">
    <w:name w:val="footer"/>
    <w:basedOn w:val="Normal"/>
    <w:link w:val="FooterChar"/>
    <w:uiPriority w:val="99"/>
    <w:unhideWhenUsed/>
    <w:rsid w:val="00FE7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311"/>
  </w:style>
  <w:style w:type="paragraph" w:styleId="ListParagraph">
    <w:name w:val="List Paragraph"/>
    <w:basedOn w:val="Normal"/>
    <w:uiPriority w:val="34"/>
    <w:qFormat/>
    <w:rsid w:val="00875F55"/>
    <w:pPr>
      <w:ind w:left="720"/>
      <w:contextualSpacing/>
    </w:pPr>
  </w:style>
  <w:style w:type="paragraph" w:styleId="FootnoteText">
    <w:name w:val="footnote text"/>
    <w:basedOn w:val="Normal"/>
    <w:link w:val="FootnoteTextChar"/>
    <w:uiPriority w:val="99"/>
    <w:semiHidden/>
    <w:unhideWhenUsed/>
    <w:rsid w:val="00BC08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0893"/>
    <w:rPr>
      <w:sz w:val="20"/>
      <w:szCs w:val="20"/>
    </w:rPr>
  </w:style>
  <w:style w:type="character" w:styleId="FootnoteReference">
    <w:name w:val="footnote reference"/>
    <w:basedOn w:val="DefaultParagraphFont"/>
    <w:uiPriority w:val="99"/>
    <w:semiHidden/>
    <w:unhideWhenUsed/>
    <w:rsid w:val="00BC08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108816">
      <w:bodyDiv w:val="1"/>
      <w:marLeft w:val="0"/>
      <w:marRight w:val="0"/>
      <w:marTop w:val="0"/>
      <w:marBottom w:val="0"/>
      <w:divBdr>
        <w:top w:val="none" w:sz="0" w:space="0" w:color="auto"/>
        <w:left w:val="none" w:sz="0" w:space="0" w:color="auto"/>
        <w:bottom w:val="none" w:sz="0" w:space="0" w:color="auto"/>
        <w:right w:val="none" w:sz="0" w:space="0" w:color="auto"/>
      </w:divBdr>
    </w:div>
    <w:div w:id="647437237">
      <w:bodyDiv w:val="1"/>
      <w:marLeft w:val="0"/>
      <w:marRight w:val="0"/>
      <w:marTop w:val="0"/>
      <w:marBottom w:val="0"/>
      <w:divBdr>
        <w:top w:val="none" w:sz="0" w:space="0" w:color="auto"/>
        <w:left w:val="none" w:sz="0" w:space="0" w:color="auto"/>
        <w:bottom w:val="none" w:sz="0" w:space="0" w:color="auto"/>
        <w:right w:val="none" w:sz="0" w:space="0" w:color="auto"/>
      </w:divBdr>
    </w:div>
    <w:div w:id="894971413">
      <w:bodyDiv w:val="1"/>
      <w:marLeft w:val="0"/>
      <w:marRight w:val="0"/>
      <w:marTop w:val="0"/>
      <w:marBottom w:val="0"/>
      <w:divBdr>
        <w:top w:val="none" w:sz="0" w:space="0" w:color="auto"/>
        <w:left w:val="none" w:sz="0" w:space="0" w:color="auto"/>
        <w:bottom w:val="none" w:sz="0" w:space="0" w:color="auto"/>
        <w:right w:val="none" w:sz="0" w:space="0" w:color="auto"/>
      </w:divBdr>
    </w:div>
    <w:div w:id="122159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Lis07</b:Tag>
    <b:SourceType>BookSection</b:SourceType>
    <b:Guid>{75EE0CF3-1C1D-4CEE-99F1-3E281E21974D}</b:Guid>
    <b:Title>Creation and Ethics</b:Title>
    <b:Year>2007</b:Year>
    <b:Pages>7-24</b:Pages>
    <b:Author>
      <b:Author>
        <b:NameList>
          <b:Person>
            <b:Last>Cahill</b:Last>
            <b:First>Lisa</b:First>
            <b:Middle>Sowle</b:Middle>
          </b:Person>
        </b:NameList>
      </b:Author>
      <b:BookAuthor>
        <b:NameList>
          <b:Person>
            <b:Last>Werpehowski</b:Last>
            <b:First>Gilbert</b:First>
            <b:Middle>Meilaender &amp; William</b:Middle>
          </b:Person>
        </b:NameList>
      </b:BookAuthor>
    </b:Author>
    <b:BookTitle>The Oxford Handbook of Theological Ethics</b:BookTitle>
    <b:City>Oxford</b:City>
    <b:Publisher>OXford University Press</b:Publisher>
    <b:RefOrder>1</b:RefOrder>
  </b:Source>
  <b:Source>
    <b:Tag>Pla97</b:Tag>
    <b:SourceType>BookSection</b:SourceType>
    <b:Guid>{D1DE1421-293A-4CD4-9608-609E27D253B7}</b:Guid>
    <b:Author>
      <b:Author>
        <b:NameList>
          <b:Person>
            <b:Last>Plato</b:Last>
          </b:Person>
        </b:NameList>
      </b:Author>
      <b:BookAuthor>
        <b:NameList>
          <b:Person>
            <b:Last>Cooper</b:Last>
            <b:First>John</b:First>
            <b:Middle>M.</b:Middle>
          </b:Person>
        </b:NameList>
      </b:BookAuthor>
    </b:Author>
    <b:Title>Euthyphro</b:Title>
    <b:Year>1997</b:Year>
    <b:City>Indianapolis</b:City>
    <b:Publisher>Hackett Publishing Company</b:Publisher>
    <b:BookTitle>The Complete Works of Plato10</b:BookTitle>
    <b:Pages>10</b:Pages>
    <b:RefOrder>2</b:RefOrder>
  </b:Source>
  <b:Source>
    <b:Tag>Gay84</b:Tag>
    <b:SourceType>Interview</b:SourceType>
    <b:Guid>{04402F19-8656-4679-A47C-CDBEF7C958F9}</b:Guid>
    <b:Title>Debate on Post Modernism</b:Title>
    <b:Year>1984</b:Year>
    <b:Author>
      <b:Interviewer>
        <b:NameList>
          <b:Person>
            <b:Last>Hawthorn</b:Last>
            <b:First>Geoffrey</b:First>
          </b:Person>
        </b:NameList>
      </b:Interviewer>
      <b:Interviewee>
        <b:NameList>
          <b:Person>
            <b:Last>Spivak</b:Last>
            <b:First>Gayatri</b:First>
          </b:Person>
        </b:NameList>
      </b:Interviewee>
    </b:Author>
    <b:RefOrder>3</b:RefOrder>
  </b:Source>
</b:Sources>
</file>

<file path=customXml/itemProps1.xml><?xml version="1.0" encoding="utf-8"?>
<ds:datastoreItem xmlns:ds="http://schemas.openxmlformats.org/officeDocument/2006/customXml" ds:itemID="{A7E3800B-7083-494F-8D92-02018F17B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7</Pages>
  <Words>1269</Words>
  <Characters>7234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dc:creator>
  <cp:keywords/>
  <dc:description/>
  <cp:lastModifiedBy>Elis</cp:lastModifiedBy>
  <cp:revision>6</cp:revision>
  <dcterms:created xsi:type="dcterms:W3CDTF">2023-05-13T18:40:00Z</dcterms:created>
  <dcterms:modified xsi:type="dcterms:W3CDTF">2023-05-14T20:28:00Z</dcterms:modified>
</cp:coreProperties>
</file>