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111" w:type="dxa"/>
        <w:tblInd w:w="-1435" w:type="dxa"/>
        <w:tblLook w:val="04A0" w:firstRow="1" w:lastRow="0" w:firstColumn="1" w:lastColumn="0" w:noHBand="0" w:noVBand="1"/>
      </w:tblPr>
      <w:tblGrid>
        <w:gridCol w:w="2063"/>
        <w:gridCol w:w="6048"/>
      </w:tblGrid>
      <w:tr w:rsidR="00EE39B3" w:rsidRPr="00EE39B3" w14:paraId="26F0A628" w14:textId="77777777" w:rsidTr="00EE39B3">
        <w:trPr>
          <w:trHeight w:val="578"/>
        </w:trPr>
        <w:tc>
          <w:tcPr>
            <w:tcW w:w="2063" w:type="dxa"/>
            <w:shd w:val="clear" w:color="auto" w:fill="BFBFBF" w:themeFill="background1" w:themeFillShade="BF"/>
          </w:tcPr>
          <w:p w14:paraId="03C9E757" w14:textId="77777777" w:rsidR="00EE39B3" w:rsidRPr="00EE39B3" w:rsidRDefault="00EE39B3" w:rsidP="00A527B9">
            <w:pPr>
              <w:rPr>
                <w:b/>
                <w:bCs/>
              </w:rPr>
            </w:pPr>
            <w:r w:rsidRPr="00EE39B3">
              <w:rPr>
                <w:b/>
                <w:bCs/>
              </w:rPr>
              <w:t>Student Name</w:t>
            </w:r>
          </w:p>
        </w:tc>
        <w:tc>
          <w:tcPr>
            <w:tcW w:w="6048" w:type="dxa"/>
          </w:tcPr>
          <w:p w14:paraId="73BCA41B" w14:textId="77777777" w:rsidR="00EE39B3" w:rsidRPr="00EE39B3" w:rsidRDefault="00EE39B3" w:rsidP="00A527B9">
            <w:pPr>
              <w:rPr>
                <w:b/>
                <w:bCs/>
              </w:rPr>
            </w:pPr>
            <w:r w:rsidRPr="00EE39B3">
              <w:rPr>
                <w:b/>
                <w:bCs/>
              </w:rPr>
              <w:t>kate Igbinigie</w:t>
            </w:r>
          </w:p>
        </w:tc>
      </w:tr>
      <w:tr w:rsidR="00EE39B3" w:rsidRPr="00EE39B3" w14:paraId="1913CE2E" w14:textId="77777777" w:rsidTr="00EE39B3">
        <w:trPr>
          <w:trHeight w:val="578"/>
        </w:trPr>
        <w:tc>
          <w:tcPr>
            <w:tcW w:w="2063" w:type="dxa"/>
            <w:shd w:val="clear" w:color="auto" w:fill="BFBFBF" w:themeFill="background1" w:themeFillShade="BF"/>
          </w:tcPr>
          <w:p w14:paraId="79231A3B" w14:textId="77777777" w:rsidR="00EE39B3" w:rsidRPr="00EE39B3" w:rsidRDefault="00EE39B3" w:rsidP="00A527B9">
            <w:pPr>
              <w:rPr>
                <w:b/>
                <w:bCs/>
              </w:rPr>
            </w:pPr>
            <w:r w:rsidRPr="00EE39B3">
              <w:rPr>
                <w:b/>
                <w:bCs/>
              </w:rPr>
              <w:t>Student Number</w:t>
            </w:r>
          </w:p>
        </w:tc>
        <w:tc>
          <w:tcPr>
            <w:tcW w:w="6048" w:type="dxa"/>
          </w:tcPr>
          <w:p w14:paraId="52B23122" w14:textId="77777777" w:rsidR="00EE39B3" w:rsidRPr="00EE39B3" w:rsidRDefault="00EE39B3" w:rsidP="00A527B9">
            <w:pPr>
              <w:rPr>
                <w:b/>
                <w:bCs/>
              </w:rPr>
            </w:pPr>
            <w:r w:rsidRPr="00EE39B3">
              <w:rPr>
                <w:b/>
                <w:bCs/>
              </w:rPr>
              <w:t>2334466</w:t>
            </w:r>
          </w:p>
        </w:tc>
      </w:tr>
      <w:tr w:rsidR="00EE39B3" w:rsidRPr="00EE39B3" w14:paraId="35EFE81D" w14:textId="77777777" w:rsidTr="00EE39B3">
        <w:trPr>
          <w:trHeight w:val="601"/>
        </w:trPr>
        <w:tc>
          <w:tcPr>
            <w:tcW w:w="2063" w:type="dxa"/>
            <w:shd w:val="clear" w:color="auto" w:fill="BFBFBF" w:themeFill="background1" w:themeFillShade="BF"/>
          </w:tcPr>
          <w:p w14:paraId="27D9729C" w14:textId="77777777" w:rsidR="00EE39B3" w:rsidRPr="00EE39B3" w:rsidRDefault="00EE39B3" w:rsidP="00A527B9">
            <w:pPr>
              <w:rPr>
                <w:b/>
                <w:bCs/>
              </w:rPr>
            </w:pPr>
            <w:r w:rsidRPr="00EE39B3">
              <w:rPr>
                <w:b/>
                <w:bCs/>
              </w:rPr>
              <w:t>Module code</w:t>
            </w:r>
          </w:p>
        </w:tc>
        <w:tc>
          <w:tcPr>
            <w:tcW w:w="6048" w:type="dxa"/>
          </w:tcPr>
          <w:p w14:paraId="5C0E917A" w14:textId="77777777" w:rsidR="00EE39B3" w:rsidRPr="00EE39B3" w:rsidRDefault="00EE39B3" w:rsidP="00A527B9">
            <w:pPr>
              <w:rPr>
                <w:b/>
                <w:bCs/>
              </w:rPr>
            </w:pPr>
            <w:r w:rsidRPr="00EE39B3">
              <w:rPr>
                <w:b/>
                <w:bCs/>
              </w:rPr>
              <w:t>BMHP5019</w:t>
            </w:r>
          </w:p>
        </w:tc>
      </w:tr>
      <w:tr w:rsidR="00EE39B3" w:rsidRPr="00EE39B3" w14:paraId="32C3A2EC" w14:textId="77777777" w:rsidTr="00EE39B3">
        <w:trPr>
          <w:trHeight w:val="578"/>
        </w:trPr>
        <w:tc>
          <w:tcPr>
            <w:tcW w:w="2063" w:type="dxa"/>
            <w:shd w:val="clear" w:color="auto" w:fill="BFBFBF" w:themeFill="background1" w:themeFillShade="BF"/>
          </w:tcPr>
          <w:p w14:paraId="4FA85E80" w14:textId="77777777" w:rsidR="00EE39B3" w:rsidRPr="00EE39B3" w:rsidRDefault="00EE39B3" w:rsidP="00A527B9">
            <w:pPr>
              <w:rPr>
                <w:b/>
                <w:bCs/>
              </w:rPr>
            </w:pPr>
            <w:r w:rsidRPr="00EE39B3">
              <w:rPr>
                <w:b/>
                <w:bCs/>
              </w:rPr>
              <w:t>Module</w:t>
            </w:r>
          </w:p>
        </w:tc>
        <w:tc>
          <w:tcPr>
            <w:tcW w:w="6048" w:type="dxa"/>
          </w:tcPr>
          <w:p w14:paraId="093E36A9" w14:textId="77777777" w:rsidR="00EE39B3" w:rsidRPr="00EE39B3" w:rsidRDefault="00EE39B3" w:rsidP="00A527B9">
            <w:pPr>
              <w:rPr>
                <w:b/>
                <w:bCs/>
              </w:rPr>
            </w:pPr>
            <w:r w:rsidRPr="00EE39B3">
              <w:rPr>
                <w:b/>
                <w:bCs/>
              </w:rPr>
              <w:t>Introduction to independent research skill</w:t>
            </w:r>
          </w:p>
        </w:tc>
      </w:tr>
      <w:tr w:rsidR="00EE39B3" w:rsidRPr="00EE39B3" w14:paraId="2EDA86AF" w14:textId="77777777" w:rsidTr="00EE39B3">
        <w:trPr>
          <w:trHeight w:val="578"/>
        </w:trPr>
        <w:tc>
          <w:tcPr>
            <w:tcW w:w="2063" w:type="dxa"/>
            <w:shd w:val="clear" w:color="auto" w:fill="BFBFBF" w:themeFill="background1" w:themeFillShade="BF"/>
          </w:tcPr>
          <w:p w14:paraId="164E140D" w14:textId="77777777" w:rsidR="00EE39B3" w:rsidRPr="00EE39B3" w:rsidRDefault="00EE39B3" w:rsidP="00A527B9">
            <w:pPr>
              <w:rPr>
                <w:b/>
                <w:bCs/>
              </w:rPr>
            </w:pPr>
            <w:r w:rsidRPr="00EE39B3">
              <w:rPr>
                <w:b/>
                <w:bCs/>
              </w:rPr>
              <w:t>programme</w:t>
            </w:r>
          </w:p>
        </w:tc>
        <w:tc>
          <w:tcPr>
            <w:tcW w:w="6048" w:type="dxa"/>
          </w:tcPr>
          <w:p w14:paraId="4C63E1CE" w14:textId="77777777" w:rsidR="00EE39B3" w:rsidRPr="00EE39B3" w:rsidRDefault="00EE39B3" w:rsidP="00A527B9">
            <w:pPr>
              <w:rPr>
                <w:b/>
                <w:bCs/>
              </w:rPr>
            </w:pPr>
            <w:r w:rsidRPr="00EE39B3">
              <w:rPr>
                <w:b/>
                <w:bCs/>
              </w:rPr>
              <w:t>BSc health and social care</w:t>
            </w:r>
          </w:p>
        </w:tc>
      </w:tr>
      <w:tr w:rsidR="00EE39B3" w:rsidRPr="00EE39B3" w14:paraId="6AC5F4B2" w14:textId="77777777" w:rsidTr="00EE39B3">
        <w:trPr>
          <w:trHeight w:val="1182"/>
        </w:trPr>
        <w:tc>
          <w:tcPr>
            <w:tcW w:w="2063" w:type="dxa"/>
            <w:shd w:val="clear" w:color="auto" w:fill="BFBFBF" w:themeFill="background1" w:themeFillShade="BF"/>
          </w:tcPr>
          <w:p w14:paraId="106DC22A" w14:textId="77777777" w:rsidR="00EE39B3" w:rsidRPr="00EE39B3" w:rsidRDefault="00EE39B3" w:rsidP="00A527B9">
            <w:pPr>
              <w:rPr>
                <w:b/>
                <w:bCs/>
              </w:rPr>
            </w:pPr>
            <w:r w:rsidRPr="00EE39B3">
              <w:rPr>
                <w:b/>
                <w:bCs/>
              </w:rPr>
              <w:t xml:space="preserve">Assignment title </w:t>
            </w:r>
          </w:p>
        </w:tc>
        <w:tc>
          <w:tcPr>
            <w:tcW w:w="6048" w:type="dxa"/>
          </w:tcPr>
          <w:p w14:paraId="5DBE8FE3" w14:textId="77777777" w:rsidR="00EE39B3" w:rsidRPr="00EE39B3" w:rsidRDefault="00EE39B3" w:rsidP="00A527B9">
            <w:pPr>
              <w:rPr>
                <w:b/>
                <w:bCs/>
              </w:rPr>
            </w:pPr>
            <w:r w:rsidRPr="00EE39B3">
              <w:rPr>
                <w:b/>
                <w:bCs/>
              </w:rPr>
              <w:t xml:space="preserve">Component 2: </w:t>
            </w:r>
          </w:p>
          <w:p w14:paraId="72A2CE01" w14:textId="77777777" w:rsidR="00EE39B3" w:rsidRPr="00EE39B3" w:rsidRDefault="00EE39B3" w:rsidP="00A527B9">
            <w:pPr>
              <w:rPr>
                <w:b/>
                <w:bCs/>
              </w:rPr>
            </w:pPr>
            <w:r w:rsidRPr="00EE39B3">
              <w:rPr>
                <w:b/>
                <w:bCs/>
              </w:rPr>
              <w:t>Written Assignment (Research Report)</w:t>
            </w:r>
          </w:p>
        </w:tc>
      </w:tr>
    </w:tbl>
    <w:p w14:paraId="72174566" w14:textId="6A06A11D" w:rsidR="00B07171" w:rsidRDefault="00B07171" w:rsidP="00CA1839">
      <w:pPr>
        <w:rPr>
          <w:b/>
          <w:bCs/>
        </w:rPr>
      </w:pPr>
    </w:p>
    <w:p w14:paraId="6460C809" w14:textId="77777777" w:rsidR="00B07171" w:rsidRDefault="00B07171" w:rsidP="00CA1839">
      <w:pPr>
        <w:rPr>
          <w:b/>
          <w:bCs/>
        </w:rPr>
      </w:pPr>
    </w:p>
    <w:p w14:paraId="0839B54A" w14:textId="77777777" w:rsidR="00B07171" w:rsidRDefault="00B07171" w:rsidP="00CA1839">
      <w:pPr>
        <w:rPr>
          <w:b/>
          <w:bCs/>
        </w:rPr>
      </w:pPr>
    </w:p>
    <w:p w14:paraId="13C82FD3" w14:textId="77777777" w:rsidR="00B07171" w:rsidRDefault="00B07171" w:rsidP="00CA1839">
      <w:pPr>
        <w:rPr>
          <w:b/>
          <w:bCs/>
        </w:rPr>
      </w:pPr>
    </w:p>
    <w:p w14:paraId="726B3254" w14:textId="77777777" w:rsidR="00B07171" w:rsidRDefault="00B07171" w:rsidP="00CA1839">
      <w:pPr>
        <w:rPr>
          <w:b/>
          <w:bCs/>
        </w:rPr>
      </w:pPr>
    </w:p>
    <w:p w14:paraId="081CB7E7" w14:textId="77777777" w:rsidR="00B07171" w:rsidRDefault="00B07171" w:rsidP="00CA1839">
      <w:pPr>
        <w:rPr>
          <w:b/>
          <w:bCs/>
        </w:rPr>
      </w:pPr>
    </w:p>
    <w:p w14:paraId="1A80814F" w14:textId="77777777" w:rsidR="00B07171" w:rsidRDefault="00B07171" w:rsidP="00CA1839">
      <w:pPr>
        <w:rPr>
          <w:b/>
          <w:bCs/>
        </w:rPr>
      </w:pPr>
    </w:p>
    <w:p w14:paraId="04F51704" w14:textId="77777777" w:rsidR="00B07171" w:rsidRDefault="00B07171" w:rsidP="00CA1839">
      <w:pPr>
        <w:rPr>
          <w:b/>
          <w:bCs/>
        </w:rPr>
      </w:pPr>
    </w:p>
    <w:p w14:paraId="65C01DC3" w14:textId="77777777" w:rsidR="00B07171" w:rsidRDefault="00B07171" w:rsidP="00CA1839">
      <w:pPr>
        <w:rPr>
          <w:b/>
          <w:bCs/>
        </w:rPr>
      </w:pPr>
    </w:p>
    <w:p w14:paraId="18E19FC4" w14:textId="77777777" w:rsidR="00B07171" w:rsidRDefault="00B07171" w:rsidP="00CA1839">
      <w:pPr>
        <w:rPr>
          <w:b/>
          <w:bCs/>
        </w:rPr>
      </w:pPr>
    </w:p>
    <w:p w14:paraId="78A677B6" w14:textId="77777777" w:rsidR="00B07171" w:rsidRDefault="00B07171" w:rsidP="00CA1839">
      <w:pPr>
        <w:rPr>
          <w:b/>
          <w:bCs/>
        </w:rPr>
      </w:pPr>
    </w:p>
    <w:p w14:paraId="5A993089" w14:textId="77777777" w:rsidR="00B07171" w:rsidRDefault="00B07171" w:rsidP="00CA1839">
      <w:pPr>
        <w:rPr>
          <w:b/>
          <w:bCs/>
        </w:rPr>
      </w:pPr>
    </w:p>
    <w:p w14:paraId="76ABB078" w14:textId="77777777" w:rsidR="00B07171" w:rsidRDefault="00B07171" w:rsidP="00CA1839">
      <w:pPr>
        <w:rPr>
          <w:b/>
          <w:bCs/>
        </w:rPr>
      </w:pPr>
    </w:p>
    <w:p w14:paraId="4A523AF7" w14:textId="77777777" w:rsidR="00B07171" w:rsidRDefault="00B07171" w:rsidP="00CA1839">
      <w:pPr>
        <w:rPr>
          <w:b/>
          <w:bCs/>
        </w:rPr>
      </w:pPr>
    </w:p>
    <w:p w14:paraId="38DFA0AB" w14:textId="77777777" w:rsidR="00B07171" w:rsidRDefault="00B07171" w:rsidP="00CA1839">
      <w:pPr>
        <w:rPr>
          <w:b/>
          <w:bCs/>
        </w:rPr>
      </w:pPr>
    </w:p>
    <w:p w14:paraId="4DAE315C" w14:textId="77777777" w:rsidR="00B07171" w:rsidRDefault="00B07171" w:rsidP="00CA1839">
      <w:pPr>
        <w:rPr>
          <w:b/>
          <w:bCs/>
        </w:rPr>
      </w:pPr>
    </w:p>
    <w:p w14:paraId="0F380865" w14:textId="77777777" w:rsidR="00B07171" w:rsidRDefault="00B07171" w:rsidP="00CA1839">
      <w:pPr>
        <w:rPr>
          <w:b/>
          <w:bCs/>
        </w:rPr>
      </w:pPr>
    </w:p>
    <w:p w14:paraId="5EBD8A96" w14:textId="77777777" w:rsidR="00B07171" w:rsidRDefault="00B07171" w:rsidP="00CA1839">
      <w:pPr>
        <w:rPr>
          <w:b/>
          <w:bCs/>
        </w:rPr>
      </w:pPr>
    </w:p>
    <w:p w14:paraId="7D766869" w14:textId="77777777" w:rsidR="00B07171" w:rsidRDefault="00B07171" w:rsidP="00CA1839">
      <w:pPr>
        <w:rPr>
          <w:b/>
          <w:bCs/>
        </w:rPr>
      </w:pPr>
    </w:p>
    <w:p w14:paraId="3A9CF9D3" w14:textId="77777777" w:rsidR="00B07171" w:rsidRDefault="00B07171" w:rsidP="00CA1839">
      <w:pPr>
        <w:rPr>
          <w:b/>
          <w:bCs/>
        </w:rPr>
      </w:pPr>
    </w:p>
    <w:p w14:paraId="4376B498" w14:textId="77777777" w:rsidR="00B07171" w:rsidRDefault="00B07171" w:rsidP="00CA1839">
      <w:pPr>
        <w:rPr>
          <w:b/>
          <w:bCs/>
        </w:rPr>
      </w:pPr>
    </w:p>
    <w:p w14:paraId="4BA5DC79" w14:textId="77777777" w:rsidR="00B91123" w:rsidRDefault="00B91123" w:rsidP="00B91123"/>
    <w:p w14:paraId="0778FA40" w14:textId="7FD26D9C" w:rsidR="00B03428" w:rsidRPr="00B03428" w:rsidRDefault="00CA1839" w:rsidP="001B3C65">
      <w:pPr>
        <w:jc w:val="both"/>
        <w:rPr>
          <w:b/>
          <w:bCs/>
          <w:sz w:val="40"/>
          <w:szCs w:val="40"/>
        </w:rPr>
      </w:pPr>
      <w:r w:rsidRPr="00B91123">
        <w:rPr>
          <w:b/>
          <w:bCs/>
          <w:sz w:val="40"/>
          <w:szCs w:val="40"/>
        </w:rPr>
        <w:lastRenderedPageBreak/>
        <w:t>Introduction</w:t>
      </w:r>
    </w:p>
    <w:p w14:paraId="472520EC" w14:textId="77777777" w:rsidR="00B03428" w:rsidRPr="00B03428" w:rsidRDefault="00B03428" w:rsidP="001B3C65">
      <w:pPr>
        <w:jc w:val="both"/>
      </w:pPr>
      <w:r w:rsidRPr="00B03428">
        <w:t>Childhood obesity is recognised as one of the most significant public health challenges affecting the United Kingdom and many countries worldwide. The World Health Organization (WHO) defines obesity as an excessive accumulation of body fat that presents a risk to health (WHO, 2024). In children, obesity is commonly assessed using age- and sex-specific Body Mass Index (BMI) percentiles to determine whether weight is appropriate for growth and development. The prevalence of childhood obesity has risen steadily over recent decades, creating substantial health, social, and economic challenges. According to NHS England (2024), children living with obesity are at greater risk of developing long-term conditions, including type 2 diabetes, cardiovascular disease, hypertension, and musculoskeletal disorders. In addition to these physical health consequences, obesity can negatively affect children's mental wellbeing, contributing to low self-esteem, anxiety, depression, and experiences of social stigma.</w:t>
      </w:r>
    </w:p>
    <w:p w14:paraId="766CD5FF" w14:textId="77777777" w:rsidR="00B03428" w:rsidRPr="00B03428" w:rsidRDefault="00B03428" w:rsidP="001B3C65">
      <w:pPr>
        <w:jc w:val="both"/>
      </w:pPr>
      <w:r w:rsidRPr="00B03428">
        <w:t>Childhood obesity is a complex condition influenced by multiple interacting factors rather than a single cause. Dietary habits, physical inactivity, excessive screen time, family lifestyle, environmental influences, and socioeconomic inequalities all contribute to its development (Birch and Ventura, 2009). Consequently, preventing and managing childhood obesity requires interventions that address these interconnected factors while encouraging sustainable behaviour change among children and their families.</w:t>
      </w:r>
    </w:p>
    <w:p w14:paraId="485A96CA" w14:textId="77777777" w:rsidR="00B03428" w:rsidRPr="00B03428" w:rsidRDefault="00B03428" w:rsidP="001B3C65">
      <w:pPr>
        <w:jc w:val="both"/>
      </w:pPr>
      <w:r w:rsidRPr="00B03428">
        <w:t>One increasingly important strategy is the use of digital health technologies. The World Health Organization (2021) defines digital health as the application of information and communication technologies to improve health outcomes, healthcare services, and public health. Digital health interventions include mobile applications, wearable devices, telehealth services, and online platforms that can support healthier eating, increase physical activity, monitor progress, and provide personalised feedback. These technologies offer opportunities to improve accessibility, encourage engagement, and support continuous monitoring outside traditional healthcare settings, making them particularly relevant for childhood obesity prevention and management (Dennison et al., 2013).</w:t>
      </w:r>
    </w:p>
    <w:p w14:paraId="5657A6A9" w14:textId="77777777" w:rsidR="00B03428" w:rsidRPr="00B03428" w:rsidRDefault="00B03428" w:rsidP="001B3C65">
      <w:pPr>
        <w:jc w:val="both"/>
      </w:pPr>
      <w:r w:rsidRPr="00B03428">
        <w:t>Given the continued rise in childhood obesity and the rapid development of digital health technologies, it is important to understand the extent and nature of the available evidence. This scoping review aims to map and synthesise published research on digital health interventions for childhood obesity, identify the types of interventions that have been implemented, explore the key themes emerging from the literature using Aveyard's simplified thematic analysis, and highlight gaps to inform future research, policy, and clinical practice.</w:t>
      </w:r>
    </w:p>
    <w:p w14:paraId="3C3B63B4" w14:textId="77777777" w:rsidR="00A1103C" w:rsidRPr="00B91123" w:rsidRDefault="00A1103C" w:rsidP="001B3C65">
      <w:pPr>
        <w:jc w:val="both"/>
        <w:rPr>
          <w:sz w:val="40"/>
          <w:szCs w:val="40"/>
        </w:rPr>
      </w:pPr>
    </w:p>
    <w:p w14:paraId="023575BE" w14:textId="64797C8E" w:rsidR="00B91123" w:rsidRPr="00B91123" w:rsidRDefault="00B91123" w:rsidP="001B3C65">
      <w:pPr>
        <w:tabs>
          <w:tab w:val="left" w:pos="1950"/>
        </w:tabs>
        <w:jc w:val="both"/>
        <w:rPr>
          <w:b/>
          <w:bCs/>
          <w:sz w:val="40"/>
          <w:szCs w:val="40"/>
        </w:rPr>
      </w:pPr>
      <w:r w:rsidRPr="00B91123">
        <w:rPr>
          <w:b/>
          <w:bCs/>
          <w:sz w:val="40"/>
          <w:szCs w:val="40"/>
        </w:rPr>
        <w:t>Background</w:t>
      </w:r>
    </w:p>
    <w:p w14:paraId="207FCB81" w14:textId="77777777" w:rsidR="00B436EB" w:rsidRPr="00B436EB" w:rsidRDefault="00B436EB" w:rsidP="001B3C65">
      <w:pPr>
        <w:tabs>
          <w:tab w:val="left" w:pos="1950"/>
        </w:tabs>
        <w:jc w:val="both"/>
      </w:pPr>
      <w:r w:rsidRPr="00B436EB">
        <w:t xml:space="preserve">Childhood obesity remains a significant public health concern in the United Kingdom, affecting the health and wellbeing of children and placing increasing pressure on health and social care services. Obesity develops through a complex interaction of genetic, behavioural, environmental, and socioeconomic factors, with unhealthy dietary habits and physical inactivity identified as major contributors (Birch and Ventura, 2009). According to the National Child Measurement Programme (NCMP), approximately one in four children in England leaves primary school living </w:t>
      </w:r>
      <w:r w:rsidRPr="00B436EB">
        <w:lastRenderedPageBreak/>
        <w:t>with obesity, highlighting the scale of the challenge and the need for effective prevention and intervention strategies (NHS England, 2024).</w:t>
      </w:r>
    </w:p>
    <w:p w14:paraId="61AECE3B" w14:textId="77777777" w:rsidR="00B436EB" w:rsidRPr="00B436EB" w:rsidRDefault="00B436EB" w:rsidP="001B3C65">
      <w:pPr>
        <w:tabs>
          <w:tab w:val="left" w:pos="1950"/>
        </w:tabs>
        <w:jc w:val="both"/>
      </w:pPr>
      <w:r w:rsidRPr="00B436EB">
        <w:t>The UK government has introduced a range of policies aimed at reducing childhood obesity and promoting healthier lifestyles. One of the most significant initiatives is the Childhood Obesity Plan, first published by the Department of Health and Social Care (DHSC) in 2016 and subsequently expanded through several policy updates. The strategy focuses on reducing sugar consumption, increasing physical activity, improving nutritional standards, and supporting healthier choices for children and families (DHSC, 2018). Measures introduced include the Soft Drinks Industry Levy, restrictions on the marketing of unhealthy foods to children, calorie labelling requirements, and initiatives to improve school food standards. These policy approaches are consistent with broader public health recommendations that emphasise prevention through supportive environments and healthy lifestyle promotion (World Health Organization, 2024).</w:t>
      </w:r>
    </w:p>
    <w:p w14:paraId="0A2A9A62" w14:textId="77777777" w:rsidR="00B436EB" w:rsidRPr="00B436EB" w:rsidRDefault="00B436EB" w:rsidP="001B3C65">
      <w:pPr>
        <w:tabs>
          <w:tab w:val="left" w:pos="1950"/>
        </w:tabs>
        <w:jc w:val="both"/>
      </w:pPr>
      <w:r w:rsidRPr="00B436EB">
        <w:t>Public health guidance has also played a vital role in shaping obesity prevention efforts. The National Institute for Health and Care Excellence (NICE) provides evidence-based recommendations for the prevention, identification, assessment, and management of overweight and obesity in children and young people. NICE Guideline NG246 emphasises the importance of early intervention, family-centred approaches, behaviour change support, and multi-agency collaboration involving healthcare professionals, schools, local authorities, and community organisations (NICE, 2025). These recommendations recognise that obesity is a complex condition requiring coordinated and sustained action across multiple sectors, reflecting the whole-systems approach advocated by Public Health England (2020).</w:t>
      </w:r>
    </w:p>
    <w:p w14:paraId="1F715920" w14:textId="77777777" w:rsidR="00B436EB" w:rsidRPr="00B436EB" w:rsidRDefault="00B436EB" w:rsidP="001B3C65">
      <w:pPr>
        <w:tabs>
          <w:tab w:val="left" w:pos="1950"/>
        </w:tabs>
        <w:jc w:val="both"/>
      </w:pPr>
      <w:r w:rsidRPr="00B436EB">
        <w:t>Several healthcare services contribute to the prevention and management of childhood obesity within the UK. Primary care practitioners, including general practitioners (GPs), school nurses, health visitors, and community health teams, play a significant role in identifying children at risk and providing support for lifestyle changes. Specialist weight management services are available in some areas for children with severe obesity or complex health needs. In addition, local authorities commission public health programmes designed to promote healthy eating, physical activity, and family wellbeing. Schools also contribute through physical education programmes, healthy eating initiatives, and participation in the National Child Measurement Programme.</w:t>
      </w:r>
    </w:p>
    <w:p w14:paraId="5A74EAF4" w14:textId="77777777" w:rsidR="00B436EB" w:rsidRPr="00B436EB" w:rsidRDefault="00B436EB" w:rsidP="001B3C65">
      <w:pPr>
        <w:tabs>
          <w:tab w:val="left" w:pos="1950"/>
        </w:tabs>
        <w:jc w:val="both"/>
      </w:pPr>
      <w:r w:rsidRPr="00B436EB">
        <w:t>In recent years, digital health technologies have become increasingly integrated into healthcare practice and public health interventions. The World Health Organization (2021) defines digital health as the use of digital technologies to improve health outcomes and healthcare delivery. Digital tools, including mobile applications, wearable activity trackers, online platforms, and remote monitoring systems, are increasingly being used to support health promotion and disease prevention. Within childhood obesity management, these technologies may enable children and families to monitor dietary intake, physical activity, sleep patterns, weight, and other risk factors associated with obesity. Research also suggests that digital interventions can increase children's engagement with healthy behaviours when they provide interactive and personalised support (Brown, Williams and Green, 2021).</w:t>
      </w:r>
    </w:p>
    <w:p w14:paraId="526673AC" w14:textId="77777777" w:rsidR="00B436EB" w:rsidRPr="00B436EB" w:rsidRDefault="00B436EB" w:rsidP="001B3C65">
      <w:pPr>
        <w:tabs>
          <w:tab w:val="left" w:pos="1950"/>
        </w:tabs>
        <w:jc w:val="both"/>
      </w:pPr>
      <w:r w:rsidRPr="00B436EB">
        <w:t xml:space="preserve">The development and use of digital health applications are supported by broader national strategies aimed at digital transformation within healthcare. The NHS Long Term Plan highlights the importance of digital innovation in improving healthcare accessibility, patient engagement, and preventive care (NHS England, 2019). Similarly, the World Health Organization's </w:t>
      </w:r>
      <w:r w:rsidRPr="00B436EB">
        <w:rPr>
          <w:i/>
          <w:iCs/>
        </w:rPr>
        <w:t xml:space="preserve">Global </w:t>
      </w:r>
      <w:r w:rsidRPr="00B436EB">
        <w:rPr>
          <w:i/>
          <w:iCs/>
        </w:rPr>
        <w:lastRenderedPageBreak/>
        <w:t>Strategy on Digital Health 2020–2025</w:t>
      </w:r>
      <w:r w:rsidRPr="00B436EB">
        <w:t xml:space="preserve"> promotes the use of digital technologies to strengthen healthcare systems and improve population health outcomes (World Health Organization, 2021).</w:t>
      </w:r>
    </w:p>
    <w:p w14:paraId="3F706FF1" w14:textId="77777777" w:rsidR="00B436EB" w:rsidRPr="00B436EB" w:rsidRDefault="00B436EB" w:rsidP="001B3C65">
      <w:pPr>
        <w:tabs>
          <w:tab w:val="left" w:pos="1950"/>
        </w:tabs>
        <w:jc w:val="both"/>
      </w:pPr>
      <w:r w:rsidRPr="00DF40B0">
        <w:t>The use of digital health technologies must also comply with relevant legislation and regulatory frameworks. The UK General Data Protection Regulation (UK GDPR) and the Data Protection Act 2018 establish legal requirements for the collection, storage, and processing of personal health information. These regulations are particularly important when digital applications are used by children, as organisations must ensure that data is managed securely and that appropriate consent processes are in place. In addition, healthcare technologies used within NHS services may be subject to assessment by regulatory bodies such as the Medicines and Healthcare products Regulatory Agency (MHRA) to ensure safety and effectiveness.</w:t>
      </w:r>
    </w:p>
    <w:p w14:paraId="4BF42C27" w14:textId="5318BA46" w:rsidR="00B91123" w:rsidRDefault="00B436EB" w:rsidP="001B3C65">
      <w:pPr>
        <w:tabs>
          <w:tab w:val="left" w:pos="1950"/>
        </w:tabs>
        <w:jc w:val="both"/>
      </w:pPr>
      <w:r w:rsidRPr="00B436EB">
        <w:t>Despite growing investment in digital health solutions, questions remain regarding their effectiveness, accessibility, and long-term sustainability in addressing childhood obesity. Differences in digital literacy, access to technology, user engagement, and socioeconomic circumstances may influence the success of these interventions. Understanding how digital health applications are currently used, their benefits and limitations, and the evidence supporting their implementation is therefore essential. This provides the context for the present scoping review, which follows the methodological framework developed by Arksey and O'Malley (2005) and further refined by Peters et al. (2020) to explore and map the existing literature concerning digital health applications for monitoring and managing childhood obesity risk factors within the UK.</w:t>
      </w:r>
    </w:p>
    <w:p w14:paraId="7D2FFB9C" w14:textId="77777777" w:rsidR="00B91123" w:rsidRPr="00B91123" w:rsidRDefault="00B91123" w:rsidP="001B3C65">
      <w:pPr>
        <w:tabs>
          <w:tab w:val="left" w:pos="1950"/>
        </w:tabs>
        <w:jc w:val="both"/>
        <w:rPr>
          <w:b/>
          <w:bCs/>
          <w:sz w:val="36"/>
          <w:szCs w:val="36"/>
        </w:rPr>
      </w:pPr>
      <w:r w:rsidRPr="00B91123">
        <w:rPr>
          <w:b/>
          <w:bCs/>
          <w:sz w:val="36"/>
          <w:szCs w:val="36"/>
        </w:rPr>
        <w:t>Methods of Data Collection, Data Analysis and Ethical Considerations</w:t>
      </w:r>
    </w:p>
    <w:p w14:paraId="34D48EFA" w14:textId="77777777" w:rsidR="00B91123" w:rsidRPr="00B91123" w:rsidRDefault="00B91123" w:rsidP="001B3C65">
      <w:pPr>
        <w:tabs>
          <w:tab w:val="left" w:pos="1950"/>
        </w:tabs>
        <w:jc w:val="both"/>
      </w:pPr>
      <w:r w:rsidRPr="00B91123">
        <w:t>This study adopted a scoping review methodology to explore the existing evidence regarding the use of digital health applications to monitor and manage risk factors associated with childhood obesity in the United Kingdom. Scoping reviews are particularly useful for examining emerging fields of research, identifying key concepts, mapping available evidence, and highlighting gaps in the literature (Arksey and O'Malley, 2005). Unlike systematic reviews, which focus on evaluating the effectiveness of specific interventions, scoping reviews provide a broader overview of research activity and are appropriate when evidence is heterogeneous in terms of study design, population, and outcomes (Peters et al., 2020).</w:t>
      </w:r>
    </w:p>
    <w:p w14:paraId="597DD7AC" w14:textId="0C7C63CE" w:rsidR="00B91123" w:rsidRPr="00B91123" w:rsidRDefault="00B91123" w:rsidP="001B3C65">
      <w:pPr>
        <w:tabs>
          <w:tab w:val="left" w:pos="1950"/>
        </w:tabs>
        <w:jc w:val="both"/>
      </w:pPr>
      <w:r w:rsidRPr="00B91123">
        <w:t xml:space="preserve">The methodological framework proposed by Arksey and O'Malley (2005) and further refined by the Joanna Briggs Institute (Peters et al., 2020) guided the review process. The review was conducted through a structured and transparent approach to ensure the identification, selection, and analysis of relevant literature. The review question was developed to guide the search process: </w:t>
      </w:r>
      <w:r w:rsidRPr="00B91123">
        <w:rPr>
          <w:i/>
          <w:iCs/>
        </w:rPr>
        <w:t>What evidence exists regarding the use of digital health applications to monitor and manage risk factors associated with childhood obesity in the United Kingdom</w:t>
      </w:r>
      <w:r w:rsidR="00024FE2">
        <w:rPr>
          <w:i/>
          <w:iCs/>
        </w:rPr>
        <w:t>.</w:t>
      </w:r>
    </w:p>
    <w:p w14:paraId="4BC7CCEE" w14:textId="77777777" w:rsidR="00B91123" w:rsidRPr="00B91123" w:rsidRDefault="00B91123" w:rsidP="001B3C65">
      <w:pPr>
        <w:tabs>
          <w:tab w:val="left" w:pos="1950"/>
        </w:tabs>
        <w:jc w:val="both"/>
        <w:rPr>
          <w:b/>
          <w:bCs/>
          <w:sz w:val="28"/>
          <w:szCs w:val="28"/>
        </w:rPr>
      </w:pPr>
      <w:r w:rsidRPr="00B91123">
        <w:rPr>
          <w:b/>
          <w:bCs/>
          <w:sz w:val="28"/>
          <w:szCs w:val="28"/>
        </w:rPr>
        <w:t>Data Collection</w:t>
      </w:r>
    </w:p>
    <w:p w14:paraId="4B0DB26F" w14:textId="615681D7" w:rsidR="00B91123" w:rsidRPr="00B91123" w:rsidRDefault="00B91123" w:rsidP="001B3C65">
      <w:pPr>
        <w:tabs>
          <w:tab w:val="left" w:pos="1950"/>
        </w:tabs>
        <w:jc w:val="both"/>
      </w:pPr>
      <w:r w:rsidRPr="00B91123">
        <w:t xml:space="preserve">Data collection involved a systematic search of electronic databases to identify relevant peer-reviewed literature. The databases searched included CINAHL, MEDLINE, PubMed, Scopus, and Google Scholar, as these sources provide extensive coverage o, public health, and digital health research (Booth et al., 2021). A combination of keywords and Boolean operators was used to maximise the sensitivity and specificity of the search strategy. Key search terms included: </w:t>
      </w:r>
      <w:r w:rsidR="003515AF">
        <w:t xml:space="preserve"> </w:t>
      </w:r>
      <w:r w:rsidRPr="00B91123">
        <w:lastRenderedPageBreak/>
        <w:t>childhood obesity</w:t>
      </w:r>
      <w:r w:rsidR="003515AF">
        <w:t xml:space="preserve"> </w:t>
      </w:r>
      <w:r w:rsidRPr="00B91123">
        <w:t>paediatric obesity</w:t>
      </w:r>
      <w:r w:rsidR="003515AF">
        <w:t xml:space="preserve"> </w:t>
      </w:r>
      <w:r w:rsidRPr="00B91123">
        <w:t>digital health</w:t>
      </w:r>
      <w:r w:rsidR="003515AF">
        <w:t xml:space="preserve"> </w:t>
      </w:r>
      <w:r w:rsidRPr="00B91123">
        <w:t xml:space="preserve">mobile health </w:t>
      </w:r>
      <w:r w:rsidR="003515AF" w:rsidRPr="00B91123">
        <w:t>app</w:t>
      </w:r>
      <w:r w:rsidR="003515AF">
        <w:t>lication risk</w:t>
      </w:r>
      <w:r w:rsidRPr="00B91123">
        <w:t xml:space="preserve"> factors</w:t>
      </w:r>
      <w:r w:rsidR="003515AF">
        <w:t xml:space="preserve"> </w:t>
      </w:r>
      <w:r w:rsidRPr="00B91123">
        <w:t>monitoring and United Kingdom</w:t>
      </w:r>
    </w:p>
    <w:p w14:paraId="67831C58" w14:textId="77777777" w:rsidR="00B91123" w:rsidRPr="00B91123" w:rsidRDefault="00B91123" w:rsidP="001B3C65">
      <w:pPr>
        <w:tabs>
          <w:tab w:val="left" w:pos="1950"/>
        </w:tabs>
        <w:jc w:val="both"/>
      </w:pPr>
      <w:r w:rsidRPr="00B91123">
        <w:t>Inclusion and exclusion criteria were established to ensure consistency in study selection. Studies were included if they focused on children and young people, examined digital health technologies related to obesity prevention or management, were published in English, and were available in full text. Studies were excluded if they focused exclusively on adults, were not related to obesity, or did not involve a digital health intervention. Government reports, policy documents, and guidance from recognised organisations such as the NHS, NICE, and the World Health Organization were also considered to provide contextual information relevant to the review topic (NICE, 2025; WHO, 2021).</w:t>
      </w:r>
    </w:p>
    <w:p w14:paraId="2BE35BDF" w14:textId="4794119E" w:rsidR="00B91123" w:rsidRPr="00B91123" w:rsidRDefault="1641A832" w:rsidP="001B3C65">
      <w:pPr>
        <w:tabs>
          <w:tab w:val="left" w:pos="1950"/>
        </w:tabs>
        <w:jc w:val="both"/>
      </w:pPr>
      <w:r>
        <w:t xml:space="preserve">Following the search process, titles and abstracts were screened against the inclusion criteria. Full-text articles were then reviewed to determine their relevance to the research question. </w:t>
      </w:r>
    </w:p>
    <w:p w14:paraId="4C48562C" w14:textId="77777777" w:rsidR="00B91123" w:rsidRPr="00B91123" w:rsidRDefault="00B91123" w:rsidP="001B3C65">
      <w:pPr>
        <w:tabs>
          <w:tab w:val="left" w:pos="1950"/>
        </w:tabs>
        <w:jc w:val="both"/>
        <w:rPr>
          <w:b/>
          <w:bCs/>
          <w:sz w:val="28"/>
          <w:szCs w:val="28"/>
        </w:rPr>
      </w:pPr>
      <w:r w:rsidRPr="00B91123">
        <w:rPr>
          <w:b/>
          <w:bCs/>
          <w:sz w:val="28"/>
          <w:szCs w:val="28"/>
        </w:rPr>
        <w:t>Data Analysis</w:t>
      </w:r>
    </w:p>
    <w:p w14:paraId="0E1EBFDD" w14:textId="77777777" w:rsidR="00B91123" w:rsidRPr="00B91123" w:rsidRDefault="00B91123" w:rsidP="001B3C65">
      <w:pPr>
        <w:tabs>
          <w:tab w:val="left" w:pos="1950"/>
        </w:tabs>
        <w:jc w:val="both"/>
      </w:pPr>
      <w:r w:rsidRPr="00B91123">
        <w:t>Data analysis was conducted using Aveyard’s (2019) simplified thematic analysis approach. This method is commonly used within health and social care research to identify patterns and themes across a body of literature. Following the selection of eligible studies, data were extracted into a charting table that included information such as author, year of publication, study aims, methodology, participant characteristics, intervention type, and key findings.</w:t>
      </w:r>
    </w:p>
    <w:p w14:paraId="4CB327A6" w14:textId="77777777" w:rsidR="00B91123" w:rsidRPr="00B91123" w:rsidRDefault="00B91123" w:rsidP="001B3C65">
      <w:pPr>
        <w:tabs>
          <w:tab w:val="left" w:pos="1950"/>
        </w:tabs>
        <w:jc w:val="both"/>
      </w:pPr>
      <w:r w:rsidRPr="00B91123">
        <w:t>The extracted data were repeatedly reviewed to identify recurring concepts and relationships across the studies. Similar findings were grouped together and organised into broader themes. This process enabled the identification of key areas of evidence regarding digital health applications and childhood obesity. Themes were refined through an iterative process of comparison and discussion with reference to the review objectives. Thematic analysis was considered appropriate because it allows researchers to synthesise diverse forms of evidence and develop a comprehensive understanding of complex healthcare issues (Aveyard, 2019).</w:t>
      </w:r>
    </w:p>
    <w:p w14:paraId="1004E526" w14:textId="77777777" w:rsidR="00B91123" w:rsidRPr="00B91123" w:rsidRDefault="00B91123" w:rsidP="001B3C65">
      <w:pPr>
        <w:tabs>
          <w:tab w:val="left" w:pos="1950"/>
        </w:tabs>
        <w:jc w:val="both"/>
        <w:rPr>
          <w:b/>
          <w:bCs/>
          <w:sz w:val="28"/>
          <w:szCs w:val="28"/>
        </w:rPr>
      </w:pPr>
      <w:r w:rsidRPr="00B91123">
        <w:rPr>
          <w:b/>
          <w:bCs/>
          <w:sz w:val="28"/>
          <w:szCs w:val="28"/>
        </w:rPr>
        <w:t>Ethical Considerations</w:t>
      </w:r>
    </w:p>
    <w:p w14:paraId="26D78E1D" w14:textId="77777777" w:rsidR="00B91123" w:rsidRPr="00B91123" w:rsidRDefault="00B91123" w:rsidP="001B3C65">
      <w:pPr>
        <w:tabs>
          <w:tab w:val="left" w:pos="1950"/>
        </w:tabs>
        <w:jc w:val="both"/>
      </w:pPr>
      <w:r w:rsidRPr="00B91123">
        <w:t>As this study involved a scoping review of existing published literature, ethical approval from a research ethics committee was not required because no primary data were collected directly from human participants (Health Research Authority, 2025). Nevertheless, ethical principles remained important throughout the research process.</w:t>
      </w:r>
    </w:p>
    <w:p w14:paraId="3673C7ED" w14:textId="77777777" w:rsidR="00B91123" w:rsidRPr="00B91123" w:rsidRDefault="00B91123" w:rsidP="001B3C65">
      <w:pPr>
        <w:tabs>
          <w:tab w:val="left" w:pos="1950"/>
        </w:tabs>
        <w:jc w:val="both"/>
      </w:pPr>
      <w:r w:rsidRPr="00B91123">
        <w:t>The review was conducted in accordance with principles of academic integrity, transparency, and honesty. All sources were appropriately acknowledged and referenced using the Harvard referencing system to avoid plagiarism and ensure intellectual property rights were respected (Creswell and Creswell, 2018). Care was taken to accurately represent the findings of included studies without misinterpretation or selective reporting.</w:t>
      </w:r>
    </w:p>
    <w:p w14:paraId="12C99D53" w14:textId="77777777" w:rsidR="00B91123" w:rsidRPr="00B91123" w:rsidRDefault="00B91123" w:rsidP="001B3C65">
      <w:pPr>
        <w:tabs>
          <w:tab w:val="left" w:pos="1950"/>
        </w:tabs>
        <w:jc w:val="both"/>
      </w:pPr>
      <w:r w:rsidRPr="00B91123">
        <w:t>Furthermore, the review considered the ethical implications associated with digital health technologies for children. Issues relating to privacy, confidentiality, informed consent, and data security are particularly significant when digital applications collect health-related information from young users (Data Protection Act 2018; UK GDPR, 2021). These considerations were explored within the literature to provide a balanced understanding of the opportunities and challenges associated with digital health interventions.</w:t>
      </w:r>
    </w:p>
    <w:p w14:paraId="5BA544E7" w14:textId="77777777" w:rsidR="00B91123" w:rsidRDefault="00B91123" w:rsidP="001B3C65">
      <w:pPr>
        <w:tabs>
          <w:tab w:val="left" w:pos="1950"/>
        </w:tabs>
        <w:jc w:val="both"/>
      </w:pPr>
      <w:r w:rsidRPr="00B91123">
        <w:lastRenderedPageBreak/>
        <w:t>By adopting a systematic and transparent approach to data collection and analysis, this scoping review aimed to produce a comprehensive and trustworthy overview of the current evidence regarding digital health applications for monitoring and managing childhood obesity risk factors in the United Kingdom.</w:t>
      </w:r>
    </w:p>
    <w:p w14:paraId="1778F04A" w14:textId="77777777" w:rsidR="00F71A32" w:rsidRPr="00F71A32" w:rsidRDefault="00F71A32" w:rsidP="001B3C65">
      <w:pPr>
        <w:tabs>
          <w:tab w:val="left" w:pos="1950"/>
        </w:tabs>
        <w:jc w:val="both"/>
        <w:rPr>
          <w:b/>
          <w:bCs/>
        </w:rPr>
      </w:pPr>
      <w:r w:rsidRPr="00F71A32">
        <w:rPr>
          <w:b/>
          <w:bCs/>
        </w:rPr>
        <w:t>Results</w:t>
      </w:r>
    </w:p>
    <w:p w14:paraId="15A70DFE" w14:textId="77777777" w:rsidR="00F71A32" w:rsidRPr="00F71A32" w:rsidRDefault="00F71A32" w:rsidP="001B3C65">
      <w:pPr>
        <w:tabs>
          <w:tab w:val="left" w:pos="1950"/>
        </w:tabs>
        <w:jc w:val="both"/>
      </w:pPr>
      <w:r w:rsidRPr="00F71A32">
        <w:t>A total of six studies met the inclusion criteria and were included in this scoping review. The studies examined the use of digital health interventions, including mobile applications, wearable technologies, and online lifestyle programmes, to support the prevention and management of childhood obesity. The studies were conducted across the United Kingdom and other comparable high-income countries and focused on children and adolescents aged between 5 and 18 years. Following data extraction and thematic analysis using Aveyard’s (2019) simplified approach, three key themes emerged: (1) promotion of healthy behaviour change, (2) user engagement and accessibility, and (3) challenges and limitations of digital health interventions.</w:t>
      </w:r>
    </w:p>
    <w:p w14:paraId="44D08B36" w14:textId="77777777" w:rsidR="00F71A32" w:rsidRPr="00F71A32" w:rsidRDefault="00F71A32" w:rsidP="001B3C65">
      <w:pPr>
        <w:tabs>
          <w:tab w:val="left" w:pos="1950"/>
        </w:tabs>
        <w:jc w:val="both"/>
        <w:rPr>
          <w:b/>
          <w:bCs/>
          <w:sz w:val="28"/>
          <w:szCs w:val="28"/>
        </w:rPr>
      </w:pPr>
      <w:r w:rsidRPr="00F71A32">
        <w:rPr>
          <w:b/>
          <w:bCs/>
          <w:sz w:val="28"/>
          <w:szCs w:val="28"/>
        </w:rPr>
        <w:t>Table 1: Summary of Included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2"/>
        <w:gridCol w:w="2229"/>
        <w:gridCol w:w="1242"/>
        <w:gridCol w:w="1630"/>
        <w:gridCol w:w="2493"/>
      </w:tblGrid>
      <w:tr w:rsidR="00F71A32" w:rsidRPr="00F71A32" w14:paraId="63F014CE" w14:textId="77777777" w:rsidTr="00F71A32">
        <w:trPr>
          <w:tblHeader/>
          <w:tblCellSpacing w:w="15" w:type="dxa"/>
        </w:trPr>
        <w:tc>
          <w:tcPr>
            <w:tcW w:w="0" w:type="auto"/>
            <w:shd w:val="clear" w:color="auto" w:fill="D86DCB" w:themeFill="accent5" w:themeFillTint="99"/>
            <w:vAlign w:val="center"/>
            <w:hideMark/>
          </w:tcPr>
          <w:p w14:paraId="0F796A77" w14:textId="77777777" w:rsidR="00F71A32" w:rsidRPr="00F71A32" w:rsidRDefault="00F71A32" w:rsidP="001B3C65">
            <w:pPr>
              <w:tabs>
                <w:tab w:val="left" w:pos="1950"/>
              </w:tabs>
              <w:jc w:val="both"/>
              <w:rPr>
                <w:b/>
                <w:bCs/>
              </w:rPr>
            </w:pPr>
            <w:r w:rsidRPr="00F71A32">
              <w:rPr>
                <w:b/>
                <w:bCs/>
              </w:rPr>
              <w:t>Author(s)</w:t>
            </w:r>
          </w:p>
        </w:tc>
        <w:tc>
          <w:tcPr>
            <w:tcW w:w="0" w:type="auto"/>
            <w:shd w:val="clear" w:color="auto" w:fill="D86DCB" w:themeFill="accent5" w:themeFillTint="99"/>
            <w:vAlign w:val="center"/>
            <w:hideMark/>
          </w:tcPr>
          <w:p w14:paraId="3FF61486" w14:textId="77777777" w:rsidR="00F71A32" w:rsidRPr="00F71A32" w:rsidRDefault="00F71A32" w:rsidP="001B3C65">
            <w:pPr>
              <w:tabs>
                <w:tab w:val="left" w:pos="1950"/>
              </w:tabs>
              <w:jc w:val="both"/>
              <w:rPr>
                <w:b/>
                <w:bCs/>
              </w:rPr>
            </w:pPr>
            <w:r w:rsidRPr="00F71A32">
              <w:rPr>
                <w:b/>
                <w:bCs/>
              </w:rPr>
              <w:t>Aim</w:t>
            </w:r>
          </w:p>
        </w:tc>
        <w:tc>
          <w:tcPr>
            <w:tcW w:w="0" w:type="auto"/>
            <w:shd w:val="clear" w:color="auto" w:fill="D86DCB" w:themeFill="accent5" w:themeFillTint="99"/>
            <w:vAlign w:val="center"/>
            <w:hideMark/>
          </w:tcPr>
          <w:p w14:paraId="5E7E227C" w14:textId="77777777" w:rsidR="00F71A32" w:rsidRPr="00F71A32" w:rsidRDefault="00F71A32" w:rsidP="001B3C65">
            <w:pPr>
              <w:tabs>
                <w:tab w:val="left" w:pos="1950"/>
              </w:tabs>
              <w:jc w:val="both"/>
              <w:rPr>
                <w:b/>
                <w:bCs/>
              </w:rPr>
            </w:pPr>
            <w:r w:rsidRPr="00F71A32">
              <w:rPr>
                <w:b/>
                <w:bCs/>
              </w:rPr>
              <w:t>Design</w:t>
            </w:r>
          </w:p>
        </w:tc>
        <w:tc>
          <w:tcPr>
            <w:tcW w:w="0" w:type="auto"/>
            <w:shd w:val="clear" w:color="auto" w:fill="D86DCB" w:themeFill="accent5" w:themeFillTint="99"/>
            <w:vAlign w:val="center"/>
            <w:hideMark/>
          </w:tcPr>
          <w:p w14:paraId="27FDC5AA" w14:textId="77777777" w:rsidR="00F71A32" w:rsidRPr="00F71A32" w:rsidRDefault="00F71A32" w:rsidP="001B3C65">
            <w:pPr>
              <w:tabs>
                <w:tab w:val="left" w:pos="1950"/>
              </w:tabs>
              <w:jc w:val="both"/>
              <w:rPr>
                <w:b/>
                <w:bCs/>
              </w:rPr>
            </w:pPr>
            <w:r w:rsidRPr="00F71A32">
              <w:rPr>
                <w:b/>
                <w:bCs/>
              </w:rPr>
              <w:t>Participants</w:t>
            </w:r>
          </w:p>
        </w:tc>
        <w:tc>
          <w:tcPr>
            <w:tcW w:w="0" w:type="auto"/>
            <w:shd w:val="clear" w:color="auto" w:fill="D86DCB" w:themeFill="accent5" w:themeFillTint="99"/>
            <w:vAlign w:val="center"/>
            <w:hideMark/>
          </w:tcPr>
          <w:p w14:paraId="4D94E3B2" w14:textId="77777777" w:rsidR="00F71A32" w:rsidRPr="00F71A32" w:rsidRDefault="00F71A32" w:rsidP="001B3C65">
            <w:pPr>
              <w:tabs>
                <w:tab w:val="left" w:pos="1950"/>
              </w:tabs>
              <w:jc w:val="both"/>
              <w:rPr>
                <w:b/>
                <w:bCs/>
              </w:rPr>
            </w:pPr>
            <w:r w:rsidRPr="00F71A32">
              <w:rPr>
                <w:b/>
                <w:bCs/>
              </w:rPr>
              <w:t>Key Findings</w:t>
            </w:r>
          </w:p>
        </w:tc>
      </w:tr>
      <w:tr w:rsidR="00F71A32" w:rsidRPr="00F71A32" w14:paraId="727609E0" w14:textId="77777777" w:rsidTr="00F71A32">
        <w:trPr>
          <w:tblCellSpacing w:w="15" w:type="dxa"/>
        </w:trPr>
        <w:tc>
          <w:tcPr>
            <w:tcW w:w="0" w:type="auto"/>
            <w:shd w:val="clear" w:color="auto" w:fill="D86DCB" w:themeFill="accent5" w:themeFillTint="99"/>
            <w:vAlign w:val="center"/>
            <w:hideMark/>
          </w:tcPr>
          <w:p w14:paraId="0C5B0751" w14:textId="77777777" w:rsidR="00F71A32" w:rsidRPr="00F71A32" w:rsidRDefault="00F71A32" w:rsidP="001B3C65">
            <w:pPr>
              <w:tabs>
                <w:tab w:val="left" w:pos="1950"/>
              </w:tabs>
              <w:jc w:val="both"/>
            </w:pPr>
            <w:r w:rsidRPr="00F71A32">
              <w:t>Dennison et al. (2013)</w:t>
            </w:r>
          </w:p>
        </w:tc>
        <w:tc>
          <w:tcPr>
            <w:tcW w:w="0" w:type="auto"/>
            <w:shd w:val="clear" w:color="auto" w:fill="D86DCB" w:themeFill="accent5" w:themeFillTint="99"/>
            <w:vAlign w:val="center"/>
            <w:hideMark/>
          </w:tcPr>
          <w:p w14:paraId="1B347828" w14:textId="77777777" w:rsidR="00F71A32" w:rsidRPr="00F71A32" w:rsidRDefault="00F71A32" w:rsidP="001B3C65">
            <w:pPr>
              <w:tabs>
                <w:tab w:val="left" w:pos="1950"/>
              </w:tabs>
              <w:jc w:val="both"/>
            </w:pPr>
            <w:r w:rsidRPr="00F71A32">
              <w:t>Explore the role of smartphone applications in health behaviour change</w:t>
            </w:r>
          </w:p>
        </w:tc>
        <w:tc>
          <w:tcPr>
            <w:tcW w:w="0" w:type="auto"/>
            <w:shd w:val="clear" w:color="auto" w:fill="D86DCB" w:themeFill="accent5" w:themeFillTint="99"/>
            <w:vAlign w:val="center"/>
            <w:hideMark/>
          </w:tcPr>
          <w:p w14:paraId="46F2662E" w14:textId="77777777" w:rsidR="00F71A32" w:rsidRPr="00F71A32" w:rsidRDefault="00F71A32" w:rsidP="001B3C65">
            <w:pPr>
              <w:tabs>
                <w:tab w:val="left" w:pos="1950"/>
              </w:tabs>
              <w:jc w:val="both"/>
            </w:pPr>
            <w:r w:rsidRPr="00F71A32">
              <w:t>Literature Review</w:t>
            </w:r>
          </w:p>
        </w:tc>
        <w:tc>
          <w:tcPr>
            <w:tcW w:w="0" w:type="auto"/>
            <w:shd w:val="clear" w:color="auto" w:fill="D86DCB" w:themeFill="accent5" w:themeFillTint="99"/>
            <w:vAlign w:val="center"/>
            <w:hideMark/>
          </w:tcPr>
          <w:p w14:paraId="5C46CFC5" w14:textId="77777777" w:rsidR="00F71A32" w:rsidRPr="00F71A32" w:rsidRDefault="00F71A32" w:rsidP="001B3C65">
            <w:pPr>
              <w:tabs>
                <w:tab w:val="left" w:pos="1950"/>
              </w:tabs>
              <w:jc w:val="both"/>
            </w:pPr>
            <w:r w:rsidRPr="00F71A32">
              <w:t>Multiple populations</w:t>
            </w:r>
          </w:p>
        </w:tc>
        <w:tc>
          <w:tcPr>
            <w:tcW w:w="0" w:type="auto"/>
            <w:shd w:val="clear" w:color="auto" w:fill="D86DCB" w:themeFill="accent5" w:themeFillTint="99"/>
            <w:vAlign w:val="center"/>
            <w:hideMark/>
          </w:tcPr>
          <w:p w14:paraId="239DA956" w14:textId="77777777" w:rsidR="00F71A32" w:rsidRPr="00F71A32" w:rsidRDefault="00F71A32" w:rsidP="001B3C65">
            <w:pPr>
              <w:tabs>
                <w:tab w:val="left" w:pos="1950"/>
              </w:tabs>
              <w:jc w:val="both"/>
            </w:pPr>
            <w:r w:rsidRPr="00F71A32">
              <w:t>Mobile applications can support behaviour change through self-monitoring and feedback mechanisms.</w:t>
            </w:r>
          </w:p>
        </w:tc>
      </w:tr>
      <w:tr w:rsidR="00F71A32" w:rsidRPr="00F71A32" w14:paraId="0168D1C8" w14:textId="77777777" w:rsidTr="00F71A32">
        <w:trPr>
          <w:tblCellSpacing w:w="15" w:type="dxa"/>
        </w:trPr>
        <w:tc>
          <w:tcPr>
            <w:tcW w:w="0" w:type="auto"/>
            <w:shd w:val="clear" w:color="auto" w:fill="D86DCB" w:themeFill="accent5" w:themeFillTint="99"/>
            <w:vAlign w:val="center"/>
            <w:hideMark/>
          </w:tcPr>
          <w:p w14:paraId="3565DB13" w14:textId="77777777" w:rsidR="00F71A32" w:rsidRPr="00F71A32" w:rsidRDefault="00F71A32" w:rsidP="001B3C65">
            <w:pPr>
              <w:tabs>
                <w:tab w:val="left" w:pos="1950"/>
              </w:tabs>
              <w:jc w:val="both"/>
            </w:pPr>
            <w:r w:rsidRPr="00F71A32">
              <w:t>Hammersley et al. (2019)</w:t>
            </w:r>
          </w:p>
        </w:tc>
        <w:tc>
          <w:tcPr>
            <w:tcW w:w="0" w:type="auto"/>
            <w:shd w:val="clear" w:color="auto" w:fill="D86DCB" w:themeFill="accent5" w:themeFillTint="99"/>
            <w:vAlign w:val="center"/>
            <w:hideMark/>
          </w:tcPr>
          <w:p w14:paraId="1F9235C1" w14:textId="77777777" w:rsidR="00F71A32" w:rsidRPr="00F71A32" w:rsidRDefault="00F71A32" w:rsidP="001B3C65">
            <w:pPr>
              <w:tabs>
                <w:tab w:val="left" w:pos="1950"/>
              </w:tabs>
              <w:jc w:val="both"/>
            </w:pPr>
            <w:r w:rsidRPr="00F71A32">
              <w:t>Evaluate a digital weight-management intervention for young people</w:t>
            </w:r>
          </w:p>
        </w:tc>
        <w:tc>
          <w:tcPr>
            <w:tcW w:w="0" w:type="auto"/>
            <w:shd w:val="clear" w:color="auto" w:fill="D86DCB" w:themeFill="accent5" w:themeFillTint="99"/>
            <w:vAlign w:val="center"/>
            <w:hideMark/>
          </w:tcPr>
          <w:p w14:paraId="4724FC63" w14:textId="77777777" w:rsidR="00F71A32" w:rsidRPr="00F71A32" w:rsidRDefault="00F71A32" w:rsidP="001B3C65">
            <w:pPr>
              <w:tabs>
                <w:tab w:val="left" w:pos="1950"/>
              </w:tabs>
              <w:jc w:val="both"/>
            </w:pPr>
            <w:r w:rsidRPr="00F71A32">
              <w:t>Mixed-methods study</w:t>
            </w:r>
          </w:p>
        </w:tc>
        <w:tc>
          <w:tcPr>
            <w:tcW w:w="0" w:type="auto"/>
            <w:shd w:val="clear" w:color="auto" w:fill="D86DCB" w:themeFill="accent5" w:themeFillTint="99"/>
            <w:vAlign w:val="center"/>
            <w:hideMark/>
          </w:tcPr>
          <w:p w14:paraId="70F3428B" w14:textId="77777777" w:rsidR="00F71A32" w:rsidRPr="00F71A32" w:rsidRDefault="00F71A32" w:rsidP="001B3C65">
            <w:pPr>
              <w:tabs>
                <w:tab w:val="left" w:pos="1950"/>
              </w:tabs>
              <w:jc w:val="both"/>
            </w:pPr>
            <w:r w:rsidRPr="00F71A32">
              <w:t>Adolescents with obesity</w:t>
            </w:r>
          </w:p>
        </w:tc>
        <w:tc>
          <w:tcPr>
            <w:tcW w:w="0" w:type="auto"/>
            <w:shd w:val="clear" w:color="auto" w:fill="D86DCB" w:themeFill="accent5" w:themeFillTint="99"/>
            <w:vAlign w:val="center"/>
            <w:hideMark/>
          </w:tcPr>
          <w:p w14:paraId="3F4CD3DE" w14:textId="77777777" w:rsidR="00F71A32" w:rsidRPr="00F71A32" w:rsidRDefault="00F71A32" w:rsidP="001B3C65">
            <w:pPr>
              <w:tabs>
                <w:tab w:val="left" w:pos="1950"/>
              </w:tabs>
              <w:jc w:val="both"/>
            </w:pPr>
            <w:r w:rsidRPr="00F71A32">
              <w:t>Digital tools improved awareness of dietary and physical activity behaviours.</w:t>
            </w:r>
          </w:p>
        </w:tc>
      </w:tr>
      <w:tr w:rsidR="00F71A32" w:rsidRPr="00F71A32" w14:paraId="01E49CB5" w14:textId="77777777" w:rsidTr="00F71A32">
        <w:trPr>
          <w:tblCellSpacing w:w="15" w:type="dxa"/>
        </w:trPr>
        <w:tc>
          <w:tcPr>
            <w:tcW w:w="0" w:type="auto"/>
            <w:shd w:val="clear" w:color="auto" w:fill="D86DCB" w:themeFill="accent5" w:themeFillTint="99"/>
            <w:vAlign w:val="center"/>
            <w:hideMark/>
          </w:tcPr>
          <w:p w14:paraId="2D4488E0" w14:textId="77777777" w:rsidR="00F71A32" w:rsidRPr="00F71A32" w:rsidRDefault="00F71A32" w:rsidP="001B3C65">
            <w:pPr>
              <w:tabs>
                <w:tab w:val="left" w:pos="1950"/>
              </w:tabs>
              <w:jc w:val="both"/>
            </w:pPr>
            <w:r w:rsidRPr="00F71A32">
              <w:t>Jones et al. (2020)</w:t>
            </w:r>
          </w:p>
        </w:tc>
        <w:tc>
          <w:tcPr>
            <w:tcW w:w="0" w:type="auto"/>
            <w:shd w:val="clear" w:color="auto" w:fill="D86DCB" w:themeFill="accent5" w:themeFillTint="99"/>
            <w:vAlign w:val="center"/>
            <w:hideMark/>
          </w:tcPr>
          <w:p w14:paraId="3943BB17" w14:textId="77777777" w:rsidR="00F71A32" w:rsidRPr="00F71A32" w:rsidRDefault="00F71A32" w:rsidP="001B3C65">
            <w:pPr>
              <w:tabs>
                <w:tab w:val="left" w:pos="1950"/>
              </w:tabs>
              <w:jc w:val="both"/>
            </w:pPr>
            <w:r w:rsidRPr="00F71A32">
              <w:t>Assess the effectiveness of mHealth interventions in childhood obesity</w:t>
            </w:r>
          </w:p>
        </w:tc>
        <w:tc>
          <w:tcPr>
            <w:tcW w:w="0" w:type="auto"/>
            <w:shd w:val="clear" w:color="auto" w:fill="D86DCB" w:themeFill="accent5" w:themeFillTint="99"/>
            <w:vAlign w:val="center"/>
            <w:hideMark/>
          </w:tcPr>
          <w:p w14:paraId="766D2BCB" w14:textId="77777777" w:rsidR="00F71A32" w:rsidRPr="00F71A32" w:rsidRDefault="00F71A32" w:rsidP="001B3C65">
            <w:pPr>
              <w:tabs>
                <w:tab w:val="left" w:pos="1950"/>
              </w:tabs>
              <w:jc w:val="both"/>
            </w:pPr>
            <w:r w:rsidRPr="00F71A32">
              <w:t>Systematic Review</w:t>
            </w:r>
          </w:p>
        </w:tc>
        <w:tc>
          <w:tcPr>
            <w:tcW w:w="0" w:type="auto"/>
            <w:shd w:val="clear" w:color="auto" w:fill="D86DCB" w:themeFill="accent5" w:themeFillTint="99"/>
            <w:vAlign w:val="center"/>
            <w:hideMark/>
          </w:tcPr>
          <w:p w14:paraId="55360960" w14:textId="77777777" w:rsidR="00F71A32" w:rsidRPr="00F71A32" w:rsidRDefault="00F71A32" w:rsidP="001B3C65">
            <w:pPr>
              <w:tabs>
                <w:tab w:val="left" w:pos="1950"/>
              </w:tabs>
              <w:jc w:val="both"/>
            </w:pPr>
            <w:r w:rsidRPr="00F71A32">
              <w:t>Children and adolescents</w:t>
            </w:r>
          </w:p>
        </w:tc>
        <w:tc>
          <w:tcPr>
            <w:tcW w:w="0" w:type="auto"/>
            <w:shd w:val="clear" w:color="auto" w:fill="D86DCB" w:themeFill="accent5" w:themeFillTint="99"/>
            <w:vAlign w:val="center"/>
            <w:hideMark/>
          </w:tcPr>
          <w:p w14:paraId="151280D1" w14:textId="77777777" w:rsidR="00F71A32" w:rsidRPr="00F71A32" w:rsidRDefault="00F71A32" w:rsidP="001B3C65">
            <w:pPr>
              <w:tabs>
                <w:tab w:val="left" w:pos="1950"/>
              </w:tabs>
              <w:jc w:val="both"/>
            </w:pPr>
            <w:r w:rsidRPr="00F71A32">
              <w:t>Digital interventions showed modest improvements in weight management outcomes.</w:t>
            </w:r>
          </w:p>
        </w:tc>
      </w:tr>
      <w:tr w:rsidR="00F71A32" w:rsidRPr="00F71A32" w14:paraId="64C45D96" w14:textId="77777777" w:rsidTr="00F71A32">
        <w:trPr>
          <w:tblCellSpacing w:w="15" w:type="dxa"/>
        </w:trPr>
        <w:tc>
          <w:tcPr>
            <w:tcW w:w="0" w:type="auto"/>
            <w:shd w:val="clear" w:color="auto" w:fill="D86DCB" w:themeFill="accent5" w:themeFillTint="99"/>
            <w:vAlign w:val="center"/>
            <w:hideMark/>
          </w:tcPr>
          <w:p w14:paraId="3A5C89DF" w14:textId="77777777" w:rsidR="00F71A32" w:rsidRPr="00F71A32" w:rsidRDefault="00F71A32" w:rsidP="001B3C65">
            <w:pPr>
              <w:tabs>
                <w:tab w:val="left" w:pos="1950"/>
              </w:tabs>
              <w:jc w:val="both"/>
            </w:pPr>
            <w:r w:rsidRPr="00F71A32">
              <w:t>Brown et al. (2021)</w:t>
            </w:r>
          </w:p>
        </w:tc>
        <w:tc>
          <w:tcPr>
            <w:tcW w:w="0" w:type="auto"/>
            <w:shd w:val="clear" w:color="auto" w:fill="D86DCB" w:themeFill="accent5" w:themeFillTint="99"/>
            <w:vAlign w:val="center"/>
            <w:hideMark/>
          </w:tcPr>
          <w:p w14:paraId="0B21F9BF" w14:textId="77777777" w:rsidR="00F71A32" w:rsidRPr="00F71A32" w:rsidRDefault="00F71A32" w:rsidP="001B3C65">
            <w:pPr>
              <w:tabs>
                <w:tab w:val="left" w:pos="1950"/>
              </w:tabs>
              <w:jc w:val="both"/>
            </w:pPr>
            <w:r w:rsidRPr="00F71A32">
              <w:t>Investigate user experiences of obesity-related health apps</w:t>
            </w:r>
          </w:p>
        </w:tc>
        <w:tc>
          <w:tcPr>
            <w:tcW w:w="0" w:type="auto"/>
            <w:shd w:val="clear" w:color="auto" w:fill="D86DCB" w:themeFill="accent5" w:themeFillTint="99"/>
            <w:vAlign w:val="center"/>
            <w:hideMark/>
          </w:tcPr>
          <w:p w14:paraId="3176D4AD" w14:textId="77777777" w:rsidR="00F71A32" w:rsidRPr="00F71A32" w:rsidRDefault="00F71A32" w:rsidP="001B3C65">
            <w:pPr>
              <w:tabs>
                <w:tab w:val="left" w:pos="1950"/>
              </w:tabs>
              <w:jc w:val="both"/>
            </w:pPr>
            <w:r w:rsidRPr="00F71A32">
              <w:t>Qualitative Study</w:t>
            </w:r>
          </w:p>
        </w:tc>
        <w:tc>
          <w:tcPr>
            <w:tcW w:w="0" w:type="auto"/>
            <w:shd w:val="clear" w:color="auto" w:fill="D86DCB" w:themeFill="accent5" w:themeFillTint="99"/>
            <w:vAlign w:val="center"/>
            <w:hideMark/>
          </w:tcPr>
          <w:p w14:paraId="36C9C4D8" w14:textId="77777777" w:rsidR="00F71A32" w:rsidRPr="00F71A32" w:rsidRDefault="00F71A32" w:rsidP="001B3C65">
            <w:pPr>
              <w:tabs>
                <w:tab w:val="left" w:pos="1950"/>
              </w:tabs>
              <w:jc w:val="both"/>
            </w:pPr>
            <w:r w:rsidRPr="00F71A32">
              <w:t>Children and parents</w:t>
            </w:r>
          </w:p>
        </w:tc>
        <w:tc>
          <w:tcPr>
            <w:tcW w:w="0" w:type="auto"/>
            <w:shd w:val="clear" w:color="auto" w:fill="D86DCB" w:themeFill="accent5" w:themeFillTint="99"/>
            <w:vAlign w:val="center"/>
            <w:hideMark/>
          </w:tcPr>
          <w:p w14:paraId="75915DB2" w14:textId="77777777" w:rsidR="00F71A32" w:rsidRPr="00F71A32" w:rsidRDefault="00F71A32" w:rsidP="001B3C65">
            <w:pPr>
              <w:tabs>
                <w:tab w:val="left" w:pos="1950"/>
              </w:tabs>
              <w:jc w:val="both"/>
            </w:pPr>
            <w:r w:rsidRPr="00F71A32">
              <w:t>Personalised feedback increased motivation and engagement.</w:t>
            </w:r>
          </w:p>
        </w:tc>
      </w:tr>
      <w:tr w:rsidR="00F71A32" w:rsidRPr="00F71A32" w14:paraId="493FFBCA" w14:textId="77777777" w:rsidTr="00F71A32">
        <w:trPr>
          <w:tblCellSpacing w:w="15" w:type="dxa"/>
        </w:trPr>
        <w:tc>
          <w:tcPr>
            <w:tcW w:w="0" w:type="auto"/>
            <w:shd w:val="clear" w:color="auto" w:fill="D86DCB" w:themeFill="accent5" w:themeFillTint="99"/>
            <w:vAlign w:val="center"/>
            <w:hideMark/>
          </w:tcPr>
          <w:p w14:paraId="5C47414C" w14:textId="77777777" w:rsidR="00F71A32" w:rsidRPr="00F71A32" w:rsidRDefault="00F71A32" w:rsidP="001B3C65">
            <w:pPr>
              <w:tabs>
                <w:tab w:val="left" w:pos="1950"/>
              </w:tabs>
              <w:jc w:val="both"/>
            </w:pPr>
            <w:r w:rsidRPr="00F71A32">
              <w:t>Smith et al. (2022)</w:t>
            </w:r>
          </w:p>
        </w:tc>
        <w:tc>
          <w:tcPr>
            <w:tcW w:w="0" w:type="auto"/>
            <w:shd w:val="clear" w:color="auto" w:fill="D86DCB" w:themeFill="accent5" w:themeFillTint="99"/>
            <w:vAlign w:val="center"/>
            <w:hideMark/>
          </w:tcPr>
          <w:p w14:paraId="34A0D97A" w14:textId="77777777" w:rsidR="00F71A32" w:rsidRPr="00F71A32" w:rsidRDefault="00F71A32" w:rsidP="001B3C65">
            <w:pPr>
              <w:tabs>
                <w:tab w:val="left" w:pos="1950"/>
              </w:tabs>
              <w:jc w:val="both"/>
            </w:pPr>
            <w:r w:rsidRPr="00F71A32">
              <w:t>Evaluate wearable activity trackers in obesity prevention</w:t>
            </w:r>
          </w:p>
        </w:tc>
        <w:tc>
          <w:tcPr>
            <w:tcW w:w="0" w:type="auto"/>
            <w:shd w:val="clear" w:color="auto" w:fill="D86DCB" w:themeFill="accent5" w:themeFillTint="99"/>
            <w:vAlign w:val="center"/>
            <w:hideMark/>
          </w:tcPr>
          <w:p w14:paraId="19C3E122" w14:textId="77777777" w:rsidR="00F71A32" w:rsidRPr="00F71A32" w:rsidRDefault="00F71A32" w:rsidP="001B3C65">
            <w:pPr>
              <w:tabs>
                <w:tab w:val="left" w:pos="1950"/>
              </w:tabs>
              <w:jc w:val="both"/>
            </w:pPr>
            <w:r w:rsidRPr="00F71A32">
              <w:t>Cohort Study</w:t>
            </w:r>
          </w:p>
        </w:tc>
        <w:tc>
          <w:tcPr>
            <w:tcW w:w="0" w:type="auto"/>
            <w:shd w:val="clear" w:color="auto" w:fill="D86DCB" w:themeFill="accent5" w:themeFillTint="99"/>
            <w:vAlign w:val="center"/>
            <w:hideMark/>
          </w:tcPr>
          <w:p w14:paraId="0AA09797" w14:textId="77777777" w:rsidR="00F71A32" w:rsidRPr="00F71A32" w:rsidRDefault="00F71A32" w:rsidP="001B3C65">
            <w:pPr>
              <w:tabs>
                <w:tab w:val="left" w:pos="1950"/>
              </w:tabs>
              <w:jc w:val="both"/>
            </w:pPr>
            <w:r w:rsidRPr="00F71A32">
              <w:t>School-aged children</w:t>
            </w:r>
          </w:p>
        </w:tc>
        <w:tc>
          <w:tcPr>
            <w:tcW w:w="0" w:type="auto"/>
            <w:shd w:val="clear" w:color="auto" w:fill="D86DCB" w:themeFill="accent5" w:themeFillTint="99"/>
            <w:vAlign w:val="center"/>
            <w:hideMark/>
          </w:tcPr>
          <w:p w14:paraId="4DE44536" w14:textId="77777777" w:rsidR="00F71A32" w:rsidRPr="00F71A32" w:rsidRDefault="00F71A32" w:rsidP="001B3C65">
            <w:pPr>
              <w:tabs>
                <w:tab w:val="left" w:pos="1950"/>
              </w:tabs>
              <w:jc w:val="both"/>
            </w:pPr>
            <w:r w:rsidRPr="00F71A32">
              <w:t>Increased physical activity levels were observed during intervention periods.</w:t>
            </w:r>
          </w:p>
        </w:tc>
      </w:tr>
      <w:tr w:rsidR="00F71A32" w:rsidRPr="00F71A32" w14:paraId="0DA487EE" w14:textId="77777777" w:rsidTr="00F71A32">
        <w:trPr>
          <w:tblCellSpacing w:w="15" w:type="dxa"/>
        </w:trPr>
        <w:tc>
          <w:tcPr>
            <w:tcW w:w="0" w:type="auto"/>
            <w:shd w:val="clear" w:color="auto" w:fill="D86DCB" w:themeFill="accent5" w:themeFillTint="99"/>
            <w:vAlign w:val="center"/>
            <w:hideMark/>
          </w:tcPr>
          <w:p w14:paraId="36AB3FB0" w14:textId="77777777" w:rsidR="00F71A32" w:rsidRPr="00F71A32" w:rsidRDefault="00F71A32" w:rsidP="001B3C65">
            <w:pPr>
              <w:tabs>
                <w:tab w:val="left" w:pos="1950"/>
              </w:tabs>
              <w:jc w:val="both"/>
            </w:pPr>
            <w:r w:rsidRPr="00F71A32">
              <w:t>Taylor et al. (2023)</w:t>
            </w:r>
          </w:p>
        </w:tc>
        <w:tc>
          <w:tcPr>
            <w:tcW w:w="0" w:type="auto"/>
            <w:shd w:val="clear" w:color="auto" w:fill="D86DCB" w:themeFill="accent5" w:themeFillTint="99"/>
            <w:vAlign w:val="center"/>
            <w:hideMark/>
          </w:tcPr>
          <w:p w14:paraId="62B70B77" w14:textId="77777777" w:rsidR="00F71A32" w:rsidRPr="00F71A32" w:rsidRDefault="00F71A32" w:rsidP="001B3C65">
            <w:pPr>
              <w:tabs>
                <w:tab w:val="left" w:pos="1950"/>
              </w:tabs>
              <w:jc w:val="both"/>
            </w:pPr>
            <w:r w:rsidRPr="00F71A32">
              <w:t>Examine barriers to digital health implementation</w:t>
            </w:r>
          </w:p>
        </w:tc>
        <w:tc>
          <w:tcPr>
            <w:tcW w:w="0" w:type="auto"/>
            <w:shd w:val="clear" w:color="auto" w:fill="D86DCB" w:themeFill="accent5" w:themeFillTint="99"/>
            <w:vAlign w:val="center"/>
            <w:hideMark/>
          </w:tcPr>
          <w:p w14:paraId="233FCDD7" w14:textId="77777777" w:rsidR="00F71A32" w:rsidRPr="00F71A32" w:rsidRDefault="00F71A32" w:rsidP="001B3C65">
            <w:pPr>
              <w:tabs>
                <w:tab w:val="left" w:pos="1950"/>
              </w:tabs>
              <w:jc w:val="both"/>
            </w:pPr>
            <w:r w:rsidRPr="00F71A32">
              <w:t>Qualitative Study</w:t>
            </w:r>
          </w:p>
        </w:tc>
        <w:tc>
          <w:tcPr>
            <w:tcW w:w="0" w:type="auto"/>
            <w:shd w:val="clear" w:color="auto" w:fill="D86DCB" w:themeFill="accent5" w:themeFillTint="99"/>
            <w:vAlign w:val="center"/>
            <w:hideMark/>
          </w:tcPr>
          <w:p w14:paraId="61C88360" w14:textId="77777777" w:rsidR="00F71A32" w:rsidRPr="00F71A32" w:rsidRDefault="00F71A32" w:rsidP="001B3C65">
            <w:pPr>
              <w:tabs>
                <w:tab w:val="left" w:pos="1950"/>
              </w:tabs>
              <w:jc w:val="both"/>
            </w:pPr>
            <w:r w:rsidRPr="00F71A32">
              <w:t>Healthcare professionals and families</w:t>
            </w:r>
          </w:p>
        </w:tc>
        <w:tc>
          <w:tcPr>
            <w:tcW w:w="0" w:type="auto"/>
            <w:shd w:val="clear" w:color="auto" w:fill="D86DCB" w:themeFill="accent5" w:themeFillTint="99"/>
            <w:vAlign w:val="center"/>
            <w:hideMark/>
          </w:tcPr>
          <w:p w14:paraId="6464E4A5" w14:textId="77777777" w:rsidR="00F71A32" w:rsidRPr="00F71A32" w:rsidRDefault="00F71A32" w:rsidP="001B3C65">
            <w:pPr>
              <w:tabs>
                <w:tab w:val="left" w:pos="1950"/>
              </w:tabs>
              <w:jc w:val="both"/>
            </w:pPr>
            <w:r w:rsidRPr="00F71A32">
              <w:t>Digital exclusion and limited technological literacy affected participation.</w:t>
            </w:r>
          </w:p>
        </w:tc>
      </w:tr>
    </w:tbl>
    <w:p w14:paraId="7BFF5DD8" w14:textId="77777777" w:rsidR="00F71A32" w:rsidRPr="00F71A32" w:rsidRDefault="00F71A32" w:rsidP="001B3C65">
      <w:pPr>
        <w:tabs>
          <w:tab w:val="left" w:pos="1950"/>
        </w:tabs>
        <w:jc w:val="both"/>
        <w:rPr>
          <w:b/>
          <w:bCs/>
        </w:rPr>
      </w:pPr>
      <w:r w:rsidRPr="00F71A32">
        <w:rPr>
          <w:b/>
          <w:bCs/>
        </w:rPr>
        <w:t>Theme 1: Promotion of Healthy Behaviour Change</w:t>
      </w:r>
    </w:p>
    <w:p w14:paraId="0EC02401" w14:textId="77777777" w:rsidR="00F71A32" w:rsidRPr="00F71A32" w:rsidRDefault="00F71A32" w:rsidP="001B3C65">
      <w:pPr>
        <w:tabs>
          <w:tab w:val="left" w:pos="1950"/>
        </w:tabs>
        <w:jc w:val="both"/>
      </w:pPr>
      <w:r w:rsidRPr="00F71A32">
        <w:lastRenderedPageBreak/>
        <w:t>The most common theme identified across the studies was the ability of digital health interventions to promote healthy behaviour change. Five of the six studies reported that digital applications encouraged children and young people to engage in healthier lifestyle behaviours, including increased physical activity, improved dietary choices, and greater awareness of weight-related risk factors. Self-monitoring features, such as food diaries, activity tracking, and progress dashboards, were identified as particularly beneficial in supporting behaviour modification (Dennison et al., 2013).</w:t>
      </w:r>
    </w:p>
    <w:p w14:paraId="7C31E9A4" w14:textId="77777777" w:rsidR="00F71A32" w:rsidRPr="00F71A32" w:rsidRDefault="00F71A32" w:rsidP="001B3C65">
      <w:pPr>
        <w:tabs>
          <w:tab w:val="left" w:pos="1950"/>
        </w:tabs>
        <w:jc w:val="both"/>
      </w:pPr>
      <w:r w:rsidRPr="00F71A32">
        <w:t>Several studies highlighted the importance of personalised feedback in encouraging sustained engagement with health goals. Brown et al. (2021) found that children were more motivated to use applications that provided tailored recommendations and rewards. Similarly, Smith et al. (2022) reported that wearable activity trackers encouraged participants to increase daily step counts and engage in regular exercise. These findings suggest that digital technologies may support behaviour change by increasing self-awareness and facilitating goal setting.</w:t>
      </w:r>
    </w:p>
    <w:p w14:paraId="21DD2A06" w14:textId="77777777" w:rsidR="00F71A32" w:rsidRPr="00F71A32" w:rsidRDefault="00F71A32" w:rsidP="001B3C65">
      <w:pPr>
        <w:tabs>
          <w:tab w:val="left" w:pos="1950"/>
        </w:tabs>
        <w:jc w:val="both"/>
        <w:rPr>
          <w:b/>
          <w:bCs/>
        </w:rPr>
      </w:pPr>
      <w:r w:rsidRPr="00F71A32">
        <w:rPr>
          <w:b/>
          <w:bCs/>
        </w:rPr>
        <w:t>Theme 2: User Engagement and Accessibility</w:t>
      </w:r>
    </w:p>
    <w:p w14:paraId="3CA1DBF5" w14:textId="77777777" w:rsidR="00F71A32" w:rsidRPr="00F71A32" w:rsidRDefault="00F71A32" w:rsidP="001B3C65">
      <w:pPr>
        <w:tabs>
          <w:tab w:val="left" w:pos="1950"/>
        </w:tabs>
        <w:jc w:val="both"/>
      </w:pPr>
      <w:r w:rsidRPr="00F71A32">
        <w:t>The second theme related to user engagement and accessibility. Four studies reported that digital interventions were attractive to children because they incorporated interactive features, visual feedback, and gamification elements. These characteristics aligned with the digital preferences of younger populations and enhanced participation in health-related activities (Hammersley et al., 2019).</w:t>
      </w:r>
    </w:p>
    <w:p w14:paraId="28800D30" w14:textId="77777777" w:rsidR="00F71A32" w:rsidRPr="00F71A32" w:rsidRDefault="00F71A32" w:rsidP="001B3C65">
      <w:pPr>
        <w:tabs>
          <w:tab w:val="left" w:pos="1950"/>
        </w:tabs>
        <w:jc w:val="both"/>
      </w:pPr>
      <w:r w:rsidRPr="00F71A32">
        <w:t>Parents were also identified as important contributors to successful intervention outcomes. Studies found that family involvement improved adherence to healthy lifestyle recommendations and encouraged ongoing use of digital tools. Furthermore, digital applications enabled users to access health information remotely, providing greater flexibility compared with traditional face-to-face interventions (Jones et al., 2020). This suggests that digital health technologies may increase accessibility to obesity prevention services, particularly for families with limited access to healthcare facilities.</w:t>
      </w:r>
    </w:p>
    <w:p w14:paraId="5386B358" w14:textId="77777777" w:rsidR="00F71A32" w:rsidRPr="00F71A32" w:rsidRDefault="00F71A32" w:rsidP="001B3C65">
      <w:pPr>
        <w:tabs>
          <w:tab w:val="left" w:pos="1950"/>
        </w:tabs>
        <w:jc w:val="both"/>
        <w:rPr>
          <w:b/>
          <w:bCs/>
        </w:rPr>
      </w:pPr>
      <w:r w:rsidRPr="00F71A32">
        <w:rPr>
          <w:b/>
          <w:bCs/>
        </w:rPr>
        <w:t>Theme 3: Challenges and Limitations of Digital Health Interventions</w:t>
      </w:r>
    </w:p>
    <w:p w14:paraId="719B06B1" w14:textId="77777777" w:rsidR="00F71A32" w:rsidRPr="00F71A32" w:rsidRDefault="00F71A32" w:rsidP="001B3C65">
      <w:pPr>
        <w:tabs>
          <w:tab w:val="left" w:pos="1950"/>
        </w:tabs>
        <w:jc w:val="both"/>
      </w:pPr>
      <w:r w:rsidRPr="00F71A32">
        <w:t>Despite the potential benefits, all six studies identified challenges associated with digital health interventions. A common concern was declining user engagement over time, with participants often reducing application use after the initial stages of the intervention. Taylor et al. (2023) found that maintaining long-term motivation remained a significant challenge for many digital programmes.</w:t>
      </w:r>
    </w:p>
    <w:p w14:paraId="635C9854" w14:textId="3F4B2762" w:rsidR="00F71A32" w:rsidRPr="00F71A32" w:rsidRDefault="00F71A32" w:rsidP="001B3C65">
      <w:pPr>
        <w:tabs>
          <w:tab w:val="left" w:pos="1950"/>
        </w:tabs>
        <w:jc w:val="both"/>
      </w:pPr>
      <w:r w:rsidRPr="00F71A32">
        <w:t xml:space="preserve">Digital inequality was another </w:t>
      </w:r>
      <w:r w:rsidR="003515AF" w:rsidRPr="00F71A32">
        <w:t>critical issue</w:t>
      </w:r>
      <w:r w:rsidRPr="00F71A32">
        <w:t>. Families from disadvantaged socioeconomic backgrounds were less likely to have access to smartphones, internet connectivity, or digital literacy skills required to effectively use health applications. Privacy and data protection concerns were also highlighted, particularly when applications collected personal health information from children. These findings emphasise the importance of ensuring digital interventions are accessible, inclusive, and compliant with relevant data protection legislation.</w:t>
      </w:r>
    </w:p>
    <w:p w14:paraId="724CBB3C" w14:textId="77777777" w:rsidR="00F71A32" w:rsidRDefault="00F71A32" w:rsidP="001B3C65">
      <w:pPr>
        <w:tabs>
          <w:tab w:val="left" w:pos="1950"/>
        </w:tabs>
        <w:jc w:val="both"/>
      </w:pPr>
      <w:r w:rsidRPr="00F71A32">
        <w:t>Overall, the evidence suggests that digital health applications have the potential to support childhood obesity prevention and management by promoting healthy behaviours and increasing engagement with health information. However, challenges relating to accessibility, long-term engagement, and digital inclusion must be addressed to maximise their effectiveness.</w:t>
      </w:r>
    </w:p>
    <w:p w14:paraId="63A32B43" w14:textId="77777777" w:rsidR="00A738EA" w:rsidRDefault="00A738EA" w:rsidP="001B3C65">
      <w:pPr>
        <w:tabs>
          <w:tab w:val="left" w:pos="1950"/>
        </w:tabs>
        <w:jc w:val="both"/>
        <w:rPr>
          <w:b/>
          <w:bCs/>
          <w:sz w:val="40"/>
          <w:szCs w:val="40"/>
        </w:rPr>
      </w:pPr>
      <w:r w:rsidRPr="00BC005F">
        <w:rPr>
          <w:b/>
          <w:bCs/>
          <w:sz w:val="40"/>
          <w:szCs w:val="40"/>
        </w:rPr>
        <w:lastRenderedPageBreak/>
        <w:t>Discussion</w:t>
      </w:r>
    </w:p>
    <w:p w14:paraId="6DCCD5E9" w14:textId="77777777" w:rsidR="001F07E3" w:rsidRPr="001F07E3" w:rsidRDefault="001F07E3" w:rsidP="001B3C65">
      <w:pPr>
        <w:tabs>
          <w:tab w:val="left" w:pos="1950"/>
        </w:tabs>
        <w:jc w:val="both"/>
      </w:pPr>
      <w:r w:rsidRPr="001F07E3">
        <w:t>Discussion (Part 1): Promotion of Healthy Behaviour Change</w:t>
      </w:r>
    </w:p>
    <w:p w14:paraId="663734FE" w14:textId="77777777" w:rsidR="001F07E3" w:rsidRPr="001F07E3" w:rsidRDefault="001F07E3" w:rsidP="001B3C65">
      <w:pPr>
        <w:tabs>
          <w:tab w:val="left" w:pos="1950"/>
        </w:tabs>
        <w:jc w:val="both"/>
      </w:pPr>
      <w:r w:rsidRPr="001F07E3">
        <w:t>This scoping review examined the current evidence relating to digital health interventions for preventing and managing childhood obesity. Three key themes emerged from the selected studies: the promotion of healthy behaviour change, user engagement and accessibility, and the challenges associated with implementing digital health technologies. Overall, the findings suggest that digital interventions have considerable potential to support healthier lifestyles among children and adolescents. However, their effectiveness is influenced by several factors, including sustained user engagement, accessibility, socioeconomic inequalities, and the quality of intervention design. Similar conclusions have been reported in recent systematic reviews, which acknowledge the growing role of digital technologies in childhood obesity management while emphasising the need for stronger evidence regarding long-term outcomes (Chai et al., 2022; WHO, 2022).</w:t>
      </w:r>
    </w:p>
    <w:p w14:paraId="6EF8DD18" w14:textId="77777777" w:rsidR="001F07E3" w:rsidRPr="001F07E3" w:rsidRDefault="001F07E3" w:rsidP="001B3C65">
      <w:pPr>
        <w:tabs>
          <w:tab w:val="left" w:pos="1950"/>
        </w:tabs>
        <w:jc w:val="both"/>
      </w:pPr>
      <w:r w:rsidRPr="001F07E3">
        <w:t xml:space="preserve">The most prominent theme identified across the reviewed studies was the promotion of healthy behaviour change. All included studies demonstrated that digital health applications encouraged children and their families to adopt healthier lifestyle behaviours by supporting self-monitoring, goal setting, personalised feedback, and continuous progress tracking. </w:t>
      </w:r>
      <w:proofErr w:type="gramStart"/>
      <w:r w:rsidRPr="001F07E3">
        <w:t>These behaviour</w:t>
      </w:r>
      <w:proofErr w:type="gramEnd"/>
      <w:r w:rsidRPr="001F07E3">
        <w:t xml:space="preserve"> change techniques are recognised as important components of successful lifestyle interventions because they increase self-awareness and promote accountability for health-related behaviours (Michie et al., 2011). Rather than simply providing health information, many digital interventions actively engaged users in monitoring daily dietary intake, physical activity, sleep patterns, and weight management, enabling children to recognise unhealthy behaviours and make informed decisions about their health.</w:t>
      </w:r>
    </w:p>
    <w:p w14:paraId="5C46E657" w14:textId="77777777" w:rsidR="001F07E3" w:rsidRPr="001F07E3" w:rsidRDefault="001F07E3" w:rsidP="001B3C65">
      <w:pPr>
        <w:tabs>
          <w:tab w:val="left" w:pos="1950"/>
        </w:tabs>
        <w:jc w:val="both"/>
      </w:pPr>
      <w:r w:rsidRPr="001F07E3">
        <w:t>These findings are consistent with contemporary evidence suggesting that digital health interventions are most effective when they incorporate multiple behaviour change techniques rather than relying solely on educational content. For example, Chai et al. (2022) found that mobile health interventions combining self-monitoring with personalised feedback produced greater improvements in physical activity and dietary behaviours than information-only interventions. Similarly, Badawy and Kuhns (2020) reported that smartphone applications incorporating reminders, progress tracking, and motivational messages improved adherence to healthy lifestyle behaviours among young people. These findings indicate that digital technologies may enhance traditional obesity interventions by providing continuous support beyond clinical settings.</w:t>
      </w:r>
    </w:p>
    <w:p w14:paraId="26FF84ED" w14:textId="77777777" w:rsidR="001F07E3" w:rsidRPr="001F07E3" w:rsidRDefault="001F07E3" w:rsidP="001B3C65">
      <w:pPr>
        <w:tabs>
          <w:tab w:val="left" w:pos="1950"/>
        </w:tabs>
        <w:jc w:val="both"/>
      </w:pPr>
      <w:r w:rsidRPr="001F07E3">
        <w:t>The effectiveness of these interventions can also be understood through established behaviour change theories. The Behaviour Change Wheel developed by Michie et al. (2011) proposes that sustainable behaviour change depends on an individual's capability, opportunity, and motivation. Many of the digital interventions reviewed reflected these principles by increasing children's knowledge through educational content, providing opportunities to record healthy behaviours, and enhancing motivation through interactive features such as rewards, achievements, and personalised feedback. Consequently, digital applications may help children develop healthier routines while increasing confidence in managing their own health behaviours.</w:t>
      </w:r>
    </w:p>
    <w:p w14:paraId="339B5276" w14:textId="77777777" w:rsidR="001F07E3" w:rsidRPr="001F07E3" w:rsidRDefault="001F07E3" w:rsidP="001B3C65">
      <w:pPr>
        <w:tabs>
          <w:tab w:val="left" w:pos="1950"/>
        </w:tabs>
        <w:jc w:val="both"/>
      </w:pPr>
      <w:r w:rsidRPr="001F07E3">
        <w:t xml:space="preserve">Despite these encouraging findings, improvements in health behaviours did not always translate into significant reductions in body weight or Body Mass Index (BMI). Several studies reported positive changes in physical activity, dietary habits, and self-management skills without </w:t>
      </w:r>
      <w:r w:rsidRPr="001F07E3">
        <w:lastRenderedPageBreak/>
        <w:t>demonstrating clinically significant reductions in BMI over relatively short follow-up periods. This suggests that behaviour change may occur before measurable physiological outcomes become evident, particularly as childhood obesity is influenced by complex biological, environmental, and social factors beyond individual lifestyle choices (Simmonds et al., 2024). Furthermore, interventions with shorter durations may not provide sufficient time for sustained behavioural improvements to produce meaningful weight-related outcomes.</w:t>
      </w:r>
    </w:p>
    <w:p w14:paraId="68B754F4" w14:textId="77777777" w:rsidR="001F07E3" w:rsidRPr="001F07E3" w:rsidRDefault="001F07E3" w:rsidP="001B3C65">
      <w:pPr>
        <w:tabs>
          <w:tab w:val="left" w:pos="1950"/>
        </w:tabs>
        <w:jc w:val="both"/>
      </w:pPr>
      <w:r w:rsidRPr="001F07E3">
        <w:t xml:space="preserve">These findings support current UK policy, which recognises that preventing childhood obesity requires long-term behavioural support rather than isolated interventions. The NHS Long Term Plan (NHS England, 2019) highlights the increasing role of digital technologies in empowering individuals to manage their own health while improving access to preventative healthcare services. Likewise, the World Health Organization (2022) advocates the integration of digital innovations into broader public health strategies to support healthier behaviours across the life course. Collectively, the evidence suggests that digital health interventions can play </w:t>
      </w:r>
      <w:proofErr w:type="gramStart"/>
      <w:r w:rsidRPr="001F07E3">
        <w:t>an important role</w:t>
      </w:r>
      <w:proofErr w:type="gramEnd"/>
      <w:r w:rsidRPr="001F07E3">
        <w:t xml:space="preserve"> in promoting healthy behaviour change, particularly when they are grounded in evidence-based behaviour change techniques and integrated with wider family, school, and healthcare support.</w:t>
      </w:r>
    </w:p>
    <w:p w14:paraId="42314F40" w14:textId="77777777" w:rsidR="001F07E3" w:rsidRPr="00BC005F" w:rsidRDefault="001F07E3" w:rsidP="001B3C65">
      <w:pPr>
        <w:tabs>
          <w:tab w:val="left" w:pos="1950"/>
        </w:tabs>
        <w:jc w:val="both"/>
        <w:rPr>
          <w:b/>
          <w:bCs/>
          <w:sz w:val="40"/>
          <w:szCs w:val="40"/>
        </w:rPr>
      </w:pPr>
    </w:p>
    <w:p w14:paraId="01A1DBC0" w14:textId="77777777" w:rsidR="00A738EA" w:rsidRPr="00A738EA" w:rsidRDefault="00A738EA" w:rsidP="001B3C65">
      <w:pPr>
        <w:tabs>
          <w:tab w:val="left" w:pos="1950"/>
        </w:tabs>
        <w:jc w:val="both"/>
        <w:rPr>
          <w:b/>
          <w:bCs/>
          <w:sz w:val="32"/>
          <w:szCs w:val="32"/>
        </w:rPr>
      </w:pPr>
      <w:r w:rsidRPr="00A738EA">
        <w:rPr>
          <w:b/>
          <w:bCs/>
          <w:sz w:val="32"/>
          <w:szCs w:val="32"/>
        </w:rPr>
        <w:t>Conclusion and Recommendations</w:t>
      </w:r>
    </w:p>
    <w:p w14:paraId="7BCC002E" w14:textId="77777777" w:rsidR="00C1348C" w:rsidRPr="00C1348C" w:rsidRDefault="00C1348C" w:rsidP="001B3C65">
      <w:pPr>
        <w:tabs>
          <w:tab w:val="left" w:pos="1950"/>
        </w:tabs>
        <w:jc w:val="both"/>
      </w:pPr>
      <w:r w:rsidRPr="00C1348C">
        <w:t>This scoping review examined the current evidence regarding the use of digital health applications to monitor and manage risk factors associated with childhood obesity in the United Kingdom. The findings indicate that digital health technologies can support healthier lifestyles by encouraging self-monitoring, providing personalised feedback, and increasing engagement with healthy eating and physical activity. These interventions are particularly attractive to children and young people because they are accessible, interactive, and can be incorporated into everyday routines. However, the review also identified important challenges, including maintaining long-term user engagement, digital exclusion, and inequalities in access to technology, which may reduce the overall effectiveness of these interventions.</w:t>
      </w:r>
    </w:p>
    <w:p w14:paraId="5C2FD51A" w14:textId="77777777" w:rsidR="00C1348C" w:rsidRPr="00C1348C" w:rsidRDefault="00C1348C" w:rsidP="001B3C65">
      <w:pPr>
        <w:tabs>
          <w:tab w:val="left" w:pos="1950"/>
        </w:tabs>
        <w:jc w:val="both"/>
      </w:pPr>
      <w:r w:rsidRPr="00C1348C">
        <w:t xml:space="preserve">Based on these findings, future research should prioritise high-quality longitudinal studies to evaluate the long-term effectiveness of digital health applications and identify the features that best support sustained behaviour change. This recommendation is consistent with the methodological guidance for scoping reviews provided by Peters et al. (2020), who emphasise the need to identify evidence gaps to inform future research. Policymakers should continue investing in evidence-based digital interventions while ensuring that strategies are implemented to reduce digital inequalities, in line with the </w:t>
      </w:r>
      <w:r w:rsidRPr="00C1348C">
        <w:rPr>
          <w:i/>
          <w:iCs/>
        </w:rPr>
        <w:t>Global Strategy on Digital Health</w:t>
      </w:r>
      <w:r w:rsidRPr="00C1348C">
        <w:t xml:space="preserve"> (World Health Organization, 2021). Furthermore, healthcare professionals, schools, and public health organisations should work collaboratively to integrate digital technologies into existing childhood obesity prevention programmes, supporting the whole-systems approach recommended by Public Health England (2020). These recommendations also align with the latest NICE (2025) guidance, which highlights the importance of accessible, person-centred, and evidence-based interventions to improve healthy weight outcomes for children and young people across the UK.</w:t>
      </w:r>
    </w:p>
    <w:p w14:paraId="2D2474A7" w14:textId="77777777" w:rsidR="00A738EA" w:rsidRPr="00A738EA" w:rsidRDefault="00A738EA" w:rsidP="00A738EA">
      <w:pPr>
        <w:tabs>
          <w:tab w:val="left" w:pos="1950"/>
        </w:tabs>
      </w:pPr>
    </w:p>
    <w:p w14:paraId="0C75BF85" w14:textId="77777777" w:rsidR="00A738EA" w:rsidRDefault="00A738EA" w:rsidP="00F71A32">
      <w:pPr>
        <w:tabs>
          <w:tab w:val="left" w:pos="1950"/>
        </w:tabs>
      </w:pPr>
    </w:p>
    <w:p w14:paraId="5564FACA" w14:textId="77777777" w:rsidR="00F71A32" w:rsidRDefault="00F71A32" w:rsidP="00F71A32">
      <w:pPr>
        <w:tabs>
          <w:tab w:val="left" w:pos="1950"/>
        </w:tabs>
      </w:pPr>
    </w:p>
    <w:p w14:paraId="7E7BF1A7" w14:textId="77777777" w:rsidR="00F71A32" w:rsidRPr="00F71A32" w:rsidRDefault="00F71A32" w:rsidP="00F71A32">
      <w:pPr>
        <w:tabs>
          <w:tab w:val="left" w:pos="1950"/>
        </w:tabs>
      </w:pPr>
    </w:p>
    <w:p w14:paraId="5898C550" w14:textId="77777777" w:rsidR="00F71A32" w:rsidRPr="00B91123" w:rsidRDefault="00F71A32" w:rsidP="00B91123">
      <w:pPr>
        <w:tabs>
          <w:tab w:val="left" w:pos="1950"/>
        </w:tabs>
      </w:pPr>
    </w:p>
    <w:p w14:paraId="70CFC768" w14:textId="77777777" w:rsidR="00B91123" w:rsidRPr="00B91123" w:rsidRDefault="00B91123" w:rsidP="00B91123">
      <w:pPr>
        <w:tabs>
          <w:tab w:val="left" w:pos="1950"/>
        </w:tabs>
      </w:pPr>
    </w:p>
    <w:p w14:paraId="12C77DEB" w14:textId="7B6E67CD" w:rsidR="00CA1839" w:rsidRDefault="00CA1839" w:rsidP="00CA1839">
      <w:pPr>
        <w:tabs>
          <w:tab w:val="left" w:pos="1950"/>
        </w:tabs>
      </w:pPr>
    </w:p>
    <w:p w14:paraId="384E3F6D" w14:textId="77777777" w:rsidR="00CA1839" w:rsidRDefault="00CA1839" w:rsidP="00CA1839">
      <w:pPr>
        <w:tabs>
          <w:tab w:val="left" w:pos="1950"/>
        </w:tabs>
        <w:rPr>
          <w:b/>
          <w:bCs/>
          <w:sz w:val="48"/>
          <w:szCs w:val="48"/>
        </w:rPr>
      </w:pPr>
    </w:p>
    <w:p w14:paraId="462DF2A4" w14:textId="77777777" w:rsidR="00CA1839" w:rsidRDefault="00CA1839" w:rsidP="00CA1839">
      <w:pPr>
        <w:tabs>
          <w:tab w:val="left" w:pos="1950"/>
        </w:tabs>
        <w:rPr>
          <w:b/>
          <w:bCs/>
          <w:sz w:val="48"/>
          <w:szCs w:val="48"/>
        </w:rPr>
      </w:pPr>
    </w:p>
    <w:p w14:paraId="1B300392" w14:textId="77777777" w:rsidR="00CA1839" w:rsidRDefault="00CA1839" w:rsidP="00CA1839">
      <w:pPr>
        <w:tabs>
          <w:tab w:val="left" w:pos="1950"/>
        </w:tabs>
        <w:rPr>
          <w:b/>
          <w:bCs/>
          <w:sz w:val="48"/>
          <w:szCs w:val="48"/>
        </w:rPr>
      </w:pPr>
    </w:p>
    <w:p w14:paraId="20E7F4BF" w14:textId="77777777" w:rsidR="00CA1839" w:rsidRDefault="00CA1839" w:rsidP="00CA1839">
      <w:pPr>
        <w:tabs>
          <w:tab w:val="left" w:pos="1950"/>
        </w:tabs>
        <w:rPr>
          <w:b/>
          <w:bCs/>
          <w:sz w:val="48"/>
          <w:szCs w:val="48"/>
        </w:rPr>
      </w:pPr>
    </w:p>
    <w:p w14:paraId="41061B43" w14:textId="77777777" w:rsidR="00CA1839" w:rsidRDefault="00CA1839" w:rsidP="00CA1839">
      <w:pPr>
        <w:tabs>
          <w:tab w:val="left" w:pos="1950"/>
        </w:tabs>
        <w:rPr>
          <w:b/>
          <w:bCs/>
          <w:sz w:val="48"/>
          <w:szCs w:val="48"/>
        </w:rPr>
      </w:pPr>
    </w:p>
    <w:p w14:paraId="0C4A4525" w14:textId="77777777" w:rsidR="00CA1839" w:rsidRDefault="00CA1839" w:rsidP="00CA1839">
      <w:pPr>
        <w:tabs>
          <w:tab w:val="left" w:pos="1950"/>
        </w:tabs>
        <w:rPr>
          <w:b/>
          <w:bCs/>
          <w:sz w:val="48"/>
          <w:szCs w:val="48"/>
        </w:rPr>
      </w:pPr>
    </w:p>
    <w:p w14:paraId="1EC3DF56" w14:textId="77777777" w:rsidR="00CA1839" w:rsidRDefault="00CA1839" w:rsidP="00CA1839">
      <w:pPr>
        <w:tabs>
          <w:tab w:val="left" w:pos="1950"/>
        </w:tabs>
        <w:rPr>
          <w:b/>
          <w:bCs/>
          <w:sz w:val="48"/>
          <w:szCs w:val="48"/>
        </w:rPr>
      </w:pPr>
    </w:p>
    <w:p w14:paraId="64F3F034" w14:textId="77777777" w:rsidR="00CA1839" w:rsidRDefault="00CA1839" w:rsidP="00CA1839">
      <w:pPr>
        <w:tabs>
          <w:tab w:val="left" w:pos="1950"/>
        </w:tabs>
        <w:rPr>
          <w:b/>
          <w:bCs/>
          <w:sz w:val="48"/>
          <w:szCs w:val="48"/>
        </w:rPr>
      </w:pPr>
    </w:p>
    <w:p w14:paraId="6F2D8ACA" w14:textId="77777777" w:rsidR="00CA1839" w:rsidRDefault="00CA1839" w:rsidP="00CA1839">
      <w:pPr>
        <w:tabs>
          <w:tab w:val="left" w:pos="1950"/>
        </w:tabs>
        <w:rPr>
          <w:b/>
          <w:bCs/>
          <w:sz w:val="48"/>
          <w:szCs w:val="48"/>
        </w:rPr>
      </w:pPr>
    </w:p>
    <w:p w14:paraId="45DF35B0" w14:textId="77777777" w:rsidR="00CA1839" w:rsidRDefault="00CA1839" w:rsidP="00CA1839">
      <w:pPr>
        <w:tabs>
          <w:tab w:val="left" w:pos="1950"/>
        </w:tabs>
        <w:rPr>
          <w:b/>
          <w:bCs/>
          <w:sz w:val="48"/>
          <w:szCs w:val="48"/>
        </w:rPr>
      </w:pPr>
    </w:p>
    <w:p w14:paraId="7B929DDA" w14:textId="77777777" w:rsidR="00CA1839" w:rsidRDefault="00CA1839" w:rsidP="00CA1839">
      <w:pPr>
        <w:tabs>
          <w:tab w:val="left" w:pos="1950"/>
        </w:tabs>
        <w:rPr>
          <w:b/>
          <w:bCs/>
          <w:sz w:val="48"/>
          <w:szCs w:val="48"/>
        </w:rPr>
      </w:pPr>
    </w:p>
    <w:p w14:paraId="728486C5" w14:textId="77777777" w:rsidR="00F370D9" w:rsidRDefault="00F370D9" w:rsidP="00CA1839">
      <w:pPr>
        <w:tabs>
          <w:tab w:val="left" w:pos="1950"/>
        </w:tabs>
        <w:rPr>
          <w:b/>
          <w:bCs/>
          <w:sz w:val="48"/>
          <w:szCs w:val="48"/>
        </w:rPr>
      </w:pPr>
    </w:p>
    <w:p w14:paraId="026494C4" w14:textId="77777777" w:rsidR="00F370D9" w:rsidRDefault="00F370D9" w:rsidP="00CA1839">
      <w:pPr>
        <w:tabs>
          <w:tab w:val="left" w:pos="1950"/>
        </w:tabs>
        <w:rPr>
          <w:b/>
          <w:bCs/>
          <w:sz w:val="48"/>
          <w:szCs w:val="48"/>
        </w:rPr>
      </w:pPr>
    </w:p>
    <w:p w14:paraId="45F8C727" w14:textId="77777777" w:rsidR="00F370D9" w:rsidRDefault="00F370D9" w:rsidP="00CA1839">
      <w:pPr>
        <w:tabs>
          <w:tab w:val="left" w:pos="1950"/>
        </w:tabs>
        <w:rPr>
          <w:b/>
          <w:bCs/>
          <w:sz w:val="48"/>
          <w:szCs w:val="48"/>
        </w:rPr>
      </w:pPr>
    </w:p>
    <w:p w14:paraId="35F6B8D4" w14:textId="77777777" w:rsidR="00F370D9" w:rsidRDefault="00F370D9" w:rsidP="00CA1839">
      <w:pPr>
        <w:tabs>
          <w:tab w:val="left" w:pos="1950"/>
        </w:tabs>
        <w:rPr>
          <w:b/>
          <w:bCs/>
          <w:sz w:val="48"/>
          <w:szCs w:val="48"/>
        </w:rPr>
      </w:pPr>
    </w:p>
    <w:p w14:paraId="73A2AE26" w14:textId="78281D3E" w:rsidR="00CA1839" w:rsidRPr="00CA1839" w:rsidRDefault="00CA1839" w:rsidP="00CA1839">
      <w:pPr>
        <w:tabs>
          <w:tab w:val="left" w:pos="1950"/>
        </w:tabs>
        <w:rPr>
          <w:b/>
          <w:bCs/>
          <w:sz w:val="48"/>
          <w:szCs w:val="48"/>
        </w:rPr>
      </w:pPr>
      <w:r w:rsidRPr="00CA1839">
        <w:rPr>
          <w:b/>
          <w:bCs/>
          <w:sz w:val="48"/>
          <w:szCs w:val="48"/>
        </w:rPr>
        <w:lastRenderedPageBreak/>
        <w:t>Reference list</w:t>
      </w:r>
    </w:p>
    <w:p w14:paraId="509C76E4" w14:textId="77777777" w:rsidR="000B5232" w:rsidRPr="000B5232" w:rsidRDefault="000B5232" w:rsidP="000B5232">
      <w:pPr>
        <w:tabs>
          <w:tab w:val="left" w:pos="1950"/>
        </w:tabs>
      </w:pPr>
      <w:r w:rsidRPr="000B5232">
        <w:t xml:space="preserve">Arksey, H. and O’Malley, L. (2005) ‘Scoping studies: towards a methodological framework’, </w:t>
      </w:r>
      <w:r w:rsidRPr="000B5232">
        <w:rPr>
          <w:i/>
          <w:iCs/>
        </w:rPr>
        <w:t>International Journal of Social Research Methodology</w:t>
      </w:r>
      <w:r w:rsidRPr="000B5232">
        <w:t>, 8(1), pp. 19–32.</w:t>
      </w:r>
    </w:p>
    <w:p w14:paraId="1D89DA47" w14:textId="77777777" w:rsidR="000B5232" w:rsidRPr="000B5232" w:rsidRDefault="000B5232" w:rsidP="000B5232">
      <w:pPr>
        <w:tabs>
          <w:tab w:val="left" w:pos="1950"/>
        </w:tabs>
      </w:pPr>
      <w:r w:rsidRPr="000B5232">
        <w:t xml:space="preserve">Birch, L.L. and Ventura, A.K. (2009) ‘Preventing childhood obesity: what works?’, </w:t>
      </w:r>
      <w:r w:rsidRPr="000B5232">
        <w:rPr>
          <w:i/>
          <w:iCs/>
        </w:rPr>
        <w:t>International Journal of Obesity</w:t>
      </w:r>
      <w:r w:rsidRPr="000B5232">
        <w:t>, 33(S1), pp. S74–S81.</w:t>
      </w:r>
    </w:p>
    <w:p w14:paraId="4C879A47" w14:textId="77777777" w:rsidR="000B5232" w:rsidRPr="000B5232" w:rsidRDefault="000B5232" w:rsidP="000B5232">
      <w:pPr>
        <w:tabs>
          <w:tab w:val="left" w:pos="1950"/>
        </w:tabs>
      </w:pPr>
      <w:r w:rsidRPr="000B5232">
        <w:t xml:space="preserve">Brown, A., Williams, J. and Green, P. (2021) ‘Children’s experiences of obesity-related health applications’, </w:t>
      </w:r>
      <w:r w:rsidRPr="000B5232">
        <w:rPr>
          <w:i/>
          <w:iCs/>
        </w:rPr>
        <w:t>Journal of Child Health Care</w:t>
      </w:r>
      <w:r w:rsidRPr="000B5232">
        <w:t>, 25(4), pp. 512–525.</w:t>
      </w:r>
    </w:p>
    <w:p w14:paraId="09367063" w14:textId="77777777" w:rsidR="000B5232" w:rsidRPr="000B5232" w:rsidRDefault="000B5232" w:rsidP="000B5232">
      <w:pPr>
        <w:tabs>
          <w:tab w:val="left" w:pos="1950"/>
        </w:tabs>
      </w:pPr>
      <w:r w:rsidRPr="000B5232">
        <w:t>Data Protection Act 2018. London: The Stationery Office.</w:t>
      </w:r>
    </w:p>
    <w:p w14:paraId="08822A3C" w14:textId="77777777" w:rsidR="000B5232" w:rsidRPr="000B5232" w:rsidRDefault="000B5232" w:rsidP="000B5232">
      <w:pPr>
        <w:tabs>
          <w:tab w:val="left" w:pos="1950"/>
        </w:tabs>
      </w:pPr>
      <w:r w:rsidRPr="000B5232">
        <w:t xml:space="preserve">Department of Health and Social Care (DHSC) (2018) </w:t>
      </w:r>
      <w:r w:rsidRPr="000B5232">
        <w:rPr>
          <w:i/>
          <w:iCs/>
        </w:rPr>
        <w:t>Childhood Obesity: A Plan for Action, Chapter 2</w:t>
      </w:r>
      <w:r w:rsidRPr="000B5232">
        <w:t>. London: DHSC.</w:t>
      </w:r>
    </w:p>
    <w:p w14:paraId="049AEFFB" w14:textId="77777777" w:rsidR="000B5232" w:rsidRPr="000B5232" w:rsidRDefault="000B5232" w:rsidP="000B5232">
      <w:pPr>
        <w:tabs>
          <w:tab w:val="left" w:pos="1950"/>
        </w:tabs>
      </w:pPr>
      <w:r w:rsidRPr="000B5232">
        <w:t xml:space="preserve">Health Research Authority (2025) </w:t>
      </w:r>
      <w:r w:rsidRPr="000B5232">
        <w:rPr>
          <w:i/>
          <w:iCs/>
        </w:rPr>
        <w:t>Do I Need NHS Research Ethics Committee Review?</w:t>
      </w:r>
      <w:r w:rsidRPr="000B5232">
        <w:t xml:space="preserve"> London: HRA.</w:t>
      </w:r>
    </w:p>
    <w:p w14:paraId="46F51BCB" w14:textId="77777777" w:rsidR="000B5232" w:rsidRPr="000B5232" w:rsidRDefault="000B5232" w:rsidP="000B5232">
      <w:pPr>
        <w:tabs>
          <w:tab w:val="left" w:pos="1950"/>
        </w:tabs>
      </w:pPr>
      <w:r w:rsidRPr="000B5232">
        <w:t xml:space="preserve">National Institute for Health and Care Excellence (NICE) (2025) </w:t>
      </w:r>
      <w:r w:rsidRPr="000B5232">
        <w:rPr>
          <w:i/>
          <w:iCs/>
        </w:rPr>
        <w:t>Overweight and Obesity Management (NG246)</w:t>
      </w:r>
      <w:r w:rsidRPr="000B5232">
        <w:t>. London: NICE.</w:t>
      </w:r>
    </w:p>
    <w:p w14:paraId="443809A5" w14:textId="77777777" w:rsidR="000B5232" w:rsidRPr="000B5232" w:rsidRDefault="000B5232" w:rsidP="000B5232">
      <w:pPr>
        <w:tabs>
          <w:tab w:val="left" w:pos="1950"/>
        </w:tabs>
      </w:pPr>
      <w:r w:rsidRPr="000B5232">
        <w:t xml:space="preserve">NHS England (2019) </w:t>
      </w:r>
      <w:r w:rsidRPr="000B5232">
        <w:rPr>
          <w:i/>
          <w:iCs/>
        </w:rPr>
        <w:t>The NHS Long Term Plan</w:t>
      </w:r>
      <w:r w:rsidRPr="000B5232">
        <w:t>. London: NHS England.</w:t>
      </w:r>
    </w:p>
    <w:p w14:paraId="34D6E30C" w14:textId="77777777" w:rsidR="000B5232" w:rsidRPr="000B5232" w:rsidRDefault="000B5232" w:rsidP="000B5232">
      <w:pPr>
        <w:tabs>
          <w:tab w:val="left" w:pos="1950"/>
        </w:tabs>
      </w:pPr>
      <w:r w:rsidRPr="000B5232">
        <w:t xml:space="preserve">NHS England (2024) </w:t>
      </w:r>
      <w:r w:rsidRPr="000B5232">
        <w:rPr>
          <w:i/>
          <w:iCs/>
        </w:rPr>
        <w:t>Childhood Obesity and Healthy Weight Guidance</w:t>
      </w:r>
      <w:r w:rsidRPr="000B5232">
        <w:t>. London: NHS England.</w:t>
      </w:r>
    </w:p>
    <w:p w14:paraId="32D1109D" w14:textId="77777777" w:rsidR="000B5232" w:rsidRPr="000B5232" w:rsidRDefault="000B5232" w:rsidP="000B5232">
      <w:pPr>
        <w:tabs>
          <w:tab w:val="left" w:pos="1950"/>
        </w:tabs>
      </w:pPr>
      <w:r w:rsidRPr="000B5232">
        <w:t xml:space="preserve">NHS England (2024) </w:t>
      </w:r>
      <w:r w:rsidRPr="000B5232">
        <w:rPr>
          <w:i/>
          <w:iCs/>
        </w:rPr>
        <w:t>National Child Measurement Programme: Operational Guidance</w:t>
      </w:r>
      <w:r w:rsidRPr="000B5232">
        <w:t>. London: NHS England.</w:t>
      </w:r>
    </w:p>
    <w:p w14:paraId="197714EE" w14:textId="77777777" w:rsidR="000B5232" w:rsidRPr="000B5232" w:rsidRDefault="000B5232" w:rsidP="000B5232">
      <w:pPr>
        <w:tabs>
          <w:tab w:val="left" w:pos="1950"/>
        </w:tabs>
      </w:pPr>
      <w:r w:rsidRPr="000B5232">
        <w:t xml:space="preserve">Peters, M.D.J., Godfrey, C., McInerney, P., Munn, Z., Tricco, A.C. and Khalil, H. (2020) </w:t>
      </w:r>
      <w:r w:rsidRPr="000B5232">
        <w:rPr>
          <w:i/>
          <w:iCs/>
        </w:rPr>
        <w:t>Scoping Reviews</w:t>
      </w:r>
      <w:r w:rsidRPr="000B5232">
        <w:t>. Adelaide: Joanna Briggs Institute.</w:t>
      </w:r>
    </w:p>
    <w:p w14:paraId="086AA34A" w14:textId="77777777" w:rsidR="000B5232" w:rsidRPr="000B5232" w:rsidRDefault="000B5232" w:rsidP="000B5232">
      <w:pPr>
        <w:tabs>
          <w:tab w:val="left" w:pos="1950"/>
        </w:tabs>
      </w:pPr>
      <w:r w:rsidRPr="000B5232">
        <w:t xml:space="preserve">Public Health England (2020) </w:t>
      </w:r>
      <w:r w:rsidRPr="000B5232">
        <w:rPr>
          <w:i/>
          <w:iCs/>
        </w:rPr>
        <w:t>Whole Systems Approach to Obesity: A Guide to Support Local Approaches to Promoting a Healthy Weight</w:t>
      </w:r>
      <w:r w:rsidRPr="000B5232">
        <w:t>. London: Public Health England.</w:t>
      </w:r>
    </w:p>
    <w:p w14:paraId="7E070387" w14:textId="77777777" w:rsidR="000B5232" w:rsidRPr="000B5232" w:rsidRDefault="000B5232" w:rsidP="000B5232">
      <w:pPr>
        <w:tabs>
          <w:tab w:val="left" w:pos="1950"/>
        </w:tabs>
      </w:pPr>
      <w:r w:rsidRPr="000B5232">
        <w:t>UK General Data Protection Regulation (UK GDPR) (2021). Available at: legislation.gov.uk.</w:t>
      </w:r>
    </w:p>
    <w:p w14:paraId="6E1F5457" w14:textId="77777777" w:rsidR="000B5232" w:rsidRPr="000B5232" w:rsidRDefault="000B5232" w:rsidP="000B5232">
      <w:pPr>
        <w:tabs>
          <w:tab w:val="left" w:pos="1950"/>
        </w:tabs>
      </w:pPr>
      <w:r w:rsidRPr="000B5232">
        <w:t xml:space="preserve">World Health Organization (2021) </w:t>
      </w:r>
      <w:r w:rsidRPr="000B5232">
        <w:rPr>
          <w:i/>
          <w:iCs/>
        </w:rPr>
        <w:t>Global Strategy on Digital Health 2020–2025</w:t>
      </w:r>
      <w:r w:rsidRPr="000B5232">
        <w:t>. Geneva: WHO.</w:t>
      </w:r>
    </w:p>
    <w:p w14:paraId="42F38903" w14:textId="77777777" w:rsidR="000B5232" w:rsidRPr="000B5232" w:rsidRDefault="000B5232" w:rsidP="000B5232">
      <w:pPr>
        <w:tabs>
          <w:tab w:val="left" w:pos="1950"/>
        </w:tabs>
      </w:pPr>
      <w:r w:rsidRPr="000B5232">
        <w:t xml:space="preserve">World Health Organization (2024) </w:t>
      </w:r>
      <w:r w:rsidRPr="000B5232">
        <w:rPr>
          <w:i/>
          <w:iCs/>
        </w:rPr>
        <w:t>Obesity and Overweight</w:t>
      </w:r>
      <w:r w:rsidRPr="000B5232">
        <w:t>. Geneva: WHO.</w:t>
      </w:r>
    </w:p>
    <w:p w14:paraId="13DC183A" w14:textId="77777777" w:rsidR="000B5232" w:rsidRPr="000B5232" w:rsidRDefault="000B5232" w:rsidP="000B5232">
      <w:pPr>
        <w:tabs>
          <w:tab w:val="left" w:pos="1950"/>
        </w:tabs>
      </w:pPr>
      <w:r w:rsidRPr="000B5232">
        <w:t xml:space="preserve">World Health Organization (WHO) (2021) </w:t>
      </w:r>
      <w:r w:rsidRPr="000B5232">
        <w:rPr>
          <w:i/>
          <w:iCs/>
        </w:rPr>
        <w:t>Global Strategy on Digital Health 2020–2025</w:t>
      </w:r>
      <w:r w:rsidRPr="000B5232">
        <w:t>. Geneva: World Health Organization.</w:t>
      </w:r>
    </w:p>
    <w:p w14:paraId="7D9A1E44" w14:textId="77777777" w:rsidR="000B5232" w:rsidRPr="000B5232" w:rsidRDefault="000B5232" w:rsidP="000B5232">
      <w:pPr>
        <w:tabs>
          <w:tab w:val="left" w:pos="1950"/>
        </w:tabs>
      </w:pPr>
      <w:r w:rsidRPr="000B5232">
        <w:t xml:space="preserve">World Health Organization (WHO) (2024) </w:t>
      </w:r>
      <w:r w:rsidRPr="000B5232">
        <w:rPr>
          <w:i/>
          <w:iCs/>
        </w:rPr>
        <w:t>Obesity and Overweight</w:t>
      </w:r>
      <w:r w:rsidRPr="000B5232">
        <w:t xml:space="preserve">. Geneva: World Health Organization. Available at: </w:t>
      </w:r>
      <w:hyperlink r:id="rId6" w:tgtFrame="_blank" w:tooltip="www.who.int" w:history="1">
        <w:r w:rsidRPr="000B5232">
          <w:rPr>
            <w:rStyle w:val="Hyperlink"/>
          </w:rPr>
          <w:t>https://www.who.int/news-room/fact-sheets/detail/obesity-and-overweight</w:t>
        </w:r>
      </w:hyperlink>
    </w:p>
    <w:p w14:paraId="1AB2A7E7" w14:textId="77777777" w:rsidR="003515AF" w:rsidRDefault="003515AF" w:rsidP="00CA1839">
      <w:pPr>
        <w:tabs>
          <w:tab w:val="left" w:pos="1950"/>
        </w:tabs>
      </w:pPr>
    </w:p>
    <w:p w14:paraId="5C8814F2" w14:textId="77777777" w:rsidR="00CA1839" w:rsidRDefault="00CA1839" w:rsidP="00CA1839"/>
    <w:p w14:paraId="54BF032D" w14:textId="77777777" w:rsidR="00CA1839" w:rsidRPr="00CA1839" w:rsidRDefault="00CA1839" w:rsidP="00CA1839"/>
    <w:p w14:paraId="51520DCD" w14:textId="77777777" w:rsidR="009659F9" w:rsidRDefault="009659F9"/>
    <w:sectPr w:rsidR="00965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242F7A"/>
    <w:multiLevelType w:val="hybridMultilevel"/>
    <w:tmpl w:val="F558D334"/>
    <w:lvl w:ilvl="0" w:tplc="FFFFFFFF">
      <w:start w:val="1"/>
      <w:numFmt w:val="lowerLetter"/>
      <w:lvlText w:val="%1)"/>
      <w:lvlJc w:val="left"/>
      <w:pPr>
        <w:ind w:left="705" w:hanging="360"/>
      </w:pPr>
      <w:rPr>
        <w:b/>
        <w:bCs/>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1"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num w:numId="1" w16cid:durableId="290719033">
    <w:abstractNumId w:val="1"/>
    <w:lvlOverride w:ilvl="0">
      <w:startOverride w:val="1"/>
    </w:lvlOverride>
    <w:lvlOverride w:ilvl="1"/>
    <w:lvlOverride w:ilvl="2"/>
    <w:lvlOverride w:ilvl="3"/>
    <w:lvlOverride w:ilvl="4"/>
    <w:lvlOverride w:ilvl="5"/>
    <w:lvlOverride w:ilvl="6"/>
    <w:lvlOverride w:ilvl="7"/>
    <w:lvlOverride w:ilvl="8"/>
  </w:num>
  <w:num w:numId="2" w16cid:durableId="940524768">
    <w:abstractNumId w:val="1"/>
  </w:num>
  <w:num w:numId="3" w16cid:durableId="63552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39"/>
    <w:rsid w:val="00024FE2"/>
    <w:rsid w:val="000B5232"/>
    <w:rsid w:val="0018033C"/>
    <w:rsid w:val="001B3C65"/>
    <w:rsid w:val="001F07E3"/>
    <w:rsid w:val="002240CF"/>
    <w:rsid w:val="003515AF"/>
    <w:rsid w:val="0037014C"/>
    <w:rsid w:val="004F6026"/>
    <w:rsid w:val="0050526B"/>
    <w:rsid w:val="005E0A45"/>
    <w:rsid w:val="006226A9"/>
    <w:rsid w:val="00672AF3"/>
    <w:rsid w:val="006F0D8B"/>
    <w:rsid w:val="007273CF"/>
    <w:rsid w:val="009659F9"/>
    <w:rsid w:val="00A00302"/>
    <w:rsid w:val="00A1103C"/>
    <w:rsid w:val="00A738EA"/>
    <w:rsid w:val="00AF6040"/>
    <w:rsid w:val="00B03428"/>
    <w:rsid w:val="00B07171"/>
    <w:rsid w:val="00B27842"/>
    <w:rsid w:val="00B436EB"/>
    <w:rsid w:val="00B91123"/>
    <w:rsid w:val="00BC005F"/>
    <w:rsid w:val="00C1348C"/>
    <w:rsid w:val="00C34AAE"/>
    <w:rsid w:val="00C96FF8"/>
    <w:rsid w:val="00CA1839"/>
    <w:rsid w:val="00DE0BC8"/>
    <w:rsid w:val="00DF40B0"/>
    <w:rsid w:val="00EE39B3"/>
    <w:rsid w:val="00F370D9"/>
    <w:rsid w:val="00F71A32"/>
    <w:rsid w:val="00FA3AF6"/>
    <w:rsid w:val="1641A832"/>
    <w:rsid w:val="7D1EE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DCB7"/>
  <w15:chartTrackingRefBased/>
  <w15:docId w15:val="{7AEBF4E4-B57E-4815-89B7-3908280B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8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18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A18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8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8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8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8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8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8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8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18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A18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8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8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839"/>
    <w:rPr>
      <w:rFonts w:eastAsiaTheme="majorEastAsia" w:cstheme="majorBidi"/>
      <w:color w:val="272727" w:themeColor="text1" w:themeTint="D8"/>
    </w:rPr>
  </w:style>
  <w:style w:type="paragraph" w:styleId="Title">
    <w:name w:val="Title"/>
    <w:basedOn w:val="Normal"/>
    <w:next w:val="Normal"/>
    <w:link w:val="TitleChar"/>
    <w:uiPriority w:val="10"/>
    <w:qFormat/>
    <w:rsid w:val="00CA1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8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839"/>
    <w:pPr>
      <w:spacing w:before="160"/>
      <w:jc w:val="center"/>
    </w:pPr>
    <w:rPr>
      <w:i/>
      <w:iCs/>
      <w:color w:val="404040" w:themeColor="text1" w:themeTint="BF"/>
    </w:rPr>
  </w:style>
  <w:style w:type="character" w:customStyle="1" w:styleId="QuoteChar">
    <w:name w:val="Quote Char"/>
    <w:basedOn w:val="DefaultParagraphFont"/>
    <w:link w:val="Quote"/>
    <w:uiPriority w:val="29"/>
    <w:rsid w:val="00CA1839"/>
    <w:rPr>
      <w:i/>
      <w:iCs/>
      <w:color w:val="404040" w:themeColor="text1" w:themeTint="BF"/>
    </w:rPr>
  </w:style>
  <w:style w:type="paragraph" w:styleId="ListParagraph">
    <w:name w:val="List Paragraph"/>
    <w:basedOn w:val="Normal"/>
    <w:uiPriority w:val="34"/>
    <w:qFormat/>
    <w:rsid w:val="00CA1839"/>
    <w:pPr>
      <w:ind w:left="720"/>
      <w:contextualSpacing/>
    </w:pPr>
  </w:style>
  <w:style w:type="character" w:styleId="IntenseEmphasis">
    <w:name w:val="Intense Emphasis"/>
    <w:basedOn w:val="DefaultParagraphFont"/>
    <w:uiPriority w:val="21"/>
    <w:qFormat/>
    <w:rsid w:val="00CA1839"/>
    <w:rPr>
      <w:i/>
      <w:iCs/>
      <w:color w:val="0F4761" w:themeColor="accent1" w:themeShade="BF"/>
    </w:rPr>
  </w:style>
  <w:style w:type="paragraph" w:styleId="IntenseQuote">
    <w:name w:val="Intense Quote"/>
    <w:basedOn w:val="Normal"/>
    <w:next w:val="Normal"/>
    <w:link w:val="IntenseQuoteChar"/>
    <w:uiPriority w:val="30"/>
    <w:qFormat/>
    <w:rsid w:val="00CA18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839"/>
    <w:rPr>
      <w:i/>
      <w:iCs/>
      <w:color w:val="0F4761" w:themeColor="accent1" w:themeShade="BF"/>
    </w:rPr>
  </w:style>
  <w:style w:type="character" w:styleId="IntenseReference">
    <w:name w:val="Intense Reference"/>
    <w:basedOn w:val="DefaultParagraphFont"/>
    <w:uiPriority w:val="32"/>
    <w:qFormat/>
    <w:rsid w:val="00CA1839"/>
    <w:rPr>
      <w:b/>
      <w:bCs/>
      <w:smallCaps/>
      <w:color w:val="0F4761" w:themeColor="accent1" w:themeShade="BF"/>
      <w:spacing w:val="5"/>
    </w:rPr>
  </w:style>
  <w:style w:type="paragraph" w:customStyle="1" w:styleId="isselectedend">
    <w:name w:val="isselectedend"/>
    <w:basedOn w:val="Normal"/>
    <w:rsid w:val="00CA18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CA18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515AF"/>
    <w:rPr>
      <w:color w:val="467886" w:themeColor="hyperlink"/>
      <w:u w:val="single"/>
    </w:rPr>
  </w:style>
  <w:style w:type="character" w:styleId="UnresolvedMention">
    <w:name w:val="Unresolved Mention"/>
    <w:basedOn w:val="DefaultParagraphFont"/>
    <w:uiPriority w:val="99"/>
    <w:semiHidden/>
    <w:unhideWhenUsed/>
    <w:rsid w:val="003515AF"/>
    <w:rPr>
      <w:color w:val="605E5C"/>
      <w:shd w:val="clear" w:color="auto" w:fill="E1DFDD"/>
    </w:rPr>
  </w:style>
  <w:style w:type="table" w:styleId="TableGrid">
    <w:name w:val="Table Grid"/>
    <w:basedOn w:val="TableNormal"/>
    <w:uiPriority w:val="39"/>
    <w:rsid w:val="00B07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E0B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DE0BC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E0B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ho.int/news-room/fact-sheets/detail/obesity-and-overweight?utm_source=copilo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6613F-70A5-4976-B99A-5F95A804D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4453</Words>
  <Characters>25388</Characters>
  <Application>Microsoft Office Word</Application>
  <DocSecurity>0</DocSecurity>
  <Lines>211</Lines>
  <Paragraphs>59</Paragraphs>
  <ScaleCrop>false</ScaleCrop>
  <Company/>
  <LinksUpToDate>false</LinksUpToDate>
  <CharactersWithSpaces>29782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Igbinigie (2334466)</dc:creator>
  <cp:keywords/>
  <dc:description/>
  <cp:lastModifiedBy>Kate Igbinigie (2334466)</cp:lastModifiedBy>
  <cp:revision>19</cp:revision>
  <dcterms:created xsi:type="dcterms:W3CDTF">2026-06-15T15:51:00Z</dcterms:created>
  <dcterms:modified xsi:type="dcterms:W3CDTF">2026-07-12T21:08:00Z</dcterms:modified>
</cp:coreProperties>
</file>