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4713023" w14:textId="77777777" w:rsidR="001A53D9" w:rsidRPr="001A53D9" w:rsidRDefault="001A53D9" w:rsidP="001A53D9"/>
    <w:p w14:paraId="1550820A" w14:textId="77777777" w:rsidR="00AB1792" w:rsidRDefault="00AB1792" w:rsidP="00F94536">
      <w:pPr>
        <w:pStyle w:val="Title"/>
        <w:spacing w:line="360" w:lineRule="auto"/>
        <w:rPr>
          <w:sz w:val="44"/>
        </w:rPr>
      </w:pPr>
    </w:p>
    <w:p w14:paraId="4C996C82" w14:textId="77777777" w:rsidR="00AB1792" w:rsidRDefault="00AB1792" w:rsidP="00F94536">
      <w:pPr>
        <w:pStyle w:val="Title"/>
        <w:spacing w:line="360" w:lineRule="auto"/>
        <w:rPr>
          <w:sz w:val="44"/>
        </w:rPr>
      </w:pPr>
    </w:p>
    <w:p w14:paraId="34E49DE1" w14:textId="77777777" w:rsidR="00AB1792" w:rsidRDefault="00AB1792" w:rsidP="00F94536">
      <w:pPr>
        <w:pStyle w:val="Title"/>
        <w:spacing w:line="360" w:lineRule="auto"/>
        <w:rPr>
          <w:sz w:val="44"/>
        </w:rPr>
      </w:pPr>
    </w:p>
    <w:p w14:paraId="418994BC" w14:textId="77777777" w:rsidR="00AB1792" w:rsidRPr="001A53D9" w:rsidRDefault="001A53D9" w:rsidP="001A53D9">
      <w:pPr>
        <w:pStyle w:val="Title"/>
        <w:spacing w:line="360" w:lineRule="auto"/>
        <w:jc w:val="center"/>
        <w:rPr>
          <w:rFonts w:ascii="Times New Roman" w:hAnsi="Times New Roman" w:cs="Times New Roman"/>
          <w:b/>
          <w:sz w:val="36"/>
          <w:szCs w:val="36"/>
        </w:rPr>
      </w:pPr>
      <w:r w:rsidRPr="001A53D9">
        <w:rPr>
          <w:rFonts w:ascii="Times New Roman" w:hAnsi="Times New Roman" w:cs="Times New Roman"/>
          <w:b/>
          <w:sz w:val="36"/>
          <w:szCs w:val="36"/>
        </w:rPr>
        <w:t>Accounting Fundamentals</w:t>
      </w:r>
    </w:p>
    <w:p w14:paraId="561BBB86" w14:textId="77777777" w:rsidR="003D1BFD" w:rsidRPr="001C21C1" w:rsidRDefault="003D1BFD" w:rsidP="00F94536">
      <w:pPr>
        <w:rPr>
          <w:color w:val="auto"/>
        </w:rPr>
      </w:pPr>
    </w:p>
    <w:p w14:paraId="00F5EB9C" w14:textId="77777777" w:rsidR="001B63D5" w:rsidRPr="001C21C1" w:rsidRDefault="001B63D5" w:rsidP="00F94536">
      <w:pPr>
        <w:pStyle w:val="NoSpacing"/>
        <w:spacing w:line="360" w:lineRule="auto"/>
        <w:jc w:val="both"/>
        <w:rPr>
          <w:rFonts w:ascii="Times New Roman" w:hAnsi="Times New Roman" w:cs="Times New Roman"/>
          <w:sz w:val="40"/>
          <w:szCs w:val="96"/>
        </w:rPr>
      </w:pPr>
    </w:p>
    <w:p w14:paraId="755C70AC" w14:textId="77777777" w:rsidR="001B63D5" w:rsidRDefault="001B63D5" w:rsidP="00F94536">
      <w:pPr>
        <w:rPr>
          <w:b/>
          <w:bCs/>
          <w:sz w:val="72"/>
          <w:szCs w:val="72"/>
        </w:rPr>
      </w:pPr>
    </w:p>
    <w:p w14:paraId="765B6EBE" w14:textId="77777777" w:rsidR="001B63D5" w:rsidRDefault="001B63D5" w:rsidP="00F94536"/>
    <w:p w14:paraId="2CB468EF" w14:textId="77777777" w:rsidR="0090082C" w:rsidRDefault="0090082C" w:rsidP="00F94536">
      <w:pPr>
        <w:pStyle w:val="Heading1"/>
      </w:pPr>
      <w:r>
        <w:br w:type="page"/>
      </w:r>
    </w:p>
    <w:sdt>
      <w:sdtPr>
        <w:rPr>
          <w:rFonts w:ascii="Times New Roman" w:eastAsia="Calibri" w:hAnsi="Times New Roman"/>
          <w:color w:val="000000"/>
          <w:sz w:val="24"/>
          <w:szCs w:val="22"/>
          <w:lang w:val="en-GB" w:eastAsia="ar-SA"/>
        </w:rPr>
        <w:id w:val="-1559008889"/>
        <w:docPartObj>
          <w:docPartGallery w:val="Table of Contents"/>
          <w:docPartUnique/>
        </w:docPartObj>
      </w:sdtPr>
      <w:sdtEndPr>
        <w:rPr>
          <w:b/>
          <w:bCs/>
          <w:noProof/>
        </w:rPr>
      </w:sdtEndPr>
      <w:sdtContent>
        <w:p w14:paraId="202A60AF" w14:textId="77777777" w:rsidR="003D1BFD" w:rsidRPr="00732C98" w:rsidRDefault="003D1BFD" w:rsidP="00732C98">
          <w:pPr>
            <w:pStyle w:val="TOCHeading"/>
            <w:spacing w:line="360" w:lineRule="auto"/>
            <w:jc w:val="center"/>
            <w:rPr>
              <w:rFonts w:ascii="Times New Roman" w:hAnsi="Times New Roman"/>
              <w:b/>
              <w:bCs/>
              <w:color w:val="auto"/>
              <w:sz w:val="24"/>
              <w:szCs w:val="24"/>
            </w:rPr>
          </w:pPr>
          <w:r w:rsidRPr="00732C98">
            <w:rPr>
              <w:rFonts w:ascii="Times New Roman" w:hAnsi="Times New Roman"/>
              <w:b/>
              <w:bCs/>
              <w:color w:val="auto"/>
              <w:sz w:val="24"/>
              <w:szCs w:val="24"/>
            </w:rPr>
            <w:t>Table of Contents</w:t>
          </w:r>
        </w:p>
        <w:p w14:paraId="14CBD479" w14:textId="77777777" w:rsidR="001A53D9" w:rsidRDefault="003D1BFD">
          <w:pPr>
            <w:pStyle w:val="TOC1"/>
            <w:tabs>
              <w:tab w:val="right" w:leader="dot" w:pos="9350"/>
            </w:tabs>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w:anchor="_Toc121258274" w:history="1">
            <w:r w:rsidR="001A53D9" w:rsidRPr="00DA5F74">
              <w:rPr>
                <w:rStyle w:val="Hyperlink"/>
                <w:noProof/>
              </w:rPr>
              <w:t>Introduction</w:t>
            </w:r>
            <w:r w:rsidR="001A53D9">
              <w:rPr>
                <w:noProof/>
                <w:webHidden/>
              </w:rPr>
              <w:tab/>
            </w:r>
            <w:r w:rsidR="001A53D9">
              <w:rPr>
                <w:noProof/>
                <w:webHidden/>
              </w:rPr>
              <w:fldChar w:fldCharType="begin"/>
            </w:r>
            <w:r w:rsidR="001A53D9">
              <w:rPr>
                <w:noProof/>
                <w:webHidden/>
              </w:rPr>
              <w:instrText xml:space="preserve"> PAGEREF _Toc121258274 \h </w:instrText>
            </w:r>
            <w:r w:rsidR="001A53D9">
              <w:rPr>
                <w:noProof/>
                <w:webHidden/>
              </w:rPr>
            </w:r>
            <w:r w:rsidR="001A53D9">
              <w:rPr>
                <w:noProof/>
                <w:webHidden/>
              </w:rPr>
              <w:fldChar w:fldCharType="separate"/>
            </w:r>
            <w:r w:rsidR="001A53D9">
              <w:rPr>
                <w:noProof/>
                <w:webHidden/>
              </w:rPr>
              <w:t>3</w:t>
            </w:r>
            <w:r w:rsidR="001A53D9">
              <w:rPr>
                <w:noProof/>
                <w:webHidden/>
              </w:rPr>
              <w:fldChar w:fldCharType="end"/>
            </w:r>
          </w:hyperlink>
        </w:p>
        <w:p w14:paraId="6AA2D097" w14:textId="77777777" w:rsidR="001A53D9" w:rsidRDefault="003C1A89">
          <w:pPr>
            <w:pStyle w:val="TOC1"/>
            <w:tabs>
              <w:tab w:val="right" w:leader="dot" w:pos="9350"/>
            </w:tabs>
            <w:rPr>
              <w:rFonts w:asciiTheme="minorHAnsi" w:eastAsiaTheme="minorEastAsia" w:hAnsiTheme="minorHAnsi" w:cstheme="minorBidi"/>
              <w:noProof/>
              <w:color w:val="auto"/>
              <w:sz w:val="22"/>
              <w:lang w:val="en-IN" w:eastAsia="en-IN"/>
            </w:rPr>
          </w:pPr>
          <w:hyperlink w:anchor="_Toc121258275" w:history="1">
            <w:r w:rsidR="001A53D9" w:rsidRPr="00DA5F74">
              <w:rPr>
                <w:rStyle w:val="Hyperlink"/>
                <w:noProof/>
              </w:rPr>
              <w:t>Answer 1</w:t>
            </w:r>
            <w:r w:rsidR="001A53D9">
              <w:rPr>
                <w:noProof/>
                <w:webHidden/>
              </w:rPr>
              <w:tab/>
            </w:r>
            <w:r w:rsidR="001A53D9">
              <w:rPr>
                <w:noProof/>
                <w:webHidden/>
              </w:rPr>
              <w:fldChar w:fldCharType="begin"/>
            </w:r>
            <w:r w:rsidR="001A53D9">
              <w:rPr>
                <w:noProof/>
                <w:webHidden/>
              </w:rPr>
              <w:instrText xml:space="preserve"> PAGEREF _Toc121258275 \h </w:instrText>
            </w:r>
            <w:r w:rsidR="001A53D9">
              <w:rPr>
                <w:noProof/>
                <w:webHidden/>
              </w:rPr>
            </w:r>
            <w:r w:rsidR="001A53D9">
              <w:rPr>
                <w:noProof/>
                <w:webHidden/>
              </w:rPr>
              <w:fldChar w:fldCharType="separate"/>
            </w:r>
            <w:r w:rsidR="001A53D9">
              <w:rPr>
                <w:noProof/>
                <w:webHidden/>
              </w:rPr>
              <w:t>3</w:t>
            </w:r>
            <w:r w:rsidR="001A53D9">
              <w:rPr>
                <w:noProof/>
                <w:webHidden/>
              </w:rPr>
              <w:fldChar w:fldCharType="end"/>
            </w:r>
          </w:hyperlink>
        </w:p>
        <w:p w14:paraId="03291843" w14:textId="77777777" w:rsidR="001A53D9" w:rsidRDefault="003C1A89">
          <w:pPr>
            <w:pStyle w:val="TOC1"/>
            <w:tabs>
              <w:tab w:val="right" w:leader="dot" w:pos="9350"/>
            </w:tabs>
            <w:rPr>
              <w:rFonts w:asciiTheme="minorHAnsi" w:eastAsiaTheme="minorEastAsia" w:hAnsiTheme="minorHAnsi" w:cstheme="minorBidi"/>
              <w:noProof/>
              <w:color w:val="auto"/>
              <w:sz w:val="22"/>
              <w:lang w:val="en-IN" w:eastAsia="en-IN"/>
            </w:rPr>
          </w:pPr>
          <w:hyperlink w:anchor="_Toc121258276" w:history="1">
            <w:r w:rsidR="001A53D9" w:rsidRPr="00DA5F74">
              <w:rPr>
                <w:rStyle w:val="Hyperlink"/>
                <w:noProof/>
              </w:rPr>
              <w:t>Answer 2</w:t>
            </w:r>
            <w:r w:rsidR="001A53D9">
              <w:rPr>
                <w:noProof/>
                <w:webHidden/>
              </w:rPr>
              <w:tab/>
            </w:r>
            <w:r w:rsidR="001A53D9">
              <w:rPr>
                <w:noProof/>
                <w:webHidden/>
              </w:rPr>
              <w:fldChar w:fldCharType="begin"/>
            </w:r>
            <w:r w:rsidR="001A53D9">
              <w:rPr>
                <w:noProof/>
                <w:webHidden/>
              </w:rPr>
              <w:instrText xml:space="preserve"> PAGEREF _Toc121258276 \h </w:instrText>
            </w:r>
            <w:r w:rsidR="001A53D9">
              <w:rPr>
                <w:noProof/>
                <w:webHidden/>
              </w:rPr>
            </w:r>
            <w:r w:rsidR="001A53D9">
              <w:rPr>
                <w:noProof/>
                <w:webHidden/>
              </w:rPr>
              <w:fldChar w:fldCharType="separate"/>
            </w:r>
            <w:r w:rsidR="001A53D9">
              <w:rPr>
                <w:noProof/>
                <w:webHidden/>
              </w:rPr>
              <w:t>3</w:t>
            </w:r>
            <w:r w:rsidR="001A53D9">
              <w:rPr>
                <w:noProof/>
                <w:webHidden/>
              </w:rPr>
              <w:fldChar w:fldCharType="end"/>
            </w:r>
          </w:hyperlink>
        </w:p>
        <w:p w14:paraId="5A9468ED" w14:textId="77777777" w:rsidR="001A53D9" w:rsidRDefault="003C1A89">
          <w:pPr>
            <w:pStyle w:val="TOC1"/>
            <w:tabs>
              <w:tab w:val="right" w:leader="dot" w:pos="9350"/>
            </w:tabs>
            <w:rPr>
              <w:rFonts w:asciiTheme="minorHAnsi" w:eastAsiaTheme="minorEastAsia" w:hAnsiTheme="minorHAnsi" w:cstheme="minorBidi"/>
              <w:noProof/>
              <w:color w:val="auto"/>
              <w:sz w:val="22"/>
              <w:lang w:val="en-IN" w:eastAsia="en-IN"/>
            </w:rPr>
          </w:pPr>
          <w:hyperlink w:anchor="_Toc121258277" w:history="1">
            <w:r w:rsidR="001A53D9" w:rsidRPr="00DA5F74">
              <w:rPr>
                <w:rStyle w:val="Hyperlink"/>
                <w:noProof/>
              </w:rPr>
              <w:t>Conclusion</w:t>
            </w:r>
            <w:r w:rsidR="001A53D9">
              <w:rPr>
                <w:noProof/>
                <w:webHidden/>
              </w:rPr>
              <w:tab/>
            </w:r>
            <w:r w:rsidR="001A53D9">
              <w:rPr>
                <w:noProof/>
                <w:webHidden/>
              </w:rPr>
              <w:fldChar w:fldCharType="begin"/>
            </w:r>
            <w:r w:rsidR="001A53D9">
              <w:rPr>
                <w:noProof/>
                <w:webHidden/>
              </w:rPr>
              <w:instrText xml:space="preserve"> PAGEREF _Toc121258277 \h </w:instrText>
            </w:r>
            <w:r w:rsidR="001A53D9">
              <w:rPr>
                <w:noProof/>
                <w:webHidden/>
              </w:rPr>
            </w:r>
            <w:r w:rsidR="001A53D9">
              <w:rPr>
                <w:noProof/>
                <w:webHidden/>
              </w:rPr>
              <w:fldChar w:fldCharType="separate"/>
            </w:r>
            <w:r w:rsidR="001A53D9">
              <w:rPr>
                <w:noProof/>
                <w:webHidden/>
              </w:rPr>
              <w:t>3</w:t>
            </w:r>
            <w:r w:rsidR="001A53D9">
              <w:rPr>
                <w:noProof/>
                <w:webHidden/>
              </w:rPr>
              <w:fldChar w:fldCharType="end"/>
            </w:r>
          </w:hyperlink>
        </w:p>
        <w:p w14:paraId="0A8A3AD9" w14:textId="77777777" w:rsidR="001A53D9" w:rsidRDefault="003C1A89">
          <w:pPr>
            <w:pStyle w:val="TOC1"/>
            <w:tabs>
              <w:tab w:val="right" w:leader="dot" w:pos="9350"/>
            </w:tabs>
            <w:rPr>
              <w:rFonts w:asciiTheme="minorHAnsi" w:eastAsiaTheme="minorEastAsia" w:hAnsiTheme="minorHAnsi" w:cstheme="minorBidi"/>
              <w:noProof/>
              <w:color w:val="auto"/>
              <w:sz w:val="22"/>
              <w:lang w:val="en-IN" w:eastAsia="en-IN"/>
            </w:rPr>
          </w:pPr>
          <w:hyperlink w:anchor="_Toc121258278" w:history="1">
            <w:r w:rsidR="001A53D9" w:rsidRPr="00DA5F74">
              <w:rPr>
                <w:rStyle w:val="Hyperlink"/>
                <w:noProof/>
              </w:rPr>
              <w:t>References List</w:t>
            </w:r>
            <w:r w:rsidR="001A53D9">
              <w:rPr>
                <w:noProof/>
                <w:webHidden/>
              </w:rPr>
              <w:tab/>
            </w:r>
            <w:r w:rsidR="001A53D9">
              <w:rPr>
                <w:noProof/>
                <w:webHidden/>
              </w:rPr>
              <w:fldChar w:fldCharType="begin"/>
            </w:r>
            <w:r w:rsidR="001A53D9">
              <w:rPr>
                <w:noProof/>
                <w:webHidden/>
              </w:rPr>
              <w:instrText xml:space="preserve"> PAGEREF _Toc121258278 \h </w:instrText>
            </w:r>
            <w:r w:rsidR="001A53D9">
              <w:rPr>
                <w:noProof/>
                <w:webHidden/>
              </w:rPr>
            </w:r>
            <w:r w:rsidR="001A53D9">
              <w:rPr>
                <w:noProof/>
                <w:webHidden/>
              </w:rPr>
              <w:fldChar w:fldCharType="separate"/>
            </w:r>
            <w:r w:rsidR="001A53D9">
              <w:rPr>
                <w:noProof/>
                <w:webHidden/>
              </w:rPr>
              <w:t>4</w:t>
            </w:r>
            <w:r w:rsidR="001A53D9">
              <w:rPr>
                <w:noProof/>
                <w:webHidden/>
              </w:rPr>
              <w:fldChar w:fldCharType="end"/>
            </w:r>
          </w:hyperlink>
        </w:p>
        <w:p w14:paraId="74004CC7" w14:textId="77777777" w:rsidR="003D1BFD" w:rsidRDefault="003D1BFD" w:rsidP="00F94536">
          <w:r>
            <w:rPr>
              <w:b/>
              <w:bCs/>
              <w:noProof/>
            </w:rPr>
            <w:fldChar w:fldCharType="end"/>
          </w:r>
        </w:p>
      </w:sdtContent>
    </w:sdt>
    <w:p w14:paraId="4A8E661A" w14:textId="77777777" w:rsidR="0090082C" w:rsidRDefault="0090082C" w:rsidP="00F94536"/>
    <w:p w14:paraId="53EFDE5E" w14:textId="77777777" w:rsidR="004E2741" w:rsidRPr="004E2741" w:rsidRDefault="004E2741" w:rsidP="00F94536">
      <w:pPr>
        <w:pStyle w:val="Heading1"/>
        <w:ind w:left="0" w:firstLine="0"/>
      </w:pPr>
    </w:p>
    <w:p w14:paraId="34329DB5" w14:textId="77777777" w:rsidR="004E2741" w:rsidRPr="004E2741" w:rsidRDefault="004E2741" w:rsidP="00F94536"/>
    <w:p w14:paraId="14D8EF44" w14:textId="77777777" w:rsidR="003D1BFD" w:rsidRDefault="003D1BFD" w:rsidP="00F94536">
      <w:pPr>
        <w:rPr>
          <w:szCs w:val="24"/>
        </w:rPr>
      </w:pPr>
    </w:p>
    <w:p w14:paraId="615FB441" w14:textId="77777777" w:rsidR="003D1BFD" w:rsidRDefault="003D1BFD" w:rsidP="00F94536">
      <w:r>
        <w:br w:type="page"/>
      </w:r>
    </w:p>
    <w:p w14:paraId="2F93166E" w14:textId="77777777" w:rsidR="001C21C1" w:rsidRDefault="003D1BFD" w:rsidP="00F94536">
      <w:pPr>
        <w:pStyle w:val="Heading1"/>
        <w:tabs>
          <w:tab w:val="clear" w:pos="0"/>
        </w:tabs>
      </w:pPr>
      <w:bookmarkStart w:id="0" w:name="_Toc121258274"/>
      <w:r>
        <w:lastRenderedPageBreak/>
        <w:t>Introducti</w:t>
      </w:r>
      <w:r w:rsidR="00F94536">
        <w:t>on</w:t>
      </w:r>
      <w:bookmarkEnd w:id="0"/>
    </w:p>
    <w:p w14:paraId="38D03442" w14:textId="77777777" w:rsidR="001A53D9" w:rsidRPr="001A53D9" w:rsidRDefault="001A53D9" w:rsidP="001A53D9">
      <w:r>
        <w:t>The various transactions occur in the business that is recorded in the books of accounts as soon as occur. Various accounting policies are followed at the time of recording such transactions in the financial statements such as accrual system, double entry system and various others. At the end of the accounting period, the recording of the transactions alone does not give a clear picture of the financial performance of the business. Thus, the financial statements are prepared that summarise all the accounting transactions and give the overall view of the financial performance of the business during the period.</w:t>
      </w:r>
    </w:p>
    <w:p w14:paraId="26718798" w14:textId="77777777" w:rsidR="001A53D9" w:rsidRDefault="001A53D9" w:rsidP="001A53D9"/>
    <w:p w14:paraId="6C6B8DDC" w14:textId="77777777" w:rsidR="001A53D9" w:rsidRDefault="001A53D9" w:rsidP="001A53D9">
      <w:pPr>
        <w:pStyle w:val="Heading1"/>
      </w:pPr>
      <w:bookmarkStart w:id="1" w:name="_Toc121258275"/>
      <w:r>
        <w:t>Answer 1</w:t>
      </w:r>
      <w:bookmarkEnd w:id="1"/>
    </w:p>
    <w:p w14:paraId="752E213D" w14:textId="77777777" w:rsidR="001A53D9" w:rsidRPr="001A53D9" w:rsidRDefault="001A53D9" w:rsidP="001A53D9">
      <w:proofErr w:type="spellStart"/>
      <w:r>
        <w:t>i</w:t>
      </w:r>
      <w:proofErr w:type="spellEnd"/>
      <w:r>
        <w:t>)</w:t>
      </w:r>
    </w:p>
    <w:tbl>
      <w:tblPr>
        <w:tblW w:w="8853" w:type="dxa"/>
        <w:tblInd w:w="392" w:type="dxa"/>
        <w:tblLook w:val="04A0" w:firstRow="1" w:lastRow="0" w:firstColumn="1" w:lastColumn="0" w:noHBand="0" w:noVBand="1"/>
      </w:tblPr>
      <w:tblGrid>
        <w:gridCol w:w="6760"/>
        <w:gridCol w:w="2093"/>
      </w:tblGrid>
      <w:tr w:rsidR="001A53D9" w:rsidRPr="001A53D9" w14:paraId="65F0EE1F" w14:textId="77777777" w:rsidTr="001A53D9">
        <w:trPr>
          <w:trHeight w:val="314"/>
        </w:trPr>
        <w:tc>
          <w:tcPr>
            <w:tcW w:w="885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BE05CB" w14:textId="60B394C0" w:rsidR="001A53D9" w:rsidRPr="001A53D9" w:rsidRDefault="00CA066B" w:rsidP="001A53D9">
            <w:pPr>
              <w:suppressAutoHyphens w:val="0"/>
              <w:spacing w:line="240" w:lineRule="auto"/>
              <w:jc w:val="center"/>
              <w:rPr>
                <w:rFonts w:eastAsia="Times New Roman"/>
                <w:b/>
                <w:bCs/>
                <w:szCs w:val="24"/>
                <w:lang w:val="en-IN" w:eastAsia="en-IN"/>
              </w:rPr>
            </w:pPr>
            <w:r>
              <w:rPr>
                <w:rFonts w:eastAsia="Times New Roman"/>
                <w:b/>
                <w:bCs/>
                <w:szCs w:val="24"/>
                <w:lang w:val="en-IN" w:eastAsia="en-IN"/>
              </w:rPr>
              <w:t>“</w:t>
            </w:r>
            <w:r w:rsidR="001A53D9" w:rsidRPr="001A53D9">
              <w:rPr>
                <w:rFonts w:eastAsia="Times New Roman"/>
                <w:b/>
                <w:bCs/>
                <w:szCs w:val="24"/>
                <w:lang w:val="en-IN" w:eastAsia="en-IN"/>
              </w:rPr>
              <w:t>Income statement for the year ending 31 March 2021</w:t>
            </w:r>
            <w:r>
              <w:rPr>
                <w:rFonts w:eastAsia="Times New Roman"/>
                <w:b/>
                <w:bCs/>
                <w:szCs w:val="24"/>
                <w:lang w:val="en-IN" w:eastAsia="en-IN"/>
              </w:rPr>
              <w:t>”</w:t>
            </w:r>
          </w:p>
        </w:tc>
      </w:tr>
      <w:tr w:rsidR="001A53D9" w:rsidRPr="001A53D9" w14:paraId="5E30AF09"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66EC0FFF" w14:textId="06D131C6" w:rsidR="001A53D9" w:rsidRPr="001A53D9" w:rsidRDefault="00CA066B" w:rsidP="001A53D9">
            <w:pPr>
              <w:suppressAutoHyphens w:val="0"/>
              <w:spacing w:line="240" w:lineRule="auto"/>
              <w:jc w:val="left"/>
              <w:rPr>
                <w:rFonts w:eastAsia="Times New Roman"/>
                <w:b/>
                <w:bCs/>
                <w:szCs w:val="24"/>
                <w:lang w:val="en-IN" w:eastAsia="en-IN"/>
              </w:rPr>
            </w:pPr>
            <w:r>
              <w:rPr>
                <w:rFonts w:eastAsia="Times New Roman"/>
                <w:b/>
                <w:bCs/>
                <w:szCs w:val="24"/>
                <w:lang w:val="en-IN" w:eastAsia="en-IN"/>
              </w:rPr>
              <w:t>“</w:t>
            </w:r>
            <w:r w:rsidR="001A53D9" w:rsidRPr="001A53D9">
              <w:rPr>
                <w:rFonts w:eastAsia="Times New Roman"/>
                <w:b/>
                <w:bCs/>
                <w:szCs w:val="24"/>
                <w:lang w:val="en-IN" w:eastAsia="en-IN"/>
              </w:rPr>
              <w:t>Particulars</w:t>
            </w:r>
          </w:p>
        </w:tc>
        <w:tc>
          <w:tcPr>
            <w:tcW w:w="2093" w:type="dxa"/>
            <w:tcBorders>
              <w:top w:val="nil"/>
              <w:left w:val="nil"/>
              <w:bottom w:val="single" w:sz="4" w:space="0" w:color="auto"/>
              <w:right w:val="single" w:sz="4" w:space="0" w:color="auto"/>
            </w:tcBorders>
            <w:shd w:val="clear" w:color="auto" w:fill="auto"/>
            <w:noWrap/>
            <w:vAlign w:val="bottom"/>
            <w:hideMark/>
          </w:tcPr>
          <w:p w14:paraId="092EA9B1"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Amount (£)</w:t>
            </w:r>
          </w:p>
        </w:tc>
      </w:tr>
      <w:tr w:rsidR="001A53D9" w:rsidRPr="001A53D9" w14:paraId="26E0C97D"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0CB7CDE8"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Sales</w:t>
            </w:r>
          </w:p>
        </w:tc>
        <w:tc>
          <w:tcPr>
            <w:tcW w:w="2093" w:type="dxa"/>
            <w:tcBorders>
              <w:top w:val="nil"/>
              <w:left w:val="nil"/>
              <w:bottom w:val="single" w:sz="4" w:space="0" w:color="auto"/>
              <w:right w:val="single" w:sz="4" w:space="0" w:color="auto"/>
            </w:tcBorders>
            <w:shd w:val="clear" w:color="auto" w:fill="auto"/>
            <w:noWrap/>
            <w:vAlign w:val="bottom"/>
            <w:hideMark/>
          </w:tcPr>
          <w:p w14:paraId="0262E466"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800</w:t>
            </w:r>
            <w:r>
              <w:rPr>
                <w:rFonts w:eastAsia="Times New Roman"/>
                <w:szCs w:val="24"/>
                <w:lang w:val="en-IN" w:eastAsia="en-IN"/>
              </w:rPr>
              <w:t>,</w:t>
            </w:r>
            <w:r w:rsidRPr="001A53D9">
              <w:rPr>
                <w:rFonts w:eastAsia="Times New Roman"/>
                <w:szCs w:val="24"/>
                <w:lang w:val="en-IN" w:eastAsia="en-IN"/>
              </w:rPr>
              <w:t>980</w:t>
            </w:r>
          </w:p>
        </w:tc>
      </w:tr>
      <w:tr w:rsidR="001A53D9" w:rsidRPr="001A53D9" w14:paraId="4900937E"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189E8F3D"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Less: Cost of sales</w:t>
            </w:r>
          </w:p>
        </w:tc>
        <w:tc>
          <w:tcPr>
            <w:tcW w:w="2093" w:type="dxa"/>
            <w:tcBorders>
              <w:top w:val="nil"/>
              <w:left w:val="nil"/>
              <w:bottom w:val="single" w:sz="4" w:space="0" w:color="auto"/>
              <w:right w:val="single" w:sz="4" w:space="0" w:color="auto"/>
            </w:tcBorders>
            <w:shd w:val="clear" w:color="auto" w:fill="auto"/>
            <w:noWrap/>
            <w:vAlign w:val="bottom"/>
            <w:hideMark/>
          </w:tcPr>
          <w:p w14:paraId="15E9E4F0"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-578</w:t>
            </w:r>
            <w:r>
              <w:rPr>
                <w:rFonts w:eastAsia="Times New Roman"/>
                <w:szCs w:val="24"/>
                <w:lang w:val="en-IN" w:eastAsia="en-IN"/>
              </w:rPr>
              <w:t>,</w:t>
            </w:r>
            <w:r w:rsidRPr="001A53D9">
              <w:rPr>
                <w:rFonts w:eastAsia="Times New Roman"/>
                <w:szCs w:val="24"/>
                <w:lang w:val="en-IN" w:eastAsia="en-IN"/>
              </w:rPr>
              <w:t>650</w:t>
            </w:r>
          </w:p>
        </w:tc>
      </w:tr>
      <w:tr w:rsidR="001A53D9" w:rsidRPr="001A53D9" w14:paraId="19219D4B"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36272D7A" w14:textId="77777777" w:rsidR="001A53D9" w:rsidRPr="001A53D9" w:rsidRDefault="001A53D9" w:rsidP="001A53D9">
            <w:pPr>
              <w:suppressAutoHyphens w:val="0"/>
              <w:spacing w:line="240" w:lineRule="auto"/>
              <w:jc w:val="left"/>
              <w:rPr>
                <w:rFonts w:eastAsia="Times New Roman"/>
                <w:b/>
                <w:szCs w:val="24"/>
                <w:lang w:val="en-IN" w:eastAsia="en-IN"/>
              </w:rPr>
            </w:pPr>
            <w:r w:rsidRPr="001A53D9">
              <w:rPr>
                <w:rFonts w:eastAsia="Times New Roman"/>
                <w:b/>
                <w:szCs w:val="24"/>
                <w:lang w:val="en-IN" w:eastAsia="en-IN"/>
              </w:rPr>
              <w:t>Gross profit</w:t>
            </w:r>
          </w:p>
        </w:tc>
        <w:tc>
          <w:tcPr>
            <w:tcW w:w="2093" w:type="dxa"/>
            <w:tcBorders>
              <w:top w:val="nil"/>
              <w:left w:val="nil"/>
              <w:bottom w:val="single" w:sz="4" w:space="0" w:color="auto"/>
              <w:right w:val="single" w:sz="4" w:space="0" w:color="auto"/>
            </w:tcBorders>
            <w:shd w:val="clear" w:color="auto" w:fill="auto"/>
            <w:noWrap/>
            <w:vAlign w:val="bottom"/>
            <w:hideMark/>
          </w:tcPr>
          <w:p w14:paraId="18087FF5" w14:textId="77777777" w:rsidR="001A53D9" w:rsidRPr="001A53D9" w:rsidRDefault="001A53D9" w:rsidP="001A53D9">
            <w:pPr>
              <w:suppressAutoHyphens w:val="0"/>
              <w:spacing w:line="240" w:lineRule="auto"/>
              <w:jc w:val="right"/>
              <w:rPr>
                <w:rFonts w:eastAsia="Times New Roman"/>
                <w:b/>
                <w:szCs w:val="24"/>
                <w:lang w:val="en-IN" w:eastAsia="en-IN"/>
              </w:rPr>
            </w:pPr>
            <w:r w:rsidRPr="001A53D9">
              <w:rPr>
                <w:rFonts w:eastAsia="Times New Roman"/>
                <w:b/>
                <w:szCs w:val="24"/>
                <w:lang w:val="en-IN" w:eastAsia="en-IN"/>
              </w:rPr>
              <w:t>222,330</w:t>
            </w:r>
          </w:p>
        </w:tc>
      </w:tr>
      <w:tr w:rsidR="001A53D9" w:rsidRPr="001A53D9" w14:paraId="22A431CA"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399BFE12"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Less: Administrative expenses</w:t>
            </w:r>
          </w:p>
        </w:tc>
        <w:tc>
          <w:tcPr>
            <w:tcW w:w="2093" w:type="dxa"/>
            <w:tcBorders>
              <w:top w:val="nil"/>
              <w:left w:val="nil"/>
              <w:bottom w:val="single" w:sz="4" w:space="0" w:color="auto"/>
              <w:right w:val="single" w:sz="4" w:space="0" w:color="auto"/>
            </w:tcBorders>
            <w:shd w:val="clear" w:color="auto" w:fill="auto"/>
            <w:noWrap/>
            <w:vAlign w:val="bottom"/>
            <w:hideMark/>
          </w:tcPr>
          <w:p w14:paraId="306EB861"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-30</w:t>
            </w:r>
            <w:r>
              <w:rPr>
                <w:rFonts w:eastAsia="Times New Roman"/>
                <w:szCs w:val="24"/>
                <w:lang w:val="en-IN" w:eastAsia="en-IN"/>
              </w:rPr>
              <w:t>,</w:t>
            </w:r>
            <w:r w:rsidRPr="001A53D9">
              <w:rPr>
                <w:rFonts w:eastAsia="Times New Roman"/>
                <w:szCs w:val="24"/>
                <w:lang w:val="en-IN" w:eastAsia="en-IN"/>
              </w:rPr>
              <w:t>000</w:t>
            </w:r>
          </w:p>
        </w:tc>
      </w:tr>
      <w:tr w:rsidR="001A53D9" w:rsidRPr="001A53D9" w14:paraId="5A0F29D9"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1016CFFA"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Employee benefit expenses</w:t>
            </w:r>
          </w:p>
        </w:tc>
        <w:tc>
          <w:tcPr>
            <w:tcW w:w="2093" w:type="dxa"/>
            <w:tcBorders>
              <w:top w:val="nil"/>
              <w:left w:val="nil"/>
              <w:bottom w:val="single" w:sz="4" w:space="0" w:color="auto"/>
              <w:right w:val="single" w:sz="4" w:space="0" w:color="auto"/>
            </w:tcBorders>
            <w:shd w:val="clear" w:color="auto" w:fill="auto"/>
            <w:noWrap/>
            <w:vAlign w:val="bottom"/>
            <w:hideMark/>
          </w:tcPr>
          <w:p w14:paraId="56356922"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-8</w:t>
            </w:r>
            <w:r>
              <w:rPr>
                <w:rFonts w:eastAsia="Times New Roman"/>
                <w:szCs w:val="24"/>
                <w:lang w:val="en-IN" w:eastAsia="en-IN"/>
              </w:rPr>
              <w:t>,</w:t>
            </w:r>
            <w:r w:rsidRPr="001A53D9">
              <w:rPr>
                <w:rFonts w:eastAsia="Times New Roman"/>
                <w:szCs w:val="24"/>
                <w:lang w:val="en-IN" w:eastAsia="en-IN"/>
              </w:rPr>
              <w:t>000</w:t>
            </w:r>
          </w:p>
        </w:tc>
      </w:tr>
      <w:tr w:rsidR="001A53D9" w:rsidRPr="001A53D9" w14:paraId="0133FA0D"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12C54446"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Selling and distribution expenses</w:t>
            </w:r>
          </w:p>
        </w:tc>
        <w:tc>
          <w:tcPr>
            <w:tcW w:w="2093" w:type="dxa"/>
            <w:tcBorders>
              <w:top w:val="nil"/>
              <w:left w:val="nil"/>
              <w:bottom w:val="single" w:sz="4" w:space="0" w:color="auto"/>
              <w:right w:val="single" w:sz="4" w:space="0" w:color="auto"/>
            </w:tcBorders>
            <w:shd w:val="clear" w:color="auto" w:fill="auto"/>
            <w:noWrap/>
            <w:vAlign w:val="bottom"/>
            <w:hideMark/>
          </w:tcPr>
          <w:p w14:paraId="34D8EE1F"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-28</w:t>
            </w:r>
            <w:r>
              <w:rPr>
                <w:rFonts w:eastAsia="Times New Roman"/>
                <w:szCs w:val="24"/>
                <w:lang w:val="en-IN" w:eastAsia="en-IN"/>
              </w:rPr>
              <w:t>,</w:t>
            </w:r>
            <w:r w:rsidRPr="001A53D9">
              <w:rPr>
                <w:rFonts w:eastAsia="Times New Roman"/>
                <w:szCs w:val="24"/>
                <w:lang w:val="en-IN" w:eastAsia="en-IN"/>
              </w:rPr>
              <w:t>000</w:t>
            </w:r>
          </w:p>
        </w:tc>
      </w:tr>
      <w:tr w:rsidR="001A53D9" w:rsidRPr="001A53D9" w14:paraId="09C80DF5"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420C6F95" w14:textId="77777777" w:rsidR="001A53D9" w:rsidRPr="001A53D9" w:rsidRDefault="001A53D9" w:rsidP="001A53D9">
            <w:pPr>
              <w:suppressAutoHyphens w:val="0"/>
              <w:spacing w:line="240" w:lineRule="auto"/>
              <w:jc w:val="left"/>
              <w:rPr>
                <w:rFonts w:eastAsia="Times New Roman"/>
                <w:b/>
                <w:szCs w:val="24"/>
                <w:lang w:val="en-IN" w:eastAsia="en-IN"/>
              </w:rPr>
            </w:pPr>
            <w:r w:rsidRPr="001A53D9">
              <w:rPr>
                <w:rFonts w:eastAsia="Times New Roman"/>
                <w:b/>
                <w:szCs w:val="24"/>
                <w:lang w:val="en-IN" w:eastAsia="en-IN"/>
              </w:rPr>
              <w:t>Earnings before interest and tax</w:t>
            </w:r>
          </w:p>
        </w:tc>
        <w:tc>
          <w:tcPr>
            <w:tcW w:w="2093" w:type="dxa"/>
            <w:tcBorders>
              <w:top w:val="nil"/>
              <w:left w:val="nil"/>
              <w:bottom w:val="single" w:sz="4" w:space="0" w:color="auto"/>
              <w:right w:val="single" w:sz="4" w:space="0" w:color="auto"/>
            </w:tcBorders>
            <w:shd w:val="clear" w:color="auto" w:fill="auto"/>
            <w:noWrap/>
            <w:vAlign w:val="bottom"/>
            <w:hideMark/>
          </w:tcPr>
          <w:p w14:paraId="72217D12" w14:textId="77777777" w:rsidR="001A53D9" w:rsidRPr="001A53D9" w:rsidRDefault="001A53D9" w:rsidP="001A53D9">
            <w:pPr>
              <w:suppressAutoHyphens w:val="0"/>
              <w:spacing w:line="240" w:lineRule="auto"/>
              <w:jc w:val="right"/>
              <w:rPr>
                <w:rFonts w:eastAsia="Times New Roman"/>
                <w:b/>
                <w:szCs w:val="24"/>
                <w:lang w:val="en-IN" w:eastAsia="en-IN"/>
              </w:rPr>
            </w:pPr>
            <w:r w:rsidRPr="001A53D9">
              <w:rPr>
                <w:rFonts w:eastAsia="Times New Roman"/>
                <w:b/>
                <w:szCs w:val="24"/>
                <w:lang w:val="en-IN" w:eastAsia="en-IN"/>
              </w:rPr>
              <w:t>156,330</w:t>
            </w:r>
          </w:p>
        </w:tc>
      </w:tr>
      <w:tr w:rsidR="001A53D9" w:rsidRPr="001A53D9" w14:paraId="31C8FAE5"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5ACC3191"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Less: Interest</w:t>
            </w:r>
          </w:p>
        </w:tc>
        <w:tc>
          <w:tcPr>
            <w:tcW w:w="2093" w:type="dxa"/>
            <w:tcBorders>
              <w:top w:val="nil"/>
              <w:left w:val="nil"/>
              <w:bottom w:val="single" w:sz="4" w:space="0" w:color="auto"/>
              <w:right w:val="single" w:sz="4" w:space="0" w:color="auto"/>
            </w:tcBorders>
            <w:shd w:val="clear" w:color="auto" w:fill="auto"/>
            <w:noWrap/>
            <w:vAlign w:val="bottom"/>
            <w:hideMark/>
          </w:tcPr>
          <w:p w14:paraId="66965F0A"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-2</w:t>
            </w:r>
            <w:r>
              <w:rPr>
                <w:rFonts w:eastAsia="Times New Roman"/>
                <w:szCs w:val="24"/>
                <w:lang w:val="en-IN" w:eastAsia="en-IN"/>
              </w:rPr>
              <w:t>,</w:t>
            </w:r>
            <w:r w:rsidRPr="001A53D9">
              <w:rPr>
                <w:rFonts w:eastAsia="Times New Roman"/>
                <w:szCs w:val="24"/>
                <w:lang w:val="en-IN" w:eastAsia="en-IN"/>
              </w:rPr>
              <w:t>000</w:t>
            </w:r>
          </w:p>
        </w:tc>
      </w:tr>
      <w:tr w:rsidR="001A53D9" w:rsidRPr="001A53D9" w14:paraId="5A1A4449"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064DEB20" w14:textId="77777777" w:rsidR="001A53D9" w:rsidRPr="001A53D9" w:rsidRDefault="001A53D9" w:rsidP="001A53D9">
            <w:pPr>
              <w:suppressAutoHyphens w:val="0"/>
              <w:spacing w:line="240" w:lineRule="auto"/>
              <w:jc w:val="left"/>
              <w:rPr>
                <w:rFonts w:eastAsia="Times New Roman"/>
                <w:b/>
                <w:szCs w:val="24"/>
                <w:lang w:val="en-IN" w:eastAsia="en-IN"/>
              </w:rPr>
            </w:pPr>
            <w:r w:rsidRPr="001A53D9">
              <w:rPr>
                <w:rFonts w:eastAsia="Times New Roman"/>
                <w:b/>
                <w:szCs w:val="24"/>
                <w:lang w:val="en-IN" w:eastAsia="en-IN"/>
              </w:rPr>
              <w:t>Earnings before tax</w:t>
            </w:r>
          </w:p>
        </w:tc>
        <w:tc>
          <w:tcPr>
            <w:tcW w:w="2093" w:type="dxa"/>
            <w:tcBorders>
              <w:top w:val="nil"/>
              <w:left w:val="nil"/>
              <w:bottom w:val="single" w:sz="4" w:space="0" w:color="auto"/>
              <w:right w:val="single" w:sz="4" w:space="0" w:color="auto"/>
            </w:tcBorders>
            <w:shd w:val="clear" w:color="auto" w:fill="auto"/>
            <w:noWrap/>
            <w:vAlign w:val="bottom"/>
            <w:hideMark/>
          </w:tcPr>
          <w:p w14:paraId="7641EC7C" w14:textId="77777777" w:rsidR="001A53D9" w:rsidRPr="001A53D9" w:rsidRDefault="001A53D9" w:rsidP="001A53D9">
            <w:pPr>
              <w:suppressAutoHyphens w:val="0"/>
              <w:spacing w:line="240" w:lineRule="auto"/>
              <w:jc w:val="right"/>
              <w:rPr>
                <w:rFonts w:eastAsia="Times New Roman"/>
                <w:b/>
                <w:szCs w:val="24"/>
                <w:lang w:val="en-IN" w:eastAsia="en-IN"/>
              </w:rPr>
            </w:pPr>
            <w:r w:rsidRPr="001A53D9">
              <w:rPr>
                <w:rFonts w:eastAsia="Times New Roman"/>
                <w:b/>
                <w:szCs w:val="24"/>
                <w:lang w:val="en-IN" w:eastAsia="en-IN"/>
              </w:rPr>
              <w:t>154,330</w:t>
            </w:r>
          </w:p>
        </w:tc>
      </w:tr>
      <w:tr w:rsidR="001A53D9" w:rsidRPr="001A53D9" w14:paraId="41E5728E"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3CBA8C72"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Less: Tax</w:t>
            </w:r>
          </w:p>
        </w:tc>
        <w:tc>
          <w:tcPr>
            <w:tcW w:w="2093" w:type="dxa"/>
            <w:tcBorders>
              <w:top w:val="nil"/>
              <w:left w:val="nil"/>
              <w:bottom w:val="single" w:sz="4" w:space="0" w:color="auto"/>
              <w:right w:val="single" w:sz="4" w:space="0" w:color="auto"/>
            </w:tcBorders>
            <w:shd w:val="clear" w:color="auto" w:fill="auto"/>
            <w:noWrap/>
            <w:vAlign w:val="bottom"/>
            <w:hideMark/>
          </w:tcPr>
          <w:p w14:paraId="5BAAC8C7"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-100</w:t>
            </w:r>
            <w:r>
              <w:rPr>
                <w:rFonts w:eastAsia="Times New Roman"/>
                <w:szCs w:val="24"/>
                <w:lang w:val="en-IN" w:eastAsia="en-IN"/>
              </w:rPr>
              <w:t>,</w:t>
            </w:r>
            <w:r w:rsidRPr="001A53D9">
              <w:rPr>
                <w:rFonts w:eastAsia="Times New Roman"/>
                <w:szCs w:val="24"/>
                <w:lang w:val="en-IN" w:eastAsia="en-IN"/>
              </w:rPr>
              <w:t>000</w:t>
            </w:r>
          </w:p>
        </w:tc>
      </w:tr>
      <w:tr w:rsidR="001A53D9" w:rsidRPr="001A53D9" w14:paraId="746FA296"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1A687985" w14:textId="77777777" w:rsidR="001A53D9" w:rsidRPr="001A53D9" w:rsidRDefault="001A53D9" w:rsidP="001A53D9">
            <w:pPr>
              <w:suppressAutoHyphens w:val="0"/>
              <w:spacing w:line="240" w:lineRule="auto"/>
              <w:jc w:val="left"/>
              <w:rPr>
                <w:rFonts w:eastAsia="Times New Roman"/>
                <w:b/>
                <w:szCs w:val="24"/>
                <w:lang w:val="en-IN" w:eastAsia="en-IN"/>
              </w:rPr>
            </w:pPr>
            <w:r w:rsidRPr="001A53D9">
              <w:rPr>
                <w:rFonts w:eastAsia="Times New Roman"/>
                <w:b/>
                <w:szCs w:val="24"/>
                <w:lang w:val="en-IN" w:eastAsia="en-IN"/>
              </w:rPr>
              <w:t>Earnings after tax</w:t>
            </w:r>
          </w:p>
        </w:tc>
        <w:tc>
          <w:tcPr>
            <w:tcW w:w="2093" w:type="dxa"/>
            <w:tcBorders>
              <w:top w:val="nil"/>
              <w:left w:val="nil"/>
              <w:bottom w:val="single" w:sz="4" w:space="0" w:color="auto"/>
              <w:right w:val="single" w:sz="4" w:space="0" w:color="auto"/>
            </w:tcBorders>
            <w:shd w:val="clear" w:color="auto" w:fill="auto"/>
            <w:noWrap/>
            <w:vAlign w:val="bottom"/>
            <w:hideMark/>
          </w:tcPr>
          <w:p w14:paraId="350AA52E" w14:textId="77777777" w:rsidR="001A53D9" w:rsidRPr="001A53D9" w:rsidRDefault="001A53D9" w:rsidP="001A53D9">
            <w:pPr>
              <w:suppressAutoHyphens w:val="0"/>
              <w:spacing w:line="240" w:lineRule="auto"/>
              <w:jc w:val="right"/>
              <w:rPr>
                <w:rFonts w:eastAsia="Times New Roman"/>
                <w:b/>
                <w:szCs w:val="24"/>
                <w:lang w:val="en-IN" w:eastAsia="en-IN"/>
              </w:rPr>
            </w:pPr>
            <w:r w:rsidRPr="001A53D9">
              <w:rPr>
                <w:rFonts w:eastAsia="Times New Roman"/>
                <w:b/>
                <w:szCs w:val="24"/>
                <w:lang w:val="en-IN" w:eastAsia="en-IN"/>
              </w:rPr>
              <w:t>54,330</w:t>
            </w:r>
          </w:p>
        </w:tc>
      </w:tr>
      <w:tr w:rsidR="001A53D9" w:rsidRPr="001A53D9" w14:paraId="70297E38"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79BD3C44"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Less: Preference dividend paid</w:t>
            </w:r>
          </w:p>
        </w:tc>
        <w:tc>
          <w:tcPr>
            <w:tcW w:w="2093" w:type="dxa"/>
            <w:tcBorders>
              <w:top w:val="nil"/>
              <w:left w:val="nil"/>
              <w:bottom w:val="single" w:sz="4" w:space="0" w:color="auto"/>
              <w:right w:val="single" w:sz="4" w:space="0" w:color="auto"/>
            </w:tcBorders>
            <w:shd w:val="clear" w:color="auto" w:fill="auto"/>
            <w:noWrap/>
            <w:vAlign w:val="bottom"/>
            <w:hideMark/>
          </w:tcPr>
          <w:p w14:paraId="6BBDEC92"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-30</w:t>
            </w:r>
            <w:r>
              <w:rPr>
                <w:rFonts w:eastAsia="Times New Roman"/>
                <w:szCs w:val="24"/>
                <w:lang w:val="en-IN" w:eastAsia="en-IN"/>
              </w:rPr>
              <w:t>,</w:t>
            </w:r>
            <w:r w:rsidRPr="001A53D9">
              <w:rPr>
                <w:rFonts w:eastAsia="Times New Roman"/>
                <w:szCs w:val="24"/>
                <w:lang w:val="en-IN" w:eastAsia="en-IN"/>
              </w:rPr>
              <w:t>000</w:t>
            </w:r>
          </w:p>
        </w:tc>
      </w:tr>
      <w:tr w:rsidR="001A53D9" w:rsidRPr="001A53D9" w14:paraId="24CF53A2"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02DC1AD1" w14:textId="77777777" w:rsidR="001A53D9" w:rsidRPr="001A53D9" w:rsidRDefault="001A53D9" w:rsidP="001A53D9">
            <w:pPr>
              <w:suppressAutoHyphens w:val="0"/>
              <w:spacing w:line="240" w:lineRule="auto"/>
              <w:jc w:val="left"/>
              <w:rPr>
                <w:rFonts w:eastAsia="Times New Roman"/>
                <w:b/>
                <w:szCs w:val="24"/>
                <w:lang w:val="en-IN" w:eastAsia="en-IN"/>
              </w:rPr>
            </w:pPr>
            <w:r w:rsidRPr="001A53D9">
              <w:rPr>
                <w:rFonts w:eastAsia="Times New Roman"/>
                <w:b/>
                <w:szCs w:val="24"/>
                <w:lang w:val="en-IN" w:eastAsia="en-IN"/>
              </w:rPr>
              <w:t>Earnings available for equity shareholders</w:t>
            </w:r>
          </w:p>
        </w:tc>
        <w:tc>
          <w:tcPr>
            <w:tcW w:w="2093" w:type="dxa"/>
            <w:tcBorders>
              <w:top w:val="nil"/>
              <w:left w:val="nil"/>
              <w:bottom w:val="single" w:sz="4" w:space="0" w:color="auto"/>
              <w:right w:val="single" w:sz="4" w:space="0" w:color="auto"/>
            </w:tcBorders>
            <w:shd w:val="clear" w:color="auto" w:fill="auto"/>
            <w:noWrap/>
            <w:vAlign w:val="bottom"/>
            <w:hideMark/>
          </w:tcPr>
          <w:p w14:paraId="50FD69C4" w14:textId="77777777" w:rsidR="001A53D9" w:rsidRPr="001A53D9" w:rsidRDefault="001A53D9" w:rsidP="001A53D9">
            <w:pPr>
              <w:suppressAutoHyphens w:val="0"/>
              <w:spacing w:line="240" w:lineRule="auto"/>
              <w:jc w:val="right"/>
              <w:rPr>
                <w:rFonts w:eastAsia="Times New Roman"/>
                <w:b/>
                <w:szCs w:val="24"/>
                <w:lang w:val="en-IN" w:eastAsia="en-IN"/>
              </w:rPr>
            </w:pPr>
            <w:r w:rsidRPr="001A53D9">
              <w:rPr>
                <w:rFonts w:eastAsia="Times New Roman"/>
                <w:b/>
                <w:szCs w:val="24"/>
                <w:lang w:val="en-IN" w:eastAsia="en-IN"/>
              </w:rPr>
              <w:t>24,330</w:t>
            </w:r>
          </w:p>
        </w:tc>
      </w:tr>
      <w:tr w:rsidR="001A53D9" w:rsidRPr="001A53D9" w14:paraId="0AC51A11"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40C826A6"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Less: Dividend paid</w:t>
            </w:r>
          </w:p>
        </w:tc>
        <w:tc>
          <w:tcPr>
            <w:tcW w:w="2093" w:type="dxa"/>
            <w:tcBorders>
              <w:top w:val="nil"/>
              <w:left w:val="nil"/>
              <w:bottom w:val="single" w:sz="4" w:space="0" w:color="auto"/>
              <w:right w:val="single" w:sz="4" w:space="0" w:color="auto"/>
            </w:tcBorders>
            <w:shd w:val="clear" w:color="auto" w:fill="auto"/>
            <w:noWrap/>
            <w:vAlign w:val="bottom"/>
            <w:hideMark/>
          </w:tcPr>
          <w:p w14:paraId="597F7C01"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-20</w:t>
            </w:r>
            <w:r>
              <w:rPr>
                <w:rFonts w:eastAsia="Times New Roman"/>
                <w:szCs w:val="24"/>
                <w:lang w:val="en-IN" w:eastAsia="en-IN"/>
              </w:rPr>
              <w:t>,</w:t>
            </w:r>
            <w:r w:rsidRPr="001A53D9">
              <w:rPr>
                <w:rFonts w:eastAsia="Times New Roman"/>
                <w:szCs w:val="24"/>
                <w:lang w:val="en-IN" w:eastAsia="en-IN"/>
              </w:rPr>
              <w:t>000</w:t>
            </w:r>
          </w:p>
        </w:tc>
      </w:tr>
      <w:tr w:rsidR="001A53D9" w:rsidRPr="001A53D9" w14:paraId="5E910E20" w14:textId="77777777" w:rsidTr="001A53D9">
        <w:trPr>
          <w:trHeight w:val="314"/>
        </w:trPr>
        <w:tc>
          <w:tcPr>
            <w:tcW w:w="6760" w:type="dxa"/>
            <w:tcBorders>
              <w:top w:val="nil"/>
              <w:left w:val="single" w:sz="4" w:space="0" w:color="auto"/>
              <w:bottom w:val="single" w:sz="4" w:space="0" w:color="auto"/>
              <w:right w:val="single" w:sz="4" w:space="0" w:color="auto"/>
            </w:tcBorders>
            <w:shd w:val="clear" w:color="auto" w:fill="auto"/>
            <w:noWrap/>
            <w:vAlign w:val="bottom"/>
            <w:hideMark/>
          </w:tcPr>
          <w:p w14:paraId="4685C0A3" w14:textId="067B5FDF" w:rsidR="001A53D9" w:rsidRPr="001A53D9" w:rsidRDefault="001A53D9" w:rsidP="001A53D9">
            <w:pPr>
              <w:suppressAutoHyphens w:val="0"/>
              <w:spacing w:line="240" w:lineRule="auto"/>
              <w:jc w:val="left"/>
              <w:rPr>
                <w:rFonts w:eastAsia="Times New Roman"/>
                <w:b/>
                <w:szCs w:val="24"/>
                <w:lang w:val="en-IN" w:eastAsia="en-IN"/>
              </w:rPr>
            </w:pPr>
            <w:r w:rsidRPr="001A53D9">
              <w:rPr>
                <w:rFonts w:eastAsia="Times New Roman"/>
                <w:b/>
                <w:szCs w:val="24"/>
                <w:lang w:val="en-IN" w:eastAsia="en-IN"/>
              </w:rPr>
              <w:t>Net earnings</w:t>
            </w:r>
            <w:r w:rsidR="00CA066B">
              <w:rPr>
                <w:rFonts w:eastAsia="Times New Roman"/>
                <w:b/>
                <w:szCs w:val="24"/>
                <w:lang w:val="en-IN" w:eastAsia="en-IN"/>
              </w:rPr>
              <w:t>”</w:t>
            </w:r>
          </w:p>
        </w:tc>
        <w:tc>
          <w:tcPr>
            <w:tcW w:w="2093" w:type="dxa"/>
            <w:tcBorders>
              <w:top w:val="nil"/>
              <w:left w:val="nil"/>
              <w:bottom w:val="single" w:sz="4" w:space="0" w:color="auto"/>
              <w:right w:val="single" w:sz="4" w:space="0" w:color="auto"/>
            </w:tcBorders>
            <w:shd w:val="clear" w:color="auto" w:fill="auto"/>
            <w:noWrap/>
            <w:vAlign w:val="bottom"/>
            <w:hideMark/>
          </w:tcPr>
          <w:p w14:paraId="143C0B7A" w14:textId="645E79D7" w:rsidR="001A53D9" w:rsidRPr="001A53D9" w:rsidRDefault="001A53D9" w:rsidP="001A53D9">
            <w:pPr>
              <w:suppressAutoHyphens w:val="0"/>
              <w:spacing w:line="240" w:lineRule="auto"/>
              <w:jc w:val="right"/>
              <w:rPr>
                <w:rFonts w:eastAsia="Times New Roman"/>
                <w:b/>
                <w:szCs w:val="24"/>
                <w:lang w:val="en-IN" w:eastAsia="en-IN"/>
              </w:rPr>
            </w:pPr>
            <w:r w:rsidRPr="001A53D9">
              <w:rPr>
                <w:rFonts w:eastAsia="Times New Roman"/>
                <w:b/>
                <w:szCs w:val="24"/>
                <w:lang w:val="en-IN" w:eastAsia="en-IN"/>
              </w:rPr>
              <w:t>4,330</w:t>
            </w:r>
          </w:p>
        </w:tc>
      </w:tr>
    </w:tbl>
    <w:p w14:paraId="7DD7D469" w14:textId="77777777" w:rsidR="001A53D9" w:rsidRPr="001A53D9" w:rsidRDefault="001A53D9" w:rsidP="001A53D9"/>
    <w:tbl>
      <w:tblPr>
        <w:tblW w:w="8788" w:type="dxa"/>
        <w:tblInd w:w="392" w:type="dxa"/>
        <w:tblLook w:val="04A0" w:firstRow="1" w:lastRow="0" w:firstColumn="1" w:lastColumn="0" w:noHBand="0" w:noVBand="1"/>
      </w:tblPr>
      <w:tblGrid>
        <w:gridCol w:w="6804"/>
        <w:gridCol w:w="1984"/>
      </w:tblGrid>
      <w:tr w:rsidR="001A53D9" w:rsidRPr="001A53D9" w14:paraId="0BFE55FA" w14:textId="77777777" w:rsidTr="001A53D9">
        <w:trPr>
          <w:trHeight w:val="312"/>
        </w:trPr>
        <w:tc>
          <w:tcPr>
            <w:tcW w:w="8788"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FCCAD6" w14:textId="6830D95C" w:rsidR="001A53D9" w:rsidRPr="001A53D9" w:rsidRDefault="00CA066B" w:rsidP="001A53D9">
            <w:pPr>
              <w:suppressAutoHyphens w:val="0"/>
              <w:spacing w:line="240" w:lineRule="auto"/>
              <w:jc w:val="center"/>
              <w:rPr>
                <w:rFonts w:eastAsia="Times New Roman"/>
                <w:b/>
                <w:bCs/>
                <w:szCs w:val="24"/>
                <w:lang w:val="en-IN" w:eastAsia="en-IN"/>
              </w:rPr>
            </w:pPr>
            <w:r>
              <w:rPr>
                <w:rFonts w:eastAsia="Times New Roman"/>
                <w:b/>
                <w:bCs/>
                <w:szCs w:val="24"/>
                <w:lang w:val="en-IN" w:eastAsia="en-IN"/>
              </w:rPr>
              <w:t>“</w:t>
            </w:r>
            <w:r w:rsidR="001A53D9" w:rsidRPr="001A53D9">
              <w:rPr>
                <w:rFonts w:eastAsia="Times New Roman"/>
                <w:b/>
                <w:bCs/>
                <w:szCs w:val="24"/>
                <w:lang w:val="en-IN" w:eastAsia="en-IN"/>
              </w:rPr>
              <w:t>Statement of financial position as at 31 December 2021</w:t>
            </w:r>
            <w:r>
              <w:rPr>
                <w:rFonts w:eastAsia="Times New Roman"/>
                <w:b/>
                <w:bCs/>
                <w:szCs w:val="24"/>
                <w:lang w:val="en-IN" w:eastAsia="en-IN"/>
              </w:rPr>
              <w:t>”</w:t>
            </w:r>
          </w:p>
        </w:tc>
      </w:tr>
      <w:tr w:rsidR="001A53D9" w:rsidRPr="001A53D9" w14:paraId="1DF33E39"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37351051" w14:textId="34376E16" w:rsidR="001A53D9" w:rsidRPr="001A53D9" w:rsidRDefault="00CA066B" w:rsidP="001A53D9">
            <w:pPr>
              <w:suppressAutoHyphens w:val="0"/>
              <w:spacing w:line="240" w:lineRule="auto"/>
              <w:jc w:val="left"/>
              <w:rPr>
                <w:rFonts w:eastAsia="Times New Roman"/>
                <w:b/>
                <w:bCs/>
                <w:szCs w:val="24"/>
                <w:lang w:val="en-IN" w:eastAsia="en-IN"/>
              </w:rPr>
            </w:pPr>
            <w:r>
              <w:rPr>
                <w:rFonts w:eastAsia="Times New Roman"/>
                <w:b/>
                <w:bCs/>
                <w:szCs w:val="24"/>
                <w:lang w:val="en-IN" w:eastAsia="en-IN"/>
              </w:rPr>
              <w:t>“</w:t>
            </w:r>
            <w:r w:rsidR="001A53D9" w:rsidRPr="001A53D9">
              <w:rPr>
                <w:rFonts w:eastAsia="Times New Roman"/>
                <w:b/>
                <w:bCs/>
                <w:szCs w:val="24"/>
                <w:lang w:val="en-IN" w:eastAsia="en-IN"/>
              </w:rPr>
              <w:t>Particulars</w:t>
            </w:r>
          </w:p>
        </w:tc>
        <w:tc>
          <w:tcPr>
            <w:tcW w:w="1984" w:type="dxa"/>
            <w:tcBorders>
              <w:top w:val="nil"/>
              <w:left w:val="nil"/>
              <w:bottom w:val="single" w:sz="4" w:space="0" w:color="auto"/>
              <w:right w:val="single" w:sz="4" w:space="0" w:color="auto"/>
            </w:tcBorders>
            <w:shd w:val="clear" w:color="auto" w:fill="auto"/>
            <w:noWrap/>
            <w:vAlign w:val="bottom"/>
            <w:hideMark/>
          </w:tcPr>
          <w:p w14:paraId="09BFCB9F"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Amount (£)</w:t>
            </w:r>
          </w:p>
        </w:tc>
      </w:tr>
      <w:tr w:rsidR="001A53D9" w:rsidRPr="001A53D9" w14:paraId="5A2EBD18"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17A6D1AC"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Non-current assets</w:t>
            </w:r>
          </w:p>
        </w:tc>
        <w:tc>
          <w:tcPr>
            <w:tcW w:w="1984" w:type="dxa"/>
            <w:tcBorders>
              <w:top w:val="nil"/>
              <w:left w:val="nil"/>
              <w:bottom w:val="single" w:sz="4" w:space="0" w:color="auto"/>
              <w:right w:val="single" w:sz="4" w:space="0" w:color="auto"/>
            </w:tcBorders>
            <w:shd w:val="clear" w:color="auto" w:fill="auto"/>
            <w:noWrap/>
            <w:vAlign w:val="bottom"/>
            <w:hideMark/>
          </w:tcPr>
          <w:p w14:paraId="75C67977"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r>
      <w:tr w:rsidR="001A53D9" w:rsidRPr="001A53D9" w14:paraId="57F18D91"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4E192D17"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Property, plant and equipment</w:t>
            </w:r>
          </w:p>
        </w:tc>
        <w:tc>
          <w:tcPr>
            <w:tcW w:w="1984" w:type="dxa"/>
            <w:tcBorders>
              <w:top w:val="nil"/>
              <w:left w:val="nil"/>
              <w:bottom w:val="single" w:sz="4" w:space="0" w:color="auto"/>
              <w:right w:val="single" w:sz="4" w:space="0" w:color="auto"/>
            </w:tcBorders>
            <w:shd w:val="clear" w:color="auto" w:fill="auto"/>
            <w:noWrap/>
            <w:vAlign w:val="bottom"/>
            <w:hideMark/>
          </w:tcPr>
          <w:p w14:paraId="36E3B05C"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1</w:t>
            </w:r>
            <w:r>
              <w:rPr>
                <w:rFonts w:eastAsia="Times New Roman"/>
                <w:szCs w:val="24"/>
                <w:lang w:val="en-IN" w:eastAsia="en-IN"/>
              </w:rPr>
              <w:t>,</w:t>
            </w:r>
            <w:r w:rsidRPr="001A53D9">
              <w:rPr>
                <w:rFonts w:eastAsia="Times New Roman"/>
                <w:szCs w:val="24"/>
                <w:lang w:val="en-IN" w:eastAsia="en-IN"/>
              </w:rPr>
              <w:t>250</w:t>
            </w:r>
            <w:r>
              <w:rPr>
                <w:rFonts w:eastAsia="Times New Roman"/>
                <w:szCs w:val="24"/>
                <w:lang w:val="en-IN" w:eastAsia="en-IN"/>
              </w:rPr>
              <w:t>,</w:t>
            </w:r>
            <w:r w:rsidRPr="001A53D9">
              <w:rPr>
                <w:rFonts w:eastAsia="Times New Roman"/>
                <w:szCs w:val="24"/>
                <w:lang w:val="en-IN" w:eastAsia="en-IN"/>
              </w:rPr>
              <w:t>000</w:t>
            </w:r>
          </w:p>
        </w:tc>
      </w:tr>
      <w:tr w:rsidR="001A53D9" w:rsidRPr="001A53D9" w14:paraId="5282A47F"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68D0CCD7"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Total Non-current assets</w:t>
            </w:r>
          </w:p>
        </w:tc>
        <w:tc>
          <w:tcPr>
            <w:tcW w:w="1984" w:type="dxa"/>
            <w:tcBorders>
              <w:top w:val="nil"/>
              <w:left w:val="nil"/>
              <w:bottom w:val="single" w:sz="4" w:space="0" w:color="auto"/>
              <w:right w:val="single" w:sz="4" w:space="0" w:color="auto"/>
            </w:tcBorders>
            <w:shd w:val="clear" w:color="auto" w:fill="auto"/>
            <w:noWrap/>
            <w:vAlign w:val="bottom"/>
            <w:hideMark/>
          </w:tcPr>
          <w:p w14:paraId="2D4F33CA" w14:textId="77777777" w:rsidR="001A53D9" w:rsidRPr="001A53D9" w:rsidRDefault="001A53D9" w:rsidP="001A53D9">
            <w:pPr>
              <w:suppressAutoHyphens w:val="0"/>
              <w:spacing w:line="240" w:lineRule="auto"/>
              <w:jc w:val="right"/>
              <w:rPr>
                <w:rFonts w:eastAsia="Times New Roman"/>
                <w:b/>
                <w:bCs/>
                <w:szCs w:val="24"/>
                <w:lang w:val="en-IN" w:eastAsia="en-IN"/>
              </w:rPr>
            </w:pPr>
            <w:r w:rsidRPr="001A53D9">
              <w:rPr>
                <w:rFonts w:eastAsia="Times New Roman"/>
                <w:b/>
                <w:bCs/>
                <w:szCs w:val="24"/>
                <w:lang w:val="en-IN" w:eastAsia="en-IN"/>
              </w:rPr>
              <w:t>1</w:t>
            </w:r>
            <w:r>
              <w:rPr>
                <w:rFonts w:eastAsia="Times New Roman"/>
                <w:b/>
                <w:bCs/>
                <w:szCs w:val="24"/>
                <w:lang w:val="en-IN" w:eastAsia="en-IN"/>
              </w:rPr>
              <w:t>,</w:t>
            </w:r>
            <w:r w:rsidRPr="001A53D9">
              <w:rPr>
                <w:rFonts w:eastAsia="Times New Roman"/>
                <w:b/>
                <w:bCs/>
                <w:szCs w:val="24"/>
                <w:lang w:val="en-IN" w:eastAsia="en-IN"/>
              </w:rPr>
              <w:t>250</w:t>
            </w:r>
            <w:r>
              <w:rPr>
                <w:rFonts w:eastAsia="Times New Roman"/>
                <w:b/>
                <w:bCs/>
                <w:szCs w:val="24"/>
                <w:lang w:val="en-IN" w:eastAsia="en-IN"/>
              </w:rPr>
              <w:t>,</w:t>
            </w:r>
            <w:r w:rsidRPr="001A53D9">
              <w:rPr>
                <w:rFonts w:eastAsia="Times New Roman"/>
                <w:b/>
                <w:bCs/>
                <w:szCs w:val="24"/>
                <w:lang w:val="en-IN" w:eastAsia="en-IN"/>
              </w:rPr>
              <w:t>000</w:t>
            </w:r>
          </w:p>
        </w:tc>
      </w:tr>
      <w:tr w:rsidR="001A53D9" w:rsidRPr="001A53D9" w14:paraId="65B6CE33"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78ED8D5A"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1984" w:type="dxa"/>
            <w:tcBorders>
              <w:top w:val="nil"/>
              <w:left w:val="nil"/>
              <w:bottom w:val="single" w:sz="4" w:space="0" w:color="auto"/>
              <w:right w:val="single" w:sz="4" w:space="0" w:color="auto"/>
            </w:tcBorders>
            <w:shd w:val="clear" w:color="auto" w:fill="auto"/>
            <w:noWrap/>
            <w:vAlign w:val="bottom"/>
            <w:hideMark/>
          </w:tcPr>
          <w:p w14:paraId="4C54A124"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r>
      <w:tr w:rsidR="001A53D9" w:rsidRPr="001A53D9" w14:paraId="20FBF0AB"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3111587D"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lastRenderedPageBreak/>
              <w:t>Current assets</w:t>
            </w:r>
          </w:p>
        </w:tc>
        <w:tc>
          <w:tcPr>
            <w:tcW w:w="1984" w:type="dxa"/>
            <w:tcBorders>
              <w:top w:val="nil"/>
              <w:left w:val="nil"/>
              <w:bottom w:val="single" w:sz="4" w:space="0" w:color="auto"/>
              <w:right w:val="single" w:sz="4" w:space="0" w:color="auto"/>
            </w:tcBorders>
            <w:shd w:val="clear" w:color="auto" w:fill="auto"/>
            <w:noWrap/>
            <w:vAlign w:val="bottom"/>
            <w:hideMark/>
          </w:tcPr>
          <w:p w14:paraId="017C84B6"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r>
      <w:tr w:rsidR="001A53D9" w:rsidRPr="001A53D9" w14:paraId="49F1B411"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7C4C8C96"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Inventory</w:t>
            </w:r>
          </w:p>
        </w:tc>
        <w:tc>
          <w:tcPr>
            <w:tcW w:w="1984" w:type="dxa"/>
            <w:tcBorders>
              <w:top w:val="nil"/>
              <w:left w:val="nil"/>
              <w:bottom w:val="single" w:sz="4" w:space="0" w:color="auto"/>
              <w:right w:val="single" w:sz="4" w:space="0" w:color="auto"/>
            </w:tcBorders>
            <w:shd w:val="clear" w:color="auto" w:fill="auto"/>
            <w:noWrap/>
            <w:vAlign w:val="bottom"/>
            <w:hideMark/>
          </w:tcPr>
          <w:p w14:paraId="1FBA523D"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430</w:t>
            </w:r>
            <w:r>
              <w:rPr>
                <w:rFonts w:eastAsia="Times New Roman"/>
                <w:szCs w:val="24"/>
                <w:lang w:val="en-IN" w:eastAsia="en-IN"/>
              </w:rPr>
              <w:t>,</w:t>
            </w:r>
            <w:r w:rsidRPr="001A53D9">
              <w:rPr>
                <w:rFonts w:eastAsia="Times New Roman"/>
                <w:szCs w:val="24"/>
                <w:lang w:val="en-IN" w:eastAsia="en-IN"/>
              </w:rPr>
              <w:t>600</w:t>
            </w:r>
          </w:p>
        </w:tc>
      </w:tr>
      <w:tr w:rsidR="001A53D9" w:rsidRPr="001A53D9" w14:paraId="16DACDAB"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5895DC12"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Trade rec</w:t>
            </w:r>
            <w:r>
              <w:rPr>
                <w:rFonts w:eastAsia="Times New Roman"/>
                <w:szCs w:val="24"/>
                <w:lang w:val="en-IN" w:eastAsia="en-IN"/>
              </w:rPr>
              <w:t>ei</w:t>
            </w:r>
            <w:r w:rsidRPr="001A53D9">
              <w:rPr>
                <w:rFonts w:eastAsia="Times New Roman"/>
                <w:szCs w:val="24"/>
                <w:lang w:val="en-IN" w:eastAsia="en-IN"/>
              </w:rPr>
              <w:t>vables</w:t>
            </w:r>
          </w:p>
        </w:tc>
        <w:tc>
          <w:tcPr>
            <w:tcW w:w="1984" w:type="dxa"/>
            <w:tcBorders>
              <w:top w:val="nil"/>
              <w:left w:val="nil"/>
              <w:bottom w:val="single" w:sz="4" w:space="0" w:color="auto"/>
              <w:right w:val="single" w:sz="4" w:space="0" w:color="auto"/>
            </w:tcBorders>
            <w:shd w:val="clear" w:color="auto" w:fill="auto"/>
            <w:noWrap/>
            <w:vAlign w:val="bottom"/>
            <w:hideMark/>
          </w:tcPr>
          <w:p w14:paraId="08288DF6"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171</w:t>
            </w:r>
            <w:r>
              <w:rPr>
                <w:rFonts w:eastAsia="Times New Roman"/>
                <w:szCs w:val="24"/>
                <w:lang w:val="en-IN" w:eastAsia="en-IN"/>
              </w:rPr>
              <w:t>,</w:t>
            </w:r>
            <w:r w:rsidRPr="001A53D9">
              <w:rPr>
                <w:rFonts w:eastAsia="Times New Roman"/>
                <w:szCs w:val="24"/>
                <w:lang w:val="en-IN" w:eastAsia="en-IN"/>
              </w:rPr>
              <w:t>105</w:t>
            </w:r>
          </w:p>
        </w:tc>
      </w:tr>
      <w:tr w:rsidR="001A53D9" w:rsidRPr="001A53D9" w14:paraId="5B5FE729"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6310CE8B"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Cash and bank</w:t>
            </w:r>
          </w:p>
        </w:tc>
        <w:tc>
          <w:tcPr>
            <w:tcW w:w="1984" w:type="dxa"/>
            <w:tcBorders>
              <w:top w:val="nil"/>
              <w:left w:val="nil"/>
              <w:bottom w:val="single" w:sz="4" w:space="0" w:color="auto"/>
              <w:right w:val="single" w:sz="4" w:space="0" w:color="auto"/>
            </w:tcBorders>
            <w:shd w:val="clear" w:color="auto" w:fill="auto"/>
            <w:noWrap/>
            <w:vAlign w:val="bottom"/>
            <w:hideMark/>
          </w:tcPr>
          <w:p w14:paraId="16D097E5"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176</w:t>
            </w:r>
            <w:r>
              <w:rPr>
                <w:rFonts w:eastAsia="Times New Roman"/>
                <w:szCs w:val="24"/>
                <w:lang w:val="en-IN" w:eastAsia="en-IN"/>
              </w:rPr>
              <w:t>,</w:t>
            </w:r>
            <w:r w:rsidRPr="001A53D9">
              <w:rPr>
                <w:rFonts w:eastAsia="Times New Roman"/>
                <w:szCs w:val="24"/>
                <w:lang w:val="en-IN" w:eastAsia="en-IN"/>
              </w:rPr>
              <w:t>250</w:t>
            </w:r>
          </w:p>
        </w:tc>
      </w:tr>
      <w:tr w:rsidR="001A53D9" w:rsidRPr="001A53D9" w14:paraId="2D8A8638"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0933E7DD"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Total Current assets</w:t>
            </w:r>
          </w:p>
        </w:tc>
        <w:tc>
          <w:tcPr>
            <w:tcW w:w="1984" w:type="dxa"/>
            <w:tcBorders>
              <w:top w:val="nil"/>
              <w:left w:val="nil"/>
              <w:bottom w:val="single" w:sz="4" w:space="0" w:color="auto"/>
              <w:right w:val="single" w:sz="4" w:space="0" w:color="auto"/>
            </w:tcBorders>
            <w:shd w:val="clear" w:color="auto" w:fill="auto"/>
            <w:noWrap/>
            <w:vAlign w:val="bottom"/>
            <w:hideMark/>
          </w:tcPr>
          <w:p w14:paraId="2752C634" w14:textId="77777777" w:rsidR="001A53D9" w:rsidRPr="001A53D9" w:rsidRDefault="001A53D9" w:rsidP="001A53D9">
            <w:pPr>
              <w:suppressAutoHyphens w:val="0"/>
              <w:spacing w:line="240" w:lineRule="auto"/>
              <w:jc w:val="right"/>
              <w:rPr>
                <w:rFonts w:eastAsia="Times New Roman"/>
                <w:b/>
                <w:bCs/>
                <w:szCs w:val="24"/>
                <w:lang w:val="en-IN" w:eastAsia="en-IN"/>
              </w:rPr>
            </w:pPr>
            <w:r w:rsidRPr="001A53D9">
              <w:rPr>
                <w:rFonts w:eastAsia="Times New Roman"/>
                <w:b/>
                <w:bCs/>
                <w:szCs w:val="24"/>
                <w:lang w:val="en-IN" w:eastAsia="en-IN"/>
              </w:rPr>
              <w:t>777</w:t>
            </w:r>
            <w:r>
              <w:rPr>
                <w:rFonts w:eastAsia="Times New Roman"/>
                <w:b/>
                <w:bCs/>
                <w:szCs w:val="24"/>
                <w:lang w:val="en-IN" w:eastAsia="en-IN"/>
              </w:rPr>
              <w:t>,</w:t>
            </w:r>
            <w:r w:rsidRPr="001A53D9">
              <w:rPr>
                <w:rFonts w:eastAsia="Times New Roman"/>
                <w:b/>
                <w:bCs/>
                <w:szCs w:val="24"/>
                <w:lang w:val="en-IN" w:eastAsia="en-IN"/>
              </w:rPr>
              <w:t>955</w:t>
            </w:r>
          </w:p>
        </w:tc>
      </w:tr>
      <w:tr w:rsidR="001A53D9" w:rsidRPr="001A53D9" w14:paraId="09DCDF65"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364BD734"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Total assets</w:t>
            </w:r>
          </w:p>
        </w:tc>
        <w:tc>
          <w:tcPr>
            <w:tcW w:w="1984" w:type="dxa"/>
            <w:tcBorders>
              <w:top w:val="nil"/>
              <w:left w:val="nil"/>
              <w:bottom w:val="single" w:sz="4" w:space="0" w:color="auto"/>
              <w:right w:val="single" w:sz="4" w:space="0" w:color="auto"/>
            </w:tcBorders>
            <w:shd w:val="clear" w:color="auto" w:fill="auto"/>
            <w:noWrap/>
            <w:vAlign w:val="bottom"/>
            <w:hideMark/>
          </w:tcPr>
          <w:p w14:paraId="168BBCF6" w14:textId="77777777" w:rsidR="001A53D9" w:rsidRPr="001A53D9" w:rsidRDefault="001A53D9" w:rsidP="001A53D9">
            <w:pPr>
              <w:suppressAutoHyphens w:val="0"/>
              <w:spacing w:line="240" w:lineRule="auto"/>
              <w:jc w:val="right"/>
              <w:rPr>
                <w:rFonts w:eastAsia="Times New Roman"/>
                <w:b/>
                <w:bCs/>
                <w:szCs w:val="24"/>
                <w:lang w:val="en-IN" w:eastAsia="en-IN"/>
              </w:rPr>
            </w:pPr>
            <w:r w:rsidRPr="001A53D9">
              <w:rPr>
                <w:rFonts w:eastAsia="Times New Roman"/>
                <w:b/>
                <w:bCs/>
                <w:szCs w:val="24"/>
                <w:lang w:val="en-IN" w:eastAsia="en-IN"/>
              </w:rPr>
              <w:t>2</w:t>
            </w:r>
            <w:r>
              <w:rPr>
                <w:rFonts w:eastAsia="Times New Roman"/>
                <w:b/>
                <w:bCs/>
                <w:szCs w:val="24"/>
                <w:lang w:val="en-IN" w:eastAsia="en-IN"/>
              </w:rPr>
              <w:t>,</w:t>
            </w:r>
            <w:r w:rsidRPr="001A53D9">
              <w:rPr>
                <w:rFonts w:eastAsia="Times New Roman"/>
                <w:b/>
                <w:bCs/>
                <w:szCs w:val="24"/>
                <w:lang w:val="en-IN" w:eastAsia="en-IN"/>
              </w:rPr>
              <w:t>027</w:t>
            </w:r>
            <w:r>
              <w:rPr>
                <w:rFonts w:eastAsia="Times New Roman"/>
                <w:b/>
                <w:bCs/>
                <w:szCs w:val="24"/>
                <w:lang w:val="en-IN" w:eastAsia="en-IN"/>
              </w:rPr>
              <w:t>,</w:t>
            </w:r>
            <w:r w:rsidRPr="001A53D9">
              <w:rPr>
                <w:rFonts w:eastAsia="Times New Roman"/>
                <w:b/>
                <w:bCs/>
                <w:szCs w:val="24"/>
                <w:lang w:val="en-IN" w:eastAsia="en-IN"/>
              </w:rPr>
              <w:t>955</w:t>
            </w:r>
          </w:p>
        </w:tc>
      </w:tr>
      <w:tr w:rsidR="001A53D9" w:rsidRPr="001A53D9" w14:paraId="2A30F2CA"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7972D7BE"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 </w:t>
            </w:r>
          </w:p>
        </w:tc>
        <w:tc>
          <w:tcPr>
            <w:tcW w:w="1984" w:type="dxa"/>
            <w:tcBorders>
              <w:top w:val="nil"/>
              <w:left w:val="nil"/>
              <w:bottom w:val="single" w:sz="4" w:space="0" w:color="auto"/>
              <w:right w:val="single" w:sz="4" w:space="0" w:color="auto"/>
            </w:tcBorders>
            <w:shd w:val="clear" w:color="auto" w:fill="auto"/>
            <w:noWrap/>
            <w:vAlign w:val="bottom"/>
            <w:hideMark/>
          </w:tcPr>
          <w:p w14:paraId="45CB7AC0"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 </w:t>
            </w:r>
          </w:p>
        </w:tc>
      </w:tr>
      <w:tr w:rsidR="001A53D9" w:rsidRPr="001A53D9" w14:paraId="4E19EECB"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32DEFD76"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Current liabilities</w:t>
            </w:r>
          </w:p>
        </w:tc>
        <w:tc>
          <w:tcPr>
            <w:tcW w:w="1984" w:type="dxa"/>
            <w:tcBorders>
              <w:top w:val="nil"/>
              <w:left w:val="nil"/>
              <w:bottom w:val="single" w:sz="4" w:space="0" w:color="auto"/>
              <w:right w:val="single" w:sz="4" w:space="0" w:color="auto"/>
            </w:tcBorders>
            <w:shd w:val="clear" w:color="auto" w:fill="auto"/>
            <w:noWrap/>
            <w:vAlign w:val="bottom"/>
            <w:hideMark/>
          </w:tcPr>
          <w:p w14:paraId="2FAE55AF"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r>
      <w:tr w:rsidR="001A53D9" w:rsidRPr="001A53D9" w14:paraId="17A45277"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53EAC1E1"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Trade payable</w:t>
            </w:r>
          </w:p>
        </w:tc>
        <w:tc>
          <w:tcPr>
            <w:tcW w:w="1984" w:type="dxa"/>
            <w:tcBorders>
              <w:top w:val="nil"/>
              <w:left w:val="nil"/>
              <w:bottom w:val="single" w:sz="4" w:space="0" w:color="auto"/>
              <w:right w:val="single" w:sz="4" w:space="0" w:color="auto"/>
            </w:tcBorders>
            <w:shd w:val="clear" w:color="auto" w:fill="auto"/>
            <w:noWrap/>
            <w:vAlign w:val="bottom"/>
            <w:hideMark/>
          </w:tcPr>
          <w:p w14:paraId="701CB04C"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188</w:t>
            </w:r>
            <w:r>
              <w:rPr>
                <w:rFonts w:eastAsia="Times New Roman"/>
                <w:szCs w:val="24"/>
                <w:lang w:val="en-IN" w:eastAsia="en-IN"/>
              </w:rPr>
              <w:t>,</w:t>
            </w:r>
            <w:r w:rsidRPr="001A53D9">
              <w:rPr>
                <w:rFonts w:eastAsia="Times New Roman"/>
                <w:szCs w:val="24"/>
                <w:lang w:val="en-IN" w:eastAsia="en-IN"/>
              </w:rPr>
              <w:t>625</w:t>
            </w:r>
          </w:p>
        </w:tc>
      </w:tr>
      <w:tr w:rsidR="001A53D9" w:rsidRPr="001A53D9" w14:paraId="353624E8"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15FC66A4"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Corporate tax payable</w:t>
            </w:r>
          </w:p>
        </w:tc>
        <w:tc>
          <w:tcPr>
            <w:tcW w:w="1984" w:type="dxa"/>
            <w:tcBorders>
              <w:top w:val="nil"/>
              <w:left w:val="nil"/>
              <w:bottom w:val="single" w:sz="4" w:space="0" w:color="auto"/>
              <w:right w:val="single" w:sz="4" w:space="0" w:color="auto"/>
            </w:tcBorders>
            <w:shd w:val="clear" w:color="auto" w:fill="auto"/>
            <w:noWrap/>
            <w:vAlign w:val="bottom"/>
            <w:hideMark/>
          </w:tcPr>
          <w:p w14:paraId="0EFA5907"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100</w:t>
            </w:r>
            <w:r>
              <w:rPr>
                <w:rFonts w:eastAsia="Times New Roman"/>
                <w:szCs w:val="24"/>
                <w:lang w:val="en-IN" w:eastAsia="en-IN"/>
              </w:rPr>
              <w:t>,</w:t>
            </w:r>
            <w:r w:rsidRPr="001A53D9">
              <w:rPr>
                <w:rFonts w:eastAsia="Times New Roman"/>
                <w:szCs w:val="24"/>
                <w:lang w:val="en-IN" w:eastAsia="en-IN"/>
              </w:rPr>
              <w:t>000</w:t>
            </w:r>
          </w:p>
        </w:tc>
      </w:tr>
      <w:tr w:rsidR="001A53D9" w:rsidRPr="001A53D9" w14:paraId="6AF8F7C2"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79329711"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Commission payable</w:t>
            </w:r>
          </w:p>
        </w:tc>
        <w:tc>
          <w:tcPr>
            <w:tcW w:w="1984" w:type="dxa"/>
            <w:tcBorders>
              <w:top w:val="nil"/>
              <w:left w:val="nil"/>
              <w:bottom w:val="single" w:sz="4" w:space="0" w:color="auto"/>
              <w:right w:val="single" w:sz="4" w:space="0" w:color="auto"/>
            </w:tcBorders>
            <w:shd w:val="clear" w:color="auto" w:fill="auto"/>
            <w:noWrap/>
            <w:vAlign w:val="bottom"/>
            <w:hideMark/>
          </w:tcPr>
          <w:p w14:paraId="24DA6F9F"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3</w:t>
            </w:r>
            <w:r>
              <w:rPr>
                <w:rFonts w:eastAsia="Times New Roman"/>
                <w:szCs w:val="24"/>
                <w:lang w:val="en-IN" w:eastAsia="en-IN"/>
              </w:rPr>
              <w:t>,</w:t>
            </w:r>
            <w:r w:rsidRPr="001A53D9">
              <w:rPr>
                <w:rFonts w:eastAsia="Times New Roman"/>
                <w:szCs w:val="24"/>
                <w:lang w:val="en-IN" w:eastAsia="en-IN"/>
              </w:rPr>
              <w:t>000</w:t>
            </w:r>
          </w:p>
        </w:tc>
      </w:tr>
      <w:tr w:rsidR="001A53D9" w:rsidRPr="001A53D9" w14:paraId="274396C2"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6C45B4E0"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Total Current liabilities</w:t>
            </w:r>
          </w:p>
        </w:tc>
        <w:tc>
          <w:tcPr>
            <w:tcW w:w="1984" w:type="dxa"/>
            <w:tcBorders>
              <w:top w:val="nil"/>
              <w:left w:val="nil"/>
              <w:bottom w:val="single" w:sz="4" w:space="0" w:color="auto"/>
              <w:right w:val="single" w:sz="4" w:space="0" w:color="auto"/>
            </w:tcBorders>
            <w:shd w:val="clear" w:color="auto" w:fill="auto"/>
            <w:noWrap/>
            <w:vAlign w:val="bottom"/>
            <w:hideMark/>
          </w:tcPr>
          <w:p w14:paraId="4938E8B0"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291</w:t>
            </w:r>
            <w:r>
              <w:rPr>
                <w:rFonts w:eastAsia="Times New Roman"/>
                <w:szCs w:val="24"/>
                <w:lang w:val="en-IN" w:eastAsia="en-IN"/>
              </w:rPr>
              <w:t>,</w:t>
            </w:r>
            <w:r w:rsidRPr="001A53D9">
              <w:rPr>
                <w:rFonts w:eastAsia="Times New Roman"/>
                <w:szCs w:val="24"/>
                <w:lang w:val="en-IN" w:eastAsia="en-IN"/>
              </w:rPr>
              <w:t>625</w:t>
            </w:r>
          </w:p>
        </w:tc>
      </w:tr>
      <w:tr w:rsidR="001A53D9" w:rsidRPr="001A53D9" w14:paraId="3E5EF543"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66FB5CC0"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1984" w:type="dxa"/>
            <w:tcBorders>
              <w:top w:val="nil"/>
              <w:left w:val="nil"/>
              <w:bottom w:val="single" w:sz="4" w:space="0" w:color="auto"/>
              <w:right w:val="single" w:sz="4" w:space="0" w:color="auto"/>
            </w:tcBorders>
            <w:shd w:val="clear" w:color="auto" w:fill="auto"/>
            <w:noWrap/>
            <w:vAlign w:val="bottom"/>
            <w:hideMark/>
          </w:tcPr>
          <w:p w14:paraId="54222E81"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r>
      <w:tr w:rsidR="001A53D9" w:rsidRPr="001A53D9" w14:paraId="79F18FED"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5BF3E27B"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Non-current liabilities</w:t>
            </w:r>
          </w:p>
        </w:tc>
        <w:tc>
          <w:tcPr>
            <w:tcW w:w="1984" w:type="dxa"/>
            <w:tcBorders>
              <w:top w:val="nil"/>
              <w:left w:val="nil"/>
              <w:bottom w:val="single" w:sz="4" w:space="0" w:color="auto"/>
              <w:right w:val="single" w:sz="4" w:space="0" w:color="auto"/>
            </w:tcBorders>
            <w:shd w:val="clear" w:color="auto" w:fill="auto"/>
            <w:noWrap/>
            <w:vAlign w:val="bottom"/>
            <w:hideMark/>
          </w:tcPr>
          <w:p w14:paraId="36446C0A"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r>
      <w:tr w:rsidR="001A53D9" w:rsidRPr="001A53D9" w14:paraId="5F577FF5"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432B5E33"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4% Debentures</w:t>
            </w:r>
          </w:p>
        </w:tc>
        <w:tc>
          <w:tcPr>
            <w:tcW w:w="1984" w:type="dxa"/>
            <w:tcBorders>
              <w:top w:val="nil"/>
              <w:left w:val="nil"/>
              <w:bottom w:val="single" w:sz="4" w:space="0" w:color="auto"/>
              <w:right w:val="single" w:sz="4" w:space="0" w:color="auto"/>
            </w:tcBorders>
            <w:shd w:val="clear" w:color="auto" w:fill="auto"/>
            <w:noWrap/>
            <w:vAlign w:val="bottom"/>
            <w:hideMark/>
          </w:tcPr>
          <w:p w14:paraId="71C9A1F7"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200</w:t>
            </w:r>
            <w:r>
              <w:rPr>
                <w:rFonts w:eastAsia="Times New Roman"/>
                <w:szCs w:val="24"/>
                <w:lang w:val="en-IN" w:eastAsia="en-IN"/>
              </w:rPr>
              <w:t>,</w:t>
            </w:r>
            <w:r w:rsidRPr="001A53D9">
              <w:rPr>
                <w:rFonts w:eastAsia="Times New Roman"/>
                <w:szCs w:val="24"/>
                <w:lang w:val="en-IN" w:eastAsia="en-IN"/>
              </w:rPr>
              <w:t>000</w:t>
            </w:r>
          </w:p>
        </w:tc>
      </w:tr>
      <w:tr w:rsidR="001A53D9" w:rsidRPr="001A53D9" w14:paraId="3A47396A"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3AD4C454"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Total Non-current liabilities</w:t>
            </w:r>
          </w:p>
        </w:tc>
        <w:tc>
          <w:tcPr>
            <w:tcW w:w="1984" w:type="dxa"/>
            <w:tcBorders>
              <w:top w:val="nil"/>
              <w:left w:val="nil"/>
              <w:bottom w:val="single" w:sz="4" w:space="0" w:color="auto"/>
              <w:right w:val="single" w:sz="4" w:space="0" w:color="auto"/>
            </w:tcBorders>
            <w:shd w:val="clear" w:color="auto" w:fill="auto"/>
            <w:noWrap/>
            <w:vAlign w:val="bottom"/>
            <w:hideMark/>
          </w:tcPr>
          <w:p w14:paraId="0F7C9AB1"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200</w:t>
            </w:r>
            <w:r>
              <w:rPr>
                <w:rFonts w:eastAsia="Times New Roman"/>
                <w:szCs w:val="24"/>
                <w:lang w:val="en-IN" w:eastAsia="en-IN"/>
              </w:rPr>
              <w:t>,</w:t>
            </w:r>
            <w:r w:rsidRPr="001A53D9">
              <w:rPr>
                <w:rFonts w:eastAsia="Times New Roman"/>
                <w:szCs w:val="24"/>
                <w:lang w:val="en-IN" w:eastAsia="en-IN"/>
              </w:rPr>
              <w:t>000</w:t>
            </w:r>
          </w:p>
        </w:tc>
      </w:tr>
      <w:tr w:rsidR="001A53D9" w:rsidRPr="001A53D9" w14:paraId="550A9364"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59726B6D"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1984" w:type="dxa"/>
            <w:tcBorders>
              <w:top w:val="nil"/>
              <w:left w:val="nil"/>
              <w:bottom w:val="single" w:sz="4" w:space="0" w:color="auto"/>
              <w:right w:val="single" w:sz="4" w:space="0" w:color="auto"/>
            </w:tcBorders>
            <w:shd w:val="clear" w:color="auto" w:fill="auto"/>
            <w:noWrap/>
            <w:vAlign w:val="bottom"/>
            <w:hideMark/>
          </w:tcPr>
          <w:p w14:paraId="15901F39"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r>
      <w:tr w:rsidR="001A53D9" w:rsidRPr="001A53D9" w14:paraId="037B9ACB"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11C53A53"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Equity</w:t>
            </w:r>
          </w:p>
        </w:tc>
        <w:tc>
          <w:tcPr>
            <w:tcW w:w="1984" w:type="dxa"/>
            <w:tcBorders>
              <w:top w:val="nil"/>
              <w:left w:val="nil"/>
              <w:bottom w:val="single" w:sz="4" w:space="0" w:color="auto"/>
              <w:right w:val="single" w:sz="4" w:space="0" w:color="auto"/>
            </w:tcBorders>
            <w:shd w:val="clear" w:color="auto" w:fill="auto"/>
            <w:noWrap/>
            <w:vAlign w:val="bottom"/>
            <w:hideMark/>
          </w:tcPr>
          <w:p w14:paraId="565B3135"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r>
      <w:tr w:rsidR="001A53D9" w:rsidRPr="001A53D9" w14:paraId="68ED3B5E"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37EE1DBC"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Ordinary share capital</w:t>
            </w:r>
          </w:p>
        </w:tc>
        <w:tc>
          <w:tcPr>
            <w:tcW w:w="1984" w:type="dxa"/>
            <w:tcBorders>
              <w:top w:val="nil"/>
              <w:left w:val="nil"/>
              <w:bottom w:val="single" w:sz="4" w:space="0" w:color="auto"/>
              <w:right w:val="single" w:sz="4" w:space="0" w:color="auto"/>
            </w:tcBorders>
            <w:shd w:val="clear" w:color="auto" w:fill="auto"/>
            <w:noWrap/>
            <w:vAlign w:val="bottom"/>
            <w:hideMark/>
          </w:tcPr>
          <w:p w14:paraId="44F793C8"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1</w:t>
            </w:r>
            <w:r>
              <w:rPr>
                <w:rFonts w:eastAsia="Times New Roman"/>
                <w:szCs w:val="24"/>
                <w:lang w:val="en-IN" w:eastAsia="en-IN"/>
              </w:rPr>
              <w:t>,</w:t>
            </w:r>
            <w:r w:rsidRPr="001A53D9">
              <w:rPr>
                <w:rFonts w:eastAsia="Times New Roman"/>
                <w:szCs w:val="24"/>
                <w:lang w:val="en-IN" w:eastAsia="en-IN"/>
              </w:rPr>
              <w:t>000</w:t>
            </w:r>
            <w:r>
              <w:rPr>
                <w:rFonts w:eastAsia="Times New Roman"/>
                <w:szCs w:val="24"/>
                <w:lang w:val="en-IN" w:eastAsia="en-IN"/>
              </w:rPr>
              <w:t>,</w:t>
            </w:r>
            <w:r w:rsidRPr="001A53D9">
              <w:rPr>
                <w:rFonts w:eastAsia="Times New Roman"/>
                <w:szCs w:val="24"/>
                <w:lang w:val="en-IN" w:eastAsia="en-IN"/>
              </w:rPr>
              <w:t>000</w:t>
            </w:r>
          </w:p>
        </w:tc>
      </w:tr>
      <w:tr w:rsidR="001A53D9" w:rsidRPr="001A53D9" w14:paraId="61DB684C"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700B6B93"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10% preference share capital</w:t>
            </w:r>
          </w:p>
        </w:tc>
        <w:tc>
          <w:tcPr>
            <w:tcW w:w="1984" w:type="dxa"/>
            <w:tcBorders>
              <w:top w:val="nil"/>
              <w:left w:val="nil"/>
              <w:bottom w:val="single" w:sz="4" w:space="0" w:color="auto"/>
              <w:right w:val="single" w:sz="4" w:space="0" w:color="auto"/>
            </w:tcBorders>
            <w:shd w:val="clear" w:color="auto" w:fill="auto"/>
            <w:noWrap/>
            <w:vAlign w:val="bottom"/>
            <w:hideMark/>
          </w:tcPr>
          <w:p w14:paraId="012ACBDC"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400</w:t>
            </w:r>
            <w:r>
              <w:rPr>
                <w:rFonts w:eastAsia="Times New Roman"/>
                <w:szCs w:val="24"/>
                <w:lang w:val="en-IN" w:eastAsia="en-IN"/>
              </w:rPr>
              <w:t>,</w:t>
            </w:r>
            <w:r w:rsidRPr="001A53D9">
              <w:rPr>
                <w:rFonts w:eastAsia="Times New Roman"/>
                <w:szCs w:val="24"/>
                <w:lang w:val="en-IN" w:eastAsia="en-IN"/>
              </w:rPr>
              <w:t>000</w:t>
            </w:r>
          </w:p>
        </w:tc>
      </w:tr>
      <w:tr w:rsidR="001A53D9" w:rsidRPr="001A53D9" w14:paraId="4A070621"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393D2059"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Retained earnings</w:t>
            </w:r>
          </w:p>
        </w:tc>
        <w:tc>
          <w:tcPr>
            <w:tcW w:w="1984" w:type="dxa"/>
            <w:tcBorders>
              <w:top w:val="nil"/>
              <w:left w:val="nil"/>
              <w:bottom w:val="single" w:sz="4" w:space="0" w:color="auto"/>
              <w:right w:val="single" w:sz="4" w:space="0" w:color="auto"/>
            </w:tcBorders>
            <w:shd w:val="clear" w:color="auto" w:fill="auto"/>
            <w:noWrap/>
            <w:vAlign w:val="bottom"/>
            <w:hideMark/>
          </w:tcPr>
          <w:p w14:paraId="790EDB7B"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136</w:t>
            </w:r>
            <w:r>
              <w:rPr>
                <w:rFonts w:eastAsia="Times New Roman"/>
                <w:szCs w:val="24"/>
                <w:lang w:val="en-IN" w:eastAsia="en-IN"/>
              </w:rPr>
              <w:t>,</w:t>
            </w:r>
            <w:r w:rsidRPr="001A53D9">
              <w:rPr>
                <w:rFonts w:eastAsia="Times New Roman"/>
                <w:szCs w:val="24"/>
                <w:lang w:val="en-IN" w:eastAsia="en-IN"/>
              </w:rPr>
              <w:t>330</w:t>
            </w:r>
          </w:p>
        </w:tc>
      </w:tr>
      <w:tr w:rsidR="001A53D9" w:rsidRPr="001A53D9" w14:paraId="7DD3693A"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0A82F0FD" w14:textId="77777777" w:rsidR="001A53D9" w:rsidRPr="001A53D9" w:rsidRDefault="001A53D9" w:rsidP="001A53D9">
            <w:pPr>
              <w:suppressAutoHyphens w:val="0"/>
              <w:spacing w:line="240" w:lineRule="auto"/>
              <w:jc w:val="left"/>
              <w:rPr>
                <w:rFonts w:eastAsia="Times New Roman"/>
                <w:b/>
                <w:bCs/>
                <w:szCs w:val="24"/>
                <w:lang w:val="en-IN" w:eastAsia="en-IN"/>
              </w:rPr>
            </w:pPr>
            <w:r w:rsidRPr="001A53D9">
              <w:rPr>
                <w:rFonts w:eastAsia="Times New Roman"/>
                <w:b/>
                <w:bCs/>
                <w:szCs w:val="24"/>
                <w:lang w:val="en-IN" w:eastAsia="en-IN"/>
              </w:rPr>
              <w:t>Total equity</w:t>
            </w:r>
          </w:p>
        </w:tc>
        <w:tc>
          <w:tcPr>
            <w:tcW w:w="1984" w:type="dxa"/>
            <w:tcBorders>
              <w:top w:val="nil"/>
              <w:left w:val="nil"/>
              <w:bottom w:val="single" w:sz="4" w:space="0" w:color="auto"/>
              <w:right w:val="single" w:sz="4" w:space="0" w:color="auto"/>
            </w:tcBorders>
            <w:shd w:val="clear" w:color="auto" w:fill="auto"/>
            <w:noWrap/>
            <w:vAlign w:val="bottom"/>
            <w:hideMark/>
          </w:tcPr>
          <w:p w14:paraId="5C63DAF2" w14:textId="77777777" w:rsidR="001A53D9" w:rsidRPr="001A53D9" w:rsidRDefault="001A53D9" w:rsidP="001A53D9">
            <w:pPr>
              <w:suppressAutoHyphens w:val="0"/>
              <w:spacing w:line="240" w:lineRule="auto"/>
              <w:jc w:val="right"/>
              <w:rPr>
                <w:rFonts w:eastAsia="Times New Roman"/>
                <w:b/>
                <w:bCs/>
                <w:szCs w:val="24"/>
                <w:lang w:val="en-IN" w:eastAsia="en-IN"/>
              </w:rPr>
            </w:pPr>
            <w:r w:rsidRPr="001A53D9">
              <w:rPr>
                <w:rFonts w:eastAsia="Times New Roman"/>
                <w:b/>
                <w:bCs/>
                <w:szCs w:val="24"/>
                <w:lang w:val="en-IN" w:eastAsia="en-IN"/>
              </w:rPr>
              <w:t>1</w:t>
            </w:r>
            <w:r>
              <w:rPr>
                <w:rFonts w:eastAsia="Times New Roman"/>
                <w:b/>
                <w:bCs/>
                <w:szCs w:val="24"/>
                <w:lang w:val="en-IN" w:eastAsia="en-IN"/>
              </w:rPr>
              <w:t>,</w:t>
            </w:r>
            <w:r w:rsidRPr="001A53D9">
              <w:rPr>
                <w:rFonts w:eastAsia="Times New Roman"/>
                <w:b/>
                <w:bCs/>
                <w:szCs w:val="24"/>
                <w:lang w:val="en-IN" w:eastAsia="en-IN"/>
              </w:rPr>
              <w:t>536</w:t>
            </w:r>
            <w:r>
              <w:rPr>
                <w:rFonts w:eastAsia="Times New Roman"/>
                <w:b/>
                <w:bCs/>
                <w:szCs w:val="24"/>
                <w:lang w:val="en-IN" w:eastAsia="en-IN"/>
              </w:rPr>
              <w:t>,</w:t>
            </w:r>
            <w:r w:rsidRPr="001A53D9">
              <w:rPr>
                <w:rFonts w:eastAsia="Times New Roman"/>
                <w:b/>
                <w:bCs/>
                <w:szCs w:val="24"/>
                <w:lang w:val="en-IN" w:eastAsia="en-IN"/>
              </w:rPr>
              <w:t>330</w:t>
            </w:r>
          </w:p>
        </w:tc>
      </w:tr>
      <w:tr w:rsidR="001A53D9" w:rsidRPr="001A53D9" w14:paraId="0B0FD70E" w14:textId="77777777" w:rsidTr="001A53D9">
        <w:trPr>
          <w:trHeight w:val="312"/>
        </w:trPr>
        <w:tc>
          <w:tcPr>
            <w:tcW w:w="6804" w:type="dxa"/>
            <w:tcBorders>
              <w:top w:val="nil"/>
              <w:left w:val="single" w:sz="4" w:space="0" w:color="auto"/>
              <w:bottom w:val="single" w:sz="4" w:space="0" w:color="auto"/>
              <w:right w:val="single" w:sz="4" w:space="0" w:color="auto"/>
            </w:tcBorders>
            <w:shd w:val="clear" w:color="auto" w:fill="auto"/>
            <w:noWrap/>
            <w:vAlign w:val="bottom"/>
            <w:hideMark/>
          </w:tcPr>
          <w:p w14:paraId="3278C4D1" w14:textId="38962706"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Total equities and liabilities</w:t>
            </w:r>
            <w:r w:rsidR="00CA066B">
              <w:rPr>
                <w:rFonts w:eastAsia="Times New Roman"/>
                <w:szCs w:val="24"/>
                <w:lang w:val="en-IN" w:eastAsia="en-IN"/>
              </w:rPr>
              <w:t>”</w:t>
            </w:r>
          </w:p>
        </w:tc>
        <w:tc>
          <w:tcPr>
            <w:tcW w:w="1984" w:type="dxa"/>
            <w:tcBorders>
              <w:top w:val="nil"/>
              <w:left w:val="nil"/>
              <w:bottom w:val="single" w:sz="4" w:space="0" w:color="auto"/>
              <w:right w:val="single" w:sz="4" w:space="0" w:color="auto"/>
            </w:tcBorders>
            <w:shd w:val="clear" w:color="auto" w:fill="auto"/>
            <w:noWrap/>
            <w:vAlign w:val="bottom"/>
            <w:hideMark/>
          </w:tcPr>
          <w:p w14:paraId="5E234B62" w14:textId="77777777" w:rsidR="001A53D9" w:rsidRPr="001A53D9" w:rsidRDefault="001A53D9" w:rsidP="001A53D9">
            <w:pPr>
              <w:suppressAutoHyphens w:val="0"/>
              <w:spacing w:line="240" w:lineRule="auto"/>
              <w:jc w:val="right"/>
              <w:rPr>
                <w:rFonts w:eastAsia="Times New Roman"/>
                <w:szCs w:val="24"/>
                <w:lang w:val="en-IN" w:eastAsia="en-IN"/>
              </w:rPr>
            </w:pPr>
            <w:r w:rsidRPr="001A53D9">
              <w:rPr>
                <w:rFonts w:eastAsia="Times New Roman"/>
                <w:szCs w:val="24"/>
                <w:lang w:val="en-IN" w:eastAsia="en-IN"/>
              </w:rPr>
              <w:t>2</w:t>
            </w:r>
            <w:r>
              <w:rPr>
                <w:rFonts w:eastAsia="Times New Roman"/>
                <w:szCs w:val="24"/>
                <w:lang w:val="en-IN" w:eastAsia="en-IN"/>
              </w:rPr>
              <w:t>,</w:t>
            </w:r>
            <w:r w:rsidRPr="001A53D9">
              <w:rPr>
                <w:rFonts w:eastAsia="Times New Roman"/>
                <w:szCs w:val="24"/>
                <w:lang w:val="en-IN" w:eastAsia="en-IN"/>
              </w:rPr>
              <w:t>027</w:t>
            </w:r>
            <w:r>
              <w:rPr>
                <w:rFonts w:eastAsia="Times New Roman"/>
                <w:szCs w:val="24"/>
                <w:lang w:val="en-IN" w:eastAsia="en-IN"/>
              </w:rPr>
              <w:t>,</w:t>
            </w:r>
            <w:r w:rsidRPr="001A53D9">
              <w:rPr>
                <w:rFonts w:eastAsia="Times New Roman"/>
                <w:szCs w:val="24"/>
                <w:lang w:val="en-IN" w:eastAsia="en-IN"/>
              </w:rPr>
              <w:t>955</w:t>
            </w:r>
          </w:p>
        </w:tc>
      </w:tr>
    </w:tbl>
    <w:p w14:paraId="79B9EF80" w14:textId="77777777" w:rsidR="001A53D9" w:rsidRDefault="001A53D9" w:rsidP="001A53D9"/>
    <w:p w14:paraId="6D260346" w14:textId="77777777" w:rsidR="001A53D9" w:rsidRDefault="001A53D9" w:rsidP="001A53D9">
      <w:pPr>
        <w:rPr>
          <w:b/>
        </w:rPr>
      </w:pPr>
      <w:r w:rsidRPr="001A53D9">
        <w:rPr>
          <w:b/>
        </w:rPr>
        <w:t>Notes to accounts</w:t>
      </w:r>
      <w:r>
        <w:rPr>
          <w:b/>
        </w:rPr>
        <w:t>:</w:t>
      </w:r>
    </w:p>
    <w:p w14:paraId="66588558" w14:textId="77777777" w:rsidR="001A53D9" w:rsidRDefault="001A53D9" w:rsidP="001A53D9">
      <w:pPr>
        <w:rPr>
          <w:b/>
        </w:rPr>
      </w:pPr>
      <w:r>
        <w:rPr>
          <w:b/>
        </w:rPr>
        <w:t>1. Sales</w:t>
      </w:r>
    </w:p>
    <w:tbl>
      <w:tblPr>
        <w:tblStyle w:val="TableGrid"/>
        <w:tblW w:w="0" w:type="auto"/>
        <w:tblInd w:w="392" w:type="dxa"/>
        <w:tblLook w:val="04A0" w:firstRow="1" w:lastRow="0" w:firstColumn="1" w:lastColumn="0" w:noHBand="0" w:noVBand="1"/>
      </w:tblPr>
      <w:tblGrid>
        <w:gridCol w:w="6804"/>
        <w:gridCol w:w="2380"/>
      </w:tblGrid>
      <w:tr w:rsidR="001A53D9" w14:paraId="71033370" w14:textId="77777777" w:rsidTr="001A53D9">
        <w:tc>
          <w:tcPr>
            <w:tcW w:w="6804" w:type="dxa"/>
          </w:tcPr>
          <w:p w14:paraId="6D0076FA" w14:textId="77777777" w:rsidR="001A53D9" w:rsidRDefault="001A53D9" w:rsidP="001A53D9">
            <w:pPr>
              <w:rPr>
                <w:b/>
              </w:rPr>
            </w:pPr>
            <w:r w:rsidRPr="001A53D9">
              <w:rPr>
                <w:rFonts w:eastAsia="Times New Roman"/>
                <w:b/>
                <w:bCs/>
                <w:szCs w:val="24"/>
                <w:lang w:val="en-IN" w:eastAsia="en-IN"/>
              </w:rPr>
              <w:t>Particulars</w:t>
            </w:r>
          </w:p>
        </w:tc>
        <w:tc>
          <w:tcPr>
            <w:tcW w:w="2380" w:type="dxa"/>
          </w:tcPr>
          <w:p w14:paraId="45E1583F" w14:textId="77777777" w:rsidR="001A53D9" w:rsidRDefault="001A53D9" w:rsidP="001A53D9">
            <w:pPr>
              <w:rPr>
                <w:b/>
              </w:rPr>
            </w:pPr>
            <w:r w:rsidRPr="001A53D9">
              <w:rPr>
                <w:rFonts w:eastAsia="Times New Roman"/>
                <w:b/>
                <w:bCs/>
                <w:szCs w:val="24"/>
                <w:lang w:val="en-IN" w:eastAsia="en-IN"/>
              </w:rPr>
              <w:t>Amount (£)</w:t>
            </w:r>
          </w:p>
        </w:tc>
      </w:tr>
      <w:tr w:rsidR="001A53D9" w14:paraId="2DE2AF9D" w14:textId="77777777" w:rsidTr="001A53D9">
        <w:tc>
          <w:tcPr>
            <w:tcW w:w="6804" w:type="dxa"/>
          </w:tcPr>
          <w:p w14:paraId="22D945A0" w14:textId="77777777" w:rsidR="001A53D9" w:rsidRPr="001A53D9" w:rsidRDefault="001A53D9" w:rsidP="001A53D9">
            <w:r>
              <w:t>Total sales revenue</w:t>
            </w:r>
          </w:p>
        </w:tc>
        <w:tc>
          <w:tcPr>
            <w:tcW w:w="2380" w:type="dxa"/>
          </w:tcPr>
          <w:p w14:paraId="0450E15F" w14:textId="77777777" w:rsidR="001A53D9" w:rsidRPr="001A53D9" w:rsidRDefault="001A53D9" w:rsidP="001A53D9">
            <w:r w:rsidRPr="001A53D9">
              <w:t>800,000</w:t>
            </w:r>
          </w:p>
        </w:tc>
      </w:tr>
      <w:tr w:rsidR="001A53D9" w14:paraId="36B63BA4" w14:textId="77777777" w:rsidTr="001A53D9">
        <w:tc>
          <w:tcPr>
            <w:tcW w:w="6804" w:type="dxa"/>
          </w:tcPr>
          <w:p w14:paraId="6C77D30E" w14:textId="77777777" w:rsidR="001A53D9" w:rsidRDefault="001A53D9" w:rsidP="001A53D9">
            <w:r>
              <w:t>Add Goods sent to customers but payment not received (Accounting tools, 2022)</w:t>
            </w:r>
          </w:p>
        </w:tc>
        <w:tc>
          <w:tcPr>
            <w:tcW w:w="2380" w:type="dxa"/>
          </w:tcPr>
          <w:p w14:paraId="4BE8A2B1" w14:textId="77777777" w:rsidR="001A53D9" w:rsidRPr="001A53D9" w:rsidRDefault="001A53D9" w:rsidP="001A53D9">
            <w:r w:rsidRPr="001A53D9">
              <w:t>980</w:t>
            </w:r>
          </w:p>
        </w:tc>
      </w:tr>
      <w:tr w:rsidR="001A53D9" w14:paraId="22CAC25C" w14:textId="77777777" w:rsidTr="001A53D9">
        <w:tc>
          <w:tcPr>
            <w:tcW w:w="6804" w:type="dxa"/>
          </w:tcPr>
          <w:p w14:paraId="081AC62B" w14:textId="77777777" w:rsidR="001A53D9" w:rsidRDefault="001A53D9" w:rsidP="001A53D9">
            <w:r>
              <w:t>Total</w:t>
            </w:r>
          </w:p>
        </w:tc>
        <w:tc>
          <w:tcPr>
            <w:tcW w:w="2380" w:type="dxa"/>
          </w:tcPr>
          <w:p w14:paraId="06310CF5" w14:textId="77777777" w:rsidR="001A53D9" w:rsidRPr="001A53D9" w:rsidRDefault="001A53D9" w:rsidP="001A53D9">
            <w:r w:rsidRPr="001A53D9">
              <w:t>800,980</w:t>
            </w:r>
          </w:p>
        </w:tc>
      </w:tr>
    </w:tbl>
    <w:p w14:paraId="578F1578" w14:textId="77777777" w:rsidR="001A53D9" w:rsidRPr="001A53D9" w:rsidRDefault="001A53D9" w:rsidP="001A53D9">
      <w:pPr>
        <w:rPr>
          <w:b/>
        </w:rPr>
      </w:pPr>
    </w:p>
    <w:p w14:paraId="27377277" w14:textId="77777777" w:rsidR="001A53D9" w:rsidRPr="001A53D9" w:rsidRDefault="001A53D9" w:rsidP="001A53D9">
      <w:pPr>
        <w:rPr>
          <w:b/>
        </w:rPr>
      </w:pPr>
      <w:r w:rsidRPr="001A53D9">
        <w:rPr>
          <w:b/>
        </w:rPr>
        <w:t>2. Employee benefit expenses</w:t>
      </w:r>
    </w:p>
    <w:tbl>
      <w:tblPr>
        <w:tblStyle w:val="TableGrid"/>
        <w:tblW w:w="0" w:type="auto"/>
        <w:tblInd w:w="392" w:type="dxa"/>
        <w:tblLook w:val="04A0" w:firstRow="1" w:lastRow="0" w:firstColumn="1" w:lastColumn="0" w:noHBand="0" w:noVBand="1"/>
      </w:tblPr>
      <w:tblGrid>
        <w:gridCol w:w="6804"/>
        <w:gridCol w:w="2380"/>
      </w:tblGrid>
      <w:tr w:rsidR="001A53D9" w14:paraId="1179A906" w14:textId="77777777" w:rsidTr="001E394A">
        <w:tc>
          <w:tcPr>
            <w:tcW w:w="6804" w:type="dxa"/>
          </w:tcPr>
          <w:p w14:paraId="152EF8DA" w14:textId="77777777" w:rsidR="001A53D9" w:rsidRDefault="001A53D9" w:rsidP="001E394A">
            <w:pPr>
              <w:rPr>
                <w:b/>
              </w:rPr>
            </w:pPr>
            <w:r w:rsidRPr="001A53D9">
              <w:rPr>
                <w:rFonts w:eastAsia="Times New Roman"/>
                <w:b/>
                <w:bCs/>
                <w:szCs w:val="24"/>
                <w:lang w:val="en-IN" w:eastAsia="en-IN"/>
              </w:rPr>
              <w:t>Particulars</w:t>
            </w:r>
          </w:p>
        </w:tc>
        <w:tc>
          <w:tcPr>
            <w:tcW w:w="2380" w:type="dxa"/>
          </w:tcPr>
          <w:p w14:paraId="460D90D2" w14:textId="77777777" w:rsidR="001A53D9" w:rsidRDefault="001A53D9" w:rsidP="001E394A">
            <w:pPr>
              <w:rPr>
                <w:b/>
              </w:rPr>
            </w:pPr>
            <w:r w:rsidRPr="001A53D9">
              <w:rPr>
                <w:rFonts w:eastAsia="Times New Roman"/>
                <w:b/>
                <w:bCs/>
                <w:szCs w:val="24"/>
                <w:lang w:val="en-IN" w:eastAsia="en-IN"/>
              </w:rPr>
              <w:t>Amount (£)</w:t>
            </w:r>
          </w:p>
        </w:tc>
      </w:tr>
      <w:tr w:rsidR="001A53D9" w14:paraId="10D700E7" w14:textId="77777777" w:rsidTr="001E394A">
        <w:tc>
          <w:tcPr>
            <w:tcW w:w="6804" w:type="dxa"/>
          </w:tcPr>
          <w:p w14:paraId="035611C4" w14:textId="77777777" w:rsidR="001A53D9" w:rsidRPr="001A53D9" w:rsidRDefault="001A53D9" w:rsidP="001E394A">
            <w:r>
              <w:t>Director’s remuneration</w:t>
            </w:r>
          </w:p>
        </w:tc>
        <w:tc>
          <w:tcPr>
            <w:tcW w:w="2380" w:type="dxa"/>
          </w:tcPr>
          <w:p w14:paraId="17F443BA" w14:textId="77777777" w:rsidR="001A53D9" w:rsidRPr="001A53D9" w:rsidRDefault="001A53D9" w:rsidP="001E394A">
            <w:r>
              <w:t>5,000</w:t>
            </w:r>
          </w:p>
        </w:tc>
      </w:tr>
      <w:tr w:rsidR="001A53D9" w14:paraId="7708BBAD" w14:textId="77777777" w:rsidTr="001E394A">
        <w:tc>
          <w:tcPr>
            <w:tcW w:w="6804" w:type="dxa"/>
          </w:tcPr>
          <w:p w14:paraId="234A5897" w14:textId="77777777" w:rsidR="001A53D9" w:rsidRDefault="001A53D9" w:rsidP="001E394A">
            <w:r>
              <w:t>Commission payable to salesmen</w:t>
            </w:r>
          </w:p>
        </w:tc>
        <w:tc>
          <w:tcPr>
            <w:tcW w:w="2380" w:type="dxa"/>
          </w:tcPr>
          <w:p w14:paraId="763554F2" w14:textId="77777777" w:rsidR="001A53D9" w:rsidRPr="001A53D9" w:rsidRDefault="001A53D9" w:rsidP="001E394A">
            <w:r>
              <w:t>3,000</w:t>
            </w:r>
          </w:p>
        </w:tc>
      </w:tr>
      <w:tr w:rsidR="001A53D9" w14:paraId="2937DC4A" w14:textId="77777777" w:rsidTr="001E394A">
        <w:tc>
          <w:tcPr>
            <w:tcW w:w="6804" w:type="dxa"/>
          </w:tcPr>
          <w:p w14:paraId="2514CE1E" w14:textId="77777777" w:rsidR="001A53D9" w:rsidRDefault="001A53D9" w:rsidP="001E394A">
            <w:r>
              <w:lastRenderedPageBreak/>
              <w:t>Total</w:t>
            </w:r>
          </w:p>
        </w:tc>
        <w:tc>
          <w:tcPr>
            <w:tcW w:w="2380" w:type="dxa"/>
          </w:tcPr>
          <w:p w14:paraId="2A340887" w14:textId="77777777" w:rsidR="001A53D9" w:rsidRPr="001A53D9" w:rsidRDefault="001A53D9" w:rsidP="001E394A">
            <w:r>
              <w:t>8,000</w:t>
            </w:r>
          </w:p>
        </w:tc>
      </w:tr>
    </w:tbl>
    <w:p w14:paraId="5F0AD407" w14:textId="77777777" w:rsidR="001A53D9" w:rsidRDefault="001A53D9" w:rsidP="001A53D9"/>
    <w:p w14:paraId="3D7505E2" w14:textId="77777777" w:rsidR="001A53D9" w:rsidRPr="001A53D9" w:rsidRDefault="001A53D9" w:rsidP="001A53D9">
      <w:pPr>
        <w:rPr>
          <w:b/>
        </w:rPr>
      </w:pPr>
      <w:r w:rsidRPr="001A53D9">
        <w:rPr>
          <w:b/>
        </w:rPr>
        <w:t>3. Trade receivables</w:t>
      </w:r>
    </w:p>
    <w:tbl>
      <w:tblPr>
        <w:tblStyle w:val="TableGrid"/>
        <w:tblW w:w="0" w:type="auto"/>
        <w:tblInd w:w="392" w:type="dxa"/>
        <w:tblLook w:val="04A0" w:firstRow="1" w:lastRow="0" w:firstColumn="1" w:lastColumn="0" w:noHBand="0" w:noVBand="1"/>
      </w:tblPr>
      <w:tblGrid>
        <w:gridCol w:w="6804"/>
        <w:gridCol w:w="2380"/>
      </w:tblGrid>
      <w:tr w:rsidR="001A53D9" w14:paraId="61BF59EE" w14:textId="77777777" w:rsidTr="001E394A">
        <w:tc>
          <w:tcPr>
            <w:tcW w:w="6804" w:type="dxa"/>
          </w:tcPr>
          <w:p w14:paraId="4D6F73CF" w14:textId="77777777" w:rsidR="001A53D9" w:rsidRDefault="001A53D9" w:rsidP="001E394A">
            <w:pPr>
              <w:rPr>
                <w:b/>
              </w:rPr>
            </w:pPr>
            <w:r w:rsidRPr="001A53D9">
              <w:rPr>
                <w:rFonts w:eastAsia="Times New Roman"/>
                <w:b/>
                <w:bCs/>
                <w:szCs w:val="24"/>
                <w:lang w:val="en-IN" w:eastAsia="en-IN"/>
              </w:rPr>
              <w:t>Particulars</w:t>
            </w:r>
          </w:p>
        </w:tc>
        <w:tc>
          <w:tcPr>
            <w:tcW w:w="2380" w:type="dxa"/>
          </w:tcPr>
          <w:p w14:paraId="47BABBB1" w14:textId="77777777" w:rsidR="001A53D9" w:rsidRDefault="001A53D9" w:rsidP="001E394A">
            <w:pPr>
              <w:rPr>
                <w:b/>
              </w:rPr>
            </w:pPr>
            <w:r w:rsidRPr="001A53D9">
              <w:rPr>
                <w:rFonts w:eastAsia="Times New Roman"/>
                <w:b/>
                <w:bCs/>
                <w:szCs w:val="24"/>
                <w:lang w:val="en-IN" w:eastAsia="en-IN"/>
              </w:rPr>
              <w:t>Amount (£)</w:t>
            </w:r>
          </w:p>
        </w:tc>
      </w:tr>
      <w:tr w:rsidR="001A53D9" w14:paraId="7A570480" w14:textId="77777777" w:rsidTr="001E394A">
        <w:tc>
          <w:tcPr>
            <w:tcW w:w="6804" w:type="dxa"/>
          </w:tcPr>
          <w:p w14:paraId="04E9D722" w14:textId="77777777" w:rsidR="001A53D9" w:rsidRPr="001A53D9" w:rsidRDefault="001A53D9" w:rsidP="001E394A">
            <w:r>
              <w:t>Trade receivables</w:t>
            </w:r>
          </w:p>
        </w:tc>
        <w:tc>
          <w:tcPr>
            <w:tcW w:w="2380" w:type="dxa"/>
          </w:tcPr>
          <w:p w14:paraId="19EED466" w14:textId="77777777" w:rsidR="001A53D9" w:rsidRPr="001A53D9" w:rsidRDefault="001A53D9" w:rsidP="001E394A">
            <w:r>
              <w:t>170,125</w:t>
            </w:r>
          </w:p>
        </w:tc>
      </w:tr>
      <w:tr w:rsidR="001A53D9" w14:paraId="3131F8F3" w14:textId="77777777" w:rsidTr="001E394A">
        <w:tc>
          <w:tcPr>
            <w:tcW w:w="6804" w:type="dxa"/>
          </w:tcPr>
          <w:p w14:paraId="77548C39" w14:textId="77777777" w:rsidR="001A53D9" w:rsidRDefault="001A53D9" w:rsidP="001A53D9">
            <w:r>
              <w:t>Add Goods sold but payment not received</w:t>
            </w:r>
          </w:p>
        </w:tc>
        <w:tc>
          <w:tcPr>
            <w:tcW w:w="2380" w:type="dxa"/>
          </w:tcPr>
          <w:p w14:paraId="01944BF0" w14:textId="77777777" w:rsidR="001A53D9" w:rsidRPr="001A53D9" w:rsidRDefault="001A53D9" w:rsidP="001E394A">
            <w:r>
              <w:t>980</w:t>
            </w:r>
          </w:p>
        </w:tc>
      </w:tr>
      <w:tr w:rsidR="001A53D9" w14:paraId="7C5AC178" w14:textId="77777777" w:rsidTr="001E394A">
        <w:tc>
          <w:tcPr>
            <w:tcW w:w="6804" w:type="dxa"/>
          </w:tcPr>
          <w:p w14:paraId="6528560C" w14:textId="77777777" w:rsidR="001A53D9" w:rsidRDefault="001A53D9" w:rsidP="001E394A">
            <w:r>
              <w:t>Total</w:t>
            </w:r>
          </w:p>
        </w:tc>
        <w:tc>
          <w:tcPr>
            <w:tcW w:w="2380" w:type="dxa"/>
          </w:tcPr>
          <w:p w14:paraId="5779F28C" w14:textId="77777777" w:rsidR="001A53D9" w:rsidRPr="001A53D9" w:rsidRDefault="001A53D9" w:rsidP="001E394A">
            <w:r>
              <w:t>171,105</w:t>
            </w:r>
          </w:p>
        </w:tc>
      </w:tr>
    </w:tbl>
    <w:p w14:paraId="40BD05EA" w14:textId="77777777" w:rsidR="001A53D9" w:rsidRDefault="001A53D9" w:rsidP="001A53D9"/>
    <w:p w14:paraId="2E98BC73" w14:textId="77777777" w:rsidR="001A53D9" w:rsidRDefault="001A53D9" w:rsidP="001A53D9">
      <w:pPr>
        <w:rPr>
          <w:b/>
        </w:rPr>
      </w:pPr>
      <w:r w:rsidRPr="001A53D9">
        <w:rPr>
          <w:b/>
        </w:rPr>
        <w:t>4. Retained earnings</w:t>
      </w:r>
    </w:p>
    <w:tbl>
      <w:tblPr>
        <w:tblStyle w:val="TableGrid"/>
        <w:tblW w:w="0" w:type="auto"/>
        <w:tblInd w:w="392" w:type="dxa"/>
        <w:tblLook w:val="04A0" w:firstRow="1" w:lastRow="0" w:firstColumn="1" w:lastColumn="0" w:noHBand="0" w:noVBand="1"/>
      </w:tblPr>
      <w:tblGrid>
        <w:gridCol w:w="6804"/>
        <w:gridCol w:w="2380"/>
      </w:tblGrid>
      <w:tr w:rsidR="001A53D9" w14:paraId="2C27F076" w14:textId="77777777" w:rsidTr="001E394A">
        <w:tc>
          <w:tcPr>
            <w:tcW w:w="6804" w:type="dxa"/>
          </w:tcPr>
          <w:p w14:paraId="34824478" w14:textId="77777777" w:rsidR="001A53D9" w:rsidRDefault="001A53D9" w:rsidP="001E394A">
            <w:pPr>
              <w:rPr>
                <w:b/>
              </w:rPr>
            </w:pPr>
            <w:r w:rsidRPr="001A53D9">
              <w:rPr>
                <w:rFonts w:eastAsia="Times New Roman"/>
                <w:b/>
                <w:bCs/>
                <w:szCs w:val="24"/>
                <w:lang w:val="en-IN" w:eastAsia="en-IN"/>
              </w:rPr>
              <w:t>Particulars</w:t>
            </w:r>
          </w:p>
        </w:tc>
        <w:tc>
          <w:tcPr>
            <w:tcW w:w="2380" w:type="dxa"/>
          </w:tcPr>
          <w:p w14:paraId="04898E62" w14:textId="77777777" w:rsidR="001A53D9" w:rsidRDefault="001A53D9" w:rsidP="001E394A">
            <w:pPr>
              <w:rPr>
                <w:b/>
              </w:rPr>
            </w:pPr>
            <w:r w:rsidRPr="001A53D9">
              <w:rPr>
                <w:rFonts w:eastAsia="Times New Roman"/>
                <w:b/>
                <w:bCs/>
                <w:szCs w:val="24"/>
                <w:lang w:val="en-IN" w:eastAsia="en-IN"/>
              </w:rPr>
              <w:t>Amount (£)</w:t>
            </w:r>
          </w:p>
        </w:tc>
      </w:tr>
      <w:tr w:rsidR="001A53D9" w14:paraId="2DC0B1AD" w14:textId="77777777" w:rsidTr="001E394A">
        <w:tc>
          <w:tcPr>
            <w:tcW w:w="6804" w:type="dxa"/>
          </w:tcPr>
          <w:p w14:paraId="1340B4D0" w14:textId="77777777" w:rsidR="001A53D9" w:rsidRPr="001A53D9" w:rsidRDefault="001A53D9" w:rsidP="001E394A">
            <w:r w:rsidRPr="001A53D9">
              <w:t>Retained profits at 1st January 2021</w:t>
            </w:r>
          </w:p>
        </w:tc>
        <w:tc>
          <w:tcPr>
            <w:tcW w:w="2380" w:type="dxa"/>
          </w:tcPr>
          <w:p w14:paraId="34655027" w14:textId="77777777" w:rsidR="001A53D9" w:rsidRPr="001A53D9" w:rsidRDefault="001A53D9" w:rsidP="001E394A">
            <w:r>
              <w:t>132,000</w:t>
            </w:r>
          </w:p>
        </w:tc>
      </w:tr>
      <w:tr w:rsidR="001A53D9" w14:paraId="032C4971" w14:textId="77777777" w:rsidTr="001E394A">
        <w:tc>
          <w:tcPr>
            <w:tcW w:w="6804" w:type="dxa"/>
          </w:tcPr>
          <w:p w14:paraId="546CF497" w14:textId="77777777" w:rsidR="001A53D9" w:rsidRDefault="001A53D9" w:rsidP="001E394A">
            <w:r>
              <w:t>Add: Profits earned during the period</w:t>
            </w:r>
          </w:p>
        </w:tc>
        <w:tc>
          <w:tcPr>
            <w:tcW w:w="2380" w:type="dxa"/>
          </w:tcPr>
          <w:p w14:paraId="72F02E47" w14:textId="77777777" w:rsidR="001A53D9" w:rsidRPr="001A53D9" w:rsidRDefault="001A53D9" w:rsidP="001E394A">
            <w:r>
              <w:t>4,330</w:t>
            </w:r>
          </w:p>
        </w:tc>
      </w:tr>
      <w:tr w:rsidR="001A53D9" w14:paraId="3132E38E" w14:textId="77777777" w:rsidTr="001E394A">
        <w:tc>
          <w:tcPr>
            <w:tcW w:w="6804" w:type="dxa"/>
          </w:tcPr>
          <w:p w14:paraId="550A1A0A" w14:textId="77777777" w:rsidR="001A53D9" w:rsidRDefault="001A53D9" w:rsidP="001E394A">
            <w:r>
              <w:t>Total</w:t>
            </w:r>
          </w:p>
        </w:tc>
        <w:tc>
          <w:tcPr>
            <w:tcW w:w="2380" w:type="dxa"/>
          </w:tcPr>
          <w:p w14:paraId="7F95CEFE" w14:textId="77777777" w:rsidR="001A53D9" w:rsidRPr="001A53D9" w:rsidRDefault="001A53D9" w:rsidP="001E394A">
            <w:r>
              <w:t>136,330</w:t>
            </w:r>
          </w:p>
        </w:tc>
      </w:tr>
    </w:tbl>
    <w:p w14:paraId="08508D0A" w14:textId="77777777" w:rsidR="001A53D9" w:rsidRDefault="001A53D9" w:rsidP="001A53D9">
      <w:pPr>
        <w:rPr>
          <w:b/>
        </w:rPr>
      </w:pPr>
    </w:p>
    <w:p w14:paraId="153F72EE" w14:textId="77777777" w:rsidR="001A53D9" w:rsidRPr="001A53D9" w:rsidRDefault="001A53D9" w:rsidP="001A53D9">
      <w:r w:rsidRPr="001A53D9">
        <w:t>Note: In the given case, the corporate tax has been estimated to be £100,000. Therefore, it would be deducted from the earnings before the tax. Further, the tax has not been paid yet at the end of the accounting period therefore it would also form part of the current liabilities.</w:t>
      </w:r>
    </w:p>
    <w:p w14:paraId="3E28D413" w14:textId="77777777" w:rsidR="001A53D9" w:rsidRDefault="001A53D9" w:rsidP="001A53D9">
      <w:pPr>
        <w:rPr>
          <w:b/>
        </w:rPr>
      </w:pPr>
    </w:p>
    <w:p w14:paraId="3F5CBEE9" w14:textId="77777777" w:rsidR="001A53D9" w:rsidRDefault="001A53D9" w:rsidP="001A53D9">
      <w:r w:rsidRPr="001A53D9">
        <w:t>ii)</w:t>
      </w:r>
      <w:r>
        <w:t xml:space="preserve"> The statement of financial position is prepared under 2 heads namely the assets and the equity and liabilities. There is always a balance between both heads that is the sum of both heads is always the same. This is because of the double-entry system of accounting that is followed at the time of preparation of the financial statements. This principle of accounting requires that whenever ant business transaction is undertaken and the same is recorded in the books of accounts then its effect is taken in the two ledger accounts where one ledger account has the debit balance and the other ledger account has the credit balance. </w:t>
      </w:r>
      <w:proofErr w:type="gramStart"/>
      <w:r>
        <w:t>Thus</w:t>
      </w:r>
      <w:proofErr w:type="gramEnd"/>
      <w:r>
        <w:t xml:space="preserve"> each transaction of the business impacts both the credit and debit sides with an equal amount. This result is the financial position statement being tallied (Westland, 2020).</w:t>
      </w:r>
    </w:p>
    <w:p w14:paraId="6414BA99" w14:textId="77777777" w:rsidR="001A53D9" w:rsidRPr="001A53D9" w:rsidRDefault="001A53D9" w:rsidP="001A53D9">
      <w:r>
        <w:t xml:space="preserve">The other reason for balancing the financial position statement is because all the assets of the company consisting of the current and the non-current assets can be financed from 2 sources which include the equity and the liabilities. Therefore, the total liabilities and the equity is always equal to the amount of total assets. If at any time, both balances do not match, then it </w:t>
      </w:r>
      <w:r>
        <w:lastRenderedPageBreak/>
        <w:t>means that certain errors have been committed at the time of preparation of the financial statements (CFI, 2022).</w:t>
      </w:r>
    </w:p>
    <w:p w14:paraId="0A476424" w14:textId="77777777" w:rsidR="001A53D9" w:rsidRDefault="001A53D9" w:rsidP="001A53D9">
      <w:pPr>
        <w:pStyle w:val="Heading1"/>
        <w:ind w:left="0" w:firstLine="0"/>
      </w:pPr>
      <w:r>
        <w:t>Answer 2</w:t>
      </w:r>
    </w:p>
    <w:p w14:paraId="6FD96369" w14:textId="77777777" w:rsidR="001A53D9" w:rsidRPr="001A53D9" w:rsidRDefault="001A53D9" w:rsidP="001A53D9">
      <w:pPr>
        <w:rPr>
          <w:b/>
        </w:rPr>
      </w:pPr>
      <w:proofErr w:type="spellStart"/>
      <w:r>
        <w:t>i</w:t>
      </w:r>
      <w:proofErr w:type="spellEnd"/>
      <w:r>
        <w:t>)</w:t>
      </w:r>
    </w:p>
    <w:tbl>
      <w:tblPr>
        <w:tblStyle w:val="GridTable4-Accent4"/>
        <w:tblW w:w="9483" w:type="dxa"/>
        <w:tblLook w:val="04A0" w:firstRow="1" w:lastRow="0" w:firstColumn="1" w:lastColumn="0" w:noHBand="0" w:noVBand="1"/>
      </w:tblPr>
      <w:tblGrid>
        <w:gridCol w:w="1430"/>
        <w:gridCol w:w="2695"/>
        <w:gridCol w:w="2836"/>
        <w:gridCol w:w="1276"/>
        <w:gridCol w:w="1246"/>
      </w:tblGrid>
      <w:tr w:rsidR="001A53D9" w:rsidRPr="001A53D9" w14:paraId="64956BC7" w14:textId="77777777" w:rsidTr="00732C98">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01C7A50A" w14:textId="77777777" w:rsidR="001A53D9" w:rsidRPr="001A53D9" w:rsidRDefault="001A53D9" w:rsidP="001A53D9">
            <w:pPr>
              <w:suppressAutoHyphens w:val="0"/>
              <w:spacing w:line="240" w:lineRule="auto"/>
              <w:jc w:val="center"/>
              <w:rPr>
                <w:rFonts w:eastAsia="Times New Roman"/>
                <w:b w:val="0"/>
                <w:szCs w:val="24"/>
                <w:lang w:val="en-IN" w:eastAsia="en-IN"/>
              </w:rPr>
            </w:pPr>
            <w:r w:rsidRPr="001A53D9">
              <w:rPr>
                <w:rFonts w:eastAsia="Times New Roman"/>
                <w:szCs w:val="24"/>
                <w:lang w:val="en-IN" w:eastAsia="en-IN"/>
              </w:rPr>
              <w:t>Particulars</w:t>
            </w:r>
          </w:p>
        </w:tc>
        <w:tc>
          <w:tcPr>
            <w:tcW w:w="2695" w:type="dxa"/>
            <w:noWrap/>
            <w:hideMark/>
          </w:tcPr>
          <w:p w14:paraId="631327B4" w14:textId="77777777" w:rsidR="001A53D9" w:rsidRPr="001A53D9" w:rsidRDefault="001A53D9" w:rsidP="001A53D9">
            <w:pPr>
              <w:suppressAutoHyphens w:val="0"/>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szCs w:val="24"/>
                <w:lang w:val="en-IN" w:eastAsia="en-IN"/>
              </w:rPr>
            </w:pPr>
            <w:r w:rsidRPr="001A53D9">
              <w:rPr>
                <w:rFonts w:eastAsia="Times New Roman"/>
                <w:szCs w:val="24"/>
                <w:lang w:val="en-IN" w:eastAsia="en-IN"/>
              </w:rPr>
              <w:t>Formula</w:t>
            </w:r>
          </w:p>
        </w:tc>
        <w:tc>
          <w:tcPr>
            <w:tcW w:w="2836" w:type="dxa"/>
            <w:noWrap/>
            <w:hideMark/>
          </w:tcPr>
          <w:p w14:paraId="70E711A3" w14:textId="77777777" w:rsidR="001A53D9" w:rsidRPr="001A53D9" w:rsidRDefault="001A53D9" w:rsidP="001A53D9">
            <w:pPr>
              <w:suppressAutoHyphens w:val="0"/>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szCs w:val="24"/>
                <w:lang w:val="en-IN" w:eastAsia="en-IN"/>
              </w:rPr>
            </w:pPr>
            <w:r w:rsidRPr="001A53D9">
              <w:rPr>
                <w:rFonts w:eastAsia="Times New Roman"/>
                <w:szCs w:val="24"/>
                <w:lang w:val="en-IN" w:eastAsia="en-IN"/>
              </w:rPr>
              <w:t>Ratio</w:t>
            </w:r>
          </w:p>
        </w:tc>
        <w:tc>
          <w:tcPr>
            <w:tcW w:w="1276" w:type="dxa"/>
            <w:noWrap/>
            <w:hideMark/>
          </w:tcPr>
          <w:p w14:paraId="6B9C849C" w14:textId="77777777" w:rsidR="001A53D9" w:rsidRPr="001A53D9" w:rsidRDefault="001A53D9" w:rsidP="001A53D9">
            <w:pPr>
              <w:suppressAutoHyphens w:val="0"/>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szCs w:val="24"/>
                <w:lang w:val="en-IN" w:eastAsia="en-IN"/>
              </w:rPr>
            </w:pPr>
            <w:r w:rsidRPr="001A53D9">
              <w:rPr>
                <w:rFonts w:eastAsia="Times New Roman"/>
                <w:szCs w:val="24"/>
                <w:lang w:val="en-IN" w:eastAsia="en-IN"/>
              </w:rPr>
              <w:t>2021</w:t>
            </w:r>
          </w:p>
        </w:tc>
        <w:tc>
          <w:tcPr>
            <w:tcW w:w="1246" w:type="dxa"/>
            <w:noWrap/>
            <w:hideMark/>
          </w:tcPr>
          <w:p w14:paraId="6E98522D" w14:textId="77777777" w:rsidR="001A53D9" w:rsidRPr="001A53D9" w:rsidRDefault="001A53D9" w:rsidP="001A53D9">
            <w:pPr>
              <w:suppressAutoHyphens w:val="0"/>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szCs w:val="24"/>
                <w:lang w:val="en-IN" w:eastAsia="en-IN"/>
              </w:rPr>
            </w:pPr>
            <w:r w:rsidRPr="001A53D9">
              <w:rPr>
                <w:rFonts w:eastAsia="Times New Roman"/>
                <w:szCs w:val="24"/>
                <w:lang w:val="en-IN" w:eastAsia="en-IN"/>
              </w:rPr>
              <w:t>2020</w:t>
            </w:r>
          </w:p>
        </w:tc>
      </w:tr>
      <w:tr w:rsidR="001A53D9" w:rsidRPr="001A53D9" w14:paraId="622D5F80"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53548CA1"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ROCE</w:t>
            </w:r>
          </w:p>
        </w:tc>
        <w:tc>
          <w:tcPr>
            <w:tcW w:w="2695" w:type="dxa"/>
            <w:noWrap/>
            <w:hideMark/>
          </w:tcPr>
          <w:p w14:paraId="6DA3E66F" w14:textId="4EC48719"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Earnings before interest and tax / Total capital employed</w:t>
            </w:r>
            <w:r>
              <w:rPr>
                <w:rFonts w:eastAsia="Times New Roman"/>
                <w:szCs w:val="24"/>
                <w:lang w:val="en-IN" w:eastAsia="en-IN"/>
              </w:rPr>
              <w:t>”</w:t>
            </w:r>
          </w:p>
        </w:tc>
        <w:tc>
          <w:tcPr>
            <w:tcW w:w="2836" w:type="dxa"/>
            <w:noWrap/>
            <w:hideMark/>
          </w:tcPr>
          <w:p w14:paraId="43CC2A62" w14:textId="7CF7CE81"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Earnings before interest and tax</w:t>
            </w:r>
            <w:r>
              <w:rPr>
                <w:rFonts w:eastAsia="Times New Roman"/>
                <w:szCs w:val="24"/>
                <w:lang w:val="en-IN" w:eastAsia="en-IN"/>
              </w:rPr>
              <w:t>”</w:t>
            </w:r>
          </w:p>
        </w:tc>
        <w:tc>
          <w:tcPr>
            <w:tcW w:w="1276" w:type="dxa"/>
            <w:noWrap/>
            <w:hideMark/>
          </w:tcPr>
          <w:p w14:paraId="0A82C766"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846</w:t>
            </w:r>
          </w:p>
        </w:tc>
        <w:tc>
          <w:tcPr>
            <w:tcW w:w="1246" w:type="dxa"/>
            <w:noWrap/>
            <w:hideMark/>
          </w:tcPr>
          <w:p w14:paraId="562846B5"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720</w:t>
            </w:r>
          </w:p>
        </w:tc>
      </w:tr>
      <w:tr w:rsidR="001A53D9" w:rsidRPr="001A53D9" w14:paraId="6A1591D7"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01B591DD"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2DA96F07"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58152BAC" w14:textId="6207D82B" w:rsidR="001A53D9" w:rsidRPr="001A53D9" w:rsidRDefault="00CA066B"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Total capital employed</w:t>
            </w:r>
            <w:r>
              <w:rPr>
                <w:rFonts w:eastAsia="Times New Roman"/>
                <w:szCs w:val="24"/>
                <w:lang w:val="en-IN" w:eastAsia="en-IN"/>
              </w:rPr>
              <w:t>”</w:t>
            </w:r>
          </w:p>
        </w:tc>
        <w:tc>
          <w:tcPr>
            <w:tcW w:w="1276" w:type="dxa"/>
            <w:noWrap/>
            <w:hideMark/>
          </w:tcPr>
          <w:p w14:paraId="3F3944F2"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7225</w:t>
            </w:r>
          </w:p>
        </w:tc>
        <w:tc>
          <w:tcPr>
            <w:tcW w:w="1246" w:type="dxa"/>
            <w:noWrap/>
            <w:hideMark/>
          </w:tcPr>
          <w:p w14:paraId="1316BB21"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7041</w:t>
            </w:r>
          </w:p>
        </w:tc>
      </w:tr>
      <w:tr w:rsidR="001A53D9" w:rsidRPr="001A53D9" w14:paraId="328BF289"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5888CF6D"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138A7F23"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433C22D4"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ROCE</w:t>
            </w:r>
          </w:p>
        </w:tc>
        <w:tc>
          <w:tcPr>
            <w:tcW w:w="1276" w:type="dxa"/>
            <w:noWrap/>
            <w:hideMark/>
          </w:tcPr>
          <w:p w14:paraId="7510F2EF"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11.71%</w:t>
            </w:r>
          </w:p>
        </w:tc>
        <w:tc>
          <w:tcPr>
            <w:tcW w:w="1246" w:type="dxa"/>
            <w:noWrap/>
            <w:hideMark/>
          </w:tcPr>
          <w:p w14:paraId="2644A573"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10.23%</w:t>
            </w:r>
          </w:p>
        </w:tc>
      </w:tr>
      <w:tr w:rsidR="001A53D9" w:rsidRPr="001A53D9" w14:paraId="5F3CE447"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3DE44FBB"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7AD38A3A"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206AD659"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76" w:type="dxa"/>
            <w:noWrap/>
            <w:hideMark/>
          </w:tcPr>
          <w:p w14:paraId="3DADD0CD"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46" w:type="dxa"/>
            <w:noWrap/>
            <w:hideMark/>
          </w:tcPr>
          <w:p w14:paraId="5030125A"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r>
      <w:tr w:rsidR="001A53D9" w:rsidRPr="001A53D9" w14:paraId="4C6ECD59"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3E0E72FA"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ROE</w:t>
            </w:r>
          </w:p>
        </w:tc>
        <w:tc>
          <w:tcPr>
            <w:tcW w:w="2695" w:type="dxa"/>
            <w:noWrap/>
            <w:hideMark/>
          </w:tcPr>
          <w:p w14:paraId="4B5DABF9" w14:textId="0B8364D0"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 xml:space="preserve">Earnings for equity / Equity </w:t>
            </w:r>
            <w:proofErr w:type="spellStart"/>
            <w:r w:rsidR="001A53D9" w:rsidRPr="001A53D9">
              <w:rPr>
                <w:rFonts w:eastAsia="Times New Roman"/>
                <w:szCs w:val="24"/>
                <w:lang w:val="en-IN" w:eastAsia="en-IN"/>
              </w:rPr>
              <w:t>shareholders</w:t>
            </w:r>
            <w:proofErr w:type="spellEnd"/>
            <w:r w:rsidR="001A53D9" w:rsidRPr="001A53D9">
              <w:rPr>
                <w:rFonts w:eastAsia="Times New Roman"/>
                <w:szCs w:val="24"/>
                <w:lang w:val="en-IN" w:eastAsia="en-IN"/>
              </w:rPr>
              <w:t xml:space="preserve"> funds</w:t>
            </w:r>
            <w:r>
              <w:rPr>
                <w:rFonts w:eastAsia="Times New Roman"/>
                <w:szCs w:val="24"/>
                <w:lang w:val="en-IN" w:eastAsia="en-IN"/>
              </w:rPr>
              <w:t>”</w:t>
            </w:r>
          </w:p>
        </w:tc>
        <w:tc>
          <w:tcPr>
            <w:tcW w:w="2836" w:type="dxa"/>
            <w:noWrap/>
            <w:hideMark/>
          </w:tcPr>
          <w:p w14:paraId="639B506A" w14:textId="3C39BE9D"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Earnings for equity</w:t>
            </w:r>
            <w:r>
              <w:rPr>
                <w:rFonts w:eastAsia="Times New Roman"/>
                <w:szCs w:val="24"/>
                <w:lang w:val="en-IN" w:eastAsia="en-IN"/>
              </w:rPr>
              <w:t>”</w:t>
            </w:r>
          </w:p>
        </w:tc>
        <w:tc>
          <w:tcPr>
            <w:tcW w:w="1276" w:type="dxa"/>
            <w:noWrap/>
            <w:hideMark/>
          </w:tcPr>
          <w:p w14:paraId="5868CDFE"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431</w:t>
            </w:r>
          </w:p>
        </w:tc>
        <w:tc>
          <w:tcPr>
            <w:tcW w:w="1246" w:type="dxa"/>
            <w:noWrap/>
            <w:hideMark/>
          </w:tcPr>
          <w:p w14:paraId="47B38129"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366</w:t>
            </w:r>
          </w:p>
        </w:tc>
      </w:tr>
      <w:tr w:rsidR="001A53D9" w:rsidRPr="001A53D9" w14:paraId="5E4B1FF3"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51C8A5CC"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198D747B"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62BA3F57" w14:textId="71D1B813" w:rsidR="001A53D9" w:rsidRPr="001A53D9" w:rsidRDefault="00CA066B"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 xml:space="preserve">Equity </w:t>
            </w:r>
            <w:proofErr w:type="spellStart"/>
            <w:r w:rsidR="001A53D9" w:rsidRPr="001A53D9">
              <w:rPr>
                <w:rFonts w:eastAsia="Times New Roman"/>
                <w:szCs w:val="24"/>
                <w:lang w:val="en-IN" w:eastAsia="en-IN"/>
              </w:rPr>
              <w:t>shareholders</w:t>
            </w:r>
            <w:proofErr w:type="spellEnd"/>
            <w:r w:rsidR="001A53D9" w:rsidRPr="001A53D9">
              <w:rPr>
                <w:rFonts w:eastAsia="Times New Roman"/>
                <w:szCs w:val="24"/>
                <w:lang w:val="en-IN" w:eastAsia="en-IN"/>
              </w:rPr>
              <w:t xml:space="preserve"> funds</w:t>
            </w:r>
            <w:r>
              <w:rPr>
                <w:rFonts w:eastAsia="Times New Roman"/>
                <w:szCs w:val="24"/>
                <w:lang w:val="en-IN" w:eastAsia="en-IN"/>
              </w:rPr>
              <w:t>”</w:t>
            </w:r>
          </w:p>
        </w:tc>
        <w:tc>
          <w:tcPr>
            <w:tcW w:w="1276" w:type="dxa"/>
            <w:noWrap/>
            <w:hideMark/>
          </w:tcPr>
          <w:p w14:paraId="1E1CD056"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3088</w:t>
            </w:r>
          </w:p>
        </w:tc>
        <w:tc>
          <w:tcPr>
            <w:tcW w:w="1246" w:type="dxa"/>
            <w:noWrap/>
            <w:hideMark/>
          </w:tcPr>
          <w:p w14:paraId="52714404"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2912</w:t>
            </w:r>
          </w:p>
        </w:tc>
      </w:tr>
      <w:tr w:rsidR="001A53D9" w:rsidRPr="001A53D9" w14:paraId="2DD3A5C2"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03158699"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6BD93C79"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07F1E433"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ROE</w:t>
            </w:r>
          </w:p>
        </w:tc>
        <w:tc>
          <w:tcPr>
            <w:tcW w:w="1276" w:type="dxa"/>
            <w:noWrap/>
            <w:hideMark/>
          </w:tcPr>
          <w:p w14:paraId="65CC34D8"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13.96%</w:t>
            </w:r>
          </w:p>
        </w:tc>
        <w:tc>
          <w:tcPr>
            <w:tcW w:w="1246" w:type="dxa"/>
            <w:noWrap/>
            <w:hideMark/>
          </w:tcPr>
          <w:p w14:paraId="661424C6"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12.57%</w:t>
            </w:r>
          </w:p>
        </w:tc>
      </w:tr>
      <w:tr w:rsidR="001A53D9" w:rsidRPr="001A53D9" w14:paraId="5EBE3532"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2B8AD78C"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087BE80F"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148244E5"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76" w:type="dxa"/>
            <w:noWrap/>
            <w:hideMark/>
          </w:tcPr>
          <w:p w14:paraId="6499B691"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46" w:type="dxa"/>
            <w:noWrap/>
            <w:hideMark/>
          </w:tcPr>
          <w:p w14:paraId="77FDCD69"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r>
      <w:tr w:rsidR="001A53D9" w:rsidRPr="001A53D9" w14:paraId="6D385088"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420BA956"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Earnings per share</w:t>
            </w:r>
          </w:p>
        </w:tc>
        <w:tc>
          <w:tcPr>
            <w:tcW w:w="2695" w:type="dxa"/>
            <w:noWrap/>
            <w:hideMark/>
          </w:tcPr>
          <w:p w14:paraId="546C30D7" w14:textId="06C945B1"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Total earnings for equity / Number of equity shares</w:t>
            </w:r>
            <w:r>
              <w:rPr>
                <w:rFonts w:eastAsia="Times New Roman"/>
                <w:szCs w:val="24"/>
                <w:lang w:val="en-IN" w:eastAsia="en-IN"/>
              </w:rPr>
              <w:t>”</w:t>
            </w:r>
          </w:p>
        </w:tc>
        <w:tc>
          <w:tcPr>
            <w:tcW w:w="2836" w:type="dxa"/>
            <w:noWrap/>
            <w:hideMark/>
          </w:tcPr>
          <w:p w14:paraId="559A97D3" w14:textId="70DEA5D1"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Total earnings for equity</w:t>
            </w:r>
            <w:r>
              <w:rPr>
                <w:rFonts w:eastAsia="Times New Roman"/>
                <w:szCs w:val="24"/>
                <w:lang w:val="en-IN" w:eastAsia="en-IN"/>
              </w:rPr>
              <w:t>”</w:t>
            </w:r>
          </w:p>
        </w:tc>
        <w:tc>
          <w:tcPr>
            <w:tcW w:w="1276" w:type="dxa"/>
            <w:noWrap/>
            <w:hideMark/>
          </w:tcPr>
          <w:p w14:paraId="26BF4CD3"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431</w:t>
            </w:r>
          </w:p>
        </w:tc>
        <w:tc>
          <w:tcPr>
            <w:tcW w:w="1246" w:type="dxa"/>
            <w:noWrap/>
            <w:hideMark/>
          </w:tcPr>
          <w:p w14:paraId="13F305F5"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366</w:t>
            </w:r>
          </w:p>
        </w:tc>
      </w:tr>
      <w:tr w:rsidR="001A53D9" w:rsidRPr="001A53D9" w14:paraId="6E805DCF"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24766B04"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6DF44ACC"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4FE665DA" w14:textId="38F2D631" w:rsidR="001A53D9" w:rsidRPr="001A53D9" w:rsidRDefault="00793C62"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Number of equity shares</w:t>
            </w:r>
          </w:p>
        </w:tc>
        <w:tc>
          <w:tcPr>
            <w:tcW w:w="1276" w:type="dxa"/>
            <w:noWrap/>
            <w:hideMark/>
          </w:tcPr>
          <w:p w14:paraId="54DE2BD8"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600</w:t>
            </w:r>
          </w:p>
        </w:tc>
        <w:tc>
          <w:tcPr>
            <w:tcW w:w="1246" w:type="dxa"/>
            <w:noWrap/>
            <w:hideMark/>
          </w:tcPr>
          <w:p w14:paraId="6A44DA87"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600</w:t>
            </w:r>
          </w:p>
        </w:tc>
      </w:tr>
      <w:tr w:rsidR="001A53D9" w:rsidRPr="001A53D9" w14:paraId="3A294395"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4D9BB633"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69A9A0DC"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2B8D0C10"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Earnings per share</w:t>
            </w:r>
          </w:p>
        </w:tc>
        <w:tc>
          <w:tcPr>
            <w:tcW w:w="1276" w:type="dxa"/>
            <w:noWrap/>
            <w:hideMark/>
          </w:tcPr>
          <w:p w14:paraId="5D148A1E"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Pr>
                <w:rFonts w:eastAsia="Times New Roman"/>
                <w:b/>
                <w:szCs w:val="24"/>
                <w:lang w:val="en-IN" w:eastAsia="en-IN"/>
              </w:rPr>
              <w:t>£</w:t>
            </w:r>
            <w:r w:rsidRPr="001A53D9">
              <w:rPr>
                <w:rFonts w:eastAsia="Times New Roman"/>
                <w:b/>
                <w:szCs w:val="24"/>
                <w:lang w:val="en-IN" w:eastAsia="en-IN"/>
              </w:rPr>
              <w:t>0.72</w:t>
            </w:r>
          </w:p>
        </w:tc>
        <w:tc>
          <w:tcPr>
            <w:tcW w:w="1246" w:type="dxa"/>
            <w:noWrap/>
            <w:hideMark/>
          </w:tcPr>
          <w:p w14:paraId="78038599"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Pr>
                <w:rFonts w:eastAsia="Times New Roman"/>
                <w:b/>
                <w:szCs w:val="24"/>
                <w:lang w:val="en-IN" w:eastAsia="en-IN"/>
              </w:rPr>
              <w:t>£</w:t>
            </w:r>
            <w:r w:rsidRPr="001A53D9">
              <w:rPr>
                <w:rFonts w:eastAsia="Times New Roman"/>
                <w:b/>
                <w:szCs w:val="24"/>
                <w:lang w:val="en-IN" w:eastAsia="en-IN"/>
              </w:rPr>
              <w:t>0.61</w:t>
            </w:r>
          </w:p>
        </w:tc>
      </w:tr>
      <w:tr w:rsidR="001A53D9" w:rsidRPr="001A53D9" w14:paraId="34E0C6BE"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5C126E7D"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4A259690"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1F0DF465"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76" w:type="dxa"/>
            <w:noWrap/>
            <w:hideMark/>
          </w:tcPr>
          <w:p w14:paraId="7565979C"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46" w:type="dxa"/>
            <w:noWrap/>
            <w:hideMark/>
          </w:tcPr>
          <w:p w14:paraId="55764278"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r>
      <w:tr w:rsidR="001A53D9" w:rsidRPr="001A53D9" w14:paraId="7195682A"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2E353600"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Net profit margin</w:t>
            </w:r>
          </w:p>
        </w:tc>
        <w:tc>
          <w:tcPr>
            <w:tcW w:w="2695" w:type="dxa"/>
            <w:noWrap/>
            <w:hideMark/>
          </w:tcPr>
          <w:p w14:paraId="4A6562B5" w14:textId="396B9118"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Net profit / Sales</w:t>
            </w:r>
            <w:r>
              <w:rPr>
                <w:rFonts w:eastAsia="Times New Roman"/>
                <w:szCs w:val="24"/>
                <w:lang w:val="en-IN" w:eastAsia="en-IN"/>
              </w:rPr>
              <w:t>”</w:t>
            </w:r>
          </w:p>
        </w:tc>
        <w:tc>
          <w:tcPr>
            <w:tcW w:w="2836" w:type="dxa"/>
            <w:noWrap/>
            <w:hideMark/>
          </w:tcPr>
          <w:p w14:paraId="2E88A940"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Net profit</w:t>
            </w:r>
          </w:p>
        </w:tc>
        <w:tc>
          <w:tcPr>
            <w:tcW w:w="1276" w:type="dxa"/>
            <w:noWrap/>
            <w:hideMark/>
          </w:tcPr>
          <w:p w14:paraId="4BD1BA84"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431</w:t>
            </w:r>
          </w:p>
        </w:tc>
        <w:tc>
          <w:tcPr>
            <w:tcW w:w="1246" w:type="dxa"/>
            <w:noWrap/>
            <w:hideMark/>
          </w:tcPr>
          <w:p w14:paraId="47ED319E"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366</w:t>
            </w:r>
          </w:p>
        </w:tc>
      </w:tr>
      <w:tr w:rsidR="001A53D9" w:rsidRPr="001A53D9" w14:paraId="5B1D5B28"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0BCA176F"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62F1C0AF"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6F79DEBA"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Sales</w:t>
            </w:r>
          </w:p>
        </w:tc>
        <w:tc>
          <w:tcPr>
            <w:tcW w:w="1276" w:type="dxa"/>
            <w:noWrap/>
            <w:hideMark/>
          </w:tcPr>
          <w:p w14:paraId="316267A7"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6738</w:t>
            </w:r>
          </w:p>
        </w:tc>
        <w:tc>
          <w:tcPr>
            <w:tcW w:w="1246" w:type="dxa"/>
            <w:noWrap/>
            <w:hideMark/>
          </w:tcPr>
          <w:p w14:paraId="272F42AB"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6441</w:t>
            </w:r>
          </w:p>
        </w:tc>
      </w:tr>
      <w:tr w:rsidR="001A53D9" w:rsidRPr="001A53D9" w14:paraId="22E4C825"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103F00D9"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5C104D36"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786EFC49"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Net profit margin</w:t>
            </w:r>
          </w:p>
        </w:tc>
        <w:tc>
          <w:tcPr>
            <w:tcW w:w="1276" w:type="dxa"/>
            <w:noWrap/>
            <w:hideMark/>
          </w:tcPr>
          <w:p w14:paraId="54D17D65"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6.40%</w:t>
            </w:r>
          </w:p>
        </w:tc>
        <w:tc>
          <w:tcPr>
            <w:tcW w:w="1246" w:type="dxa"/>
            <w:noWrap/>
            <w:hideMark/>
          </w:tcPr>
          <w:p w14:paraId="03C475B8"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5.68%</w:t>
            </w:r>
          </w:p>
        </w:tc>
      </w:tr>
      <w:tr w:rsidR="001A53D9" w:rsidRPr="001A53D9" w14:paraId="259B60F4"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3DDF050A"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2FD1230E"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053AA270"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76" w:type="dxa"/>
            <w:noWrap/>
            <w:hideMark/>
          </w:tcPr>
          <w:p w14:paraId="357647B4"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46" w:type="dxa"/>
            <w:noWrap/>
            <w:hideMark/>
          </w:tcPr>
          <w:p w14:paraId="15A993E4"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r>
      <w:tr w:rsidR="001A53D9" w:rsidRPr="001A53D9" w14:paraId="12BB25EF"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54E34349"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Asset turnover</w:t>
            </w:r>
          </w:p>
        </w:tc>
        <w:tc>
          <w:tcPr>
            <w:tcW w:w="2695" w:type="dxa"/>
            <w:noWrap/>
            <w:hideMark/>
          </w:tcPr>
          <w:p w14:paraId="2D992EC6" w14:textId="5433B68A"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Sales turnover / Total assets</w:t>
            </w:r>
            <w:r>
              <w:rPr>
                <w:rFonts w:eastAsia="Times New Roman"/>
                <w:szCs w:val="24"/>
                <w:lang w:val="en-IN" w:eastAsia="en-IN"/>
              </w:rPr>
              <w:t>”</w:t>
            </w:r>
          </w:p>
        </w:tc>
        <w:tc>
          <w:tcPr>
            <w:tcW w:w="2836" w:type="dxa"/>
            <w:noWrap/>
            <w:hideMark/>
          </w:tcPr>
          <w:p w14:paraId="68A420F1"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Sales turnover</w:t>
            </w:r>
          </w:p>
        </w:tc>
        <w:tc>
          <w:tcPr>
            <w:tcW w:w="1276" w:type="dxa"/>
            <w:noWrap/>
            <w:hideMark/>
          </w:tcPr>
          <w:p w14:paraId="7B90B489"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6738</w:t>
            </w:r>
          </w:p>
        </w:tc>
        <w:tc>
          <w:tcPr>
            <w:tcW w:w="1246" w:type="dxa"/>
            <w:noWrap/>
            <w:hideMark/>
          </w:tcPr>
          <w:p w14:paraId="796AD6B0"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6441</w:t>
            </w:r>
          </w:p>
        </w:tc>
      </w:tr>
      <w:tr w:rsidR="001A53D9" w:rsidRPr="001A53D9" w14:paraId="2A1E8CBC"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30AB0F60"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2D79AFA4"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3053F148"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Total assets</w:t>
            </w:r>
          </w:p>
        </w:tc>
        <w:tc>
          <w:tcPr>
            <w:tcW w:w="1276" w:type="dxa"/>
            <w:noWrap/>
            <w:hideMark/>
          </w:tcPr>
          <w:p w14:paraId="1F5C34AB"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9736</w:t>
            </w:r>
          </w:p>
        </w:tc>
        <w:tc>
          <w:tcPr>
            <w:tcW w:w="1246" w:type="dxa"/>
            <w:noWrap/>
            <w:hideMark/>
          </w:tcPr>
          <w:p w14:paraId="2F5D51F9"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10087</w:t>
            </w:r>
          </w:p>
        </w:tc>
      </w:tr>
      <w:tr w:rsidR="001A53D9" w:rsidRPr="001A53D9" w14:paraId="03CBC45B"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7109C283"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1E7820F7"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01956380"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Asset turnover</w:t>
            </w:r>
          </w:p>
        </w:tc>
        <w:tc>
          <w:tcPr>
            <w:tcW w:w="1276" w:type="dxa"/>
            <w:noWrap/>
            <w:hideMark/>
          </w:tcPr>
          <w:p w14:paraId="5B16C8B7"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Pr>
                <w:rFonts w:eastAsia="Times New Roman"/>
                <w:b/>
                <w:szCs w:val="24"/>
                <w:lang w:val="en-IN" w:eastAsia="en-IN"/>
              </w:rPr>
              <w:t>0.69 times</w:t>
            </w:r>
          </w:p>
        </w:tc>
        <w:tc>
          <w:tcPr>
            <w:tcW w:w="1246" w:type="dxa"/>
            <w:noWrap/>
            <w:hideMark/>
          </w:tcPr>
          <w:p w14:paraId="141EFC8F"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Pr>
                <w:rFonts w:eastAsia="Times New Roman"/>
                <w:b/>
                <w:szCs w:val="24"/>
                <w:lang w:val="en-IN" w:eastAsia="en-IN"/>
              </w:rPr>
              <w:t>0.63 times</w:t>
            </w:r>
          </w:p>
        </w:tc>
      </w:tr>
      <w:tr w:rsidR="001A53D9" w:rsidRPr="001A53D9" w14:paraId="1C0E3728"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3B3898B2"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0546C301"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06B3A4C8"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76" w:type="dxa"/>
            <w:noWrap/>
            <w:hideMark/>
          </w:tcPr>
          <w:p w14:paraId="34C52E9A"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46" w:type="dxa"/>
            <w:noWrap/>
            <w:hideMark/>
          </w:tcPr>
          <w:p w14:paraId="0B99884A"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r>
      <w:tr w:rsidR="001A53D9" w:rsidRPr="001A53D9" w14:paraId="311CBD44"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6866BCD1"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Stock holding days</w:t>
            </w:r>
          </w:p>
        </w:tc>
        <w:tc>
          <w:tcPr>
            <w:tcW w:w="2695" w:type="dxa"/>
            <w:noWrap/>
            <w:hideMark/>
          </w:tcPr>
          <w:p w14:paraId="48667C1C" w14:textId="7129F23C"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(Average inventory / Cost of sales) * 365</w:t>
            </w:r>
            <w:r>
              <w:rPr>
                <w:rFonts w:eastAsia="Times New Roman"/>
                <w:szCs w:val="24"/>
                <w:lang w:val="en-IN" w:eastAsia="en-IN"/>
              </w:rPr>
              <w:t>”</w:t>
            </w:r>
          </w:p>
        </w:tc>
        <w:tc>
          <w:tcPr>
            <w:tcW w:w="2836" w:type="dxa"/>
            <w:noWrap/>
            <w:hideMark/>
          </w:tcPr>
          <w:p w14:paraId="1EB42460"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Average inventory</w:t>
            </w:r>
          </w:p>
        </w:tc>
        <w:tc>
          <w:tcPr>
            <w:tcW w:w="1276" w:type="dxa"/>
            <w:noWrap/>
            <w:hideMark/>
          </w:tcPr>
          <w:p w14:paraId="7FE4476B"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683.5</w:t>
            </w:r>
          </w:p>
        </w:tc>
        <w:tc>
          <w:tcPr>
            <w:tcW w:w="1246" w:type="dxa"/>
            <w:noWrap/>
            <w:hideMark/>
          </w:tcPr>
          <w:p w14:paraId="7394DE30"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659</w:t>
            </w:r>
          </w:p>
        </w:tc>
      </w:tr>
      <w:tr w:rsidR="001A53D9" w:rsidRPr="001A53D9" w14:paraId="2AEB63CD"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3695ADD9"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273B3700"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25B9B452"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Cost of sales</w:t>
            </w:r>
          </w:p>
        </w:tc>
        <w:tc>
          <w:tcPr>
            <w:tcW w:w="1276" w:type="dxa"/>
            <w:noWrap/>
            <w:hideMark/>
          </w:tcPr>
          <w:p w14:paraId="604785E7"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3235</w:t>
            </w:r>
          </w:p>
        </w:tc>
        <w:tc>
          <w:tcPr>
            <w:tcW w:w="1246" w:type="dxa"/>
            <w:noWrap/>
            <w:hideMark/>
          </w:tcPr>
          <w:p w14:paraId="32E8E023"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3096</w:t>
            </w:r>
          </w:p>
        </w:tc>
      </w:tr>
      <w:tr w:rsidR="001A53D9" w:rsidRPr="001A53D9" w14:paraId="4B174354"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23607515"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467876A7"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166CBE36"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Stock holding days</w:t>
            </w:r>
          </w:p>
        </w:tc>
        <w:tc>
          <w:tcPr>
            <w:tcW w:w="1276" w:type="dxa"/>
            <w:noWrap/>
            <w:hideMark/>
          </w:tcPr>
          <w:p w14:paraId="64C9D36A"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77.12</w:t>
            </w:r>
            <w:r>
              <w:rPr>
                <w:rFonts w:eastAsia="Times New Roman"/>
                <w:b/>
                <w:szCs w:val="24"/>
                <w:lang w:val="en-IN" w:eastAsia="en-IN"/>
              </w:rPr>
              <w:t xml:space="preserve"> days</w:t>
            </w:r>
          </w:p>
        </w:tc>
        <w:tc>
          <w:tcPr>
            <w:tcW w:w="1246" w:type="dxa"/>
            <w:noWrap/>
            <w:hideMark/>
          </w:tcPr>
          <w:p w14:paraId="2DC07362"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77.69</w:t>
            </w:r>
            <w:r>
              <w:rPr>
                <w:rFonts w:eastAsia="Times New Roman"/>
                <w:b/>
                <w:szCs w:val="24"/>
                <w:lang w:val="en-IN" w:eastAsia="en-IN"/>
              </w:rPr>
              <w:t xml:space="preserve"> days</w:t>
            </w:r>
          </w:p>
        </w:tc>
      </w:tr>
      <w:tr w:rsidR="001A53D9" w:rsidRPr="001A53D9" w14:paraId="25FB5841"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567EC75B"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58B2BFBB"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5C724252"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76" w:type="dxa"/>
            <w:noWrap/>
            <w:hideMark/>
          </w:tcPr>
          <w:p w14:paraId="26673861"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46" w:type="dxa"/>
            <w:noWrap/>
            <w:hideMark/>
          </w:tcPr>
          <w:p w14:paraId="60EAACFD"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r>
      <w:tr w:rsidR="001A53D9" w:rsidRPr="001A53D9" w14:paraId="5B69B480"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36757022" w14:textId="77777777" w:rsidR="001A53D9" w:rsidRPr="001A53D9" w:rsidRDefault="001A53D9" w:rsidP="001A53D9">
            <w:pPr>
              <w:suppressAutoHyphens w:val="0"/>
              <w:spacing w:line="240" w:lineRule="auto"/>
              <w:jc w:val="left"/>
              <w:rPr>
                <w:rFonts w:eastAsia="Times New Roman"/>
                <w:szCs w:val="24"/>
                <w:lang w:val="en-IN" w:eastAsia="en-IN"/>
              </w:rPr>
            </w:pPr>
            <w:proofErr w:type="gramStart"/>
            <w:r w:rsidRPr="001A53D9">
              <w:rPr>
                <w:rFonts w:eastAsia="Times New Roman"/>
                <w:szCs w:val="24"/>
                <w:lang w:val="en-IN" w:eastAsia="en-IN"/>
              </w:rPr>
              <w:lastRenderedPageBreak/>
              <w:t>Debtors</w:t>
            </w:r>
            <w:proofErr w:type="gramEnd"/>
            <w:r w:rsidRPr="001A53D9">
              <w:rPr>
                <w:rFonts w:eastAsia="Times New Roman"/>
                <w:szCs w:val="24"/>
                <w:lang w:val="en-IN" w:eastAsia="en-IN"/>
              </w:rPr>
              <w:t xml:space="preserve"> collection period</w:t>
            </w:r>
          </w:p>
        </w:tc>
        <w:tc>
          <w:tcPr>
            <w:tcW w:w="2695" w:type="dxa"/>
            <w:noWrap/>
            <w:hideMark/>
          </w:tcPr>
          <w:p w14:paraId="525B9CDF" w14:textId="0F2C83EC"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(Average trade receivables / Credit sales) * 365</w:t>
            </w:r>
            <w:r>
              <w:rPr>
                <w:rFonts w:eastAsia="Times New Roman"/>
                <w:szCs w:val="24"/>
                <w:lang w:val="en-IN" w:eastAsia="en-IN"/>
              </w:rPr>
              <w:t>”</w:t>
            </w:r>
          </w:p>
        </w:tc>
        <w:tc>
          <w:tcPr>
            <w:tcW w:w="2836" w:type="dxa"/>
            <w:noWrap/>
            <w:hideMark/>
          </w:tcPr>
          <w:p w14:paraId="1F9DECA8"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Average trade receivables</w:t>
            </w:r>
          </w:p>
        </w:tc>
        <w:tc>
          <w:tcPr>
            <w:tcW w:w="1276" w:type="dxa"/>
            <w:noWrap/>
            <w:hideMark/>
          </w:tcPr>
          <w:p w14:paraId="088CB41D"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1268</w:t>
            </w:r>
          </w:p>
        </w:tc>
        <w:tc>
          <w:tcPr>
            <w:tcW w:w="1246" w:type="dxa"/>
            <w:noWrap/>
            <w:hideMark/>
          </w:tcPr>
          <w:p w14:paraId="18E6702A"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1287</w:t>
            </w:r>
          </w:p>
        </w:tc>
      </w:tr>
      <w:tr w:rsidR="001A53D9" w:rsidRPr="001A53D9" w14:paraId="7C1D04C5"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013E8A04"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57416410"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02A8A4E4"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Credit sales</w:t>
            </w:r>
          </w:p>
        </w:tc>
        <w:tc>
          <w:tcPr>
            <w:tcW w:w="1276" w:type="dxa"/>
            <w:noWrap/>
            <w:hideMark/>
          </w:tcPr>
          <w:p w14:paraId="1ACA6D10"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6738</w:t>
            </w:r>
          </w:p>
        </w:tc>
        <w:tc>
          <w:tcPr>
            <w:tcW w:w="1246" w:type="dxa"/>
            <w:noWrap/>
            <w:hideMark/>
          </w:tcPr>
          <w:p w14:paraId="62C6B510"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6441</w:t>
            </w:r>
          </w:p>
        </w:tc>
      </w:tr>
      <w:tr w:rsidR="001A53D9" w:rsidRPr="001A53D9" w14:paraId="72DB334B"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004CF13B"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22CF1B0F"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7E4DD1E2"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proofErr w:type="gramStart"/>
            <w:r w:rsidRPr="001A53D9">
              <w:rPr>
                <w:rFonts w:eastAsia="Times New Roman"/>
                <w:b/>
                <w:szCs w:val="24"/>
                <w:lang w:val="en-IN" w:eastAsia="en-IN"/>
              </w:rPr>
              <w:t>Debtors</w:t>
            </w:r>
            <w:proofErr w:type="gramEnd"/>
            <w:r w:rsidRPr="001A53D9">
              <w:rPr>
                <w:rFonts w:eastAsia="Times New Roman"/>
                <w:b/>
                <w:szCs w:val="24"/>
                <w:lang w:val="en-IN" w:eastAsia="en-IN"/>
              </w:rPr>
              <w:t xml:space="preserve"> collection period</w:t>
            </w:r>
          </w:p>
        </w:tc>
        <w:tc>
          <w:tcPr>
            <w:tcW w:w="1276" w:type="dxa"/>
            <w:noWrap/>
            <w:hideMark/>
          </w:tcPr>
          <w:p w14:paraId="0A79C59D"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68.69</w:t>
            </w:r>
            <w:r>
              <w:rPr>
                <w:rFonts w:eastAsia="Times New Roman"/>
                <w:b/>
                <w:szCs w:val="24"/>
                <w:lang w:val="en-IN" w:eastAsia="en-IN"/>
              </w:rPr>
              <w:t xml:space="preserve"> days</w:t>
            </w:r>
          </w:p>
        </w:tc>
        <w:tc>
          <w:tcPr>
            <w:tcW w:w="1246" w:type="dxa"/>
            <w:noWrap/>
            <w:hideMark/>
          </w:tcPr>
          <w:p w14:paraId="7C9ECAE8"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72.93</w:t>
            </w:r>
            <w:r>
              <w:rPr>
                <w:rFonts w:eastAsia="Times New Roman"/>
                <w:b/>
                <w:szCs w:val="24"/>
                <w:lang w:val="en-IN" w:eastAsia="en-IN"/>
              </w:rPr>
              <w:t xml:space="preserve"> days</w:t>
            </w:r>
          </w:p>
        </w:tc>
      </w:tr>
      <w:tr w:rsidR="001A53D9" w:rsidRPr="001A53D9" w14:paraId="0F3441F4"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5E4BBEC1"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1AE1CB5B"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63432258"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76" w:type="dxa"/>
            <w:noWrap/>
            <w:hideMark/>
          </w:tcPr>
          <w:p w14:paraId="21898454"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46" w:type="dxa"/>
            <w:noWrap/>
            <w:hideMark/>
          </w:tcPr>
          <w:p w14:paraId="33A655BF"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r>
      <w:tr w:rsidR="001A53D9" w:rsidRPr="001A53D9" w14:paraId="0320A5BE"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62D2DEA4"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Current ratio</w:t>
            </w:r>
          </w:p>
        </w:tc>
        <w:tc>
          <w:tcPr>
            <w:tcW w:w="2695" w:type="dxa"/>
            <w:noWrap/>
            <w:hideMark/>
          </w:tcPr>
          <w:p w14:paraId="4EB431D6" w14:textId="00ACF488"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Current assets / Current liabilities</w:t>
            </w:r>
            <w:r>
              <w:rPr>
                <w:rFonts w:eastAsia="Times New Roman"/>
                <w:szCs w:val="24"/>
                <w:lang w:val="en-IN" w:eastAsia="en-IN"/>
              </w:rPr>
              <w:t>”</w:t>
            </w:r>
          </w:p>
        </w:tc>
        <w:tc>
          <w:tcPr>
            <w:tcW w:w="2836" w:type="dxa"/>
            <w:noWrap/>
            <w:hideMark/>
          </w:tcPr>
          <w:p w14:paraId="71E8CD09"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Current assets</w:t>
            </w:r>
          </w:p>
        </w:tc>
        <w:tc>
          <w:tcPr>
            <w:tcW w:w="1276" w:type="dxa"/>
            <w:noWrap/>
            <w:hideMark/>
          </w:tcPr>
          <w:p w14:paraId="0B0EBA80"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2303</w:t>
            </w:r>
          </w:p>
        </w:tc>
        <w:tc>
          <w:tcPr>
            <w:tcW w:w="1246" w:type="dxa"/>
            <w:noWrap/>
            <w:hideMark/>
          </w:tcPr>
          <w:p w14:paraId="4F156716"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2355</w:t>
            </w:r>
          </w:p>
        </w:tc>
      </w:tr>
      <w:tr w:rsidR="001A53D9" w:rsidRPr="001A53D9" w14:paraId="0278D665"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168308F9"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3BFBEC9C"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4AB0F756"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Current liabilities</w:t>
            </w:r>
          </w:p>
        </w:tc>
        <w:tc>
          <w:tcPr>
            <w:tcW w:w="1276" w:type="dxa"/>
            <w:noWrap/>
            <w:hideMark/>
          </w:tcPr>
          <w:p w14:paraId="020D6FD8"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2511</w:t>
            </w:r>
          </w:p>
        </w:tc>
        <w:tc>
          <w:tcPr>
            <w:tcW w:w="1246" w:type="dxa"/>
            <w:noWrap/>
            <w:hideMark/>
          </w:tcPr>
          <w:p w14:paraId="58885D87"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3046</w:t>
            </w:r>
          </w:p>
        </w:tc>
      </w:tr>
      <w:tr w:rsidR="001A53D9" w:rsidRPr="001A53D9" w14:paraId="32A9FE9A"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70C59CB5"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6819B88D"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3DC9E040"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Current ratio</w:t>
            </w:r>
          </w:p>
        </w:tc>
        <w:tc>
          <w:tcPr>
            <w:tcW w:w="1276" w:type="dxa"/>
            <w:noWrap/>
            <w:hideMark/>
          </w:tcPr>
          <w:p w14:paraId="04ACC7BA"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0.92</w:t>
            </w:r>
          </w:p>
        </w:tc>
        <w:tc>
          <w:tcPr>
            <w:tcW w:w="1246" w:type="dxa"/>
            <w:noWrap/>
            <w:hideMark/>
          </w:tcPr>
          <w:p w14:paraId="7376E131"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0.77</w:t>
            </w:r>
          </w:p>
        </w:tc>
      </w:tr>
      <w:tr w:rsidR="001A53D9" w:rsidRPr="001A53D9" w14:paraId="43C87729"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3E991FB4"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13621A5B"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3599BFFE"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76" w:type="dxa"/>
            <w:noWrap/>
            <w:hideMark/>
          </w:tcPr>
          <w:p w14:paraId="6667502F"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46" w:type="dxa"/>
            <w:noWrap/>
            <w:hideMark/>
          </w:tcPr>
          <w:p w14:paraId="247BFDE8"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r>
      <w:tr w:rsidR="001A53D9" w:rsidRPr="001A53D9" w14:paraId="37088973"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7C903D7A"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Gearing ratio</w:t>
            </w:r>
          </w:p>
        </w:tc>
        <w:tc>
          <w:tcPr>
            <w:tcW w:w="2695" w:type="dxa"/>
            <w:noWrap/>
            <w:hideMark/>
          </w:tcPr>
          <w:p w14:paraId="44936C81" w14:textId="426CA8BF"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Total debt / Total equity</w:t>
            </w:r>
            <w:r>
              <w:rPr>
                <w:rFonts w:eastAsia="Times New Roman"/>
                <w:szCs w:val="24"/>
                <w:lang w:val="en-IN" w:eastAsia="en-IN"/>
              </w:rPr>
              <w:t>”</w:t>
            </w:r>
          </w:p>
        </w:tc>
        <w:tc>
          <w:tcPr>
            <w:tcW w:w="2836" w:type="dxa"/>
            <w:noWrap/>
            <w:hideMark/>
          </w:tcPr>
          <w:p w14:paraId="66B65C04"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Total debt</w:t>
            </w:r>
          </w:p>
        </w:tc>
        <w:tc>
          <w:tcPr>
            <w:tcW w:w="1276" w:type="dxa"/>
            <w:noWrap/>
            <w:hideMark/>
          </w:tcPr>
          <w:p w14:paraId="7CF4E668"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6648</w:t>
            </w:r>
          </w:p>
        </w:tc>
        <w:tc>
          <w:tcPr>
            <w:tcW w:w="1246" w:type="dxa"/>
            <w:noWrap/>
            <w:hideMark/>
          </w:tcPr>
          <w:p w14:paraId="5A3825A1"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7175</w:t>
            </w:r>
          </w:p>
        </w:tc>
      </w:tr>
      <w:tr w:rsidR="001A53D9" w:rsidRPr="001A53D9" w14:paraId="5C13818A"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5D8DD332"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24EC1DE0"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1142E5C2"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Total equity</w:t>
            </w:r>
          </w:p>
        </w:tc>
        <w:tc>
          <w:tcPr>
            <w:tcW w:w="1276" w:type="dxa"/>
            <w:noWrap/>
            <w:hideMark/>
          </w:tcPr>
          <w:p w14:paraId="4E74EC9D"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3088</w:t>
            </w:r>
          </w:p>
        </w:tc>
        <w:tc>
          <w:tcPr>
            <w:tcW w:w="1246" w:type="dxa"/>
            <w:noWrap/>
            <w:hideMark/>
          </w:tcPr>
          <w:p w14:paraId="76A61228"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2912</w:t>
            </w:r>
          </w:p>
        </w:tc>
      </w:tr>
      <w:tr w:rsidR="001A53D9" w:rsidRPr="001A53D9" w14:paraId="09B6F718"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735D7275"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62FCDED9"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19FE1DD9"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Gearing ratio</w:t>
            </w:r>
          </w:p>
        </w:tc>
        <w:tc>
          <w:tcPr>
            <w:tcW w:w="1276" w:type="dxa"/>
            <w:noWrap/>
            <w:hideMark/>
          </w:tcPr>
          <w:p w14:paraId="44CBE0B4"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2.15</w:t>
            </w:r>
          </w:p>
        </w:tc>
        <w:tc>
          <w:tcPr>
            <w:tcW w:w="1246" w:type="dxa"/>
            <w:noWrap/>
            <w:hideMark/>
          </w:tcPr>
          <w:p w14:paraId="5C782F2F"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2.46</w:t>
            </w:r>
          </w:p>
        </w:tc>
      </w:tr>
      <w:tr w:rsidR="001A53D9" w:rsidRPr="001A53D9" w14:paraId="42CD1C66"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4B31FF1A"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581468CD"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220570F1"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76" w:type="dxa"/>
            <w:noWrap/>
            <w:hideMark/>
          </w:tcPr>
          <w:p w14:paraId="45CA99AE"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1246" w:type="dxa"/>
            <w:noWrap/>
            <w:hideMark/>
          </w:tcPr>
          <w:p w14:paraId="087670AC"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r>
      <w:tr w:rsidR="001A53D9" w:rsidRPr="001A53D9" w14:paraId="33162550"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51C74B72"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Interest cover</w:t>
            </w:r>
          </w:p>
        </w:tc>
        <w:tc>
          <w:tcPr>
            <w:tcW w:w="2695" w:type="dxa"/>
            <w:noWrap/>
            <w:hideMark/>
          </w:tcPr>
          <w:p w14:paraId="65A63ECF" w14:textId="7EB2FB44" w:rsidR="001A53D9" w:rsidRPr="001A53D9" w:rsidRDefault="00CA066B"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Pr>
                <w:rFonts w:eastAsia="Times New Roman"/>
                <w:szCs w:val="24"/>
                <w:lang w:val="en-IN" w:eastAsia="en-IN"/>
              </w:rPr>
              <w:t>“</w:t>
            </w:r>
            <w:r w:rsidR="001A53D9" w:rsidRPr="001A53D9">
              <w:rPr>
                <w:rFonts w:eastAsia="Times New Roman"/>
                <w:szCs w:val="24"/>
                <w:lang w:val="en-IN" w:eastAsia="en-IN"/>
              </w:rPr>
              <w:t>Earnings before interest and tax / Interest</w:t>
            </w:r>
            <w:r>
              <w:rPr>
                <w:rFonts w:eastAsia="Times New Roman"/>
                <w:szCs w:val="24"/>
                <w:lang w:val="en-IN" w:eastAsia="en-IN"/>
              </w:rPr>
              <w:t>”</w:t>
            </w:r>
          </w:p>
        </w:tc>
        <w:tc>
          <w:tcPr>
            <w:tcW w:w="2836" w:type="dxa"/>
            <w:noWrap/>
            <w:hideMark/>
          </w:tcPr>
          <w:p w14:paraId="35C488B4"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Earnings before interest and tax</w:t>
            </w:r>
          </w:p>
        </w:tc>
        <w:tc>
          <w:tcPr>
            <w:tcW w:w="1276" w:type="dxa"/>
            <w:noWrap/>
            <w:hideMark/>
          </w:tcPr>
          <w:p w14:paraId="4FBD44BF"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846</w:t>
            </w:r>
          </w:p>
        </w:tc>
        <w:tc>
          <w:tcPr>
            <w:tcW w:w="1246" w:type="dxa"/>
            <w:noWrap/>
            <w:hideMark/>
          </w:tcPr>
          <w:p w14:paraId="2B0327AF"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720</w:t>
            </w:r>
          </w:p>
        </w:tc>
      </w:tr>
      <w:tr w:rsidR="001A53D9" w:rsidRPr="001A53D9" w14:paraId="17386D43" w14:textId="77777777" w:rsidTr="00732C98">
        <w:trPr>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73A24580"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33513EBB"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4EE04FE5" w14:textId="77777777" w:rsidR="001A53D9" w:rsidRPr="001A53D9" w:rsidRDefault="001A53D9" w:rsidP="001A53D9">
            <w:pPr>
              <w:suppressAutoHyphens w:val="0"/>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Interest</w:t>
            </w:r>
          </w:p>
        </w:tc>
        <w:tc>
          <w:tcPr>
            <w:tcW w:w="1276" w:type="dxa"/>
            <w:noWrap/>
            <w:hideMark/>
          </w:tcPr>
          <w:p w14:paraId="0E65D45E"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226</w:t>
            </w:r>
          </w:p>
        </w:tc>
        <w:tc>
          <w:tcPr>
            <w:tcW w:w="1246" w:type="dxa"/>
            <w:noWrap/>
            <w:hideMark/>
          </w:tcPr>
          <w:p w14:paraId="7390DB42" w14:textId="77777777" w:rsidR="001A53D9" w:rsidRPr="001A53D9" w:rsidRDefault="001A53D9" w:rsidP="001A53D9">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181</w:t>
            </w:r>
          </w:p>
        </w:tc>
      </w:tr>
      <w:tr w:rsidR="001A53D9" w:rsidRPr="001A53D9" w14:paraId="516A5B89" w14:textId="77777777" w:rsidTr="00732C98">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430" w:type="dxa"/>
            <w:noWrap/>
            <w:hideMark/>
          </w:tcPr>
          <w:p w14:paraId="6AC46799" w14:textId="77777777" w:rsidR="001A53D9" w:rsidRPr="001A53D9" w:rsidRDefault="001A53D9" w:rsidP="001A53D9">
            <w:pPr>
              <w:suppressAutoHyphens w:val="0"/>
              <w:spacing w:line="240" w:lineRule="auto"/>
              <w:jc w:val="left"/>
              <w:rPr>
                <w:rFonts w:eastAsia="Times New Roman"/>
                <w:szCs w:val="24"/>
                <w:lang w:val="en-IN" w:eastAsia="en-IN"/>
              </w:rPr>
            </w:pPr>
            <w:r w:rsidRPr="001A53D9">
              <w:rPr>
                <w:rFonts w:eastAsia="Times New Roman"/>
                <w:szCs w:val="24"/>
                <w:lang w:val="en-IN" w:eastAsia="en-IN"/>
              </w:rPr>
              <w:t> </w:t>
            </w:r>
          </w:p>
        </w:tc>
        <w:tc>
          <w:tcPr>
            <w:tcW w:w="2695" w:type="dxa"/>
            <w:noWrap/>
            <w:hideMark/>
          </w:tcPr>
          <w:p w14:paraId="0BC744A2" w14:textId="77777777"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szCs w:val="24"/>
                <w:lang w:val="en-IN" w:eastAsia="en-IN"/>
              </w:rPr>
            </w:pPr>
            <w:r w:rsidRPr="001A53D9">
              <w:rPr>
                <w:rFonts w:eastAsia="Times New Roman"/>
                <w:szCs w:val="24"/>
                <w:lang w:val="en-IN" w:eastAsia="en-IN"/>
              </w:rPr>
              <w:t> </w:t>
            </w:r>
          </w:p>
        </w:tc>
        <w:tc>
          <w:tcPr>
            <w:tcW w:w="2836" w:type="dxa"/>
            <w:noWrap/>
            <w:hideMark/>
          </w:tcPr>
          <w:p w14:paraId="76A0AB7A" w14:textId="3DE97992" w:rsidR="001A53D9" w:rsidRPr="001A53D9" w:rsidRDefault="001A53D9" w:rsidP="001A53D9">
            <w:pPr>
              <w:suppressAutoHyphens w:val="0"/>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Interest cover</w:t>
            </w:r>
            <w:r w:rsidR="00793C62">
              <w:rPr>
                <w:rFonts w:eastAsia="Times New Roman"/>
                <w:b/>
                <w:szCs w:val="24"/>
                <w:lang w:val="en-IN" w:eastAsia="en-IN"/>
              </w:rPr>
              <w:t>”</w:t>
            </w:r>
          </w:p>
        </w:tc>
        <w:tc>
          <w:tcPr>
            <w:tcW w:w="1276" w:type="dxa"/>
            <w:noWrap/>
            <w:hideMark/>
          </w:tcPr>
          <w:p w14:paraId="0CDF631B"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3.74</w:t>
            </w:r>
            <w:r>
              <w:rPr>
                <w:rFonts w:eastAsia="Times New Roman"/>
                <w:b/>
                <w:szCs w:val="24"/>
                <w:lang w:val="en-IN" w:eastAsia="en-IN"/>
              </w:rPr>
              <w:t xml:space="preserve"> times</w:t>
            </w:r>
          </w:p>
        </w:tc>
        <w:tc>
          <w:tcPr>
            <w:tcW w:w="1246" w:type="dxa"/>
            <w:noWrap/>
            <w:hideMark/>
          </w:tcPr>
          <w:p w14:paraId="70E9B8FB" w14:textId="77777777" w:rsidR="001A53D9" w:rsidRPr="001A53D9" w:rsidRDefault="001A53D9" w:rsidP="001A53D9">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b/>
                <w:szCs w:val="24"/>
                <w:lang w:val="en-IN" w:eastAsia="en-IN"/>
              </w:rPr>
            </w:pPr>
            <w:r w:rsidRPr="001A53D9">
              <w:rPr>
                <w:rFonts w:eastAsia="Times New Roman"/>
                <w:b/>
                <w:szCs w:val="24"/>
                <w:lang w:val="en-IN" w:eastAsia="en-IN"/>
              </w:rPr>
              <w:t>3.98</w:t>
            </w:r>
            <w:r>
              <w:rPr>
                <w:rFonts w:eastAsia="Times New Roman"/>
                <w:b/>
                <w:szCs w:val="24"/>
                <w:lang w:val="en-IN" w:eastAsia="en-IN"/>
              </w:rPr>
              <w:t xml:space="preserve"> times</w:t>
            </w:r>
          </w:p>
        </w:tc>
      </w:tr>
    </w:tbl>
    <w:p w14:paraId="78467567" w14:textId="77777777" w:rsidR="001A53D9" w:rsidRDefault="001A53D9" w:rsidP="001A53D9">
      <w:r>
        <w:t xml:space="preserve"> </w:t>
      </w:r>
    </w:p>
    <w:p w14:paraId="4212DA11" w14:textId="77777777" w:rsidR="001A53D9" w:rsidRDefault="001A53D9" w:rsidP="001A53D9">
      <w:r>
        <w:t>ii) Based on the calculation of the above ratios, the following conclusions can be drawn about the company (</w:t>
      </w:r>
      <w:r w:rsidRPr="001A53D9">
        <w:t>Thacker</w:t>
      </w:r>
      <w:r>
        <w:t xml:space="preserve"> et al, 2021):</w:t>
      </w:r>
    </w:p>
    <w:p w14:paraId="68449C82" w14:textId="16AAB313" w:rsidR="001A53D9" w:rsidRPr="001A53D9" w:rsidRDefault="001A53D9" w:rsidP="001A53D9">
      <w:r w:rsidRPr="001A53D9">
        <w:rPr>
          <w:b/>
        </w:rPr>
        <w:t xml:space="preserve">Profitability position </w:t>
      </w:r>
      <w:proofErr w:type="gramStart"/>
      <w:r w:rsidRPr="001A53D9">
        <w:rPr>
          <w:b/>
        </w:rPr>
        <w:t xml:space="preserve">-  </w:t>
      </w:r>
      <w:r>
        <w:t>The</w:t>
      </w:r>
      <w:proofErr w:type="gramEnd"/>
      <w:r>
        <w:t xml:space="preserve"> profitability of the company has </w:t>
      </w:r>
      <w:r w:rsidR="00793C62">
        <w:t>been enhanced</w:t>
      </w:r>
      <w:r>
        <w:t xml:space="preserve"> </w:t>
      </w:r>
      <w:r w:rsidR="00793C62">
        <w:t>within</w:t>
      </w:r>
      <w:r>
        <w:t xml:space="preserve"> the current period. It is evident from the </w:t>
      </w:r>
      <w:r w:rsidR="00793C62">
        <w:t>enhanced</w:t>
      </w:r>
      <w:r>
        <w:t xml:space="preserve"> in the NP ratio. This ratio indicates the profit-earning capacity of the business after incurring all the expenses including the interest payable on the long-term borrowings, payment of tax and the payment of dividends to the equity and the preference shareholders. The increase in the NP ratio during the period is due to the increase in the sales that have been achieved. It resulted in improved profit margins for the business.</w:t>
      </w:r>
    </w:p>
    <w:p w14:paraId="2B351B5E" w14:textId="34149819" w:rsidR="001A53D9" w:rsidRDefault="001A53D9" w:rsidP="001A53D9">
      <w:r>
        <w:rPr>
          <w:b/>
        </w:rPr>
        <w:t xml:space="preserve">Efficiency – </w:t>
      </w:r>
      <w:r>
        <w:t xml:space="preserve">The efficiency of the company can be evaluated with the help of various ratios including the assets turnover ratio, inventory holding period and the accounts receivables collection period. </w:t>
      </w:r>
      <w:r w:rsidR="00793C62">
        <w:t>“</w:t>
      </w:r>
      <w:r>
        <w:t>The assets turnover ratio</w:t>
      </w:r>
      <w:r w:rsidR="00793C62">
        <w:t>”</w:t>
      </w:r>
      <w:r>
        <w:t xml:space="preserve"> has also improved during the period. It indicates the efficiency of the company in making use of the available assets to generate sales.</w:t>
      </w:r>
    </w:p>
    <w:p w14:paraId="2F67AD75" w14:textId="77777777" w:rsidR="001A53D9" w:rsidRDefault="001A53D9" w:rsidP="001A53D9">
      <w:r>
        <w:t xml:space="preserve">The stock holding period has reduced which indicates the efficiency of the company in handling the inventory and generating sales from such inventory. A reduction in such a ratio implies that </w:t>
      </w:r>
      <w:r>
        <w:lastRenderedPageBreak/>
        <w:t>during the current period less time has been taken by the business to convert the purchases made by it that are held in the form of stock to sales (CFI, 2022).</w:t>
      </w:r>
    </w:p>
    <w:p w14:paraId="37761FD8" w14:textId="77777777" w:rsidR="001A53D9" w:rsidRPr="001A53D9" w:rsidRDefault="001A53D9" w:rsidP="001A53D9">
      <w:r>
        <w:t>Debtors' collection period has also reduced during the period. It again indicates the efficiency of the company to collect the amount due from the debtors concerning the credit sales made to them. A reduction in such a ratio implies that less time has been taken by the debtors during the current period to make the payment to the company for the credit sales. It positively impacts the liquidity position of the company.</w:t>
      </w:r>
    </w:p>
    <w:p w14:paraId="49B0801A" w14:textId="3A89DC14" w:rsidR="001A53D9" w:rsidRDefault="001A53D9" w:rsidP="001A53D9">
      <w:r>
        <w:rPr>
          <w:b/>
        </w:rPr>
        <w:t xml:space="preserve">Solvency – </w:t>
      </w:r>
      <w:r w:rsidR="00793C62">
        <w:rPr>
          <w:b/>
        </w:rPr>
        <w:t>“</w:t>
      </w:r>
      <w:r>
        <w:t>The solvency position of the company can be evaluated with the help of various ratios including the gearing ratio and the interest coverage ratio</w:t>
      </w:r>
      <w:r w:rsidR="00793C62">
        <w:t>”</w:t>
      </w:r>
      <w:r>
        <w:t>.</w:t>
      </w:r>
    </w:p>
    <w:p w14:paraId="132F4F19" w14:textId="77777777" w:rsidR="001A53D9" w:rsidRDefault="001A53D9" w:rsidP="001A53D9">
      <w:r>
        <w:t>The fearing ratio helps to determine what is the proportion of the external debt in the total capital employed in the business. It indicates how much of the total assets have been financed by way of owned funds and how much of the assets of the company have been financed by way of external funds. The gearing ratio has reduced during the period. This is because of the reduction in the current liabilities during the period,</w:t>
      </w:r>
    </w:p>
    <w:p w14:paraId="18FA29E8" w14:textId="39BA438B" w:rsidR="001A53D9" w:rsidRPr="001A53D9" w:rsidRDefault="00793C62" w:rsidP="001A53D9">
      <w:r>
        <w:t>“</w:t>
      </w:r>
      <w:r w:rsidR="001A53D9">
        <w:t>The interest coverage ratio has reduced during the period</w:t>
      </w:r>
      <w:r>
        <w:t>”</w:t>
      </w:r>
      <w:r w:rsidR="001A53D9">
        <w:t xml:space="preserve">. This is not a good indicator. A reduction in this ratio implies a reduction in the profits of the business that are available before the payment of interest expense and the payment of tax in proportion to the total interest expense during the period. The interest expense has increased during the current period because of the increase in long-term borrowings </w:t>
      </w:r>
      <w:proofErr w:type="gramStart"/>
      <w:r w:rsidR="001A53D9">
        <w:t>i.e.</w:t>
      </w:r>
      <w:proofErr w:type="gramEnd"/>
      <w:r w:rsidR="001A53D9">
        <w:t xml:space="preserve"> additional borrowings made during the period (My accounting course, 2022).</w:t>
      </w:r>
    </w:p>
    <w:p w14:paraId="5026691F" w14:textId="77777777" w:rsidR="001A53D9" w:rsidRDefault="001A53D9" w:rsidP="001A53D9">
      <w:pPr>
        <w:rPr>
          <w:b/>
        </w:rPr>
      </w:pPr>
    </w:p>
    <w:p w14:paraId="6C9B9ACF" w14:textId="77777777" w:rsidR="001A53D9" w:rsidRDefault="001A53D9" w:rsidP="001A53D9">
      <w:r>
        <w:rPr>
          <w:b/>
        </w:rPr>
        <w:t xml:space="preserve">Liquidity position – </w:t>
      </w:r>
      <w:r>
        <w:t xml:space="preserve">The liquidity position of the business can be evaluated with the help of the current ratio. The current ratio helps to determine the relationship between the current assets and the current liabilities. It helps to find out the proportion of the current assets held in the business as compared to the current liabilities of the business. There has been an increase in the current ratio during the period even though it continues to remain at a lower level in the current period also </w:t>
      </w:r>
      <w:proofErr w:type="gramStart"/>
      <w:r>
        <w:t>i.e.</w:t>
      </w:r>
      <w:proofErr w:type="gramEnd"/>
      <w:r>
        <w:t xml:space="preserve"> lower than the standard ratio of 2. The liquidity position of the company requires further action as the current assets employed in the business are not enough to make the payment for the current liabilities. It can result in a default on the part of the company to make the payment for the current liabilities. If the current assets are not sufficient in the business to make the payment </w:t>
      </w:r>
      <w:r>
        <w:lastRenderedPageBreak/>
        <w:t xml:space="preserve">for the current </w:t>
      </w:r>
      <w:proofErr w:type="gramStart"/>
      <w:r>
        <w:t>liabilities</w:t>
      </w:r>
      <w:proofErr w:type="gramEnd"/>
      <w:r>
        <w:t xml:space="preserve"> then it may force the company to use funds from long-term sources to make the payment for the current liabilities (</w:t>
      </w:r>
      <w:proofErr w:type="spellStart"/>
      <w:r>
        <w:t>Quickbooks</w:t>
      </w:r>
      <w:proofErr w:type="spellEnd"/>
      <w:r>
        <w:t>, 2019).</w:t>
      </w:r>
    </w:p>
    <w:p w14:paraId="0B7A4D00" w14:textId="77777777" w:rsidR="001A53D9" w:rsidRPr="001A53D9" w:rsidRDefault="001A53D9" w:rsidP="001A53D9">
      <w:r>
        <w:t>Thus, it can be said that the overall performance of the company has improved during the current period. Although there are certain areas where there is further scope for improvement such as improvement required in the liquidity position of the company.</w:t>
      </w:r>
    </w:p>
    <w:p w14:paraId="11503FF4" w14:textId="77777777" w:rsidR="001A53D9" w:rsidRDefault="001A53D9" w:rsidP="001A53D9">
      <w:pPr>
        <w:pStyle w:val="Heading1"/>
      </w:pPr>
      <w:bookmarkStart w:id="2" w:name="_Toc121258277"/>
      <w:r>
        <w:t>Conclusion</w:t>
      </w:r>
      <w:bookmarkEnd w:id="2"/>
    </w:p>
    <w:p w14:paraId="4EB23128" w14:textId="284C6867" w:rsidR="001A53D9" w:rsidRPr="001A53D9" w:rsidRDefault="00732C98" w:rsidP="001A53D9">
      <w:r>
        <w:t>Based on the above discussion,</w:t>
      </w:r>
      <w:r w:rsidR="001A53D9">
        <w:t xml:space="preserve"> it can be said that the financial statements alone do not give meaningful information about the financial performance of the business. For this purpose, various ratios are calculated that help in evaluating the various variables contained in the income statement and the balance sheet.</w:t>
      </w:r>
    </w:p>
    <w:p w14:paraId="2514AA3E" w14:textId="77777777" w:rsidR="001A53D9" w:rsidRDefault="001A53D9" w:rsidP="001A53D9"/>
    <w:p w14:paraId="24D3D6C8" w14:textId="77777777" w:rsidR="001A53D9" w:rsidRPr="001A53D9" w:rsidRDefault="001A53D9" w:rsidP="001A53D9"/>
    <w:p w14:paraId="6DE36A5B" w14:textId="77777777" w:rsidR="001A53D9" w:rsidRDefault="001A53D9" w:rsidP="001A53D9"/>
    <w:p w14:paraId="48740BA3" w14:textId="77777777" w:rsidR="001A53D9" w:rsidRDefault="001A53D9" w:rsidP="001A53D9"/>
    <w:p w14:paraId="26EF3951" w14:textId="77777777" w:rsidR="001A53D9" w:rsidRPr="001A53D9" w:rsidRDefault="001A53D9" w:rsidP="001A53D9"/>
    <w:p w14:paraId="4276AEBE" w14:textId="77777777" w:rsidR="00F94536" w:rsidRPr="00F94536" w:rsidRDefault="00F94536" w:rsidP="00F94536"/>
    <w:p w14:paraId="5E1A9274" w14:textId="77777777" w:rsidR="00CB765F" w:rsidRPr="00CB765F" w:rsidRDefault="00CB765F" w:rsidP="00F94536"/>
    <w:p w14:paraId="3C714767" w14:textId="77777777" w:rsidR="00CB765F" w:rsidRPr="00CB765F" w:rsidRDefault="00CB765F" w:rsidP="00F94536"/>
    <w:p w14:paraId="60CD1D66" w14:textId="77777777" w:rsidR="00CB765F" w:rsidRPr="00CB765F" w:rsidRDefault="00CB765F" w:rsidP="00F94536"/>
    <w:p w14:paraId="37EDA9DF" w14:textId="77777777" w:rsidR="00CB765F" w:rsidRPr="00CB765F" w:rsidRDefault="00CB765F" w:rsidP="00F94536"/>
    <w:p w14:paraId="339AA55B" w14:textId="77777777" w:rsidR="003D1BFD" w:rsidRDefault="003D1BFD" w:rsidP="00F94536"/>
    <w:p w14:paraId="4EC669A0" w14:textId="77777777" w:rsidR="003D1BFD" w:rsidRDefault="003D1BFD" w:rsidP="00F94536">
      <w:r>
        <w:br w:type="page"/>
      </w:r>
    </w:p>
    <w:p w14:paraId="2CCF0999" w14:textId="77777777" w:rsidR="003D1BFD" w:rsidRDefault="003D1BFD" w:rsidP="00F94536">
      <w:pPr>
        <w:pStyle w:val="Heading1"/>
      </w:pPr>
      <w:bookmarkStart w:id="3" w:name="_Toc121258278"/>
      <w:r>
        <w:lastRenderedPageBreak/>
        <w:t>References List</w:t>
      </w:r>
      <w:bookmarkEnd w:id="3"/>
    </w:p>
    <w:p w14:paraId="1DB010B2" w14:textId="77777777" w:rsidR="001A53D9" w:rsidRPr="001A53D9" w:rsidRDefault="001A53D9" w:rsidP="001A53D9">
      <w:r>
        <w:t xml:space="preserve">Accountingtools.com, (2022). </w:t>
      </w:r>
      <w:r w:rsidRPr="001A53D9">
        <w:t>Accounts receivable accounting</w:t>
      </w:r>
      <w:r>
        <w:t xml:space="preserve">. Available at &lt; </w:t>
      </w:r>
      <w:hyperlink r:id="rId8" w:history="1">
        <w:r w:rsidRPr="00005747">
          <w:rPr>
            <w:rStyle w:val="Hyperlink"/>
          </w:rPr>
          <w:t>https://www.accountingtools.com/articles/accounts-receivable-accounting</w:t>
        </w:r>
      </w:hyperlink>
      <w:r>
        <w:t xml:space="preserve"> &gt; (Accessed on 4 Dec 2022).</w:t>
      </w:r>
    </w:p>
    <w:p w14:paraId="067D358A" w14:textId="77777777" w:rsidR="001A53D9" w:rsidRDefault="001A53D9" w:rsidP="001A53D9">
      <w:r>
        <w:t xml:space="preserve">Corporatefinanceinstitute.com, 2022. </w:t>
      </w:r>
      <w:r w:rsidRPr="001A53D9">
        <w:t>Balance Sheet</w:t>
      </w:r>
      <w:r>
        <w:t xml:space="preserve">. Available at &lt; </w:t>
      </w:r>
      <w:hyperlink r:id="rId9" w:history="1">
        <w:r w:rsidRPr="00005747">
          <w:rPr>
            <w:rStyle w:val="Hyperlink"/>
          </w:rPr>
          <w:t>https://corporatefinanceinstitute.com/resources/accounting/balance-sheet/</w:t>
        </w:r>
      </w:hyperlink>
      <w:r>
        <w:t xml:space="preserve"> &gt; (Accessed on 4 Dec 2022).</w:t>
      </w:r>
    </w:p>
    <w:p w14:paraId="0C7B9D71" w14:textId="77777777" w:rsidR="001A53D9" w:rsidRDefault="001A53D9" w:rsidP="001A53D9">
      <w:r>
        <w:t xml:space="preserve">Corporatefinanceinstitute.com, 2022. </w:t>
      </w:r>
      <w:r w:rsidRPr="001A53D9">
        <w:t>What are Efficiency Ratios?</w:t>
      </w:r>
      <w:r>
        <w:t xml:space="preserve"> Available at &lt; </w:t>
      </w:r>
      <w:hyperlink r:id="rId10" w:history="1">
        <w:r w:rsidRPr="00005747">
          <w:rPr>
            <w:rStyle w:val="Hyperlink"/>
          </w:rPr>
          <w:t>https://corporatefinanceinstitute.com/resources/accounting/efficiency-ratios/</w:t>
        </w:r>
      </w:hyperlink>
      <w:r>
        <w:t xml:space="preserve"> &gt; (Accessed on 4 Dec 2022).</w:t>
      </w:r>
    </w:p>
    <w:p w14:paraId="7D53B544" w14:textId="77777777" w:rsidR="001A53D9" w:rsidRDefault="001A53D9" w:rsidP="001A53D9">
      <w:r>
        <w:t xml:space="preserve">Myaccountingcourse.com, (2022). </w:t>
      </w:r>
      <w:r w:rsidRPr="001A53D9">
        <w:t>Solvency Ratios</w:t>
      </w:r>
      <w:r>
        <w:t xml:space="preserve">. Available at &lt; </w:t>
      </w:r>
      <w:hyperlink r:id="rId11" w:history="1">
        <w:r w:rsidRPr="00005747">
          <w:rPr>
            <w:rStyle w:val="Hyperlink"/>
          </w:rPr>
          <w:t>https://www.myaccountingcourse.com/financial-ratios/solvency-ratios</w:t>
        </w:r>
      </w:hyperlink>
      <w:r>
        <w:t xml:space="preserve"> &gt; (Accessed on 4 Dec 2022).</w:t>
      </w:r>
    </w:p>
    <w:p w14:paraId="0F5DDAE8" w14:textId="77777777" w:rsidR="001A53D9" w:rsidRDefault="001A53D9" w:rsidP="001A53D9">
      <w:r>
        <w:t xml:space="preserve">Quickbooks.intuit.com, (2019). </w:t>
      </w:r>
      <w:r w:rsidRPr="001A53D9">
        <w:t>Understanding Liquidity Ratio Analysis</w:t>
      </w:r>
      <w:r>
        <w:t xml:space="preserve">. Available at &lt; </w:t>
      </w:r>
      <w:hyperlink r:id="rId12" w:history="1">
        <w:r w:rsidRPr="00005747">
          <w:rPr>
            <w:rStyle w:val="Hyperlink"/>
          </w:rPr>
          <w:t>https://quickbooks.intuit.com/in/resources/accounting/understanding-liquidity-ratio-analysis/</w:t>
        </w:r>
      </w:hyperlink>
      <w:r>
        <w:t xml:space="preserve"> &gt; (Accessed on 4 Dec 2022).</w:t>
      </w:r>
    </w:p>
    <w:p w14:paraId="1EA3AAA9" w14:textId="77777777" w:rsidR="001A53D9" w:rsidRDefault="001A53D9" w:rsidP="001A53D9">
      <w:r w:rsidRPr="001A53D9">
        <w:t xml:space="preserve">Thacker, P.G., Witte, R.J. and </w:t>
      </w:r>
      <w:proofErr w:type="spellStart"/>
      <w:r w:rsidRPr="001A53D9">
        <w:t>Menaker</w:t>
      </w:r>
      <w:proofErr w:type="spellEnd"/>
      <w:r w:rsidRPr="001A53D9">
        <w:t xml:space="preserve">, R., 2020. Key financial indicators and ratios: How to use them for success in your practice. </w:t>
      </w:r>
      <w:r w:rsidRPr="001A53D9">
        <w:rPr>
          <w:i/>
        </w:rPr>
        <w:t>Clinical imaging</w:t>
      </w:r>
      <w:r w:rsidRPr="001A53D9">
        <w:t>, 64, pp.80-84.</w:t>
      </w:r>
      <w:r>
        <w:t xml:space="preserve"> Available at &lt; </w:t>
      </w:r>
      <w:hyperlink r:id="rId13" w:history="1">
        <w:r w:rsidRPr="00005747">
          <w:rPr>
            <w:rStyle w:val="Hyperlink"/>
          </w:rPr>
          <w:t>https://www.sciencedirect.com/science/article/abs/pii/S0899707120300954</w:t>
        </w:r>
      </w:hyperlink>
      <w:r>
        <w:t xml:space="preserve"> &gt; (Accessed on 4 Dec 2022).</w:t>
      </w:r>
    </w:p>
    <w:p w14:paraId="07D6C79A" w14:textId="77777777" w:rsidR="001A53D9" w:rsidRDefault="001A53D9" w:rsidP="001A53D9">
      <w:r w:rsidRPr="001A53D9">
        <w:t xml:space="preserve">Westland, J.C., 2020. Analytical Review: Technical Analysis. </w:t>
      </w:r>
      <w:r w:rsidRPr="001A53D9">
        <w:rPr>
          <w:i/>
        </w:rPr>
        <w:t>Audit Analytics</w:t>
      </w:r>
      <w:r w:rsidRPr="001A53D9">
        <w:t>, pp.87-112.</w:t>
      </w:r>
      <w:r>
        <w:t xml:space="preserve"> Available at &lt; </w:t>
      </w:r>
      <w:hyperlink r:id="rId14" w:history="1">
        <w:r w:rsidRPr="00005747">
          <w:rPr>
            <w:rStyle w:val="Hyperlink"/>
          </w:rPr>
          <w:t>https://link.springer.com/chapter/10.1007/978-3-030-49091-1_5</w:t>
        </w:r>
      </w:hyperlink>
      <w:r>
        <w:t xml:space="preserve"> &gt; (Accessed on 4 Dec 2022).</w:t>
      </w:r>
    </w:p>
    <w:p w14:paraId="55B406E2" w14:textId="77777777" w:rsidR="001A53D9" w:rsidRPr="001A53D9" w:rsidRDefault="001A53D9" w:rsidP="001A53D9"/>
    <w:p w14:paraId="7678DED2" w14:textId="77777777" w:rsidR="003D1BFD" w:rsidRPr="003D1BFD" w:rsidRDefault="003D1BFD" w:rsidP="00F94536"/>
    <w:sectPr w:rsidR="003D1BFD" w:rsidRPr="003D1BFD" w:rsidSect="003D1BFD">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BC876" w14:textId="77777777" w:rsidR="003C1A89" w:rsidRDefault="003C1A89" w:rsidP="003D1BFD">
      <w:pPr>
        <w:spacing w:line="240" w:lineRule="auto"/>
      </w:pPr>
      <w:r>
        <w:separator/>
      </w:r>
    </w:p>
  </w:endnote>
  <w:endnote w:type="continuationSeparator" w:id="0">
    <w:p w14:paraId="74995F3E" w14:textId="77777777" w:rsidR="003C1A89" w:rsidRDefault="003C1A89" w:rsidP="003D1B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Arial"/>
    <w:charset w:val="00"/>
    <w:family w:val="swiss"/>
    <w:pitch w:val="variable"/>
    <w:sig w:usb0="00000000" w:usb1="D200FDFF" w:usb2="0A246029" w:usb3="00000000" w:csb0="000001FF" w:csb1="00000000"/>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905014"/>
      <w:docPartObj>
        <w:docPartGallery w:val="Page Numbers (Bottom of Page)"/>
        <w:docPartUnique/>
      </w:docPartObj>
    </w:sdtPr>
    <w:sdtEndPr>
      <w:rPr>
        <w:noProof/>
      </w:rPr>
    </w:sdtEndPr>
    <w:sdtContent>
      <w:p w14:paraId="4A5A6ED0" w14:textId="77777777" w:rsidR="003D1BFD" w:rsidRDefault="003D1BFD">
        <w:pPr>
          <w:pStyle w:val="Footer"/>
          <w:jc w:val="right"/>
        </w:pPr>
        <w:r>
          <w:fldChar w:fldCharType="begin"/>
        </w:r>
        <w:r>
          <w:instrText xml:space="preserve"> PAGE   \* MERGEFORMAT </w:instrText>
        </w:r>
        <w:r>
          <w:fldChar w:fldCharType="separate"/>
        </w:r>
        <w:r w:rsidR="001A53D9">
          <w:rPr>
            <w:noProof/>
          </w:rPr>
          <w:t>10</w:t>
        </w:r>
        <w:r>
          <w:rPr>
            <w:noProof/>
          </w:rPr>
          <w:fldChar w:fldCharType="end"/>
        </w:r>
      </w:p>
    </w:sdtContent>
  </w:sdt>
  <w:p w14:paraId="0A5A0C6A" w14:textId="77777777" w:rsidR="003D1BFD" w:rsidRDefault="003D1B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99B5C" w14:textId="77777777" w:rsidR="003C1A89" w:rsidRDefault="003C1A89" w:rsidP="003D1BFD">
      <w:pPr>
        <w:spacing w:line="240" w:lineRule="auto"/>
      </w:pPr>
      <w:r>
        <w:separator/>
      </w:r>
    </w:p>
  </w:footnote>
  <w:footnote w:type="continuationSeparator" w:id="0">
    <w:p w14:paraId="0749F5B8" w14:textId="77777777" w:rsidR="003C1A89" w:rsidRDefault="003C1A89" w:rsidP="003D1B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24A6F9A"/>
    <w:multiLevelType w:val="hybridMultilevel"/>
    <w:tmpl w:val="8E62D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3417FF7"/>
    <w:multiLevelType w:val="hybridMultilevel"/>
    <w:tmpl w:val="D06C528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7D659E1"/>
    <w:multiLevelType w:val="hybridMultilevel"/>
    <w:tmpl w:val="B59EE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1231C1"/>
    <w:multiLevelType w:val="hybridMultilevel"/>
    <w:tmpl w:val="EB3E5F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5471278"/>
    <w:multiLevelType w:val="hybridMultilevel"/>
    <w:tmpl w:val="9266E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7E6625"/>
    <w:multiLevelType w:val="hybridMultilevel"/>
    <w:tmpl w:val="C49AEF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9D6BD3"/>
    <w:multiLevelType w:val="hybridMultilevel"/>
    <w:tmpl w:val="908A68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A6B0863"/>
    <w:multiLevelType w:val="hybridMultilevel"/>
    <w:tmpl w:val="D4D81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BC67293"/>
    <w:multiLevelType w:val="hybridMultilevel"/>
    <w:tmpl w:val="88A0E0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D972776"/>
    <w:multiLevelType w:val="hybridMultilevel"/>
    <w:tmpl w:val="368CE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E42C97"/>
    <w:multiLevelType w:val="hybridMultilevel"/>
    <w:tmpl w:val="1A301B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2E069BB"/>
    <w:multiLevelType w:val="hybridMultilevel"/>
    <w:tmpl w:val="0346E7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69464E5"/>
    <w:multiLevelType w:val="hybridMultilevel"/>
    <w:tmpl w:val="DCFAD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80F2FC7"/>
    <w:multiLevelType w:val="hybridMultilevel"/>
    <w:tmpl w:val="3388686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7"/>
  </w:num>
  <w:num w:numId="4">
    <w:abstractNumId w:val="14"/>
  </w:num>
  <w:num w:numId="5">
    <w:abstractNumId w:val="4"/>
  </w:num>
  <w:num w:numId="6">
    <w:abstractNumId w:val="6"/>
  </w:num>
  <w:num w:numId="7">
    <w:abstractNumId w:val="2"/>
  </w:num>
  <w:num w:numId="8">
    <w:abstractNumId w:val="11"/>
  </w:num>
  <w:num w:numId="9">
    <w:abstractNumId w:val="12"/>
  </w:num>
  <w:num w:numId="10">
    <w:abstractNumId w:val="15"/>
  </w:num>
  <w:num w:numId="11">
    <w:abstractNumId w:val="13"/>
  </w:num>
  <w:num w:numId="12">
    <w:abstractNumId w:val="8"/>
  </w:num>
  <w:num w:numId="13">
    <w:abstractNumId w:val="10"/>
  </w:num>
  <w:num w:numId="14">
    <w:abstractNumId w:val="5"/>
  </w:num>
  <w:num w:numId="15">
    <w:abstractNumId w:val="9"/>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hideSpellingErrors/>
  <w:hideGrammaticalError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GIksLU3MTI0NTAyBbSUcpOLW4ODM/D6TApBYAR8mEFSwAAAA="/>
  </w:docVars>
  <w:rsids>
    <w:rsidRoot w:val="00DC51BB"/>
    <w:rsid w:val="000133BC"/>
    <w:rsid w:val="0003184F"/>
    <w:rsid w:val="00034ACC"/>
    <w:rsid w:val="000709A5"/>
    <w:rsid w:val="00096ACA"/>
    <w:rsid w:val="000D51B4"/>
    <w:rsid w:val="000D772C"/>
    <w:rsid w:val="000E1958"/>
    <w:rsid w:val="000E356A"/>
    <w:rsid w:val="000F085E"/>
    <w:rsid w:val="001271BA"/>
    <w:rsid w:val="0013732D"/>
    <w:rsid w:val="00195912"/>
    <w:rsid w:val="001A3E01"/>
    <w:rsid w:val="001A53D9"/>
    <w:rsid w:val="001B60B2"/>
    <w:rsid w:val="001B63D5"/>
    <w:rsid w:val="001C21C1"/>
    <w:rsid w:val="001E583B"/>
    <w:rsid w:val="001F5AF8"/>
    <w:rsid w:val="0020132E"/>
    <w:rsid w:val="002169DE"/>
    <w:rsid w:val="00262A01"/>
    <w:rsid w:val="0026339D"/>
    <w:rsid w:val="00267A95"/>
    <w:rsid w:val="00295732"/>
    <w:rsid w:val="002C2E31"/>
    <w:rsid w:val="002E5CBA"/>
    <w:rsid w:val="002F5D0A"/>
    <w:rsid w:val="0030733D"/>
    <w:rsid w:val="00311A73"/>
    <w:rsid w:val="00351F9D"/>
    <w:rsid w:val="003748D6"/>
    <w:rsid w:val="003C1A89"/>
    <w:rsid w:val="003C6B16"/>
    <w:rsid w:val="003D1BFD"/>
    <w:rsid w:val="00425594"/>
    <w:rsid w:val="00425D85"/>
    <w:rsid w:val="00426720"/>
    <w:rsid w:val="004354EC"/>
    <w:rsid w:val="00471387"/>
    <w:rsid w:val="004C3A98"/>
    <w:rsid w:val="004E2741"/>
    <w:rsid w:val="005070FE"/>
    <w:rsid w:val="005D7802"/>
    <w:rsid w:val="005E5B37"/>
    <w:rsid w:val="00603257"/>
    <w:rsid w:val="00605419"/>
    <w:rsid w:val="00605901"/>
    <w:rsid w:val="00612F2A"/>
    <w:rsid w:val="00614830"/>
    <w:rsid w:val="00617CCA"/>
    <w:rsid w:val="00636EDB"/>
    <w:rsid w:val="00646270"/>
    <w:rsid w:val="00652C68"/>
    <w:rsid w:val="006647E3"/>
    <w:rsid w:val="00672698"/>
    <w:rsid w:val="00695A42"/>
    <w:rsid w:val="006A559D"/>
    <w:rsid w:val="006C1B8A"/>
    <w:rsid w:val="006F2F8A"/>
    <w:rsid w:val="006F3ED9"/>
    <w:rsid w:val="007104DA"/>
    <w:rsid w:val="007130B4"/>
    <w:rsid w:val="00727D5B"/>
    <w:rsid w:val="00732C98"/>
    <w:rsid w:val="007364F2"/>
    <w:rsid w:val="007376F5"/>
    <w:rsid w:val="00745678"/>
    <w:rsid w:val="007801BE"/>
    <w:rsid w:val="00793C62"/>
    <w:rsid w:val="007A1C20"/>
    <w:rsid w:val="007B6A36"/>
    <w:rsid w:val="007C12B6"/>
    <w:rsid w:val="007F5EFF"/>
    <w:rsid w:val="00815E6A"/>
    <w:rsid w:val="0083449F"/>
    <w:rsid w:val="00865951"/>
    <w:rsid w:val="00880C32"/>
    <w:rsid w:val="008B79DB"/>
    <w:rsid w:val="008D1697"/>
    <w:rsid w:val="008E1E8D"/>
    <w:rsid w:val="008E6E52"/>
    <w:rsid w:val="00900194"/>
    <w:rsid w:val="0090082C"/>
    <w:rsid w:val="00943D00"/>
    <w:rsid w:val="0096168D"/>
    <w:rsid w:val="009C1AB0"/>
    <w:rsid w:val="009F7DD4"/>
    <w:rsid w:val="00A460E9"/>
    <w:rsid w:val="00A47D96"/>
    <w:rsid w:val="00A60140"/>
    <w:rsid w:val="00A80DFC"/>
    <w:rsid w:val="00A86CF8"/>
    <w:rsid w:val="00A87122"/>
    <w:rsid w:val="00A97606"/>
    <w:rsid w:val="00AB1792"/>
    <w:rsid w:val="00AC7B1F"/>
    <w:rsid w:val="00AD1764"/>
    <w:rsid w:val="00AD51F0"/>
    <w:rsid w:val="00B06AC3"/>
    <w:rsid w:val="00B12E6F"/>
    <w:rsid w:val="00B16C9B"/>
    <w:rsid w:val="00B1704F"/>
    <w:rsid w:val="00B5664A"/>
    <w:rsid w:val="00B56B6B"/>
    <w:rsid w:val="00B75E35"/>
    <w:rsid w:val="00B9430A"/>
    <w:rsid w:val="00BF4F3A"/>
    <w:rsid w:val="00C20E41"/>
    <w:rsid w:val="00C21360"/>
    <w:rsid w:val="00C27773"/>
    <w:rsid w:val="00C31296"/>
    <w:rsid w:val="00C734D6"/>
    <w:rsid w:val="00C84652"/>
    <w:rsid w:val="00CA066B"/>
    <w:rsid w:val="00CB765F"/>
    <w:rsid w:val="00D32151"/>
    <w:rsid w:val="00D4716D"/>
    <w:rsid w:val="00D63C99"/>
    <w:rsid w:val="00D6405A"/>
    <w:rsid w:val="00D67944"/>
    <w:rsid w:val="00DA4358"/>
    <w:rsid w:val="00DC51BB"/>
    <w:rsid w:val="00E15AAE"/>
    <w:rsid w:val="00E227B3"/>
    <w:rsid w:val="00E26451"/>
    <w:rsid w:val="00E34092"/>
    <w:rsid w:val="00E85E5A"/>
    <w:rsid w:val="00EA6F0F"/>
    <w:rsid w:val="00EC6C76"/>
    <w:rsid w:val="00EE78C8"/>
    <w:rsid w:val="00EE7ED7"/>
    <w:rsid w:val="00F23CE7"/>
    <w:rsid w:val="00F27901"/>
    <w:rsid w:val="00F36910"/>
    <w:rsid w:val="00F450DB"/>
    <w:rsid w:val="00F55951"/>
    <w:rsid w:val="00F606B0"/>
    <w:rsid w:val="00F66D6C"/>
    <w:rsid w:val="00F94536"/>
    <w:rsid w:val="00FB5FF6"/>
    <w:rsid w:val="00FB6AA6"/>
    <w:rsid w:val="00FC50D3"/>
    <w:rsid w:val="00FF2D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0EFF78C"/>
  <w15:docId w15:val="{48C863FA-AC03-4B79-A74D-6B58CB9D3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0D3"/>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FC50D3"/>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FC50D3"/>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FC50D3"/>
    <w:pPr>
      <w:tabs>
        <w:tab w:val="num" w:pos="0"/>
      </w:tabs>
      <w:ind w:left="720" w:hanging="720"/>
      <w:outlineLvl w:val="2"/>
    </w:pPr>
    <w:rPr>
      <w:b/>
      <w:bCs/>
    </w:rPr>
  </w:style>
  <w:style w:type="paragraph" w:styleId="Heading4">
    <w:name w:val="heading 4"/>
    <w:basedOn w:val="Heading"/>
    <w:next w:val="BodyText"/>
    <w:qFormat/>
    <w:rsid w:val="00FC50D3"/>
    <w:pPr>
      <w:tabs>
        <w:tab w:val="num" w:pos="0"/>
      </w:tabs>
      <w:ind w:left="864" w:hanging="864"/>
      <w:outlineLvl w:val="3"/>
    </w:pPr>
    <w:rPr>
      <w:b/>
      <w:bCs/>
      <w:i/>
      <w:iCs/>
      <w:sz w:val="24"/>
      <w:szCs w:val="24"/>
    </w:rPr>
  </w:style>
  <w:style w:type="paragraph" w:styleId="Heading5">
    <w:name w:val="heading 5"/>
    <w:basedOn w:val="Heading"/>
    <w:next w:val="BodyText"/>
    <w:qFormat/>
    <w:rsid w:val="00FC50D3"/>
    <w:pPr>
      <w:tabs>
        <w:tab w:val="num" w:pos="0"/>
      </w:tabs>
      <w:ind w:left="1008" w:hanging="1008"/>
      <w:outlineLvl w:val="4"/>
    </w:pPr>
    <w:rPr>
      <w:b/>
      <w:bCs/>
      <w:sz w:val="24"/>
      <w:szCs w:val="24"/>
    </w:rPr>
  </w:style>
  <w:style w:type="paragraph" w:styleId="Heading6">
    <w:name w:val="heading 6"/>
    <w:basedOn w:val="Heading"/>
    <w:next w:val="BodyText"/>
    <w:qFormat/>
    <w:rsid w:val="00FC50D3"/>
    <w:pPr>
      <w:tabs>
        <w:tab w:val="num" w:pos="0"/>
      </w:tabs>
      <w:ind w:left="1152" w:hanging="1152"/>
      <w:outlineLvl w:val="5"/>
    </w:pPr>
    <w:rPr>
      <w:b/>
      <w:bCs/>
      <w:sz w:val="21"/>
      <w:szCs w:val="21"/>
    </w:rPr>
  </w:style>
  <w:style w:type="paragraph" w:styleId="Heading7">
    <w:name w:val="heading 7"/>
    <w:basedOn w:val="Heading"/>
    <w:next w:val="BodyText"/>
    <w:qFormat/>
    <w:rsid w:val="00FC50D3"/>
    <w:pPr>
      <w:tabs>
        <w:tab w:val="num" w:pos="0"/>
      </w:tabs>
      <w:ind w:left="1296" w:hanging="1296"/>
      <w:outlineLvl w:val="6"/>
    </w:pPr>
    <w:rPr>
      <w:b/>
      <w:bCs/>
      <w:sz w:val="21"/>
      <w:szCs w:val="21"/>
    </w:rPr>
  </w:style>
  <w:style w:type="paragraph" w:styleId="Heading8">
    <w:name w:val="heading 8"/>
    <w:basedOn w:val="Heading"/>
    <w:next w:val="BodyText"/>
    <w:qFormat/>
    <w:rsid w:val="00FC50D3"/>
    <w:pPr>
      <w:tabs>
        <w:tab w:val="num" w:pos="0"/>
      </w:tabs>
      <w:ind w:left="1440" w:hanging="1440"/>
      <w:outlineLvl w:val="7"/>
    </w:pPr>
    <w:rPr>
      <w:b/>
      <w:bCs/>
      <w:sz w:val="21"/>
      <w:szCs w:val="21"/>
    </w:rPr>
  </w:style>
  <w:style w:type="paragraph" w:styleId="Heading9">
    <w:name w:val="heading 9"/>
    <w:basedOn w:val="Heading"/>
    <w:next w:val="BodyText"/>
    <w:qFormat/>
    <w:rsid w:val="00FC50D3"/>
    <w:pPr>
      <w:tabs>
        <w:tab w:val="num" w:pos="0"/>
      </w:tabs>
      <w:ind w:left="1584" w:hanging="1584"/>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FC50D3"/>
  </w:style>
  <w:style w:type="character" w:customStyle="1" w:styleId="WW8Num1z1">
    <w:name w:val="WW8Num1z1"/>
    <w:rsid w:val="00FC50D3"/>
  </w:style>
  <w:style w:type="character" w:customStyle="1" w:styleId="WW8Num1z2">
    <w:name w:val="WW8Num1z2"/>
    <w:rsid w:val="00FC50D3"/>
  </w:style>
  <w:style w:type="character" w:customStyle="1" w:styleId="WW8Num1z3">
    <w:name w:val="WW8Num1z3"/>
    <w:rsid w:val="00FC50D3"/>
  </w:style>
  <w:style w:type="character" w:customStyle="1" w:styleId="WW8Num1z4">
    <w:name w:val="WW8Num1z4"/>
    <w:rsid w:val="00FC50D3"/>
  </w:style>
  <w:style w:type="character" w:customStyle="1" w:styleId="WW8Num1z5">
    <w:name w:val="WW8Num1z5"/>
    <w:rsid w:val="00FC50D3"/>
  </w:style>
  <w:style w:type="character" w:customStyle="1" w:styleId="WW8Num1z6">
    <w:name w:val="WW8Num1z6"/>
    <w:rsid w:val="00FC50D3"/>
  </w:style>
  <w:style w:type="character" w:customStyle="1" w:styleId="WW8Num1z7">
    <w:name w:val="WW8Num1z7"/>
    <w:rsid w:val="00FC50D3"/>
  </w:style>
  <w:style w:type="character" w:customStyle="1" w:styleId="WW8Num1z8">
    <w:name w:val="WW8Num1z8"/>
    <w:rsid w:val="00FC50D3"/>
  </w:style>
  <w:style w:type="character" w:customStyle="1" w:styleId="WW8Num2z0">
    <w:name w:val="WW8Num2z0"/>
    <w:rsid w:val="00FC50D3"/>
    <w:rPr>
      <w:rFonts w:ascii="Symbol" w:hAnsi="Symbol" w:cs="OpenSymbol"/>
    </w:rPr>
  </w:style>
  <w:style w:type="character" w:customStyle="1" w:styleId="WW8Num2z1">
    <w:name w:val="WW8Num2z1"/>
    <w:rsid w:val="00FC50D3"/>
    <w:rPr>
      <w:rFonts w:ascii="OpenSymbol" w:hAnsi="OpenSymbol" w:cs="OpenSymbol"/>
    </w:rPr>
  </w:style>
  <w:style w:type="character" w:customStyle="1" w:styleId="WW8Num2z2">
    <w:name w:val="WW8Num2z2"/>
    <w:rsid w:val="00FC50D3"/>
  </w:style>
  <w:style w:type="character" w:customStyle="1" w:styleId="WW8Num2z3">
    <w:name w:val="WW8Num2z3"/>
    <w:rsid w:val="00FC50D3"/>
  </w:style>
  <w:style w:type="character" w:customStyle="1" w:styleId="WW8Num2z4">
    <w:name w:val="WW8Num2z4"/>
    <w:rsid w:val="00FC50D3"/>
  </w:style>
  <w:style w:type="character" w:customStyle="1" w:styleId="WW8Num2z5">
    <w:name w:val="WW8Num2z5"/>
    <w:rsid w:val="00FC50D3"/>
  </w:style>
  <w:style w:type="character" w:customStyle="1" w:styleId="WW8Num2z6">
    <w:name w:val="WW8Num2z6"/>
    <w:rsid w:val="00FC50D3"/>
  </w:style>
  <w:style w:type="character" w:customStyle="1" w:styleId="WW8Num2z7">
    <w:name w:val="WW8Num2z7"/>
    <w:rsid w:val="00FC50D3"/>
  </w:style>
  <w:style w:type="character" w:customStyle="1" w:styleId="WW8Num2z8">
    <w:name w:val="WW8Num2z8"/>
    <w:rsid w:val="00FC50D3"/>
  </w:style>
  <w:style w:type="character" w:customStyle="1" w:styleId="WW8Num3z0">
    <w:name w:val="WW8Num3z0"/>
    <w:rsid w:val="00FC50D3"/>
    <w:rPr>
      <w:rFonts w:ascii="Symbol" w:hAnsi="Symbol" w:cs="OpenSymbol"/>
    </w:rPr>
  </w:style>
  <w:style w:type="character" w:customStyle="1" w:styleId="WW8Num3z1">
    <w:name w:val="WW8Num3z1"/>
    <w:rsid w:val="00FC50D3"/>
    <w:rPr>
      <w:rFonts w:ascii="OpenSymbol" w:hAnsi="OpenSymbol" w:cs="OpenSymbol"/>
    </w:rPr>
  </w:style>
  <w:style w:type="character" w:customStyle="1" w:styleId="WW8Num3z2">
    <w:name w:val="WW8Num3z2"/>
    <w:rsid w:val="00FC50D3"/>
  </w:style>
  <w:style w:type="character" w:customStyle="1" w:styleId="WW8Num3z3">
    <w:name w:val="WW8Num3z3"/>
    <w:rsid w:val="00FC50D3"/>
  </w:style>
  <w:style w:type="character" w:customStyle="1" w:styleId="WW8Num3z4">
    <w:name w:val="WW8Num3z4"/>
    <w:rsid w:val="00FC50D3"/>
  </w:style>
  <w:style w:type="character" w:customStyle="1" w:styleId="WW8Num3z5">
    <w:name w:val="WW8Num3z5"/>
    <w:rsid w:val="00FC50D3"/>
  </w:style>
  <w:style w:type="character" w:customStyle="1" w:styleId="WW8Num3z6">
    <w:name w:val="WW8Num3z6"/>
    <w:rsid w:val="00FC50D3"/>
  </w:style>
  <w:style w:type="character" w:customStyle="1" w:styleId="WW8Num3z7">
    <w:name w:val="WW8Num3z7"/>
    <w:rsid w:val="00FC50D3"/>
  </w:style>
  <w:style w:type="character" w:customStyle="1" w:styleId="WW8Num3z8">
    <w:name w:val="WW8Num3z8"/>
    <w:rsid w:val="00FC50D3"/>
  </w:style>
  <w:style w:type="character" w:customStyle="1" w:styleId="WW-DefaultParagraphFont">
    <w:name w:val="WW-Default Paragraph Font"/>
    <w:rsid w:val="00FC50D3"/>
  </w:style>
  <w:style w:type="character" w:customStyle="1" w:styleId="WW-DefaultParagraphFont1">
    <w:name w:val="WW-Default Paragraph Font1"/>
    <w:rsid w:val="00FC50D3"/>
  </w:style>
  <w:style w:type="character" w:customStyle="1" w:styleId="HeaderChar">
    <w:name w:val="Header Char"/>
    <w:basedOn w:val="WW-DefaultParagraphFont1"/>
    <w:rsid w:val="00FC50D3"/>
  </w:style>
  <w:style w:type="character" w:customStyle="1" w:styleId="FooterChar">
    <w:name w:val="Footer Char"/>
    <w:basedOn w:val="WW-DefaultParagraphFont1"/>
    <w:uiPriority w:val="99"/>
    <w:rsid w:val="00FC50D3"/>
  </w:style>
  <w:style w:type="character" w:customStyle="1" w:styleId="Heading1Char">
    <w:name w:val="Heading 1 Char"/>
    <w:rsid w:val="00FC50D3"/>
    <w:rPr>
      <w:rFonts w:ascii="Times New Roman" w:eastAsia="Times New Roman" w:hAnsi="Times New Roman" w:cs="Times New Roman"/>
      <w:b/>
      <w:bCs/>
      <w:sz w:val="28"/>
      <w:szCs w:val="28"/>
    </w:rPr>
  </w:style>
  <w:style w:type="character" w:customStyle="1" w:styleId="Heading2Char">
    <w:name w:val="Heading 2 Char"/>
    <w:rsid w:val="00FC50D3"/>
    <w:rPr>
      <w:rFonts w:ascii="Times New Roman" w:eastAsia="Times New Roman" w:hAnsi="Times New Roman" w:cs="Times New Roman"/>
      <w:bCs/>
      <w:sz w:val="24"/>
      <w:szCs w:val="26"/>
      <w:u w:val="single"/>
    </w:rPr>
  </w:style>
  <w:style w:type="character" w:customStyle="1" w:styleId="Bullets">
    <w:name w:val="Bullets"/>
    <w:rsid w:val="00FC50D3"/>
    <w:rPr>
      <w:rFonts w:ascii="OpenSymbol" w:eastAsia="OpenSymbol" w:hAnsi="OpenSymbol" w:cs="OpenSymbol"/>
    </w:rPr>
  </w:style>
  <w:style w:type="character" w:styleId="Hyperlink">
    <w:name w:val="Hyperlink"/>
    <w:uiPriority w:val="99"/>
    <w:rsid w:val="00FC50D3"/>
    <w:rPr>
      <w:color w:val="000080"/>
      <w:u w:val="single"/>
    </w:rPr>
  </w:style>
  <w:style w:type="character" w:customStyle="1" w:styleId="NumberingSymbols">
    <w:name w:val="Numbering Symbols"/>
    <w:rsid w:val="00FC50D3"/>
  </w:style>
  <w:style w:type="paragraph" w:customStyle="1" w:styleId="Heading">
    <w:name w:val="Heading"/>
    <w:basedOn w:val="Normal"/>
    <w:next w:val="BodyText"/>
    <w:rsid w:val="00FC50D3"/>
    <w:pPr>
      <w:keepNext/>
      <w:spacing w:before="240" w:after="120"/>
    </w:pPr>
    <w:rPr>
      <w:rFonts w:ascii="Arial" w:eastAsia="Droid Sans" w:hAnsi="Arial" w:cs="DejaVu Sans"/>
      <w:sz w:val="28"/>
      <w:szCs w:val="28"/>
    </w:rPr>
  </w:style>
  <w:style w:type="paragraph" w:styleId="BodyText">
    <w:name w:val="Body Text"/>
    <w:basedOn w:val="Normal"/>
    <w:rsid w:val="00FC50D3"/>
  </w:style>
  <w:style w:type="paragraph" w:styleId="List">
    <w:name w:val="List"/>
    <w:basedOn w:val="BodyText"/>
    <w:rsid w:val="00FC50D3"/>
    <w:rPr>
      <w:rFonts w:cs="DejaVu Sans"/>
    </w:rPr>
  </w:style>
  <w:style w:type="paragraph" w:styleId="Caption">
    <w:name w:val="caption"/>
    <w:basedOn w:val="Normal"/>
    <w:qFormat/>
    <w:rsid w:val="00FC50D3"/>
    <w:pPr>
      <w:suppressLineNumbers/>
      <w:spacing w:before="120" w:after="120"/>
    </w:pPr>
    <w:rPr>
      <w:rFonts w:cs="DejaVu Sans"/>
      <w:i/>
      <w:iCs/>
      <w:szCs w:val="24"/>
    </w:rPr>
  </w:style>
  <w:style w:type="paragraph" w:customStyle="1" w:styleId="Index">
    <w:name w:val="Index"/>
    <w:basedOn w:val="Normal"/>
    <w:rsid w:val="00FC50D3"/>
    <w:pPr>
      <w:suppressLineNumbers/>
    </w:pPr>
    <w:rPr>
      <w:rFonts w:cs="DejaVu Sans"/>
    </w:rPr>
  </w:style>
  <w:style w:type="paragraph" w:styleId="Header">
    <w:name w:val="header"/>
    <w:basedOn w:val="Normal"/>
    <w:rsid w:val="00FC50D3"/>
    <w:pPr>
      <w:tabs>
        <w:tab w:val="center" w:pos="4680"/>
        <w:tab w:val="right" w:pos="9360"/>
      </w:tabs>
      <w:spacing w:line="240" w:lineRule="auto"/>
    </w:pPr>
  </w:style>
  <w:style w:type="paragraph" w:styleId="Footer">
    <w:name w:val="footer"/>
    <w:basedOn w:val="Normal"/>
    <w:uiPriority w:val="99"/>
    <w:rsid w:val="00FC50D3"/>
    <w:pPr>
      <w:tabs>
        <w:tab w:val="center" w:pos="4680"/>
        <w:tab w:val="right" w:pos="9360"/>
      </w:tabs>
      <w:spacing w:line="240" w:lineRule="auto"/>
    </w:pPr>
  </w:style>
  <w:style w:type="paragraph" w:customStyle="1" w:styleId="ContentsHeading">
    <w:name w:val="Contents Heading"/>
    <w:basedOn w:val="Heading"/>
    <w:rsid w:val="00FC50D3"/>
    <w:pPr>
      <w:suppressLineNumbers/>
      <w:jc w:val="center"/>
    </w:pPr>
    <w:rPr>
      <w:rFonts w:ascii="Times New Roman" w:hAnsi="Times New Roman" w:cs="Times New Roman"/>
      <w:b/>
      <w:bCs/>
      <w:szCs w:val="32"/>
    </w:rPr>
  </w:style>
  <w:style w:type="paragraph" w:styleId="NoSpacing">
    <w:name w:val="No Spacing"/>
    <w:qFormat/>
    <w:rsid w:val="00FC50D3"/>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rsid w:val="00FC50D3"/>
    <w:pPr>
      <w:tabs>
        <w:tab w:val="num" w:pos="0"/>
      </w:tabs>
      <w:ind w:left="432" w:hanging="432"/>
    </w:pPr>
    <w:rPr>
      <w:b/>
      <w:bCs/>
      <w:sz w:val="21"/>
      <w:szCs w:val="21"/>
    </w:rPr>
  </w:style>
  <w:style w:type="paragraph" w:styleId="TOCHeading">
    <w:name w:val="TOC Heading"/>
    <w:basedOn w:val="Heading1"/>
    <w:next w:val="Normal"/>
    <w:uiPriority w:val="39"/>
    <w:unhideWhenUsed/>
    <w:qFormat/>
    <w:rsid w:val="0090082C"/>
    <w:pPr>
      <w:tabs>
        <w:tab w:val="clear" w:pos="0"/>
      </w:tabs>
      <w:suppressAutoHyphens w:val="0"/>
      <w:spacing w:before="240" w:line="259" w:lineRule="auto"/>
      <w:ind w:left="0" w:firstLine="0"/>
      <w:jc w:val="left"/>
      <w:outlineLvl w:val="9"/>
    </w:pPr>
    <w:rPr>
      <w:rFonts w:ascii="Calibri Light" w:hAnsi="Calibri Light"/>
      <w:b w:val="0"/>
      <w:bCs w:val="0"/>
      <w:color w:val="2F5496"/>
      <w:sz w:val="32"/>
      <w:szCs w:val="32"/>
      <w:lang w:val="en-US" w:eastAsia="en-US"/>
    </w:rPr>
  </w:style>
  <w:style w:type="paragraph" w:styleId="TOC1">
    <w:name w:val="toc 1"/>
    <w:basedOn w:val="Normal"/>
    <w:next w:val="Normal"/>
    <w:autoRedefine/>
    <w:uiPriority w:val="39"/>
    <w:unhideWhenUsed/>
    <w:rsid w:val="0090082C"/>
  </w:style>
  <w:style w:type="paragraph" w:styleId="TOC2">
    <w:name w:val="toc 2"/>
    <w:basedOn w:val="Normal"/>
    <w:next w:val="Normal"/>
    <w:autoRedefine/>
    <w:uiPriority w:val="39"/>
    <w:unhideWhenUsed/>
    <w:rsid w:val="0090082C"/>
    <w:pPr>
      <w:ind w:left="240"/>
    </w:pPr>
  </w:style>
  <w:style w:type="character" w:styleId="Strong">
    <w:name w:val="Strong"/>
    <w:basedOn w:val="DefaultParagraphFont"/>
    <w:uiPriority w:val="22"/>
    <w:qFormat/>
    <w:rsid w:val="00A80DFC"/>
    <w:rPr>
      <w:b/>
      <w:bCs/>
    </w:rPr>
  </w:style>
  <w:style w:type="paragraph" w:styleId="Title">
    <w:name w:val="Title"/>
    <w:basedOn w:val="Normal"/>
    <w:next w:val="Normal"/>
    <w:link w:val="TitleChar"/>
    <w:uiPriority w:val="10"/>
    <w:qFormat/>
    <w:rsid w:val="003D1BF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D1BFD"/>
    <w:rPr>
      <w:rFonts w:asciiTheme="majorHAnsi" w:eastAsiaTheme="majorEastAsia" w:hAnsiTheme="majorHAnsi" w:cstheme="majorBidi"/>
      <w:color w:val="17365D" w:themeColor="text2" w:themeShade="BF"/>
      <w:spacing w:val="5"/>
      <w:kern w:val="28"/>
      <w:sz w:val="52"/>
      <w:szCs w:val="52"/>
      <w:lang w:val="en-GB" w:eastAsia="ar-SA"/>
    </w:rPr>
  </w:style>
  <w:style w:type="paragraph" w:styleId="BalloonText">
    <w:name w:val="Balloon Text"/>
    <w:basedOn w:val="Normal"/>
    <w:link w:val="BalloonTextChar"/>
    <w:uiPriority w:val="99"/>
    <w:semiHidden/>
    <w:unhideWhenUsed/>
    <w:rsid w:val="003D1B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1BFD"/>
    <w:rPr>
      <w:rFonts w:ascii="Tahoma" w:eastAsia="Calibri" w:hAnsi="Tahoma" w:cs="Tahoma"/>
      <w:color w:val="000000"/>
      <w:sz w:val="16"/>
      <w:szCs w:val="16"/>
      <w:lang w:val="en-GB" w:eastAsia="ar-SA"/>
    </w:rPr>
  </w:style>
  <w:style w:type="paragraph" w:styleId="Subtitle">
    <w:name w:val="Subtitle"/>
    <w:basedOn w:val="Normal"/>
    <w:next w:val="Normal"/>
    <w:link w:val="SubtitleChar"/>
    <w:uiPriority w:val="11"/>
    <w:qFormat/>
    <w:rsid w:val="00AB1792"/>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AB1792"/>
    <w:rPr>
      <w:rFonts w:asciiTheme="majorHAnsi" w:eastAsiaTheme="majorEastAsia" w:hAnsiTheme="majorHAnsi" w:cstheme="majorBidi"/>
      <w:i/>
      <w:iCs/>
      <w:color w:val="4F81BD" w:themeColor="accent1"/>
      <w:spacing w:val="15"/>
      <w:sz w:val="24"/>
      <w:szCs w:val="24"/>
      <w:lang w:val="en-GB" w:eastAsia="ar-SA"/>
    </w:rPr>
  </w:style>
  <w:style w:type="paragraph" w:styleId="ListParagraph">
    <w:name w:val="List Paragraph"/>
    <w:basedOn w:val="Normal"/>
    <w:uiPriority w:val="34"/>
    <w:qFormat/>
    <w:rsid w:val="001C21C1"/>
    <w:pPr>
      <w:ind w:left="720"/>
      <w:contextualSpacing/>
    </w:pPr>
  </w:style>
  <w:style w:type="table" w:styleId="TableGrid">
    <w:name w:val="Table Grid"/>
    <w:basedOn w:val="TableNormal"/>
    <w:uiPriority w:val="39"/>
    <w:rsid w:val="001C21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732C98"/>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331164">
      <w:bodyDiv w:val="1"/>
      <w:marLeft w:val="0"/>
      <w:marRight w:val="0"/>
      <w:marTop w:val="0"/>
      <w:marBottom w:val="0"/>
      <w:divBdr>
        <w:top w:val="none" w:sz="0" w:space="0" w:color="auto"/>
        <w:left w:val="none" w:sz="0" w:space="0" w:color="auto"/>
        <w:bottom w:val="none" w:sz="0" w:space="0" w:color="auto"/>
        <w:right w:val="none" w:sz="0" w:space="0" w:color="auto"/>
      </w:divBdr>
    </w:div>
    <w:div w:id="339506086">
      <w:bodyDiv w:val="1"/>
      <w:marLeft w:val="0"/>
      <w:marRight w:val="0"/>
      <w:marTop w:val="0"/>
      <w:marBottom w:val="0"/>
      <w:divBdr>
        <w:top w:val="none" w:sz="0" w:space="0" w:color="auto"/>
        <w:left w:val="none" w:sz="0" w:space="0" w:color="auto"/>
        <w:bottom w:val="none" w:sz="0" w:space="0" w:color="auto"/>
        <w:right w:val="none" w:sz="0" w:space="0" w:color="auto"/>
      </w:divBdr>
    </w:div>
    <w:div w:id="844857024">
      <w:bodyDiv w:val="1"/>
      <w:marLeft w:val="0"/>
      <w:marRight w:val="0"/>
      <w:marTop w:val="0"/>
      <w:marBottom w:val="0"/>
      <w:divBdr>
        <w:top w:val="none" w:sz="0" w:space="0" w:color="auto"/>
        <w:left w:val="none" w:sz="0" w:space="0" w:color="auto"/>
        <w:bottom w:val="none" w:sz="0" w:space="0" w:color="auto"/>
        <w:right w:val="none" w:sz="0" w:space="0" w:color="auto"/>
      </w:divBdr>
    </w:div>
    <w:div w:id="1332177577">
      <w:bodyDiv w:val="1"/>
      <w:marLeft w:val="0"/>
      <w:marRight w:val="0"/>
      <w:marTop w:val="0"/>
      <w:marBottom w:val="0"/>
      <w:divBdr>
        <w:top w:val="none" w:sz="0" w:space="0" w:color="auto"/>
        <w:left w:val="none" w:sz="0" w:space="0" w:color="auto"/>
        <w:bottom w:val="none" w:sz="0" w:space="0" w:color="auto"/>
        <w:right w:val="none" w:sz="0" w:space="0" w:color="auto"/>
      </w:divBdr>
    </w:div>
    <w:div w:id="1657953273">
      <w:bodyDiv w:val="1"/>
      <w:marLeft w:val="0"/>
      <w:marRight w:val="0"/>
      <w:marTop w:val="0"/>
      <w:marBottom w:val="0"/>
      <w:divBdr>
        <w:top w:val="none" w:sz="0" w:space="0" w:color="auto"/>
        <w:left w:val="none" w:sz="0" w:space="0" w:color="auto"/>
        <w:bottom w:val="none" w:sz="0" w:space="0" w:color="auto"/>
        <w:right w:val="none" w:sz="0" w:space="0" w:color="auto"/>
      </w:divBdr>
    </w:div>
    <w:div w:id="177139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accounts-receivable-accounting" TargetMode="External"/><Relationship Id="rId13" Type="http://schemas.openxmlformats.org/officeDocument/2006/relationships/hyperlink" Target="https://www.sciencedirect.com/science/article/abs/pii/S089970712030095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quickbooks.intuit.com/in/resources/accounting/understanding-liquidity-ratio-analysi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yaccountingcourse.com/financial-ratios/solvency-ratio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orporatefinanceinstitute.com/resources/accounting/efficiency-ratios/" TargetMode="External"/><Relationship Id="rId4" Type="http://schemas.openxmlformats.org/officeDocument/2006/relationships/settings" Target="settings.xml"/><Relationship Id="rId9" Type="http://schemas.openxmlformats.org/officeDocument/2006/relationships/hyperlink" Target="https://corporatefinanceinstitute.com/resources/accounting/balance-sheet/" TargetMode="External"/><Relationship Id="rId14" Type="http://schemas.openxmlformats.org/officeDocument/2006/relationships/hyperlink" Target="https://link.springer.com/chapter/10.1007/978-3-030-49091-1_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DDC8B7-8C4F-45BB-80CC-8DA1E2EE7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10</Pages>
  <Words>1927</Words>
  <Characters>10985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12887</CharactersWithSpaces>
  <SharedDoc>false</SharedDoc>
  <HLinks>
    <vt:vector size="90" baseType="variant">
      <vt:variant>
        <vt:i4>1179706</vt:i4>
      </vt:variant>
      <vt:variant>
        <vt:i4>86</vt:i4>
      </vt:variant>
      <vt:variant>
        <vt:i4>0</vt:i4>
      </vt:variant>
      <vt:variant>
        <vt:i4>5</vt:i4>
      </vt:variant>
      <vt:variant>
        <vt:lpwstr/>
      </vt:variant>
      <vt:variant>
        <vt:lpwstr>_Toc92402651</vt:lpwstr>
      </vt:variant>
      <vt:variant>
        <vt:i4>1245242</vt:i4>
      </vt:variant>
      <vt:variant>
        <vt:i4>80</vt:i4>
      </vt:variant>
      <vt:variant>
        <vt:i4>0</vt:i4>
      </vt:variant>
      <vt:variant>
        <vt:i4>5</vt:i4>
      </vt:variant>
      <vt:variant>
        <vt:lpwstr/>
      </vt:variant>
      <vt:variant>
        <vt:lpwstr>_Toc92402650</vt:lpwstr>
      </vt:variant>
      <vt:variant>
        <vt:i4>1703995</vt:i4>
      </vt:variant>
      <vt:variant>
        <vt:i4>74</vt:i4>
      </vt:variant>
      <vt:variant>
        <vt:i4>0</vt:i4>
      </vt:variant>
      <vt:variant>
        <vt:i4>5</vt:i4>
      </vt:variant>
      <vt:variant>
        <vt:lpwstr/>
      </vt:variant>
      <vt:variant>
        <vt:lpwstr>_Toc92402649</vt:lpwstr>
      </vt:variant>
      <vt:variant>
        <vt:i4>1769531</vt:i4>
      </vt:variant>
      <vt:variant>
        <vt:i4>68</vt:i4>
      </vt:variant>
      <vt:variant>
        <vt:i4>0</vt:i4>
      </vt:variant>
      <vt:variant>
        <vt:i4>5</vt:i4>
      </vt:variant>
      <vt:variant>
        <vt:lpwstr/>
      </vt:variant>
      <vt:variant>
        <vt:lpwstr>_Toc92402648</vt:lpwstr>
      </vt:variant>
      <vt:variant>
        <vt:i4>1310779</vt:i4>
      </vt:variant>
      <vt:variant>
        <vt:i4>62</vt:i4>
      </vt:variant>
      <vt:variant>
        <vt:i4>0</vt:i4>
      </vt:variant>
      <vt:variant>
        <vt:i4>5</vt:i4>
      </vt:variant>
      <vt:variant>
        <vt:lpwstr/>
      </vt:variant>
      <vt:variant>
        <vt:lpwstr>_Toc92402647</vt:lpwstr>
      </vt:variant>
      <vt:variant>
        <vt:i4>1376315</vt:i4>
      </vt:variant>
      <vt:variant>
        <vt:i4>56</vt:i4>
      </vt:variant>
      <vt:variant>
        <vt:i4>0</vt:i4>
      </vt:variant>
      <vt:variant>
        <vt:i4>5</vt:i4>
      </vt:variant>
      <vt:variant>
        <vt:lpwstr/>
      </vt:variant>
      <vt:variant>
        <vt:lpwstr>_Toc92402646</vt:lpwstr>
      </vt:variant>
      <vt:variant>
        <vt:i4>1441851</vt:i4>
      </vt:variant>
      <vt:variant>
        <vt:i4>50</vt:i4>
      </vt:variant>
      <vt:variant>
        <vt:i4>0</vt:i4>
      </vt:variant>
      <vt:variant>
        <vt:i4>5</vt:i4>
      </vt:variant>
      <vt:variant>
        <vt:lpwstr/>
      </vt:variant>
      <vt:variant>
        <vt:lpwstr>_Toc92402645</vt:lpwstr>
      </vt:variant>
      <vt:variant>
        <vt:i4>1507387</vt:i4>
      </vt:variant>
      <vt:variant>
        <vt:i4>44</vt:i4>
      </vt:variant>
      <vt:variant>
        <vt:i4>0</vt:i4>
      </vt:variant>
      <vt:variant>
        <vt:i4>5</vt:i4>
      </vt:variant>
      <vt:variant>
        <vt:lpwstr/>
      </vt:variant>
      <vt:variant>
        <vt:lpwstr>_Toc92402644</vt:lpwstr>
      </vt:variant>
      <vt:variant>
        <vt:i4>1048635</vt:i4>
      </vt:variant>
      <vt:variant>
        <vt:i4>38</vt:i4>
      </vt:variant>
      <vt:variant>
        <vt:i4>0</vt:i4>
      </vt:variant>
      <vt:variant>
        <vt:i4>5</vt:i4>
      </vt:variant>
      <vt:variant>
        <vt:lpwstr/>
      </vt:variant>
      <vt:variant>
        <vt:lpwstr>_Toc92402643</vt:lpwstr>
      </vt:variant>
      <vt:variant>
        <vt:i4>1114171</vt:i4>
      </vt:variant>
      <vt:variant>
        <vt:i4>32</vt:i4>
      </vt:variant>
      <vt:variant>
        <vt:i4>0</vt:i4>
      </vt:variant>
      <vt:variant>
        <vt:i4>5</vt:i4>
      </vt:variant>
      <vt:variant>
        <vt:lpwstr/>
      </vt:variant>
      <vt:variant>
        <vt:lpwstr>_Toc92402642</vt:lpwstr>
      </vt:variant>
      <vt:variant>
        <vt:i4>1179707</vt:i4>
      </vt:variant>
      <vt:variant>
        <vt:i4>26</vt:i4>
      </vt:variant>
      <vt:variant>
        <vt:i4>0</vt:i4>
      </vt:variant>
      <vt:variant>
        <vt:i4>5</vt:i4>
      </vt:variant>
      <vt:variant>
        <vt:lpwstr/>
      </vt:variant>
      <vt:variant>
        <vt:lpwstr>_Toc92402641</vt:lpwstr>
      </vt:variant>
      <vt:variant>
        <vt:i4>1245243</vt:i4>
      </vt:variant>
      <vt:variant>
        <vt:i4>20</vt:i4>
      </vt:variant>
      <vt:variant>
        <vt:i4>0</vt:i4>
      </vt:variant>
      <vt:variant>
        <vt:i4>5</vt:i4>
      </vt:variant>
      <vt:variant>
        <vt:lpwstr/>
      </vt:variant>
      <vt:variant>
        <vt:lpwstr>_Toc92402640</vt:lpwstr>
      </vt:variant>
      <vt:variant>
        <vt:i4>1703996</vt:i4>
      </vt:variant>
      <vt:variant>
        <vt:i4>14</vt:i4>
      </vt:variant>
      <vt:variant>
        <vt:i4>0</vt:i4>
      </vt:variant>
      <vt:variant>
        <vt:i4>5</vt:i4>
      </vt:variant>
      <vt:variant>
        <vt:lpwstr/>
      </vt:variant>
      <vt:variant>
        <vt:lpwstr>_Toc92402639</vt:lpwstr>
      </vt:variant>
      <vt:variant>
        <vt:i4>1769532</vt:i4>
      </vt:variant>
      <vt:variant>
        <vt:i4>8</vt:i4>
      </vt:variant>
      <vt:variant>
        <vt:i4>0</vt:i4>
      </vt:variant>
      <vt:variant>
        <vt:i4>5</vt:i4>
      </vt:variant>
      <vt:variant>
        <vt:lpwstr/>
      </vt:variant>
      <vt:variant>
        <vt:lpwstr>_Toc92402638</vt:lpwstr>
      </vt:variant>
      <vt:variant>
        <vt:i4>1310780</vt:i4>
      </vt:variant>
      <vt:variant>
        <vt:i4>2</vt:i4>
      </vt:variant>
      <vt:variant>
        <vt:i4>0</vt:i4>
      </vt:variant>
      <vt:variant>
        <vt:i4>5</vt:i4>
      </vt:variant>
      <vt:variant>
        <vt:lpwstr/>
      </vt:variant>
      <vt:variant>
        <vt:lpwstr>_Toc92402637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Akanksha</dc:creator>
  <cp:lastModifiedBy>Debmalya Saha</cp:lastModifiedBy>
  <cp:revision>11</cp:revision>
  <cp:lastPrinted>1900-12-31T18:30:00Z</cp:lastPrinted>
  <dcterms:created xsi:type="dcterms:W3CDTF">2022-04-14T10:39:00Z</dcterms:created>
  <dcterms:modified xsi:type="dcterms:W3CDTF">2022-12-06T20:53:00Z</dcterms:modified>
</cp:coreProperties>
</file>