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963378936"/>
        <w:docPartObj>
          <w:docPartGallery w:val="Cover Pages"/>
          <w:docPartUnique/>
        </w:docPartObj>
      </w:sdt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05"/>
          </w:tblGrid>
          <w:tr w:rsidR="00533D77">
            <w:tc>
              <w:tcPr>
                <w:tcW w:w="7672" w:type="dxa"/>
                <w:tcMar>
                  <w:top w:w="216" w:type="dxa"/>
                  <w:left w:w="115" w:type="dxa"/>
                  <w:bottom w:w="216" w:type="dxa"/>
                  <w:right w:w="115" w:type="dxa"/>
                </w:tcMar>
              </w:tcPr>
              <w:p w:rsidR="00533D77" w:rsidRDefault="00F73321" w:rsidP="00395677">
                <w:sdt>
                  <w:sdtPr>
                    <w:alias w:val="Company"/>
                    <w:id w:val="13406915"/>
                    <w:placeholder>
                      <w:docPart w:val="1B03C2D6D03E46C2A55F0DAFB7E44C81"/>
                    </w:placeholder>
                    <w:dataBinding w:prefixMappings="xmlns:ns0='http://schemas.openxmlformats.org/officeDocument/2006/extended-properties'" w:xpath="/ns0:Properties[1]/ns0:Company[1]" w:storeItemID="{6668398D-A668-4E3E-A5EB-62B293D839F1}"/>
                    <w:text/>
                  </w:sdtPr>
                  <w:sdtContent>
                    <w:r w:rsidR="002A24BB">
                      <w:t>University of Wales Trinity Saint David, School of Engineering</w:t>
                    </w:r>
                  </w:sdtContent>
                </w:sdt>
                <w:r w:rsidR="00533D77" w:rsidRPr="00533D77">
                  <w:rPr>
                    <w:sz w:val="36"/>
                  </w:rPr>
                  <w:t xml:space="preserve"> </w:t>
                </w:r>
              </w:p>
            </w:tc>
          </w:tr>
          <w:tr w:rsidR="00533D77">
            <w:tc>
              <w:tcPr>
                <w:tcW w:w="7672" w:type="dxa"/>
              </w:tcPr>
              <w:sdt>
                <w:sdtPr>
                  <w:alias w:val="Title"/>
                  <w:id w:val="13406919"/>
                  <w:placeholder>
                    <w:docPart w:val="EFCA4AAAD63544738E2EB1F65A39971A"/>
                  </w:placeholder>
                  <w:dataBinding w:prefixMappings="xmlns:ns0='http://schemas.openxmlformats.org/package/2006/metadata/core-properties' xmlns:ns1='http://purl.org/dc/elements/1.1/'" w:xpath="/ns0:coreProperties[1]/ns1:title[1]" w:storeItemID="{6C3C8BC8-F283-45AE-878A-BAB7291924A1}"/>
                  <w:text/>
                </w:sdtPr>
                <w:sdtContent>
                  <w:p w:rsidR="00533D77" w:rsidRDefault="00A97968" w:rsidP="00A97968">
                    <w:pPr>
                      <w:pStyle w:val="Title"/>
                    </w:pPr>
                    <w:r>
                      <w:t>ENGINE DISMANTLE AND REBUILD REPORT</w:t>
                    </w:r>
                  </w:p>
                </w:sdtContent>
              </w:sdt>
            </w:tc>
          </w:tr>
          <w:tr w:rsidR="00533D77">
            <w:sdt>
              <w:sdtPr>
                <w:alias w:val="Subtitle"/>
                <w:id w:val="13406923"/>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533D77" w:rsidRDefault="00A97968" w:rsidP="00A97968">
                    <w:r>
                      <w:t>Engineering Applications and Study Skills</w:t>
                    </w:r>
                  </w:p>
                </w:tc>
              </w:sdtContent>
            </w:sdt>
          </w:tr>
        </w:tbl>
        <w:p w:rsidR="00533D77" w:rsidRDefault="00533D77"/>
        <w:p w:rsidR="00533D77" w:rsidRDefault="00533D77"/>
        <w:tbl>
          <w:tblPr>
            <w:tblpPr w:leftFromText="187" w:rightFromText="187" w:horzAnchor="margin" w:tblpXSpec="center" w:tblpYSpec="bottom"/>
            <w:tblW w:w="4000" w:type="pct"/>
            <w:tblLook w:val="04A0" w:firstRow="1" w:lastRow="0" w:firstColumn="1" w:lastColumn="0" w:noHBand="0" w:noVBand="1"/>
          </w:tblPr>
          <w:tblGrid>
            <w:gridCol w:w="7405"/>
          </w:tblGrid>
          <w:tr w:rsidR="00533D77">
            <w:tc>
              <w:tcPr>
                <w:tcW w:w="7672" w:type="dxa"/>
                <w:tcMar>
                  <w:top w:w="216" w:type="dxa"/>
                  <w:left w:w="115" w:type="dxa"/>
                  <w:bottom w:w="216" w:type="dxa"/>
                  <w:right w:w="115" w:type="dxa"/>
                </w:tcMar>
              </w:tcPr>
              <w:sdt>
                <w:sdtPr>
                  <w:alias w:val="Author"/>
                  <w:id w:val="13406928"/>
                  <w:dataBinding w:prefixMappings="xmlns:ns0='http://schemas.openxmlformats.org/package/2006/metadata/core-properties' xmlns:ns1='http://purl.org/dc/elements/1.1/'" w:xpath="/ns0:coreProperties[1]/ns1:creator[1]" w:storeItemID="{6C3C8BC8-F283-45AE-878A-BAB7291924A1}"/>
                  <w:text/>
                </w:sdtPr>
                <w:sdtContent>
                  <w:p w:rsidR="00533D77" w:rsidRDefault="002A24BB" w:rsidP="00395677">
                    <w:r>
                      <w:t>Bryn Stubbings, 1702064</w:t>
                    </w:r>
                  </w:p>
                </w:sdtContent>
              </w:sdt>
              <w:p w:rsidR="00533D77" w:rsidRDefault="00A97968" w:rsidP="00395677">
                <w:r>
                  <w:t>23/04/2018</w:t>
                </w:r>
              </w:p>
              <w:p w:rsidR="00533D77" w:rsidRDefault="00533D77">
                <w:pPr>
                  <w:pStyle w:val="NoSpacing"/>
                  <w:rPr>
                    <w:color w:val="4F81BD" w:themeColor="accent1"/>
                  </w:rPr>
                </w:pPr>
              </w:p>
            </w:tc>
          </w:tr>
        </w:tbl>
        <w:p w:rsidR="00533D77" w:rsidRDefault="00533D77"/>
        <w:p w:rsidR="00395677" w:rsidRDefault="00533D77" w:rsidP="00395677">
          <w:pPr>
            <w:spacing w:before="0" w:after="200" w:line="276" w:lineRule="auto"/>
          </w:pPr>
          <w:r>
            <w:br w:type="page"/>
          </w:r>
        </w:p>
      </w:sdtContent>
    </w:sdt>
    <w:p w:rsidR="00533D77" w:rsidRDefault="00533D77" w:rsidP="00395677">
      <w:pPr>
        <w:spacing w:before="0" w:after="200" w:line="276" w:lineRule="auto"/>
      </w:pPr>
    </w:p>
    <w:sdt>
      <w:sdtPr>
        <w:rPr>
          <w:rFonts w:ascii="Arial" w:eastAsiaTheme="minorHAnsi" w:hAnsi="Arial" w:cstheme="minorBidi"/>
          <w:b w:val="0"/>
          <w:bCs w:val="0"/>
          <w:color w:val="auto"/>
          <w:sz w:val="22"/>
          <w:szCs w:val="22"/>
          <w:lang w:val="en-GB" w:eastAsia="en-US"/>
        </w:rPr>
        <w:id w:val="-1738078471"/>
        <w:docPartObj>
          <w:docPartGallery w:val="Table of Contents"/>
          <w:docPartUnique/>
        </w:docPartObj>
      </w:sdtPr>
      <w:sdtEndPr>
        <w:rPr>
          <w:noProof/>
        </w:rPr>
      </w:sdtEndPr>
      <w:sdtContent>
        <w:p w:rsidR="00533D77" w:rsidRDefault="00533D77">
          <w:pPr>
            <w:pStyle w:val="TOCHeading"/>
          </w:pPr>
          <w:r>
            <w:t>Contents</w:t>
          </w:r>
        </w:p>
        <w:p w:rsidR="003A5715" w:rsidRDefault="00533D77">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2282533" w:history="1">
            <w:r w:rsidR="003A5715" w:rsidRPr="007E787B">
              <w:rPr>
                <w:rStyle w:val="Hyperlink"/>
                <w:noProof/>
              </w:rPr>
              <w:t>1</w:t>
            </w:r>
            <w:r w:rsidR="003A5715">
              <w:rPr>
                <w:rFonts w:asciiTheme="minorHAnsi" w:eastAsiaTheme="minorEastAsia" w:hAnsiTheme="minorHAnsi"/>
                <w:noProof/>
                <w:lang w:eastAsia="en-GB"/>
              </w:rPr>
              <w:tab/>
            </w:r>
            <w:r w:rsidR="003A5715" w:rsidRPr="007E787B">
              <w:rPr>
                <w:rStyle w:val="Hyperlink"/>
                <w:noProof/>
              </w:rPr>
              <w:t>Introduction</w:t>
            </w:r>
            <w:r w:rsidR="003A5715">
              <w:rPr>
                <w:noProof/>
                <w:webHidden/>
              </w:rPr>
              <w:tab/>
            </w:r>
            <w:r w:rsidR="003A5715">
              <w:rPr>
                <w:noProof/>
                <w:webHidden/>
              </w:rPr>
              <w:fldChar w:fldCharType="begin"/>
            </w:r>
            <w:r w:rsidR="003A5715">
              <w:rPr>
                <w:noProof/>
                <w:webHidden/>
              </w:rPr>
              <w:instrText xml:space="preserve"> PAGEREF _Toc512282533 \h </w:instrText>
            </w:r>
            <w:r w:rsidR="003A5715">
              <w:rPr>
                <w:noProof/>
                <w:webHidden/>
              </w:rPr>
            </w:r>
            <w:r w:rsidR="003A5715">
              <w:rPr>
                <w:noProof/>
                <w:webHidden/>
              </w:rPr>
              <w:fldChar w:fldCharType="separate"/>
            </w:r>
            <w:r w:rsidR="003A5715">
              <w:rPr>
                <w:noProof/>
                <w:webHidden/>
              </w:rPr>
              <w:t>2</w:t>
            </w:r>
            <w:r w:rsidR="003A5715">
              <w:rPr>
                <w:noProof/>
                <w:webHidden/>
              </w:rPr>
              <w:fldChar w:fldCharType="end"/>
            </w:r>
          </w:hyperlink>
        </w:p>
        <w:p w:rsidR="003A5715" w:rsidRDefault="003A5715">
          <w:pPr>
            <w:pStyle w:val="TOC1"/>
            <w:tabs>
              <w:tab w:val="left" w:pos="440"/>
              <w:tab w:val="right" w:leader="dot" w:pos="9016"/>
            </w:tabs>
            <w:rPr>
              <w:rFonts w:asciiTheme="minorHAnsi" w:eastAsiaTheme="minorEastAsia" w:hAnsiTheme="minorHAnsi"/>
              <w:noProof/>
              <w:lang w:eastAsia="en-GB"/>
            </w:rPr>
          </w:pPr>
          <w:hyperlink w:anchor="_Toc512282534" w:history="1">
            <w:r w:rsidRPr="007E787B">
              <w:rPr>
                <w:rStyle w:val="Hyperlink"/>
                <w:noProof/>
              </w:rPr>
              <w:t>2</w:t>
            </w:r>
            <w:r>
              <w:rPr>
                <w:rFonts w:asciiTheme="minorHAnsi" w:eastAsiaTheme="minorEastAsia" w:hAnsiTheme="minorHAnsi"/>
                <w:noProof/>
                <w:lang w:eastAsia="en-GB"/>
              </w:rPr>
              <w:tab/>
            </w:r>
            <w:r w:rsidRPr="007E787B">
              <w:rPr>
                <w:rStyle w:val="Hyperlink"/>
                <w:noProof/>
              </w:rPr>
              <w:t>Health and Safety</w:t>
            </w:r>
            <w:r>
              <w:rPr>
                <w:noProof/>
                <w:webHidden/>
              </w:rPr>
              <w:tab/>
            </w:r>
            <w:r>
              <w:rPr>
                <w:noProof/>
                <w:webHidden/>
              </w:rPr>
              <w:fldChar w:fldCharType="begin"/>
            </w:r>
            <w:r>
              <w:rPr>
                <w:noProof/>
                <w:webHidden/>
              </w:rPr>
              <w:instrText xml:space="preserve"> PAGEREF _Toc512282534 \h </w:instrText>
            </w:r>
            <w:r>
              <w:rPr>
                <w:noProof/>
                <w:webHidden/>
              </w:rPr>
            </w:r>
            <w:r>
              <w:rPr>
                <w:noProof/>
                <w:webHidden/>
              </w:rPr>
              <w:fldChar w:fldCharType="separate"/>
            </w:r>
            <w:r>
              <w:rPr>
                <w:noProof/>
                <w:webHidden/>
              </w:rPr>
              <w:t>3</w:t>
            </w:r>
            <w:r>
              <w:rPr>
                <w:noProof/>
                <w:webHidden/>
              </w:rPr>
              <w:fldChar w:fldCharType="end"/>
            </w:r>
          </w:hyperlink>
        </w:p>
        <w:p w:rsidR="003A5715" w:rsidRDefault="003A5715">
          <w:pPr>
            <w:pStyle w:val="TOC2"/>
            <w:tabs>
              <w:tab w:val="left" w:pos="880"/>
              <w:tab w:val="right" w:leader="dot" w:pos="9016"/>
            </w:tabs>
            <w:rPr>
              <w:rFonts w:asciiTheme="minorHAnsi" w:eastAsiaTheme="minorEastAsia" w:hAnsiTheme="minorHAnsi"/>
              <w:noProof/>
              <w:lang w:eastAsia="en-GB"/>
            </w:rPr>
          </w:pPr>
          <w:hyperlink w:anchor="_Toc512282535" w:history="1">
            <w:r w:rsidRPr="007E787B">
              <w:rPr>
                <w:rStyle w:val="Hyperlink"/>
                <w:noProof/>
              </w:rPr>
              <w:t>2.1</w:t>
            </w:r>
            <w:r>
              <w:rPr>
                <w:rFonts w:asciiTheme="minorHAnsi" w:eastAsiaTheme="minorEastAsia" w:hAnsiTheme="minorHAnsi"/>
                <w:noProof/>
                <w:lang w:eastAsia="en-GB"/>
              </w:rPr>
              <w:tab/>
            </w:r>
            <w:r w:rsidRPr="007E787B">
              <w:rPr>
                <w:rStyle w:val="Hyperlink"/>
                <w:noProof/>
              </w:rPr>
              <w:t>HSE – The Health and safety Executive</w:t>
            </w:r>
            <w:r>
              <w:rPr>
                <w:noProof/>
                <w:webHidden/>
              </w:rPr>
              <w:tab/>
            </w:r>
            <w:r>
              <w:rPr>
                <w:noProof/>
                <w:webHidden/>
              </w:rPr>
              <w:fldChar w:fldCharType="begin"/>
            </w:r>
            <w:r>
              <w:rPr>
                <w:noProof/>
                <w:webHidden/>
              </w:rPr>
              <w:instrText xml:space="preserve"> PAGEREF _Toc512282535 \h </w:instrText>
            </w:r>
            <w:r>
              <w:rPr>
                <w:noProof/>
                <w:webHidden/>
              </w:rPr>
            </w:r>
            <w:r>
              <w:rPr>
                <w:noProof/>
                <w:webHidden/>
              </w:rPr>
              <w:fldChar w:fldCharType="separate"/>
            </w:r>
            <w:r>
              <w:rPr>
                <w:noProof/>
                <w:webHidden/>
              </w:rPr>
              <w:t>3</w:t>
            </w:r>
            <w:r>
              <w:rPr>
                <w:noProof/>
                <w:webHidden/>
              </w:rPr>
              <w:fldChar w:fldCharType="end"/>
            </w:r>
          </w:hyperlink>
        </w:p>
        <w:p w:rsidR="003A5715" w:rsidRDefault="003A5715">
          <w:pPr>
            <w:pStyle w:val="TOC2"/>
            <w:tabs>
              <w:tab w:val="left" w:pos="880"/>
              <w:tab w:val="right" w:leader="dot" w:pos="9016"/>
            </w:tabs>
            <w:rPr>
              <w:rFonts w:asciiTheme="minorHAnsi" w:eastAsiaTheme="minorEastAsia" w:hAnsiTheme="minorHAnsi"/>
              <w:noProof/>
              <w:lang w:eastAsia="en-GB"/>
            </w:rPr>
          </w:pPr>
          <w:hyperlink w:anchor="_Toc512282536" w:history="1">
            <w:r w:rsidRPr="007E787B">
              <w:rPr>
                <w:rStyle w:val="Hyperlink"/>
                <w:noProof/>
              </w:rPr>
              <w:t>2.2</w:t>
            </w:r>
            <w:r>
              <w:rPr>
                <w:rFonts w:asciiTheme="minorHAnsi" w:eastAsiaTheme="minorEastAsia" w:hAnsiTheme="minorHAnsi"/>
                <w:noProof/>
                <w:lang w:eastAsia="en-GB"/>
              </w:rPr>
              <w:tab/>
            </w:r>
            <w:r w:rsidRPr="007E787B">
              <w:rPr>
                <w:rStyle w:val="Hyperlink"/>
                <w:noProof/>
              </w:rPr>
              <w:t>Health and Safety at Work Act – 1974</w:t>
            </w:r>
            <w:r>
              <w:rPr>
                <w:noProof/>
                <w:webHidden/>
              </w:rPr>
              <w:tab/>
            </w:r>
            <w:r>
              <w:rPr>
                <w:noProof/>
                <w:webHidden/>
              </w:rPr>
              <w:fldChar w:fldCharType="begin"/>
            </w:r>
            <w:r>
              <w:rPr>
                <w:noProof/>
                <w:webHidden/>
              </w:rPr>
              <w:instrText xml:space="preserve"> PAGEREF _Toc512282536 \h </w:instrText>
            </w:r>
            <w:r>
              <w:rPr>
                <w:noProof/>
                <w:webHidden/>
              </w:rPr>
            </w:r>
            <w:r>
              <w:rPr>
                <w:noProof/>
                <w:webHidden/>
              </w:rPr>
              <w:fldChar w:fldCharType="separate"/>
            </w:r>
            <w:r>
              <w:rPr>
                <w:noProof/>
                <w:webHidden/>
              </w:rPr>
              <w:t>3</w:t>
            </w:r>
            <w:r>
              <w:rPr>
                <w:noProof/>
                <w:webHidden/>
              </w:rPr>
              <w:fldChar w:fldCharType="end"/>
            </w:r>
          </w:hyperlink>
        </w:p>
        <w:p w:rsidR="003A5715" w:rsidRDefault="003A5715">
          <w:pPr>
            <w:pStyle w:val="TOC2"/>
            <w:tabs>
              <w:tab w:val="left" w:pos="880"/>
              <w:tab w:val="right" w:leader="dot" w:pos="9016"/>
            </w:tabs>
            <w:rPr>
              <w:rFonts w:asciiTheme="minorHAnsi" w:eastAsiaTheme="minorEastAsia" w:hAnsiTheme="minorHAnsi"/>
              <w:noProof/>
              <w:lang w:eastAsia="en-GB"/>
            </w:rPr>
          </w:pPr>
          <w:hyperlink w:anchor="_Toc512282537" w:history="1">
            <w:r w:rsidRPr="007E787B">
              <w:rPr>
                <w:rStyle w:val="Hyperlink"/>
                <w:noProof/>
              </w:rPr>
              <w:t>2.3</w:t>
            </w:r>
            <w:r>
              <w:rPr>
                <w:rFonts w:asciiTheme="minorHAnsi" w:eastAsiaTheme="minorEastAsia" w:hAnsiTheme="minorHAnsi"/>
                <w:noProof/>
                <w:lang w:eastAsia="en-GB"/>
              </w:rPr>
              <w:tab/>
            </w:r>
            <w:r w:rsidRPr="007E787B">
              <w:rPr>
                <w:rStyle w:val="Hyperlink"/>
                <w:noProof/>
              </w:rPr>
              <w:t>Health and Safety in the Workshop</w:t>
            </w:r>
            <w:r>
              <w:rPr>
                <w:noProof/>
                <w:webHidden/>
              </w:rPr>
              <w:tab/>
            </w:r>
            <w:r>
              <w:rPr>
                <w:noProof/>
                <w:webHidden/>
              </w:rPr>
              <w:fldChar w:fldCharType="begin"/>
            </w:r>
            <w:r>
              <w:rPr>
                <w:noProof/>
                <w:webHidden/>
              </w:rPr>
              <w:instrText xml:space="preserve"> PAGEREF _Toc512282537 \h </w:instrText>
            </w:r>
            <w:r>
              <w:rPr>
                <w:noProof/>
                <w:webHidden/>
              </w:rPr>
            </w:r>
            <w:r>
              <w:rPr>
                <w:noProof/>
                <w:webHidden/>
              </w:rPr>
              <w:fldChar w:fldCharType="separate"/>
            </w:r>
            <w:r>
              <w:rPr>
                <w:noProof/>
                <w:webHidden/>
              </w:rPr>
              <w:t>3</w:t>
            </w:r>
            <w:r>
              <w:rPr>
                <w:noProof/>
                <w:webHidden/>
              </w:rPr>
              <w:fldChar w:fldCharType="end"/>
            </w:r>
          </w:hyperlink>
        </w:p>
        <w:p w:rsidR="003A5715" w:rsidRDefault="003A5715">
          <w:pPr>
            <w:pStyle w:val="TOC1"/>
            <w:tabs>
              <w:tab w:val="left" w:pos="440"/>
              <w:tab w:val="right" w:leader="dot" w:pos="9016"/>
            </w:tabs>
            <w:rPr>
              <w:rFonts w:asciiTheme="minorHAnsi" w:eastAsiaTheme="minorEastAsia" w:hAnsiTheme="minorHAnsi"/>
              <w:noProof/>
              <w:lang w:eastAsia="en-GB"/>
            </w:rPr>
          </w:pPr>
          <w:hyperlink w:anchor="_Toc512282538" w:history="1">
            <w:r w:rsidRPr="007E787B">
              <w:rPr>
                <w:rStyle w:val="Hyperlink"/>
                <w:noProof/>
              </w:rPr>
              <w:t>3</w:t>
            </w:r>
            <w:r>
              <w:rPr>
                <w:rFonts w:asciiTheme="minorHAnsi" w:eastAsiaTheme="minorEastAsia" w:hAnsiTheme="minorHAnsi"/>
                <w:noProof/>
                <w:lang w:eastAsia="en-GB"/>
              </w:rPr>
              <w:tab/>
            </w:r>
            <w:r w:rsidRPr="007E787B">
              <w:rPr>
                <w:rStyle w:val="Hyperlink"/>
                <w:noProof/>
              </w:rPr>
              <w:t>Methodology</w:t>
            </w:r>
            <w:r>
              <w:rPr>
                <w:noProof/>
                <w:webHidden/>
              </w:rPr>
              <w:tab/>
            </w:r>
            <w:r>
              <w:rPr>
                <w:noProof/>
                <w:webHidden/>
              </w:rPr>
              <w:fldChar w:fldCharType="begin"/>
            </w:r>
            <w:r>
              <w:rPr>
                <w:noProof/>
                <w:webHidden/>
              </w:rPr>
              <w:instrText xml:space="preserve"> PAGEREF _Toc512282538 \h </w:instrText>
            </w:r>
            <w:r>
              <w:rPr>
                <w:noProof/>
                <w:webHidden/>
              </w:rPr>
            </w:r>
            <w:r>
              <w:rPr>
                <w:noProof/>
                <w:webHidden/>
              </w:rPr>
              <w:fldChar w:fldCharType="separate"/>
            </w:r>
            <w:r>
              <w:rPr>
                <w:noProof/>
                <w:webHidden/>
              </w:rPr>
              <w:t>5</w:t>
            </w:r>
            <w:r>
              <w:rPr>
                <w:noProof/>
                <w:webHidden/>
              </w:rPr>
              <w:fldChar w:fldCharType="end"/>
            </w:r>
          </w:hyperlink>
        </w:p>
        <w:p w:rsidR="003A5715" w:rsidRDefault="003A5715">
          <w:pPr>
            <w:pStyle w:val="TOC1"/>
            <w:tabs>
              <w:tab w:val="left" w:pos="440"/>
              <w:tab w:val="right" w:leader="dot" w:pos="9016"/>
            </w:tabs>
            <w:rPr>
              <w:rFonts w:asciiTheme="minorHAnsi" w:eastAsiaTheme="minorEastAsia" w:hAnsiTheme="minorHAnsi"/>
              <w:noProof/>
              <w:lang w:eastAsia="en-GB"/>
            </w:rPr>
          </w:pPr>
          <w:hyperlink w:anchor="_Toc512282539" w:history="1">
            <w:r w:rsidRPr="007E787B">
              <w:rPr>
                <w:rStyle w:val="Hyperlink"/>
                <w:noProof/>
              </w:rPr>
              <w:t>4</w:t>
            </w:r>
            <w:r>
              <w:rPr>
                <w:rFonts w:asciiTheme="minorHAnsi" w:eastAsiaTheme="minorEastAsia" w:hAnsiTheme="minorHAnsi"/>
                <w:noProof/>
                <w:lang w:eastAsia="en-GB"/>
              </w:rPr>
              <w:tab/>
            </w:r>
            <w:r w:rsidRPr="007E787B">
              <w:rPr>
                <w:rStyle w:val="Hyperlink"/>
                <w:noProof/>
              </w:rPr>
              <w:t>Conclusion and Reflection</w:t>
            </w:r>
            <w:r>
              <w:rPr>
                <w:noProof/>
                <w:webHidden/>
              </w:rPr>
              <w:tab/>
            </w:r>
            <w:r>
              <w:rPr>
                <w:noProof/>
                <w:webHidden/>
              </w:rPr>
              <w:fldChar w:fldCharType="begin"/>
            </w:r>
            <w:r>
              <w:rPr>
                <w:noProof/>
                <w:webHidden/>
              </w:rPr>
              <w:instrText xml:space="preserve"> PAGEREF _Toc512282539 \h </w:instrText>
            </w:r>
            <w:r>
              <w:rPr>
                <w:noProof/>
                <w:webHidden/>
              </w:rPr>
            </w:r>
            <w:r>
              <w:rPr>
                <w:noProof/>
                <w:webHidden/>
              </w:rPr>
              <w:fldChar w:fldCharType="separate"/>
            </w:r>
            <w:r>
              <w:rPr>
                <w:noProof/>
                <w:webHidden/>
              </w:rPr>
              <w:t>7</w:t>
            </w:r>
            <w:r>
              <w:rPr>
                <w:noProof/>
                <w:webHidden/>
              </w:rPr>
              <w:fldChar w:fldCharType="end"/>
            </w:r>
          </w:hyperlink>
        </w:p>
        <w:p w:rsidR="003A5715" w:rsidRDefault="003A5715">
          <w:pPr>
            <w:pStyle w:val="TOC1"/>
            <w:tabs>
              <w:tab w:val="left" w:pos="440"/>
              <w:tab w:val="right" w:leader="dot" w:pos="9016"/>
            </w:tabs>
            <w:rPr>
              <w:rFonts w:asciiTheme="minorHAnsi" w:eastAsiaTheme="minorEastAsia" w:hAnsiTheme="minorHAnsi"/>
              <w:noProof/>
              <w:lang w:eastAsia="en-GB"/>
            </w:rPr>
          </w:pPr>
          <w:hyperlink w:anchor="_Toc512282540" w:history="1">
            <w:r w:rsidRPr="007E787B">
              <w:rPr>
                <w:rStyle w:val="Hyperlink"/>
                <w:noProof/>
              </w:rPr>
              <w:t>5</w:t>
            </w:r>
            <w:r>
              <w:rPr>
                <w:rFonts w:asciiTheme="minorHAnsi" w:eastAsiaTheme="minorEastAsia" w:hAnsiTheme="minorHAnsi"/>
                <w:noProof/>
                <w:lang w:eastAsia="en-GB"/>
              </w:rPr>
              <w:tab/>
            </w:r>
            <w:r w:rsidRPr="007E787B">
              <w:rPr>
                <w:rStyle w:val="Hyperlink"/>
                <w:noProof/>
              </w:rPr>
              <w:t>Bibliography</w:t>
            </w:r>
            <w:r>
              <w:rPr>
                <w:noProof/>
                <w:webHidden/>
              </w:rPr>
              <w:tab/>
            </w:r>
            <w:r>
              <w:rPr>
                <w:noProof/>
                <w:webHidden/>
              </w:rPr>
              <w:fldChar w:fldCharType="begin"/>
            </w:r>
            <w:r>
              <w:rPr>
                <w:noProof/>
                <w:webHidden/>
              </w:rPr>
              <w:instrText xml:space="preserve"> PAGEREF _Toc512282540 \h </w:instrText>
            </w:r>
            <w:r>
              <w:rPr>
                <w:noProof/>
                <w:webHidden/>
              </w:rPr>
            </w:r>
            <w:r>
              <w:rPr>
                <w:noProof/>
                <w:webHidden/>
              </w:rPr>
              <w:fldChar w:fldCharType="separate"/>
            </w:r>
            <w:r>
              <w:rPr>
                <w:noProof/>
                <w:webHidden/>
              </w:rPr>
              <w:t>8</w:t>
            </w:r>
            <w:r>
              <w:rPr>
                <w:noProof/>
                <w:webHidden/>
              </w:rPr>
              <w:fldChar w:fldCharType="end"/>
            </w:r>
          </w:hyperlink>
        </w:p>
        <w:p w:rsidR="00533D77" w:rsidRDefault="00533D77">
          <w:r>
            <w:rPr>
              <w:b/>
              <w:bCs/>
              <w:noProof/>
            </w:rPr>
            <w:fldChar w:fldCharType="end"/>
          </w:r>
        </w:p>
      </w:sdtContent>
    </w:sdt>
    <w:p w:rsidR="00134AF0" w:rsidRDefault="00134AF0" w:rsidP="00134AF0"/>
    <w:p w:rsidR="00134AF0" w:rsidRDefault="00134AF0">
      <w:r>
        <w:br w:type="page"/>
      </w:r>
    </w:p>
    <w:p w:rsidR="00423570" w:rsidRDefault="00134AF0" w:rsidP="00423570">
      <w:pPr>
        <w:pStyle w:val="Heading1"/>
      </w:pPr>
      <w:bookmarkStart w:id="0" w:name="_Toc512282533"/>
      <w:r>
        <w:lastRenderedPageBreak/>
        <w:t>Introduction</w:t>
      </w:r>
      <w:bookmarkEnd w:id="0"/>
    </w:p>
    <w:p w:rsidR="00423570" w:rsidRDefault="00423570" w:rsidP="00423570">
      <w:r>
        <w:t> </w:t>
      </w:r>
      <w:r w:rsidR="004D3C5D">
        <w:t>This session took place on 20</w:t>
      </w:r>
      <w:r w:rsidR="004D3C5D" w:rsidRPr="004D3C5D">
        <w:rPr>
          <w:vertAlign w:val="superscript"/>
        </w:rPr>
        <w:t>th</w:t>
      </w:r>
      <w:r w:rsidR="004D3C5D">
        <w:t xml:space="preserve"> November 2017</w:t>
      </w:r>
      <w:r w:rsidR="00AD4DFC">
        <w:t xml:space="preserve">, between 11:00am and 1:00pm. Our primary aim for this session was originally to complete the rebuild of the engine, however due to a setback the week before the aim going into this session was to regain as much of the lost time as possible. And ultimately, ensure that we were able to complete the rebuild within the next session. </w:t>
      </w:r>
    </w:p>
    <w:p w:rsidR="00AD4DFC" w:rsidRDefault="00AD4DFC" w:rsidP="00423570">
      <w:r>
        <w:t xml:space="preserve">In this report I will outline the health and safety protocol we followed during this session and look into the health and safety legislation with the workshop. Additionally I will go through the process of rebuilding the engine that was </w:t>
      </w:r>
      <w:r w:rsidR="00471895">
        <w:t xml:space="preserve">carried out during this session. Then </w:t>
      </w:r>
      <w:r w:rsidR="00BD6C9B">
        <w:t>finish with a reflection of</w:t>
      </w:r>
      <w:r w:rsidR="00471895">
        <w:t xml:space="preserve"> the work on the day and in relation to the overall task.</w:t>
      </w:r>
    </w:p>
    <w:p w:rsidR="00AD4DFC" w:rsidRDefault="00AD4DFC" w:rsidP="00423570"/>
    <w:p w:rsidR="00134AF0" w:rsidRDefault="00423570" w:rsidP="00423570">
      <w:pPr>
        <w:spacing w:before="0" w:after="200" w:line="276" w:lineRule="auto"/>
      </w:pPr>
      <w:r>
        <w:br w:type="page"/>
      </w:r>
    </w:p>
    <w:p w:rsidR="00BB4E16" w:rsidRDefault="00A97968" w:rsidP="00BB4E16">
      <w:pPr>
        <w:pStyle w:val="Heading1"/>
      </w:pPr>
      <w:bookmarkStart w:id="1" w:name="_Toc512282534"/>
      <w:r>
        <w:lastRenderedPageBreak/>
        <w:t>Health and Safety</w:t>
      </w:r>
      <w:bookmarkEnd w:id="1"/>
    </w:p>
    <w:p w:rsidR="00BB4E16" w:rsidRDefault="00BB4E16" w:rsidP="00BB4E16">
      <w:r>
        <w:t>The health and safety guidelines for working in the workshop where the session too</w:t>
      </w:r>
      <w:r w:rsidR="007A78DA">
        <w:t xml:space="preserve">k place can </w:t>
      </w:r>
      <w:r>
        <w:t>all found in the ‘Health and safety in Engineering Workshops’ book. This is a book written and published by the Health an</w:t>
      </w:r>
      <w:r w:rsidR="007A78DA">
        <w:t>d S</w:t>
      </w:r>
      <w:r>
        <w:t>afety Executive and is largely based on the Health and Safety at Work Act 1974.</w:t>
      </w:r>
    </w:p>
    <w:p w:rsidR="00BB4E16" w:rsidRDefault="00BB4E16" w:rsidP="00BB4E16">
      <w:pPr>
        <w:pStyle w:val="Heading2"/>
      </w:pPr>
      <w:bookmarkStart w:id="2" w:name="_Toc512282535"/>
      <w:r>
        <w:t>HSE – The Health and safety Executive</w:t>
      </w:r>
      <w:bookmarkEnd w:id="2"/>
    </w:p>
    <w:p w:rsidR="00D53561" w:rsidRDefault="004D3C5D" w:rsidP="00BB4E16">
      <w:r>
        <w:t>On the government website it is described as follows</w:t>
      </w:r>
      <w:r w:rsidR="007A78DA">
        <w:t>:</w:t>
      </w:r>
      <w:r>
        <w:t xml:space="preserve"> </w:t>
      </w:r>
      <w:r w:rsidR="00BB4E16">
        <w:t>“</w:t>
      </w:r>
      <w:r w:rsidR="00BB4E16" w:rsidRPr="00BB4E16">
        <w:t>The Health and Safety Executive (HSE)</w:t>
      </w:r>
      <w:r w:rsidR="007A78DA">
        <w:t xml:space="preserve"> which</w:t>
      </w:r>
      <w:r w:rsidR="00BB4E16" w:rsidRPr="00BB4E16">
        <w:t xml:space="preserve"> is the national independent watchdog for work-related health, safety and illness. It acts in the public interest to reduce work-related death and serious injury across Great Britain’s workplaces.</w:t>
      </w:r>
      <w:r w:rsidR="00BB4E16">
        <w:t>”</w:t>
      </w:r>
      <w:sdt>
        <w:sdtPr>
          <w:id w:val="236445084"/>
          <w:citation/>
        </w:sdtPr>
        <w:sdtContent>
          <w:r>
            <w:fldChar w:fldCharType="begin"/>
          </w:r>
          <w:r>
            <w:instrText xml:space="preserve"> CITATION Gov18 \l 2057 </w:instrText>
          </w:r>
          <w:r>
            <w:fldChar w:fldCharType="separate"/>
          </w:r>
          <w:r w:rsidR="00042AAE">
            <w:rPr>
              <w:noProof/>
            </w:rPr>
            <w:t xml:space="preserve"> </w:t>
          </w:r>
          <w:r w:rsidR="00042AAE" w:rsidRPr="00042AAE">
            <w:rPr>
              <w:noProof/>
            </w:rPr>
            <w:t>(Government Digital Service, n.d.)</w:t>
          </w:r>
          <w:r>
            <w:fldChar w:fldCharType="end"/>
          </w:r>
        </w:sdtContent>
      </w:sdt>
      <w:r>
        <w:t>. In essence HSE is a government sponsored company in charge of health and safety regulations in the UK. As health and safety is taken very seriously</w:t>
      </w:r>
      <w:r w:rsidR="007A78DA">
        <w:t>,</w:t>
      </w:r>
      <w:r>
        <w:t xml:space="preserve"> the regulation</w:t>
      </w:r>
      <w:r w:rsidR="007A78DA">
        <w:t>s</w:t>
      </w:r>
      <w:r>
        <w:t xml:space="preserve"> are backed by law.</w:t>
      </w:r>
    </w:p>
    <w:p w:rsidR="00D53561" w:rsidRDefault="00D53561" w:rsidP="00D53561">
      <w:pPr>
        <w:pStyle w:val="Heading2"/>
      </w:pPr>
      <w:bookmarkStart w:id="3" w:name="_Toc512282536"/>
      <w:r>
        <w:t>Health and Safety at Work Act – 1974</w:t>
      </w:r>
      <w:bookmarkEnd w:id="3"/>
    </w:p>
    <w:p w:rsidR="00D53561" w:rsidRDefault="00D53561" w:rsidP="00D53561">
      <w:r>
        <w:t>The Health and Safety at Work Act 1974 is a legislation that covers all occupational health and safety as well as illness. It is essentially a set of guidelines; enforced by the HSE along with other authorities, for which employers and employees must follow whilst in the work environment. The legislation</w:t>
      </w:r>
      <w:r w:rsidR="00A83946">
        <w:t xml:space="preserve"> is designed to protect people in the work environment and</w:t>
      </w:r>
      <w:r>
        <w:t xml:space="preserve"> also extends to visitors, customers, and temporary staff.</w:t>
      </w:r>
      <w:sdt>
        <w:sdtPr>
          <w:id w:val="-1906441740"/>
          <w:citation/>
        </w:sdtPr>
        <w:sdtContent>
          <w:r w:rsidR="00A83946">
            <w:fldChar w:fldCharType="begin"/>
          </w:r>
          <w:r w:rsidR="00A83946">
            <w:instrText xml:space="preserve"> CITATION Wor18 \l 2057 </w:instrText>
          </w:r>
          <w:r w:rsidR="00A83946">
            <w:fldChar w:fldCharType="separate"/>
          </w:r>
          <w:r w:rsidR="00042AAE">
            <w:rPr>
              <w:noProof/>
            </w:rPr>
            <w:t xml:space="preserve"> </w:t>
          </w:r>
          <w:r w:rsidR="00042AAE" w:rsidRPr="00042AAE">
            <w:rPr>
              <w:noProof/>
            </w:rPr>
            <w:t>(Work Smart, n.d.)</w:t>
          </w:r>
          <w:r w:rsidR="00A83946">
            <w:fldChar w:fldCharType="end"/>
          </w:r>
        </w:sdtContent>
      </w:sdt>
    </w:p>
    <w:p w:rsidR="00A83946" w:rsidRDefault="00D53561" w:rsidP="00D53561">
      <w:pPr>
        <w:pStyle w:val="Heading2"/>
      </w:pPr>
      <w:bookmarkStart w:id="4" w:name="_Toc512282537"/>
      <w:r>
        <w:t>Health and Safety in the Workshop</w:t>
      </w:r>
      <w:bookmarkEnd w:id="4"/>
    </w:p>
    <w:p w:rsidR="00A83946" w:rsidRDefault="00A83946" w:rsidP="00A83946">
      <w:r>
        <w:t>Health and safety in the workshop is designed to provide a safe working environment, provide safe equipment, provide risk assessments and have competent persons overseeing operations.</w:t>
      </w:r>
      <w:sdt>
        <w:sdtPr>
          <w:id w:val="66309326"/>
          <w:citation/>
        </w:sdtPr>
        <w:sdtContent>
          <w:r>
            <w:fldChar w:fldCharType="begin"/>
          </w:r>
          <w:r>
            <w:instrText xml:space="preserve"> CITATION Wor181 \l 2057 </w:instrText>
          </w:r>
          <w:r>
            <w:fldChar w:fldCharType="separate"/>
          </w:r>
          <w:r w:rsidR="00042AAE">
            <w:rPr>
              <w:noProof/>
            </w:rPr>
            <w:t xml:space="preserve"> </w:t>
          </w:r>
          <w:r w:rsidR="00042AAE" w:rsidRPr="00042AAE">
            <w:rPr>
              <w:noProof/>
            </w:rPr>
            <w:t>(Work Smart, n.d.)</w:t>
          </w:r>
          <w:r>
            <w:fldChar w:fldCharType="end"/>
          </w:r>
        </w:sdtContent>
      </w:sdt>
    </w:p>
    <w:p w:rsidR="00F1326D" w:rsidRDefault="00A83946" w:rsidP="00A83946">
      <w:r>
        <w:t xml:space="preserve">Parts of the Health and Safety in Engineering </w:t>
      </w:r>
      <w:r w:rsidR="00F1326D">
        <w:t>Workshops that applied to our task are as follows:</w:t>
      </w:r>
    </w:p>
    <w:p w:rsidR="00D003BA" w:rsidRDefault="00F1326D" w:rsidP="00A83946">
      <w:pPr>
        <w:rPr>
          <w:b/>
        </w:rPr>
      </w:pPr>
      <w:r w:rsidRPr="00F1326D">
        <w:rPr>
          <w:b/>
        </w:rPr>
        <w:t>Maintaining a clean and</w:t>
      </w:r>
      <w:r w:rsidR="00D003BA">
        <w:rPr>
          <w:b/>
        </w:rPr>
        <w:t xml:space="preserve"> clear workspace</w:t>
      </w:r>
    </w:p>
    <w:p w:rsidR="00F1326D" w:rsidRDefault="00F1326D" w:rsidP="00A83946">
      <w:r>
        <w:t>This is important as clean workspace helps production but also because it allows hazards to be more visible and also removes hazards, such as spills or trip hazards.</w:t>
      </w:r>
    </w:p>
    <w:p w:rsidR="00D003BA" w:rsidRDefault="00F1326D" w:rsidP="00A83946">
      <w:r w:rsidRPr="00F1326D">
        <w:rPr>
          <w:b/>
        </w:rPr>
        <w:t>The Provision and Use of Work Equipment Regulations 1998</w:t>
      </w:r>
    </w:p>
    <w:p w:rsidR="00F1326D" w:rsidRDefault="00F1326D" w:rsidP="00A83946">
      <w:r>
        <w:lastRenderedPageBreak/>
        <w:t>It is important to use equipment that is suitable for the task and that it is in good repair. Damaged equipment of incorrect use can lead to serious injury.</w:t>
      </w:r>
    </w:p>
    <w:p w:rsidR="00F1326D" w:rsidRDefault="00F1326D" w:rsidP="00A83946">
      <w:pPr>
        <w:rPr>
          <w:b/>
        </w:rPr>
      </w:pPr>
      <w:r w:rsidRPr="00F1326D">
        <w:rPr>
          <w:b/>
        </w:rPr>
        <w:t xml:space="preserve">Personal Protective Equipment </w:t>
      </w:r>
      <w:r>
        <w:rPr>
          <w:b/>
        </w:rPr>
        <w:t>–</w:t>
      </w:r>
      <w:r w:rsidRPr="00F1326D">
        <w:rPr>
          <w:b/>
        </w:rPr>
        <w:t xml:space="preserve"> PPE</w:t>
      </w:r>
    </w:p>
    <w:p w:rsidR="00D53561" w:rsidRPr="00A377B8" w:rsidRDefault="00F1326D" w:rsidP="00D53561">
      <w:pPr>
        <w:rPr>
          <w:b/>
        </w:rPr>
      </w:pPr>
      <w:r>
        <w:t>This includes Steel Toe Capped Boots, Overalls, Safety Specs, Ear Defenders</w:t>
      </w:r>
      <w:r w:rsidR="00A377B8">
        <w:t xml:space="preserve"> and Gloves. This covers the provision and use of suitable PPE for the task being carried out. The two we used were Steel Toe Capped Boots which protect your feet from heavy falling objects and overalls which protect clothing and skin from harmful substances or objects that can damage skin.</w:t>
      </w:r>
    </w:p>
    <w:p w:rsidR="00A377B8" w:rsidRDefault="00A377B8">
      <w:pPr>
        <w:spacing w:before="0" w:after="200" w:line="276" w:lineRule="auto"/>
        <w:rPr>
          <w:rFonts w:eastAsiaTheme="majorEastAsia" w:cstheme="majorBidi"/>
          <w:b/>
          <w:bCs/>
          <w:color w:val="365F91" w:themeColor="accent1" w:themeShade="BF"/>
          <w:sz w:val="28"/>
          <w:szCs w:val="28"/>
        </w:rPr>
      </w:pPr>
      <w:sdt>
        <w:sdtPr>
          <w:id w:val="-1130170660"/>
          <w:citation/>
        </w:sdtPr>
        <w:sdtContent>
          <w:r>
            <w:fldChar w:fldCharType="begin"/>
          </w:r>
          <w:r>
            <w:instrText xml:space="preserve"> CITATION The99 \l 2057 </w:instrText>
          </w:r>
          <w:r>
            <w:fldChar w:fldCharType="separate"/>
          </w:r>
          <w:r w:rsidR="00042AAE" w:rsidRPr="00042AAE">
            <w:rPr>
              <w:noProof/>
            </w:rPr>
            <w:t>(The Health and Safety Executive, 1999)</w:t>
          </w:r>
          <w:r>
            <w:fldChar w:fldCharType="end"/>
          </w:r>
        </w:sdtContent>
      </w:sdt>
      <w:r>
        <w:br w:type="page"/>
      </w:r>
    </w:p>
    <w:p w:rsidR="00B5070A" w:rsidRDefault="00134AF0" w:rsidP="00B5070A">
      <w:pPr>
        <w:pStyle w:val="Heading1"/>
      </w:pPr>
      <w:bookmarkStart w:id="5" w:name="_Toc512282538"/>
      <w:r>
        <w:lastRenderedPageBreak/>
        <w:t>Methodology</w:t>
      </w:r>
      <w:bookmarkEnd w:id="5"/>
    </w:p>
    <w:p w:rsidR="00294DE0" w:rsidRDefault="00294DE0" w:rsidP="00294DE0">
      <w:r>
        <w:t>Equipment used</w:t>
      </w:r>
    </w:p>
    <w:p w:rsidR="00294DE0" w:rsidRDefault="00294DE0" w:rsidP="00294DE0">
      <w:r>
        <w:t>3/8” Ratchet</w:t>
      </w:r>
      <w:r>
        <w:br/>
        <w:t>10mm Socket</w:t>
      </w:r>
      <w:r>
        <w:br/>
        <w:t>12mm Deep Socket</w:t>
      </w:r>
      <w:r>
        <w:br/>
        <w:t>Circlip Pliers</w:t>
      </w:r>
      <w:r>
        <w:br/>
        <w:t>Flat-ended Screwdriver</w:t>
      </w:r>
      <w:r>
        <w:br/>
        <w:t>Rubber Mallet</w:t>
      </w:r>
      <w:r>
        <w:br/>
        <w:t>Valve Spring Compressor</w:t>
      </w:r>
      <w:r>
        <w:br/>
        <w:t>Long Nosed Pliers</w:t>
      </w:r>
      <w:r>
        <w:br/>
      </w:r>
    </w:p>
    <w:p w:rsidR="00D53561" w:rsidRPr="00294DE0" w:rsidRDefault="00D53561" w:rsidP="00294DE0">
      <w:r>
        <w:t>PPE Used</w:t>
      </w:r>
      <w:r>
        <w:br/>
        <w:t xml:space="preserve">Overalls </w:t>
      </w:r>
      <w:r>
        <w:br/>
        <w:t>Steel Toe Capped Boots</w:t>
      </w:r>
    </w:p>
    <w:p w:rsidR="00CA2169" w:rsidRDefault="003A5715">
      <w:pPr>
        <w:spacing w:before="0" w:after="200" w:line="276" w:lineRule="auto"/>
      </w:pPr>
      <w:r>
        <w:rPr>
          <w:noProof/>
          <w:lang w:eastAsia="en-GB"/>
        </w:rPr>
        <w:drawing>
          <wp:anchor distT="0" distB="0" distL="114300" distR="114300" simplePos="0" relativeHeight="251662336" behindDoc="1" locked="0" layoutInCell="1" allowOverlap="1" wp14:anchorId="72FE5501" wp14:editId="220FF390">
            <wp:simplePos x="0" y="0"/>
            <wp:positionH relativeFrom="column">
              <wp:posOffset>-53340</wp:posOffset>
            </wp:positionH>
            <wp:positionV relativeFrom="paragraph">
              <wp:posOffset>5080</wp:posOffset>
            </wp:positionV>
            <wp:extent cx="2976880" cy="2232660"/>
            <wp:effectExtent l="0" t="0" r="0" b="0"/>
            <wp:wrapTight wrapText="bothSides">
              <wp:wrapPolygon edited="0">
                <wp:start x="0" y="0"/>
                <wp:lineTo x="0" y="21379"/>
                <wp:lineTo x="21425" y="21379"/>
                <wp:lineTo x="2142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929.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76880" cy="2232660"/>
                    </a:xfrm>
                    <a:prstGeom prst="rect">
                      <a:avLst/>
                    </a:prstGeom>
                  </pic:spPr>
                </pic:pic>
              </a:graphicData>
            </a:graphic>
            <wp14:sizeRelH relativeFrom="page">
              <wp14:pctWidth>0</wp14:pctWidth>
            </wp14:sizeRelH>
            <wp14:sizeRelV relativeFrom="page">
              <wp14:pctHeight>0</wp14:pctHeight>
            </wp14:sizeRelV>
          </wp:anchor>
        </w:drawing>
      </w:r>
      <w:r w:rsidR="00CA2169">
        <w:t>The session began with refitting the starter motor; this slotted into a hole in the side of the engine and was held in place by two 10 mm bolts.</w:t>
      </w:r>
    </w:p>
    <w:p w:rsidR="00CA2169" w:rsidRDefault="003A5715">
      <w:pPr>
        <w:spacing w:before="0" w:after="200" w:line="276" w:lineRule="auto"/>
      </w:pPr>
      <w:r>
        <w:rPr>
          <w:noProof/>
        </w:rPr>
        <mc:AlternateContent>
          <mc:Choice Requires="wps">
            <w:drawing>
              <wp:anchor distT="0" distB="0" distL="114300" distR="114300" simplePos="0" relativeHeight="251668480" behindDoc="0" locked="0" layoutInCell="1" allowOverlap="1" wp14:anchorId="5B3EFB16" wp14:editId="1A336FA9">
                <wp:simplePos x="0" y="0"/>
                <wp:positionH relativeFrom="column">
                  <wp:posOffset>-169545</wp:posOffset>
                </wp:positionH>
                <wp:positionV relativeFrom="paragraph">
                  <wp:posOffset>4036060</wp:posOffset>
                </wp:positionV>
                <wp:extent cx="324993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3249930" cy="635"/>
                        </a:xfrm>
                        <a:prstGeom prst="rect">
                          <a:avLst/>
                        </a:prstGeom>
                        <a:solidFill>
                          <a:prstClr val="white"/>
                        </a:solidFill>
                        <a:ln>
                          <a:noFill/>
                        </a:ln>
                        <a:effectLst/>
                      </wps:spPr>
                      <wps:txbx>
                        <w:txbxContent>
                          <w:p w:rsidR="003A5715" w:rsidRPr="001D37E1" w:rsidRDefault="003A5715" w:rsidP="003A5715">
                            <w:pPr>
                              <w:pStyle w:val="Caption"/>
                            </w:pPr>
                            <w:r>
                              <w:t>Figure 2</w:t>
                            </w:r>
                            <w:r>
                              <w:rPr>
                                <w:noProof/>
                              </w:rPr>
                              <w:t xml:space="preserve"> Cylinder Head with Valve Removed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1" o:spid="_x0000_s1026" type="#_x0000_t202" style="position:absolute;margin-left:-13.35pt;margin-top:317.8pt;width:255.9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" stroked="f">
                <v:textbox style="mso-fit-shape-to-text:t" inset="0,0,0,0">
                  <w:txbxContent>
                    <w:p w:rsidR="003A5715" w:rsidRPr="001D37E1" w:rsidRDefault="003A5715" w:rsidP="003A5715">
                      <w:pPr>
                        <w:pStyle w:val="Caption"/>
                      </w:pPr>
                      <w:r>
                        <w:t>Figure 2</w:t>
                      </w:r>
                      <w:r>
                        <w:rPr>
                          <w:noProof/>
                        </w:rPr>
                        <w:t xml:space="preserve"> Cylinder Head with Valve Removed</w:t>
                      </w:r>
                    </w:p>
                  </w:txbxContent>
                </v:textbox>
                <w10:wrap type="tight"/>
              </v:shape>
            </w:pict>
          </mc:Fallback>
        </mc:AlternateContent>
      </w:r>
      <w:r>
        <w:rPr>
          <w:noProof/>
          <w:lang w:eastAsia="en-GB"/>
        </w:rPr>
        <w:drawing>
          <wp:anchor distT="0" distB="0" distL="114300" distR="114300" simplePos="0" relativeHeight="251661312" behindDoc="1" locked="0" layoutInCell="1" allowOverlap="1" wp14:anchorId="4F60B594" wp14:editId="4C22D5B7">
            <wp:simplePos x="0" y="0"/>
            <wp:positionH relativeFrom="column">
              <wp:posOffset>-169545</wp:posOffset>
            </wp:positionH>
            <wp:positionV relativeFrom="paragraph">
              <wp:posOffset>1540510</wp:posOffset>
            </wp:positionV>
            <wp:extent cx="3249930" cy="2438400"/>
            <wp:effectExtent l="0" t="0" r="7620" b="0"/>
            <wp:wrapTight wrapText="bothSides">
              <wp:wrapPolygon edited="0">
                <wp:start x="0" y="0"/>
                <wp:lineTo x="0" y="21431"/>
                <wp:lineTo x="21524" y="21431"/>
                <wp:lineTo x="2152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739.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49930" cy="24384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2761877E" wp14:editId="6397BDFE">
                <wp:simplePos x="0" y="0"/>
                <wp:positionH relativeFrom="column">
                  <wp:posOffset>-3067050</wp:posOffset>
                </wp:positionH>
                <wp:positionV relativeFrom="paragraph">
                  <wp:posOffset>1539240</wp:posOffset>
                </wp:positionV>
                <wp:extent cx="2712720" cy="635"/>
                <wp:effectExtent l="0" t="0" r="0" b="8255"/>
                <wp:wrapTight wrapText="bothSides">
                  <wp:wrapPolygon edited="0">
                    <wp:start x="0" y="0"/>
                    <wp:lineTo x="0" y="20698"/>
                    <wp:lineTo x="21388" y="20698"/>
                    <wp:lineTo x="21388"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a:effectLst/>
                      </wps:spPr>
                      <wps:txbx>
                        <w:txbxContent>
                          <w:p w:rsidR="003A5715" w:rsidRPr="00432C19" w:rsidRDefault="003A5715" w:rsidP="003A5715">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Engine Block with Pistons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1" o:spid="_x0000_s1027" type="#_x0000_t202" style="position:absolute;margin-left:-241.5pt;margin-top:121.2pt;width:213.6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" stroked="f">
                <v:textbox style="mso-fit-shape-to-text:t" inset="0,0,0,0">
                  <w:txbxContent>
                    <w:p w:rsidR="003A5715" w:rsidRPr="00432C19" w:rsidRDefault="003A5715" w:rsidP="003A5715">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Engine Block with Pistons</w:t>
                      </w:r>
                    </w:p>
                  </w:txbxContent>
                </v:textbox>
                <w10:wrap type="tight"/>
              </v:shape>
            </w:pict>
          </mc:Fallback>
        </mc:AlternateContent>
      </w:r>
      <w:r w:rsidR="00CA2169">
        <w:t>Next</w:t>
      </w:r>
      <w:r w:rsidR="007A78DA">
        <w:t>,</w:t>
      </w:r>
      <w:r w:rsidR="00CA2169">
        <w:t xml:space="preserve"> the pistons were fitted back on</w:t>
      </w:r>
      <w:r w:rsidR="007A78DA">
        <w:t>;</w:t>
      </w:r>
      <w:r w:rsidR="00CA2169">
        <w:t xml:space="preserve"> this was done by pushing a Gudgeon pin through the piston and the con rod. The Gudgeon pin attaches the piston to the con-rod and allows the connection to pivot. The Gudgeon pin is held in place using to circlips which sit in groves in the piston.</w:t>
      </w:r>
      <w:r w:rsidR="007E381E" w:rsidRPr="007E381E">
        <w:rPr>
          <w:noProof/>
          <w:lang w:eastAsia="en-GB"/>
        </w:rPr>
        <w:t xml:space="preserve"> </w:t>
      </w:r>
    </w:p>
    <w:p w:rsidR="00CA2169" w:rsidRDefault="00CA2169">
      <w:pPr>
        <w:spacing w:before="0" w:after="200" w:line="276" w:lineRule="auto"/>
      </w:pPr>
      <w:r>
        <w:t>Next</w:t>
      </w:r>
      <w:r w:rsidR="007A78DA">
        <w:t>,</w:t>
      </w:r>
      <w:r>
        <w:t xml:space="preserve"> the cylinder block was fitted. This required a bit of patience as two pistons had to be put into the cylinder bores at a time and they had a compression ring and oil ring on each piston which had to be compressed in order</w:t>
      </w:r>
      <w:r w:rsidR="007A78DA">
        <w:t xml:space="preserve"> for them</w:t>
      </w:r>
      <w:r>
        <w:t xml:space="preserve"> to fit in.</w:t>
      </w:r>
    </w:p>
    <w:p w:rsidR="00D003BA" w:rsidRDefault="00D003BA">
      <w:pPr>
        <w:spacing w:before="0" w:after="200" w:line="276" w:lineRule="auto"/>
      </w:pPr>
    </w:p>
    <w:p w:rsidR="00D003BA" w:rsidRDefault="00D003BA">
      <w:pPr>
        <w:spacing w:before="0" w:after="200" w:line="276" w:lineRule="auto"/>
      </w:pPr>
    </w:p>
    <w:p w:rsidR="00E23EC7" w:rsidRDefault="00D003BA">
      <w:pPr>
        <w:spacing w:before="0" w:after="200" w:line="276" w:lineRule="auto"/>
      </w:pPr>
      <w:bookmarkStart w:id="6" w:name="_GoBack"/>
      <w:r>
        <w:rPr>
          <w:noProof/>
          <w:lang w:eastAsia="en-GB"/>
        </w:rPr>
        <w:lastRenderedPageBreak/>
        <w:drawing>
          <wp:anchor distT="0" distB="0" distL="114300" distR="114300" simplePos="0" relativeHeight="251664384" behindDoc="0" locked="0" layoutInCell="1" allowOverlap="1" wp14:anchorId="6D64B97E" wp14:editId="4C2CFC3A">
            <wp:simplePos x="0" y="0"/>
            <wp:positionH relativeFrom="column">
              <wp:posOffset>3124200</wp:posOffset>
            </wp:positionH>
            <wp:positionV relativeFrom="paragraph">
              <wp:posOffset>49530</wp:posOffset>
            </wp:positionV>
            <wp:extent cx="2727960" cy="210312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22105" t="6303" r="12368" b="26466"/>
                    <a:stretch/>
                  </pic:blipFill>
                  <pic:spPr bwMode="auto">
                    <a:xfrm>
                      <a:off x="0" y="0"/>
                      <a:ext cx="2727960" cy="2103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6"/>
      <w:r w:rsidR="00CA2169">
        <w:t>Before the cylinder head was fitted the valves need to be refitted. This required a valve spring compressor</w:t>
      </w:r>
      <w:r w:rsidR="007A78DA">
        <w:t>,</w:t>
      </w:r>
      <w:r w:rsidR="00CA2169">
        <w:t xml:space="preserve"> which compresses the springs on the valves to allow a plate and t</w:t>
      </w:r>
      <w:r w:rsidR="00E23EC7">
        <w:t>w</w:t>
      </w:r>
      <w:r w:rsidR="00CA2169">
        <w:t xml:space="preserve">o collets to be inserted onto the valve stem. After the </w:t>
      </w:r>
      <w:r w:rsidR="00E23EC7">
        <w:t>springs are released the force of the springs holds the plate and collets in place.</w:t>
      </w:r>
    </w:p>
    <w:p w:rsidR="007E381E" w:rsidRDefault="007E381E">
      <w:pPr>
        <w:spacing w:before="0" w:after="200" w:line="276" w:lineRule="auto"/>
      </w:pPr>
    </w:p>
    <w:p w:rsidR="00A641BE" w:rsidRDefault="00A641BE">
      <w:pPr>
        <w:spacing w:before="0" w:after="200" w:line="276" w:lineRule="auto"/>
      </w:pPr>
    </w:p>
    <w:p w:rsidR="00A641BE" w:rsidRDefault="003A5715">
      <w:pPr>
        <w:spacing w:before="0" w:after="200" w:line="276" w:lineRule="auto"/>
      </w:pPr>
      <w:r>
        <w:rPr>
          <w:noProof/>
          <w:lang w:eastAsia="en-GB"/>
        </w:rPr>
        <w:drawing>
          <wp:anchor distT="0" distB="0" distL="114300" distR="114300" simplePos="0" relativeHeight="251673600" behindDoc="0" locked="0" layoutInCell="1" allowOverlap="1" wp14:anchorId="009DBF34" wp14:editId="3EBCDF32">
            <wp:simplePos x="0" y="0"/>
            <wp:positionH relativeFrom="column">
              <wp:posOffset>-167640</wp:posOffset>
            </wp:positionH>
            <wp:positionV relativeFrom="paragraph">
              <wp:posOffset>330200</wp:posOffset>
            </wp:positionV>
            <wp:extent cx="3703320" cy="301752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b="5920"/>
                    <a:stretch/>
                  </pic:blipFill>
                  <pic:spPr bwMode="auto">
                    <a:xfrm>
                      <a:off x="0" y="0"/>
                      <a:ext cx="3703320" cy="3017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641BE" w:rsidRDefault="003A5715">
      <w:pPr>
        <w:spacing w:before="0" w:after="200" w:line="276" w:lineRule="auto"/>
      </w:pPr>
      <w:r>
        <w:rPr>
          <w:noProof/>
        </w:rPr>
        <mc:AlternateContent>
          <mc:Choice Requires="wps">
            <w:drawing>
              <wp:anchor distT="0" distB="0" distL="114300" distR="114300" simplePos="0" relativeHeight="251670528" behindDoc="0" locked="0" layoutInCell="1" allowOverlap="1" wp14:anchorId="0038AC6D" wp14:editId="193B7B09">
                <wp:simplePos x="0" y="0"/>
                <wp:positionH relativeFrom="column">
                  <wp:posOffset>3124200</wp:posOffset>
                </wp:positionH>
                <wp:positionV relativeFrom="paragraph">
                  <wp:posOffset>153670</wp:posOffset>
                </wp:positionV>
                <wp:extent cx="2727960" cy="635"/>
                <wp:effectExtent l="0" t="0" r="0" b="8255"/>
                <wp:wrapSquare wrapText="bothSides"/>
                <wp:docPr id="22" name="Text Box 22"/>
                <wp:cNvGraphicFramePr/>
                <a:graphic xmlns:a="http://schemas.openxmlformats.org/drawingml/2006/main">
                  <a:graphicData uri="http://schemas.microsoft.com/office/word/2010/wordprocessingShape">
                    <wps:wsp>
                      <wps:cNvSpPr txBox="1"/>
                      <wps:spPr>
                        <a:xfrm>
                          <a:off x="0" y="0"/>
                          <a:ext cx="2727960" cy="635"/>
                        </a:xfrm>
                        <a:prstGeom prst="rect">
                          <a:avLst/>
                        </a:prstGeom>
                        <a:solidFill>
                          <a:prstClr val="white"/>
                        </a:solidFill>
                        <a:ln>
                          <a:noFill/>
                        </a:ln>
                        <a:effectLst/>
                      </wps:spPr>
                      <wps:txbx>
                        <w:txbxContent>
                          <w:p w:rsidR="003A5715" w:rsidRPr="00565AF4" w:rsidRDefault="003A5715" w:rsidP="003A5715">
                            <w:pPr>
                              <w:pStyle w:val="Caption"/>
                            </w:pPr>
                            <w:r>
                              <w:t>Figure 3 Valve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2" o:spid="_x0000_s1028" type="#_x0000_t202" style="position:absolute;margin-left:246pt;margin-top:12.1pt;width:214.8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" stroked="f">
                <v:textbox style="mso-fit-shape-to-text:t" inset="0,0,0,0">
                  <w:txbxContent>
                    <w:p w:rsidR="003A5715" w:rsidRPr="00565AF4" w:rsidRDefault="003A5715" w:rsidP="003A5715">
                      <w:pPr>
                        <w:pStyle w:val="Caption"/>
                      </w:pPr>
                      <w:r>
                        <w:t>Figure 3 Valve Assembly</w:t>
                      </w:r>
                    </w:p>
                  </w:txbxContent>
                </v:textbox>
                <w10:wrap type="square"/>
              </v:shape>
            </w:pict>
          </mc:Fallback>
        </mc:AlternateContent>
      </w:r>
    </w:p>
    <w:p w:rsidR="003A5715" w:rsidRDefault="003A5715" w:rsidP="003A5715">
      <w:pPr>
        <w:keepNext/>
        <w:spacing w:before="0" w:after="200" w:line="276" w:lineRule="auto"/>
      </w:pPr>
    </w:p>
    <w:p w:rsidR="003A5715" w:rsidRDefault="003A5715">
      <w:pPr>
        <w:spacing w:before="0" w:after="200" w:line="276" w:lineRule="auto"/>
      </w:pPr>
    </w:p>
    <w:p w:rsidR="003A5715" w:rsidRDefault="003A5715">
      <w:pPr>
        <w:spacing w:before="0" w:after="200" w:line="276" w:lineRule="auto"/>
      </w:pPr>
    </w:p>
    <w:p w:rsidR="003A5715" w:rsidRDefault="003A5715">
      <w:pPr>
        <w:spacing w:before="0" w:after="200" w:line="276" w:lineRule="auto"/>
      </w:pPr>
    </w:p>
    <w:p w:rsidR="003A5715" w:rsidRDefault="003A5715">
      <w:pPr>
        <w:spacing w:before="0" w:after="200" w:line="276" w:lineRule="auto"/>
      </w:pPr>
    </w:p>
    <w:p w:rsidR="003A5715" w:rsidRDefault="003A5715">
      <w:pPr>
        <w:spacing w:before="0" w:after="200" w:line="276" w:lineRule="auto"/>
      </w:pPr>
    </w:p>
    <w:p w:rsidR="003A5715" w:rsidRDefault="003A5715">
      <w:pPr>
        <w:spacing w:before="0" w:after="200" w:line="276" w:lineRule="auto"/>
      </w:pPr>
    </w:p>
    <w:p w:rsidR="003A5715" w:rsidRDefault="003A5715">
      <w:pPr>
        <w:spacing w:before="0" w:after="200" w:line="276" w:lineRule="auto"/>
      </w:pPr>
      <w:r>
        <w:rPr>
          <w:noProof/>
        </w:rPr>
        <mc:AlternateContent>
          <mc:Choice Requires="wps">
            <w:drawing>
              <wp:anchor distT="0" distB="0" distL="114300" distR="114300" simplePos="0" relativeHeight="251675648" behindDoc="0" locked="0" layoutInCell="1" allowOverlap="1" wp14:anchorId="50F2E967" wp14:editId="11F0E2F2">
                <wp:simplePos x="0" y="0"/>
                <wp:positionH relativeFrom="column">
                  <wp:posOffset>-3817620</wp:posOffset>
                </wp:positionH>
                <wp:positionV relativeFrom="paragraph">
                  <wp:posOffset>110490</wp:posOffset>
                </wp:positionV>
                <wp:extent cx="3703320" cy="635"/>
                <wp:effectExtent l="0" t="0" r="0" b="8255"/>
                <wp:wrapSquare wrapText="bothSides"/>
                <wp:docPr id="24" name="Text Box 24"/>
                <wp:cNvGraphicFramePr/>
                <a:graphic xmlns:a="http://schemas.openxmlformats.org/drawingml/2006/main">
                  <a:graphicData uri="http://schemas.microsoft.com/office/word/2010/wordprocessingShape">
                    <wps:wsp>
                      <wps:cNvSpPr txBox="1"/>
                      <wps:spPr>
                        <a:xfrm>
                          <a:off x="0" y="0"/>
                          <a:ext cx="3703320" cy="635"/>
                        </a:xfrm>
                        <a:prstGeom prst="rect">
                          <a:avLst/>
                        </a:prstGeom>
                        <a:solidFill>
                          <a:prstClr val="white"/>
                        </a:solidFill>
                        <a:ln>
                          <a:noFill/>
                        </a:ln>
                        <a:effectLst/>
                      </wps:spPr>
                      <wps:txbx>
                        <w:txbxContent>
                          <w:p w:rsidR="003A5715" w:rsidRPr="00B076E2" w:rsidRDefault="003A5715" w:rsidP="003A5715">
                            <w:pPr>
                              <w:pStyle w:val="Caption"/>
                            </w:pPr>
                            <w:r>
                              <w:t xml:space="preserve">Figure 4 </w:t>
                            </w:r>
                            <w:r w:rsidRPr="00DD5E19">
                              <w:t>Valve Assembly Setup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4" o:spid="_x0000_s1029" type="#_x0000_t202" style="position:absolute;margin-left:-300.6pt;margin-top:8.7pt;width:291.6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" stroked="f">
                <v:textbox style="mso-fit-shape-to-text:t" inset="0,0,0,0">
                  <w:txbxContent>
                    <w:p w:rsidR="003A5715" w:rsidRPr="00B076E2" w:rsidRDefault="003A5715" w:rsidP="003A5715">
                      <w:pPr>
                        <w:pStyle w:val="Caption"/>
                      </w:pPr>
                      <w:r>
                        <w:t xml:space="preserve">Figure 4 </w:t>
                      </w:r>
                      <w:r w:rsidRPr="00DD5E19">
                        <w:t>Valve Assembly Setup Diagram</w:t>
                      </w:r>
                    </w:p>
                  </w:txbxContent>
                </v:textbox>
                <w10:wrap type="square"/>
              </v:shape>
            </w:pict>
          </mc:Fallback>
        </mc:AlternateContent>
      </w:r>
    </w:p>
    <w:p w:rsidR="003A5715" w:rsidRDefault="003A5715">
      <w:pPr>
        <w:spacing w:before="0" w:after="200" w:line="276" w:lineRule="auto"/>
      </w:pPr>
      <w:r>
        <w:rPr>
          <w:noProof/>
          <w:lang w:eastAsia="en-GB"/>
        </w:rPr>
        <w:drawing>
          <wp:anchor distT="0" distB="0" distL="114300" distR="114300" simplePos="0" relativeHeight="251663360" behindDoc="1" locked="0" layoutInCell="1" allowOverlap="1" wp14:anchorId="1A740245" wp14:editId="6F87CFC7">
            <wp:simplePos x="0" y="0"/>
            <wp:positionH relativeFrom="column">
              <wp:posOffset>-3817620</wp:posOffset>
            </wp:positionH>
            <wp:positionV relativeFrom="paragraph">
              <wp:posOffset>266065</wp:posOffset>
            </wp:positionV>
            <wp:extent cx="2519045" cy="1889760"/>
            <wp:effectExtent l="0" t="0" r="0" b="0"/>
            <wp:wrapTight wrapText="bothSides">
              <wp:wrapPolygon edited="0">
                <wp:start x="0" y="0"/>
                <wp:lineTo x="0" y="21339"/>
                <wp:lineTo x="21399" y="21339"/>
                <wp:lineTo x="2139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93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19045" cy="1889760"/>
                    </a:xfrm>
                    <a:prstGeom prst="rect">
                      <a:avLst/>
                    </a:prstGeom>
                  </pic:spPr>
                </pic:pic>
              </a:graphicData>
            </a:graphic>
            <wp14:sizeRelH relativeFrom="page">
              <wp14:pctWidth>0</wp14:pctWidth>
            </wp14:sizeRelH>
            <wp14:sizeRelV relativeFrom="page">
              <wp14:pctHeight>0</wp14:pctHeight>
            </wp14:sizeRelV>
          </wp:anchor>
        </w:drawing>
      </w:r>
    </w:p>
    <w:p w:rsidR="00E23EC7" w:rsidRDefault="003A5715">
      <w:pPr>
        <w:spacing w:before="0" w:after="200" w:line="276" w:lineRule="auto"/>
      </w:pPr>
      <w:r>
        <w:rPr>
          <w:noProof/>
        </w:rPr>
        <mc:AlternateContent>
          <mc:Choice Requires="wps">
            <w:drawing>
              <wp:anchor distT="0" distB="0" distL="114300" distR="114300" simplePos="0" relativeHeight="251677696" behindDoc="0" locked="0" layoutInCell="1" allowOverlap="1" wp14:anchorId="374BE532" wp14:editId="75A48601">
                <wp:simplePos x="0" y="0"/>
                <wp:positionH relativeFrom="column">
                  <wp:posOffset>475615</wp:posOffset>
                </wp:positionH>
                <wp:positionV relativeFrom="paragraph">
                  <wp:posOffset>3139440</wp:posOffset>
                </wp:positionV>
                <wp:extent cx="2630805"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2630805" cy="635"/>
                        </a:xfrm>
                        <a:prstGeom prst="rect">
                          <a:avLst/>
                        </a:prstGeom>
                        <a:solidFill>
                          <a:prstClr val="white"/>
                        </a:solidFill>
                        <a:ln>
                          <a:noFill/>
                        </a:ln>
                        <a:effectLst/>
                      </wps:spPr>
                      <wps:txbx>
                        <w:txbxContent>
                          <w:p w:rsidR="003A5715" w:rsidRPr="0017027E" w:rsidRDefault="003A5715" w:rsidP="003A5715">
                            <w:pPr>
                              <w:pStyle w:val="Caption"/>
                              <w:rPr>
                                <w:noProof/>
                              </w:rPr>
                            </w:pPr>
                            <w:r>
                              <w:t>Figure 6 Cylinder Head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5" o:spid="_x0000_s1030" type="#_x0000_t202" style="position:absolute;margin-left:37.45pt;margin-top:247.2pt;width:207.1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" stroked="f">
                <v:textbox style="mso-fit-shape-to-text:t" inset="0,0,0,0">
                  <w:txbxContent>
                    <w:p w:rsidR="003A5715" w:rsidRPr="0017027E" w:rsidRDefault="003A5715" w:rsidP="003A5715">
                      <w:pPr>
                        <w:pStyle w:val="Caption"/>
                        <w:rPr>
                          <w:noProof/>
                        </w:rPr>
                      </w:pPr>
                      <w:r>
                        <w:t>Figure 6 Cylinder Head</w:t>
                      </w:r>
                    </w:p>
                  </w:txbxContent>
                </v:textbox>
                <w10:wrap type="tight"/>
              </v:shape>
            </w:pict>
          </mc:Fallback>
        </mc:AlternateContent>
      </w:r>
      <w:r w:rsidR="00A641BE">
        <w:rPr>
          <w:noProof/>
          <w:lang w:eastAsia="en-GB"/>
        </w:rPr>
        <w:drawing>
          <wp:anchor distT="0" distB="0" distL="114300" distR="114300" simplePos="0" relativeHeight="251658240" behindDoc="1" locked="0" layoutInCell="1" allowOverlap="1" wp14:anchorId="3CDD1AB4" wp14:editId="09565245">
            <wp:simplePos x="0" y="0"/>
            <wp:positionH relativeFrom="column">
              <wp:posOffset>475615</wp:posOffset>
            </wp:positionH>
            <wp:positionV relativeFrom="paragraph">
              <wp:posOffset>1108710</wp:posOffset>
            </wp:positionV>
            <wp:extent cx="2630805" cy="1973580"/>
            <wp:effectExtent l="0" t="0" r="0" b="7620"/>
            <wp:wrapTight wrapText="bothSides">
              <wp:wrapPolygon edited="0">
                <wp:start x="0" y="0"/>
                <wp:lineTo x="0" y="21475"/>
                <wp:lineTo x="21428" y="21475"/>
                <wp:lineTo x="2142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730 (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30805" cy="1973580"/>
                    </a:xfrm>
                    <a:prstGeom prst="rect">
                      <a:avLst/>
                    </a:prstGeom>
                  </pic:spPr>
                </pic:pic>
              </a:graphicData>
            </a:graphic>
            <wp14:sizeRelH relativeFrom="page">
              <wp14:pctWidth>0</wp14:pctWidth>
            </wp14:sizeRelH>
            <wp14:sizeRelV relativeFrom="page">
              <wp14:pctHeight>0</wp14:pctHeight>
            </wp14:sizeRelV>
          </wp:anchor>
        </w:drawing>
      </w:r>
      <w:r w:rsidR="00E23EC7">
        <w:t>After all 16 valves had been refitted; the cylinder head was the</w:t>
      </w:r>
      <w:r w:rsidR="007A78DA">
        <w:t>n</w:t>
      </w:r>
      <w:r w:rsidR="00E23EC7">
        <w:t xml:space="preserve"> place</w:t>
      </w:r>
      <w:r w:rsidR="007A78DA">
        <w:t>d</w:t>
      </w:r>
      <w:r w:rsidR="00E23EC7">
        <w:t xml:space="preserve"> on top of the cylinder block and held in place by 8 long stretch bolts (which go through the cylinder block and head) and 12mm nuts. There were 4 other 10mm bolts which held the cylinder head down.</w:t>
      </w:r>
    </w:p>
    <w:p w:rsidR="00A97968" w:rsidRPr="00CA2169" w:rsidRDefault="003A5715">
      <w:pPr>
        <w:spacing w:before="0" w:after="200" w:line="276" w:lineRule="auto"/>
      </w:pPr>
      <w:r>
        <w:rPr>
          <w:noProof/>
        </w:rPr>
        <mc:AlternateContent>
          <mc:Choice Requires="wps">
            <w:drawing>
              <wp:anchor distT="0" distB="0" distL="114300" distR="114300" simplePos="0" relativeHeight="251672576" behindDoc="0" locked="0" layoutInCell="1" allowOverlap="1" wp14:anchorId="170D60D6" wp14:editId="7748BF24">
                <wp:simplePos x="0" y="0"/>
                <wp:positionH relativeFrom="column">
                  <wp:posOffset>-2609850</wp:posOffset>
                </wp:positionH>
                <wp:positionV relativeFrom="paragraph">
                  <wp:posOffset>752475</wp:posOffset>
                </wp:positionV>
                <wp:extent cx="2519045" cy="635"/>
                <wp:effectExtent l="0" t="0" r="0" b="8255"/>
                <wp:wrapTight wrapText="bothSides">
                  <wp:wrapPolygon edited="0">
                    <wp:start x="0" y="0"/>
                    <wp:lineTo x="0" y="20698"/>
                    <wp:lineTo x="21399" y="20698"/>
                    <wp:lineTo x="21399"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2519045" cy="635"/>
                        </a:xfrm>
                        <a:prstGeom prst="rect">
                          <a:avLst/>
                        </a:prstGeom>
                        <a:solidFill>
                          <a:prstClr val="white"/>
                        </a:solidFill>
                        <a:ln>
                          <a:noFill/>
                        </a:ln>
                        <a:effectLst/>
                      </wps:spPr>
                      <wps:txbx>
                        <w:txbxContent>
                          <w:p w:rsidR="003A5715" w:rsidRPr="001061A7" w:rsidRDefault="003A5715" w:rsidP="003A5715">
                            <w:pPr>
                              <w:pStyle w:val="Caption"/>
                              <w:rPr>
                                <w:noProof/>
                              </w:rPr>
                            </w:pPr>
                            <w:r>
                              <w:t>Figure 5 Seating Cylinder Block on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3" o:spid="_x0000_s1031" type="#_x0000_t202" style="position:absolute;margin-left:-205.5pt;margin-top:59.25pt;width:198.3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" stroked="f">
                <v:textbox style="mso-fit-shape-to-text:t" inset="0,0,0,0">
                  <w:txbxContent>
                    <w:p w:rsidR="003A5715" w:rsidRPr="001061A7" w:rsidRDefault="003A5715" w:rsidP="003A5715">
                      <w:pPr>
                        <w:pStyle w:val="Caption"/>
                        <w:rPr>
                          <w:noProof/>
                        </w:rPr>
                      </w:pPr>
                      <w:r>
                        <w:t>Figure 5 Seating Cylinder Block on Engine</w:t>
                      </w:r>
                    </w:p>
                  </w:txbxContent>
                </v:textbox>
                <w10:wrap type="tight"/>
              </v:shape>
            </w:pict>
          </mc:Fallback>
        </mc:AlternateContent>
      </w:r>
      <w:r w:rsidR="00A97968">
        <w:br w:type="page"/>
      </w:r>
    </w:p>
    <w:p w:rsidR="00A97968" w:rsidRDefault="00A97968" w:rsidP="00A97968">
      <w:pPr>
        <w:pStyle w:val="Heading1"/>
      </w:pPr>
      <w:bookmarkStart w:id="7" w:name="_Toc512282539"/>
      <w:r>
        <w:lastRenderedPageBreak/>
        <w:t>Conclusion</w:t>
      </w:r>
      <w:r w:rsidR="00801C9A">
        <w:t xml:space="preserve"> and Reflection</w:t>
      </w:r>
      <w:bookmarkEnd w:id="7"/>
    </w:p>
    <w:p w:rsidR="00294DE0" w:rsidRDefault="00294DE0" w:rsidP="00A97968">
      <w:pPr>
        <w:spacing w:before="0" w:after="200" w:line="276" w:lineRule="auto"/>
      </w:pPr>
      <w:r>
        <w:t>Our aim for this session was originally to finish rebuilding the engine; however due the previous session’s setback involving a missed part that involved backtracking this was not achievable today. In spite of this I feel that good progress was made today, enough so that we may finish within the next session. Moreover</w:t>
      </w:r>
      <w:r w:rsidR="00CA7140">
        <w:t>,</w:t>
      </w:r>
      <w:r w:rsidR="007A78DA">
        <w:t xml:space="preserve"> </w:t>
      </w:r>
      <w:r>
        <w:t>the most difficult part</w:t>
      </w:r>
      <w:r w:rsidR="007A78DA">
        <w:t xml:space="preserve"> </w:t>
      </w:r>
      <w:r>
        <w:t>which was getting the cylinder block over the pistons provided a serious learning curve in terms of our approach and tools used to complete the task. For the most part</w:t>
      </w:r>
      <w:r w:rsidR="00CA7140">
        <w:t>,</w:t>
      </w:r>
      <w:r>
        <w:t xml:space="preserve"> this involved tr</w:t>
      </w:r>
      <w:r w:rsidR="00CA7140">
        <w:t xml:space="preserve">ial and error as there </w:t>
      </w:r>
      <w:r>
        <w:t>appeared to be no set way to seat the piston and rings easily.</w:t>
      </w:r>
    </w:p>
    <w:p w:rsidR="00065283" w:rsidRPr="00801C9A" w:rsidRDefault="00AD4DFC" w:rsidP="00801C9A">
      <w:pPr>
        <w:spacing w:before="0" w:after="200" w:line="276" w:lineRule="auto"/>
        <w:rPr>
          <w:rFonts w:eastAsiaTheme="majorEastAsia" w:cstheme="majorBidi"/>
          <w:b/>
          <w:bCs/>
          <w:color w:val="365F91" w:themeColor="accent1" w:themeShade="BF"/>
          <w:sz w:val="28"/>
          <w:szCs w:val="28"/>
        </w:rPr>
      </w:pPr>
      <w:r>
        <w:t xml:space="preserve">As </w:t>
      </w:r>
      <w:r w:rsidR="00CA7140">
        <w:t xml:space="preserve">an </w:t>
      </w:r>
      <w:r>
        <w:t>improvement for next time</w:t>
      </w:r>
      <w:r w:rsidR="00CA7140">
        <w:t>,</w:t>
      </w:r>
      <w:r>
        <w:t xml:space="preserve"> a slower and more considered approach to the situation would help and potentially save time. In addition</w:t>
      </w:r>
      <w:r w:rsidR="00CA7140">
        <w:t>,</w:t>
      </w:r>
      <w:r>
        <w:t xml:space="preserve"> this would also reduce the potential of damage to the piston, rings and cylinder bore.</w:t>
      </w:r>
      <w:r w:rsidR="00134AF0">
        <w:br w:type="page"/>
      </w:r>
    </w:p>
    <w:bookmarkStart w:id="8" w:name="_Toc512282540" w:displacedByCustomXml="next"/>
    <w:sdt>
      <w:sdtPr>
        <w:rPr>
          <w:rFonts w:eastAsiaTheme="minorHAnsi" w:cstheme="minorBidi"/>
          <w:b w:val="0"/>
          <w:bCs w:val="0"/>
          <w:color w:val="auto"/>
          <w:sz w:val="22"/>
          <w:szCs w:val="22"/>
        </w:rPr>
        <w:id w:val="-118380450"/>
        <w:docPartObj>
          <w:docPartGallery w:val="Bibliographies"/>
          <w:docPartUnique/>
        </w:docPartObj>
      </w:sdtPr>
      <w:sdtContent>
        <w:p w:rsidR="00065283" w:rsidRDefault="00065283">
          <w:pPr>
            <w:pStyle w:val="Heading1"/>
          </w:pPr>
          <w:r>
            <w:t>Bibliography</w:t>
          </w:r>
          <w:bookmarkEnd w:id="8"/>
        </w:p>
        <w:sdt>
          <w:sdtPr>
            <w:id w:val="111145805"/>
            <w:bibliography/>
          </w:sdtPr>
          <w:sdtContent>
            <w:p w:rsidR="00042AAE" w:rsidRDefault="00065283" w:rsidP="00042AAE">
              <w:pPr>
                <w:pStyle w:val="Bibliography"/>
                <w:rPr>
                  <w:noProof/>
                </w:rPr>
              </w:pPr>
              <w:r>
                <w:fldChar w:fldCharType="begin"/>
              </w:r>
              <w:r>
                <w:instrText xml:space="preserve"> BIBLIOGRAPHY </w:instrText>
              </w:r>
              <w:r>
                <w:fldChar w:fldCharType="separate"/>
              </w:r>
              <w:r w:rsidR="00042AAE">
                <w:rPr>
                  <w:noProof/>
                </w:rPr>
                <w:t xml:space="preserve">Government Digital Service, n.d. </w:t>
              </w:r>
              <w:r w:rsidR="00042AAE">
                <w:rPr>
                  <w:i/>
                  <w:iCs/>
                  <w:noProof/>
                </w:rPr>
                <w:t xml:space="preserve">Health and Safety Executive. </w:t>
              </w:r>
              <w:r w:rsidR="00042AAE">
                <w:rPr>
                  <w:noProof/>
                </w:rPr>
                <w:t xml:space="preserve">[Online] </w:t>
              </w:r>
              <w:r w:rsidR="00042AAE">
                <w:rPr>
                  <w:noProof/>
                </w:rPr>
                <w:br/>
                <w:t xml:space="preserve">Available at: </w:t>
              </w:r>
              <w:r w:rsidR="00042AAE">
                <w:rPr>
                  <w:noProof/>
                  <w:u w:val="single"/>
                </w:rPr>
                <w:t>https://www.gov.uk/government/organisations/health-and-safety-executive</w:t>
              </w:r>
              <w:r w:rsidR="00042AAE">
                <w:rPr>
                  <w:noProof/>
                </w:rPr>
                <w:br/>
                <w:t>[Accessed 12 03 2018].</w:t>
              </w:r>
            </w:p>
            <w:p w:rsidR="00042AAE" w:rsidRDefault="00042AAE" w:rsidP="00042AAE">
              <w:pPr>
                <w:pStyle w:val="Bibliography"/>
                <w:rPr>
                  <w:noProof/>
                </w:rPr>
              </w:pPr>
              <w:r>
                <w:rPr>
                  <w:noProof/>
                </w:rPr>
                <w:t xml:space="preserve">The Health and Safety Executive, 1999. </w:t>
              </w:r>
              <w:r>
                <w:rPr>
                  <w:i/>
                  <w:iCs/>
                  <w:noProof/>
                </w:rPr>
                <w:t xml:space="preserve">Health and Safety in Engineering Workshops. </w:t>
              </w:r>
              <w:r>
                <w:rPr>
                  <w:noProof/>
                </w:rPr>
                <w:t>2nd ed. s.l.:HSE.</w:t>
              </w:r>
            </w:p>
            <w:p w:rsidR="00042AAE" w:rsidRDefault="00042AAE" w:rsidP="00042AAE">
              <w:pPr>
                <w:pStyle w:val="Bibliography"/>
                <w:rPr>
                  <w:noProof/>
                </w:rPr>
              </w:pPr>
              <w:r>
                <w:rPr>
                  <w:noProof/>
                </w:rPr>
                <w:t xml:space="preserve">Work Smart, n.d. </w:t>
              </w:r>
              <w:r>
                <w:rPr>
                  <w:i/>
                  <w:iCs/>
                  <w:noProof/>
                </w:rPr>
                <w:t xml:space="preserve">WHAT ARE MY EMPLOYER'S DUTIES UNDER THE HEALTH AND SAFETY AT WORK ACT?. </w:t>
              </w:r>
              <w:r>
                <w:rPr>
                  <w:noProof/>
                </w:rPr>
                <w:t xml:space="preserve">[Online] </w:t>
              </w:r>
              <w:r>
                <w:rPr>
                  <w:noProof/>
                </w:rPr>
                <w:br/>
                <w:t xml:space="preserve">Available at: </w:t>
              </w:r>
              <w:r>
                <w:rPr>
                  <w:noProof/>
                  <w:u w:val="single"/>
                </w:rPr>
                <w:t>https://worksmart.org.uk/health-advice/health-and-safety/employer-duties/what-are-my-employers-duties-under-health-and-safety</w:t>
              </w:r>
              <w:r>
                <w:rPr>
                  <w:noProof/>
                </w:rPr>
                <w:br/>
                <w:t>[Accessed 03 2018].</w:t>
              </w:r>
            </w:p>
            <w:p w:rsidR="00042AAE" w:rsidRDefault="00042AAE" w:rsidP="00042AAE">
              <w:pPr>
                <w:pStyle w:val="Bibliography"/>
                <w:rPr>
                  <w:noProof/>
                </w:rPr>
              </w:pPr>
              <w:r>
                <w:rPr>
                  <w:noProof/>
                </w:rPr>
                <w:t xml:space="preserve">Work Smart, n.d. </w:t>
              </w:r>
              <w:r>
                <w:rPr>
                  <w:i/>
                  <w:iCs/>
                  <w:noProof/>
                </w:rPr>
                <w:t xml:space="preserve">WHAT IS THE HEALTH AND SAFETY AT WORK ACT?. </w:t>
              </w:r>
              <w:r>
                <w:rPr>
                  <w:noProof/>
                </w:rPr>
                <w:t xml:space="preserve">[Online] </w:t>
              </w:r>
              <w:r>
                <w:rPr>
                  <w:noProof/>
                </w:rPr>
                <w:br/>
                <w:t xml:space="preserve">Available at: </w:t>
              </w:r>
              <w:r>
                <w:rPr>
                  <w:noProof/>
                  <w:u w:val="single"/>
                </w:rPr>
                <w:t>https://worksmart.org.uk/health-advice/health-and-safety/employer-duties/what-health-and-safety-work-act</w:t>
              </w:r>
              <w:r>
                <w:rPr>
                  <w:noProof/>
                </w:rPr>
                <w:br/>
                <w:t>[Accessed 03 2018].</w:t>
              </w:r>
            </w:p>
            <w:p w:rsidR="00065283" w:rsidRDefault="00065283" w:rsidP="00042AAE">
              <w:r>
                <w:rPr>
                  <w:b/>
                  <w:bCs/>
                  <w:noProof/>
                </w:rPr>
                <w:fldChar w:fldCharType="end"/>
              </w:r>
            </w:p>
          </w:sdtContent>
        </w:sdt>
      </w:sdtContent>
    </w:sdt>
    <w:p w:rsidR="00D67998" w:rsidRDefault="00D67998" w:rsidP="00065283">
      <w:pPr>
        <w:pStyle w:val="Heading1"/>
        <w:numPr>
          <w:ilvl w:val="0"/>
          <w:numId w:val="0"/>
        </w:numPr>
        <w:ind w:left="432"/>
      </w:pPr>
    </w:p>
    <w:sectPr w:rsidR="00D67998" w:rsidSect="00533D7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214A" w:rsidRDefault="0056214A" w:rsidP="00134AF0">
      <w:pPr>
        <w:spacing w:before="0" w:after="0" w:line="240" w:lineRule="auto"/>
      </w:pPr>
      <w:r>
        <w:separator/>
      </w:r>
    </w:p>
  </w:endnote>
  <w:endnote w:type="continuationSeparator" w:id="0">
    <w:p w:rsidR="0056214A" w:rsidRDefault="0056214A" w:rsidP="00134A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6587393"/>
      <w:docPartObj>
        <w:docPartGallery w:val="Page Numbers (Bottom of Page)"/>
        <w:docPartUnique/>
      </w:docPartObj>
    </w:sdtPr>
    <w:sdtEndPr>
      <w:rPr>
        <w:noProof/>
      </w:rPr>
    </w:sdtEndPr>
    <w:sdtContent>
      <w:p w:rsidR="00F73321" w:rsidRDefault="00F73321">
        <w:pPr>
          <w:pStyle w:val="Footer"/>
          <w:jc w:val="right"/>
        </w:pPr>
        <w:r>
          <w:fldChar w:fldCharType="begin"/>
        </w:r>
        <w:r>
          <w:instrText xml:space="preserve"> PAGE   \* MERGEFORMAT </w:instrText>
        </w:r>
        <w:r>
          <w:fldChar w:fldCharType="separate"/>
        </w:r>
        <w:r w:rsidR="00D003BA">
          <w:rPr>
            <w:noProof/>
          </w:rPr>
          <w:t>5</w:t>
        </w:r>
        <w:r>
          <w:rPr>
            <w:noProof/>
          </w:rPr>
          <w:fldChar w:fldCharType="end"/>
        </w:r>
      </w:p>
    </w:sdtContent>
  </w:sdt>
  <w:p w:rsidR="00F73321" w:rsidRDefault="00F733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214A" w:rsidRDefault="0056214A" w:rsidP="00134AF0">
      <w:pPr>
        <w:spacing w:before="0" w:after="0" w:line="240" w:lineRule="auto"/>
      </w:pPr>
      <w:r>
        <w:separator/>
      </w:r>
    </w:p>
  </w:footnote>
  <w:footnote w:type="continuationSeparator" w:id="0">
    <w:p w:rsidR="0056214A" w:rsidRDefault="0056214A" w:rsidP="00134AF0">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D758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C78609A"/>
    <w:multiLevelType w:val="hybridMultilevel"/>
    <w:tmpl w:val="5F98D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4AF0"/>
    <w:rsid w:val="00003330"/>
    <w:rsid w:val="00027499"/>
    <w:rsid w:val="00042AAE"/>
    <w:rsid w:val="0006040D"/>
    <w:rsid w:val="00065283"/>
    <w:rsid w:val="000A1D84"/>
    <w:rsid w:val="000C32B7"/>
    <w:rsid w:val="000C4A58"/>
    <w:rsid w:val="001051A0"/>
    <w:rsid w:val="00134AF0"/>
    <w:rsid w:val="00146E34"/>
    <w:rsid w:val="00176583"/>
    <w:rsid w:val="001832F5"/>
    <w:rsid w:val="00193370"/>
    <w:rsid w:val="001A6612"/>
    <w:rsid w:val="001F77E3"/>
    <w:rsid w:val="00200F0D"/>
    <w:rsid w:val="00222AB0"/>
    <w:rsid w:val="00294DE0"/>
    <w:rsid w:val="002A24BB"/>
    <w:rsid w:val="002F185A"/>
    <w:rsid w:val="00300C3D"/>
    <w:rsid w:val="0031145A"/>
    <w:rsid w:val="003178B8"/>
    <w:rsid w:val="003255DE"/>
    <w:rsid w:val="00370798"/>
    <w:rsid w:val="0037116D"/>
    <w:rsid w:val="003777FF"/>
    <w:rsid w:val="00386D8A"/>
    <w:rsid w:val="00391094"/>
    <w:rsid w:val="00395677"/>
    <w:rsid w:val="003A4417"/>
    <w:rsid w:val="003A4FF5"/>
    <w:rsid w:val="003A5715"/>
    <w:rsid w:val="003C07D9"/>
    <w:rsid w:val="00407AF5"/>
    <w:rsid w:val="00423570"/>
    <w:rsid w:val="00436BE8"/>
    <w:rsid w:val="00443A74"/>
    <w:rsid w:val="00443F82"/>
    <w:rsid w:val="004468C2"/>
    <w:rsid w:val="00471895"/>
    <w:rsid w:val="004943D3"/>
    <w:rsid w:val="004D3C5D"/>
    <w:rsid w:val="005127A9"/>
    <w:rsid w:val="005178C4"/>
    <w:rsid w:val="00533D77"/>
    <w:rsid w:val="0056214A"/>
    <w:rsid w:val="00593401"/>
    <w:rsid w:val="005A2E9C"/>
    <w:rsid w:val="006106ED"/>
    <w:rsid w:val="00611F14"/>
    <w:rsid w:val="00652FFF"/>
    <w:rsid w:val="00663E8C"/>
    <w:rsid w:val="00683AD3"/>
    <w:rsid w:val="006B5EDE"/>
    <w:rsid w:val="006B6CB3"/>
    <w:rsid w:val="006B6D66"/>
    <w:rsid w:val="006F1DD2"/>
    <w:rsid w:val="006F7CD1"/>
    <w:rsid w:val="00704E75"/>
    <w:rsid w:val="00711FEE"/>
    <w:rsid w:val="00736988"/>
    <w:rsid w:val="00744D1E"/>
    <w:rsid w:val="0074648F"/>
    <w:rsid w:val="00783C25"/>
    <w:rsid w:val="00784A5D"/>
    <w:rsid w:val="007A78DA"/>
    <w:rsid w:val="007E381E"/>
    <w:rsid w:val="00801C9A"/>
    <w:rsid w:val="00817BA5"/>
    <w:rsid w:val="0086205B"/>
    <w:rsid w:val="008862D6"/>
    <w:rsid w:val="008877A9"/>
    <w:rsid w:val="00897C88"/>
    <w:rsid w:val="008C5D0C"/>
    <w:rsid w:val="008F5DD5"/>
    <w:rsid w:val="00911907"/>
    <w:rsid w:val="0092457D"/>
    <w:rsid w:val="009351E4"/>
    <w:rsid w:val="00936890"/>
    <w:rsid w:val="00950521"/>
    <w:rsid w:val="00960B78"/>
    <w:rsid w:val="00986239"/>
    <w:rsid w:val="009C0B3C"/>
    <w:rsid w:val="009D0B39"/>
    <w:rsid w:val="00A01861"/>
    <w:rsid w:val="00A05570"/>
    <w:rsid w:val="00A06F76"/>
    <w:rsid w:val="00A377B8"/>
    <w:rsid w:val="00A535C2"/>
    <w:rsid w:val="00A562AC"/>
    <w:rsid w:val="00A641BE"/>
    <w:rsid w:val="00A763B4"/>
    <w:rsid w:val="00A83946"/>
    <w:rsid w:val="00A97968"/>
    <w:rsid w:val="00AA37F4"/>
    <w:rsid w:val="00AD4DFC"/>
    <w:rsid w:val="00AD618D"/>
    <w:rsid w:val="00B16196"/>
    <w:rsid w:val="00B5036E"/>
    <w:rsid w:val="00B5070A"/>
    <w:rsid w:val="00B541D5"/>
    <w:rsid w:val="00B6022F"/>
    <w:rsid w:val="00B859CE"/>
    <w:rsid w:val="00B9145B"/>
    <w:rsid w:val="00B93E9A"/>
    <w:rsid w:val="00B975BF"/>
    <w:rsid w:val="00BA7C0A"/>
    <w:rsid w:val="00BB4E16"/>
    <w:rsid w:val="00BD6C9B"/>
    <w:rsid w:val="00BF1722"/>
    <w:rsid w:val="00C45868"/>
    <w:rsid w:val="00C715AA"/>
    <w:rsid w:val="00CA2169"/>
    <w:rsid w:val="00CA56CB"/>
    <w:rsid w:val="00CA7140"/>
    <w:rsid w:val="00CE6C91"/>
    <w:rsid w:val="00D003BA"/>
    <w:rsid w:val="00D33D5D"/>
    <w:rsid w:val="00D37449"/>
    <w:rsid w:val="00D4350C"/>
    <w:rsid w:val="00D53561"/>
    <w:rsid w:val="00D63F85"/>
    <w:rsid w:val="00D67998"/>
    <w:rsid w:val="00D72F53"/>
    <w:rsid w:val="00D94184"/>
    <w:rsid w:val="00DA42FD"/>
    <w:rsid w:val="00DB63AA"/>
    <w:rsid w:val="00E10A6D"/>
    <w:rsid w:val="00E23EC7"/>
    <w:rsid w:val="00E26FFC"/>
    <w:rsid w:val="00E4722C"/>
    <w:rsid w:val="00E531E6"/>
    <w:rsid w:val="00E66F32"/>
    <w:rsid w:val="00E82280"/>
    <w:rsid w:val="00E8243C"/>
    <w:rsid w:val="00E84E8D"/>
    <w:rsid w:val="00EA7986"/>
    <w:rsid w:val="00EC2F1A"/>
    <w:rsid w:val="00F023E8"/>
    <w:rsid w:val="00F11354"/>
    <w:rsid w:val="00F11400"/>
    <w:rsid w:val="00F1326D"/>
    <w:rsid w:val="00F25488"/>
    <w:rsid w:val="00F30C12"/>
    <w:rsid w:val="00F62995"/>
    <w:rsid w:val="00F70C54"/>
    <w:rsid w:val="00F73321"/>
    <w:rsid w:val="00FA6BFF"/>
    <w:rsid w:val="00FF2E5A"/>
    <w:rsid w:val="00FF550C"/>
    <w:rsid w:val="00FF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5677"/>
    <w:pPr>
      <w:spacing w:before="120" w:after="320" w:line="360" w:lineRule="auto"/>
    </w:pPr>
    <w:rPr>
      <w:rFonts w:ascii="Arial" w:hAnsi="Arial"/>
    </w:rPr>
  </w:style>
  <w:style w:type="paragraph" w:styleId="Heading1">
    <w:name w:val="heading 1"/>
    <w:basedOn w:val="Normal"/>
    <w:next w:val="Normal"/>
    <w:link w:val="Heading1Char"/>
    <w:uiPriority w:val="9"/>
    <w:qFormat/>
    <w:rsid w:val="00134AF0"/>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AF0"/>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34AF0"/>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134AF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34AF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34AF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34AF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34AF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34AF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AF0"/>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4AF0"/>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134AF0"/>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semiHidden/>
    <w:rsid w:val="00134A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34AF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34AF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34AF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34AF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34AF0"/>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134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AF0"/>
    <w:rPr>
      <w:rFonts w:ascii="Arial" w:hAnsi="Arial"/>
      <w:sz w:val="24"/>
    </w:rPr>
  </w:style>
  <w:style w:type="paragraph" w:styleId="Footer">
    <w:name w:val="footer"/>
    <w:basedOn w:val="Normal"/>
    <w:link w:val="FooterChar"/>
    <w:uiPriority w:val="99"/>
    <w:unhideWhenUsed/>
    <w:rsid w:val="00134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AF0"/>
    <w:rPr>
      <w:rFonts w:ascii="Arial" w:hAnsi="Arial"/>
      <w:sz w:val="24"/>
    </w:rPr>
  </w:style>
  <w:style w:type="paragraph" w:styleId="TOCHeading">
    <w:name w:val="TOC Heading"/>
    <w:basedOn w:val="Heading1"/>
    <w:next w:val="Normal"/>
    <w:uiPriority w:val="39"/>
    <w:semiHidden/>
    <w:unhideWhenUsed/>
    <w:qFormat/>
    <w:rsid w:val="00533D77"/>
    <w:pPr>
      <w:numPr>
        <w:numId w:val="0"/>
      </w:numPr>
      <w:spacing w:line="276" w:lineRule="auto"/>
      <w:outlineLvl w:val="9"/>
    </w:pPr>
    <w:rPr>
      <w:rFonts w:asciiTheme="majorHAnsi" w:hAnsiTheme="majorHAnsi"/>
      <w:lang w:val="en-US" w:eastAsia="ja-JP"/>
    </w:rPr>
  </w:style>
  <w:style w:type="paragraph" w:styleId="TOC1">
    <w:name w:val="toc 1"/>
    <w:basedOn w:val="Normal"/>
    <w:next w:val="Normal"/>
    <w:autoRedefine/>
    <w:uiPriority w:val="39"/>
    <w:unhideWhenUsed/>
    <w:rsid w:val="00533D77"/>
    <w:pPr>
      <w:spacing w:after="100"/>
    </w:pPr>
  </w:style>
  <w:style w:type="character" w:styleId="Hyperlink">
    <w:name w:val="Hyperlink"/>
    <w:basedOn w:val="DefaultParagraphFont"/>
    <w:uiPriority w:val="99"/>
    <w:unhideWhenUsed/>
    <w:rsid w:val="00533D77"/>
    <w:rPr>
      <w:color w:val="0000FF" w:themeColor="hyperlink"/>
      <w:u w:val="single"/>
    </w:rPr>
  </w:style>
  <w:style w:type="paragraph" w:styleId="BalloonText">
    <w:name w:val="Balloon Text"/>
    <w:basedOn w:val="Normal"/>
    <w:link w:val="BalloonTextChar"/>
    <w:uiPriority w:val="99"/>
    <w:semiHidden/>
    <w:unhideWhenUsed/>
    <w:rsid w:val="00533D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77"/>
    <w:rPr>
      <w:rFonts w:ascii="Tahoma" w:hAnsi="Tahoma" w:cs="Tahoma"/>
      <w:sz w:val="16"/>
      <w:szCs w:val="16"/>
    </w:rPr>
  </w:style>
  <w:style w:type="paragraph" w:styleId="NoSpacing">
    <w:name w:val="No Spacing"/>
    <w:link w:val="NoSpacingChar"/>
    <w:uiPriority w:val="1"/>
    <w:qFormat/>
    <w:rsid w:val="00533D7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33D77"/>
    <w:rPr>
      <w:rFonts w:eastAsiaTheme="minorEastAsia"/>
      <w:lang w:val="en-US" w:eastAsia="ja-JP"/>
    </w:rPr>
  </w:style>
  <w:style w:type="paragraph" w:styleId="Title">
    <w:name w:val="Title"/>
    <w:basedOn w:val="Normal"/>
    <w:next w:val="Normal"/>
    <w:link w:val="TitleChar"/>
    <w:uiPriority w:val="10"/>
    <w:qFormat/>
    <w:rsid w:val="00395677"/>
    <w:pPr>
      <w:pBdr>
        <w:bottom w:val="single" w:sz="8" w:space="4" w:color="4F81BD" w:themeColor="accent1"/>
      </w:pBdr>
      <w:spacing w:before="0"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5677"/>
    <w:rPr>
      <w:rFonts w:ascii="Arial" w:eastAsiaTheme="majorEastAsia" w:hAnsi="Arial"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E84E8D"/>
    <w:rPr>
      <w:color w:val="808080"/>
    </w:rPr>
  </w:style>
  <w:style w:type="paragraph" w:styleId="TOC2">
    <w:name w:val="toc 2"/>
    <w:basedOn w:val="Normal"/>
    <w:next w:val="Normal"/>
    <w:autoRedefine/>
    <w:uiPriority w:val="39"/>
    <w:unhideWhenUsed/>
    <w:rsid w:val="00704E75"/>
    <w:pPr>
      <w:spacing w:after="100"/>
      <w:ind w:left="220"/>
    </w:pPr>
  </w:style>
  <w:style w:type="paragraph" w:styleId="TOC3">
    <w:name w:val="toc 3"/>
    <w:basedOn w:val="Normal"/>
    <w:next w:val="Normal"/>
    <w:autoRedefine/>
    <w:uiPriority w:val="39"/>
    <w:unhideWhenUsed/>
    <w:rsid w:val="00704E75"/>
    <w:pPr>
      <w:spacing w:after="100"/>
      <w:ind w:left="440"/>
    </w:pPr>
  </w:style>
  <w:style w:type="paragraph" w:styleId="Caption">
    <w:name w:val="caption"/>
    <w:basedOn w:val="Normal"/>
    <w:next w:val="Normal"/>
    <w:uiPriority w:val="35"/>
    <w:unhideWhenUsed/>
    <w:qFormat/>
    <w:rsid w:val="00F30C12"/>
    <w:pPr>
      <w:spacing w:before="0" w:after="200" w:line="240" w:lineRule="auto"/>
    </w:pPr>
    <w:rPr>
      <w:b/>
      <w:bCs/>
      <w:color w:val="4F81BD" w:themeColor="accent1"/>
      <w:sz w:val="18"/>
      <w:szCs w:val="18"/>
    </w:rPr>
  </w:style>
  <w:style w:type="paragraph" w:styleId="Bibliography">
    <w:name w:val="Bibliography"/>
    <w:basedOn w:val="Normal"/>
    <w:next w:val="Normal"/>
    <w:uiPriority w:val="37"/>
    <w:unhideWhenUsed/>
    <w:rsid w:val="00065283"/>
  </w:style>
  <w:style w:type="character" w:styleId="CommentReference">
    <w:name w:val="annotation reference"/>
    <w:basedOn w:val="DefaultParagraphFont"/>
    <w:uiPriority w:val="99"/>
    <w:semiHidden/>
    <w:unhideWhenUsed/>
    <w:rsid w:val="00F25488"/>
    <w:rPr>
      <w:sz w:val="16"/>
      <w:szCs w:val="16"/>
    </w:rPr>
  </w:style>
  <w:style w:type="paragraph" w:styleId="CommentText">
    <w:name w:val="annotation text"/>
    <w:basedOn w:val="Normal"/>
    <w:link w:val="CommentTextChar"/>
    <w:uiPriority w:val="99"/>
    <w:semiHidden/>
    <w:unhideWhenUsed/>
    <w:rsid w:val="00F25488"/>
    <w:pPr>
      <w:spacing w:line="240" w:lineRule="auto"/>
    </w:pPr>
    <w:rPr>
      <w:sz w:val="20"/>
      <w:szCs w:val="20"/>
    </w:rPr>
  </w:style>
  <w:style w:type="character" w:customStyle="1" w:styleId="CommentTextChar">
    <w:name w:val="Comment Text Char"/>
    <w:basedOn w:val="DefaultParagraphFont"/>
    <w:link w:val="CommentText"/>
    <w:uiPriority w:val="99"/>
    <w:semiHidden/>
    <w:rsid w:val="00F2548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488"/>
    <w:rPr>
      <w:b/>
      <w:bCs/>
    </w:rPr>
  </w:style>
  <w:style w:type="character" w:customStyle="1" w:styleId="CommentSubjectChar">
    <w:name w:val="Comment Subject Char"/>
    <w:basedOn w:val="CommentTextChar"/>
    <w:link w:val="CommentSubject"/>
    <w:uiPriority w:val="99"/>
    <w:semiHidden/>
    <w:rsid w:val="00F25488"/>
    <w:rPr>
      <w:rFonts w:ascii="Arial" w:hAnsi="Arial"/>
      <w:b/>
      <w:bCs/>
      <w:sz w:val="20"/>
      <w:szCs w:val="20"/>
    </w:rPr>
  </w:style>
  <w:style w:type="paragraph" w:styleId="ListParagraph">
    <w:name w:val="List Paragraph"/>
    <w:basedOn w:val="Normal"/>
    <w:uiPriority w:val="34"/>
    <w:qFormat/>
    <w:rsid w:val="00F2548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5677"/>
    <w:pPr>
      <w:spacing w:before="120" w:after="320" w:line="360" w:lineRule="auto"/>
    </w:pPr>
    <w:rPr>
      <w:rFonts w:ascii="Arial" w:hAnsi="Arial"/>
    </w:rPr>
  </w:style>
  <w:style w:type="paragraph" w:styleId="Heading1">
    <w:name w:val="heading 1"/>
    <w:basedOn w:val="Normal"/>
    <w:next w:val="Normal"/>
    <w:link w:val="Heading1Char"/>
    <w:uiPriority w:val="9"/>
    <w:qFormat/>
    <w:rsid w:val="00134AF0"/>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AF0"/>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34AF0"/>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134AF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34AF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34AF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34AF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34AF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34AF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AF0"/>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4AF0"/>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134AF0"/>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semiHidden/>
    <w:rsid w:val="00134A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34AF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34AF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34AF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34AF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34AF0"/>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134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AF0"/>
    <w:rPr>
      <w:rFonts w:ascii="Arial" w:hAnsi="Arial"/>
      <w:sz w:val="24"/>
    </w:rPr>
  </w:style>
  <w:style w:type="paragraph" w:styleId="Footer">
    <w:name w:val="footer"/>
    <w:basedOn w:val="Normal"/>
    <w:link w:val="FooterChar"/>
    <w:uiPriority w:val="99"/>
    <w:unhideWhenUsed/>
    <w:rsid w:val="00134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AF0"/>
    <w:rPr>
      <w:rFonts w:ascii="Arial" w:hAnsi="Arial"/>
      <w:sz w:val="24"/>
    </w:rPr>
  </w:style>
  <w:style w:type="paragraph" w:styleId="TOCHeading">
    <w:name w:val="TOC Heading"/>
    <w:basedOn w:val="Heading1"/>
    <w:next w:val="Normal"/>
    <w:uiPriority w:val="39"/>
    <w:semiHidden/>
    <w:unhideWhenUsed/>
    <w:qFormat/>
    <w:rsid w:val="00533D77"/>
    <w:pPr>
      <w:numPr>
        <w:numId w:val="0"/>
      </w:numPr>
      <w:spacing w:line="276" w:lineRule="auto"/>
      <w:outlineLvl w:val="9"/>
    </w:pPr>
    <w:rPr>
      <w:rFonts w:asciiTheme="majorHAnsi" w:hAnsiTheme="majorHAnsi"/>
      <w:lang w:val="en-US" w:eastAsia="ja-JP"/>
    </w:rPr>
  </w:style>
  <w:style w:type="paragraph" w:styleId="TOC1">
    <w:name w:val="toc 1"/>
    <w:basedOn w:val="Normal"/>
    <w:next w:val="Normal"/>
    <w:autoRedefine/>
    <w:uiPriority w:val="39"/>
    <w:unhideWhenUsed/>
    <w:rsid w:val="00533D77"/>
    <w:pPr>
      <w:spacing w:after="100"/>
    </w:pPr>
  </w:style>
  <w:style w:type="character" w:styleId="Hyperlink">
    <w:name w:val="Hyperlink"/>
    <w:basedOn w:val="DefaultParagraphFont"/>
    <w:uiPriority w:val="99"/>
    <w:unhideWhenUsed/>
    <w:rsid w:val="00533D77"/>
    <w:rPr>
      <w:color w:val="0000FF" w:themeColor="hyperlink"/>
      <w:u w:val="single"/>
    </w:rPr>
  </w:style>
  <w:style w:type="paragraph" w:styleId="BalloonText">
    <w:name w:val="Balloon Text"/>
    <w:basedOn w:val="Normal"/>
    <w:link w:val="BalloonTextChar"/>
    <w:uiPriority w:val="99"/>
    <w:semiHidden/>
    <w:unhideWhenUsed/>
    <w:rsid w:val="00533D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77"/>
    <w:rPr>
      <w:rFonts w:ascii="Tahoma" w:hAnsi="Tahoma" w:cs="Tahoma"/>
      <w:sz w:val="16"/>
      <w:szCs w:val="16"/>
    </w:rPr>
  </w:style>
  <w:style w:type="paragraph" w:styleId="NoSpacing">
    <w:name w:val="No Spacing"/>
    <w:link w:val="NoSpacingChar"/>
    <w:uiPriority w:val="1"/>
    <w:qFormat/>
    <w:rsid w:val="00533D7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33D77"/>
    <w:rPr>
      <w:rFonts w:eastAsiaTheme="minorEastAsia"/>
      <w:lang w:val="en-US" w:eastAsia="ja-JP"/>
    </w:rPr>
  </w:style>
  <w:style w:type="paragraph" w:styleId="Title">
    <w:name w:val="Title"/>
    <w:basedOn w:val="Normal"/>
    <w:next w:val="Normal"/>
    <w:link w:val="TitleChar"/>
    <w:uiPriority w:val="10"/>
    <w:qFormat/>
    <w:rsid w:val="00395677"/>
    <w:pPr>
      <w:pBdr>
        <w:bottom w:val="single" w:sz="8" w:space="4" w:color="4F81BD" w:themeColor="accent1"/>
      </w:pBdr>
      <w:spacing w:before="0"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5677"/>
    <w:rPr>
      <w:rFonts w:ascii="Arial" w:eastAsiaTheme="majorEastAsia" w:hAnsi="Arial"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E84E8D"/>
    <w:rPr>
      <w:color w:val="808080"/>
    </w:rPr>
  </w:style>
  <w:style w:type="paragraph" w:styleId="TOC2">
    <w:name w:val="toc 2"/>
    <w:basedOn w:val="Normal"/>
    <w:next w:val="Normal"/>
    <w:autoRedefine/>
    <w:uiPriority w:val="39"/>
    <w:unhideWhenUsed/>
    <w:rsid w:val="00704E75"/>
    <w:pPr>
      <w:spacing w:after="100"/>
      <w:ind w:left="220"/>
    </w:pPr>
  </w:style>
  <w:style w:type="paragraph" w:styleId="TOC3">
    <w:name w:val="toc 3"/>
    <w:basedOn w:val="Normal"/>
    <w:next w:val="Normal"/>
    <w:autoRedefine/>
    <w:uiPriority w:val="39"/>
    <w:unhideWhenUsed/>
    <w:rsid w:val="00704E75"/>
    <w:pPr>
      <w:spacing w:after="100"/>
      <w:ind w:left="440"/>
    </w:pPr>
  </w:style>
  <w:style w:type="paragraph" w:styleId="Caption">
    <w:name w:val="caption"/>
    <w:basedOn w:val="Normal"/>
    <w:next w:val="Normal"/>
    <w:uiPriority w:val="35"/>
    <w:unhideWhenUsed/>
    <w:qFormat/>
    <w:rsid w:val="00F30C12"/>
    <w:pPr>
      <w:spacing w:before="0" w:after="200" w:line="240" w:lineRule="auto"/>
    </w:pPr>
    <w:rPr>
      <w:b/>
      <w:bCs/>
      <w:color w:val="4F81BD" w:themeColor="accent1"/>
      <w:sz w:val="18"/>
      <w:szCs w:val="18"/>
    </w:rPr>
  </w:style>
  <w:style w:type="paragraph" w:styleId="Bibliography">
    <w:name w:val="Bibliography"/>
    <w:basedOn w:val="Normal"/>
    <w:next w:val="Normal"/>
    <w:uiPriority w:val="37"/>
    <w:unhideWhenUsed/>
    <w:rsid w:val="00065283"/>
  </w:style>
  <w:style w:type="character" w:styleId="CommentReference">
    <w:name w:val="annotation reference"/>
    <w:basedOn w:val="DefaultParagraphFont"/>
    <w:uiPriority w:val="99"/>
    <w:semiHidden/>
    <w:unhideWhenUsed/>
    <w:rsid w:val="00F25488"/>
    <w:rPr>
      <w:sz w:val="16"/>
      <w:szCs w:val="16"/>
    </w:rPr>
  </w:style>
  <w:style w:type="paragraph" w:styleId="CommentText">
    <w:name w:val="annotation text"/>
    <w:basedOn w:val="Normal"/>
    <w:link w:val="CommentTextChar"/>
    <w:uiPriority w:val="99"/>
    <w:semiHidden/>
    <w:unhideWhenUsed/>
    <w:rsid w:val="00F25488"/>
    <w:pPr>
      <w:spacing w:line="240" w:lineRule="auto"/>
    </w:pPr>
    <w:rPr>
      <w:sz w:val="20"/>
      <w:szCs w:val="20"/>
    </w:rPr>
  </w:style>
  <w:style w:type="character" w:customStyle="1" w:styleId="CommentTextChar">
    <w:name w:val="Comment Text Char"/>
    <w:basedOn w:val="DefaultParagraphFont"/>
    <w:link w:val="CommentText"/>
    <w:uiPriority w:val="99"/>
    <w:semiHidden/>
    <w:rsid w:val="00F2548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488"/>
    <w:rPr>
      <w:b/>
      <w:bCs/>
    </w:rPr>
  </w:style>
  <w:style w:type="character" w:customStyle="1" w:styleId="CommentSubjectChar">
    <w:name w:val="Comment Subject Char"/>
    <w:basedOn w:val="CommentTextChar"/>
    <w:link w:val="CommentSubject"/>
    <w:uiPriority w:val="99"/>
    <w:semiHidden/>
    <w:rsid w:val="00F25488"/>
    <w:rPr>
      <w:rFonts w:ascii="Arial" w:hAnsi="Arial"/>
      <w:b/>
      <w:bCs/>
      <w:sz w:val="20"/>
      <w:szCs w:val="20"/>
    </w:rPr>
  </w:style>
  <w:style w:type="paragraph" w:styleId="ListParagraph">
    <w:name w:val="List Paragraph"/>
    <w:basedOn w:val="Normal"/>
    <w:uiPriority w:val="34"/>
    <w:qFormat/>
    <w:rsid w:val="00F254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617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B03C2D6D03E46C2A55F0DAFB7E44C81"/>
        <w:category>
          <w:name w:val="General"/>
          <w:gallery w:val="placeholder"/>
        </w:category>
        <w:types>
          <w:type w:val="bbPlcHdr"/>
        </w:types>
        <w:behaviors>
          <w:behavior w:val="content"/>
        </w:behaviors>
        <w:guid w:val="{ACD85AF4-EC65-42E4-B2C7-810E8A8A2E41}"/>
      </w:docPartPr>
      <w:docPartBody>
        <w:p w:rsidR="00B7107A" w:rsidRDefault="00ED4C1F" w:rsidP="00ED4C1F">
          <w:pPr>
            <w:pStyle w:val="1B03C2D6D03E46C2A55F0DAFB7E44C81"/>
          </w:pPr>
          <w:r>
            <w:rPr>
              <w:rFonts w:asciiTheme="majorHAnsi" w:eastAsiaTheme="majorEastAsia" w:hAnsiTheme="majorHAnsi" w:cstheme="majorBidi"/>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4C1F"/>
    <w:rsid w:val="00497C9D"/>
    <w:rsid w:val="008148BA"/>
    <w:rsid w:val="00967E75"/>
    <w:rsid w:val="00AC60D7"/>
    <w:rsid w:val="00B7107A"/>
    <w:rsid w:val="00B97F14"/>
    <w:rsid w:val="00C53DD4"/>
    <w:rsid w:val="00D31928"/>
    <w:rsid w:val="00E60EF5"/>
    <w:rsid w:val="00E94962"/>
    <w:rsid w:val="00ED4663"/>
    <w:rsid w:val="00ED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03C2D6D03E46C2A55F0DAFB7E44C81">
    <w:name w:val="1B03C2D6D03E46C2A55F0DAFB7E44C81"/>
    <w:rsid w:val="00ED4C1F"/>
  </w:style>
  <w:style w:type="paragraph" w:customStyle="1" w:styleId="EFCA4AAAD63544738E2EB1F65A39971A">
    <w:name w:val="EFCA4AAAD63544738E2EB1F65A39971A"/>
    <w:rsid w:val="00ED4C1F"/>
  </w:style>
  <w:style w:type="paragraph" w:customStyle="1" w:styleId="AC7D1D75A63746C18DC7A376685C10B5">
    <w:name w:val="AC7D1D75A63746C18DC7A376685C10B5"/>
    <w:rsid w:val="00ED4C1F"/>
  </w:style>
  <w:style w:type="paragraph" w:customStyle="1" w:styleId="95847A8866FA4E79B4A1E986DEC49D44">
    <w:name w:val="95847A8866FA4E79B4A1E986DEC49D44"/>
    <w:rsid w:val="00ED4C1F"/>
  </w:style>
  <w:style w:type="paragraph" w:customStyle="1" w:styleId="D65CE22EFDE0482A9D0488946209B542">
    <w:name w:val="D65CE22EFDE0482A9D0488946209B542"/>
    <w:rsid w:val="00ED4C1F"/>
  </w:style>
  <w:style w:type="character" w:styleId="PlaceholderText">
    <w:name w:val="Placeholder Text"/>
    <w:basedOn w:val="DefaultParagraphFont"/>
    <w:uiPriority w:val="99"/>
    <w:semiHidden/>
    <w:rsid w:val="00967E75"/>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03C2D6D03E46C2A55F0DAFB7E44C81">
    <w:name w:val="1B03C2D6D03E46C2A55F0DAFB7E44C81"/>
    <w:rsid w:val="00ED4C1F"/>
  </w:style>
  <w:style w:type="paragraph" w:customStyle="1" w:styleId="EFCA4AAAD63544738E2EB1F65A39971A">
    <w:name w:val="EFCA4AAAD63544738E2EB1F65A39971A"/>
    <w:rsid w:val="00ED4C1F"/>
  </w:style>
  <w:style w:type="paragraph" w:customStyle="1" w:styleId="AC7D1D75A63746C18DC7A376685C10B5">
    <w:name w:val="AC7D1D75A63746C18DC7A376685C10B5"/>
    <w:rsid w:val="00ED4C1F"/>
  </w:style>
  <w:style w:type="paragraph" w:customStyle="1" w:styleId="95847A8866FA4E79B4A1E986DEC49D44">
    <w:name w:val="95847A8866FA4E79B4A1E986DEC49D44"/>
    <w:rsid w:val="00ED4C1F"/>
  </w:style>
  <w:style w:type="paragraph" w:customStyle="1" w:styleId="D65CE22EFDE0482A9D0488946209B542">
    <w:name w:val="D65CE22EFDE0482A9D0488946209B542"/>
    <w:rsid w:val="00ED4C1F"/>
  </w:style>
  <w:style w:type="character" w:styleId="PlaceholderText">
    <w:name w:val="Placeholder Text"/>
    <w:basedOn w:val="DefaultParagraphFont"/>
    <w:uiPriority w:val="99"/>
    <w:semiHidden/>
    <w:rsid w:val="00967E7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The99</b:Tag>
    <b:SourceType>Book</b:SourceType>
    <b:Guid>{C439491B-9EF5-412D-8A96-EC79EA79106A}</b:Guid>
    <b:Author>
      <b:Author>
        <b:Corporate>The Health and Safety Executive</b:Corporate>
      </b:Author>
    </b:Author>
    <b:Title>Health and Safety in Engineering Workshops</b:Title>
    <b:Year>1999</b:Year>
    <b:Publisher>HSE</b:Publisher>
    <b:Edition>2nd</b:Edition>
    <b:RefOrder>4</b:RefOrder>
  </b:Source>
  <b:Source>
    <b:Tag>Gov18</b:Tag>
    <b:SourceType>InternetSite</b:SourceType>
    <b:Guid>{56419D78-47CB-4120-8559-7DDB79D3F077}</b:Guid>
    <b:Title>Health and Safety Executive</b:Title>
    <b:Author>
      <b:Author>
        <b:Corporate>Government Digital Service</b:Corporate>
      </b:Author>
    </b:Author>
    <b:YearAccessed>2018</b:YearAccessed>
    <b:MonthAccessed>03</b:MonthAccessed>
    <b:DayAccessed>12</b:DayAccessed>
    <b:URL>https://www.gov.uk/government/organisations/health-and-safety-executive</b:URL>
    <b:RefOrder>1</b:RefOrder>
  </b:Source>
  <b:Source>
    <b:Tag>Wor18</b:Tag>
    <b:SourceType>InternetSite</b:SourceType>
    <b:Guid>{1B295793-2CBB-4D46-A458-15061F93C48D}</b:Guid>
    <b:Author>
      <b:Author>
        <b:Corporate>Work Smart</b:Corporate>
      </b:Author>
    </b:Author>
    <b:Title>WHAT IS THE HEALTH AND SAFETY AT WORK ACT?</b:Title>
    <b:YearAccessed>2018</b:YearAccessed>
    <b:MonthAccessed>03</b:MonthAccessed>
    <b:URL>https://worksmart.org.uk/health-advice/health-and-safety/employer-duties/what-health-and-safety-work-act</b:URL>
    <b:RefOrder>2</b:RefOrder>
  </b:Source>
  <b:Source>
    <b:Tag>Wor181</b:Tag>
    <b:SourceType>InternetSite</b:SourceType>
    <b:Guid>{A833FDD3-2D8F-4FF5-B7F9-53F9CC8D0DF4}</b:Guid>
    <b:Author>
      <b:Author>
        <b:Corporate>Work Smart</b:Corporate>
      </b:Author>
    </b:Author>
    <b:Title>WHAT ARE MY EMPLOYER'S DUTIES UNDER THE HEALTH AND SAFETY AT WORK ACT?</b:Title>
    <b:YearAccessed>2018</b:YearAccessed>
    <b:MonthAccessed>03</b:MonthAccessed>
    <b:URL>https://worksmart.org.uk/health-advice/health-and-safety/employer-duties/what-are-my-employers-duties-under-health-and-safety</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864505-62A7-4443-B1E6-4816C770F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9</Pages>
  <Words>1127</Words>
  <Characters>6429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Motorcycle Geometry Analysis and Dynamic Handling Investigation</vt:lpstr>
    </vt:vector>
  </TitlesOfParts>
  <Company>University of Wales Trinity Saint David, School of Engineering</Company>
  <LinksUpToDate>false</LinksUpToDate>
  <CharactersWithSpaces>7541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DISMANTLE AND REBUILD REPORT</dc:title>
  <dc:subject>Engineering Applications and Study Skills</dc:subject>
  <dc:creator>Bryn Stubbings, 1702064</dc:creator>
  <cp:lastModifiedBy>Bryn Diesel</cp:lastModifiedBy>
  <cp:revision>12</cp:revision>
  <cp:lastPrinted>2017-12-13T23:38:00Z</cp:lastPrinted>
  <dcterms:created xsi:type="dcterms:W3CDTF">2018-04-23T11:37:00Z</dcterms:created>
  <dcterms:modified xsi:type="dcterms:W3CDTF">2018-04-23T20:59:00Z</dcterms:modified>
</cp:coreProperties>
</file>