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D0A1B"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Using Psychological literature, critically evaluate the empirical evidence for the existence of aversive racism. </w:t>
      </w:r>
    </w:p>
    <w:p w14:paraId="1DD996EF"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3F802298"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Racism is considered a form of prejudice, based on stereotypes held of certain ethnic groups (Shiao &amp; Woody, 2020) and a belief of superiority over other groups believed to be inferior. This can be enacted via thoughts, words, or actions. Racist actions may include institutional discrimination and the perpetuation of racial attitudes (Shiao &amp; Woody, 2020), which has shown to lead to wider systemic inequality. In some cases, such attitudes have even led to violence. This was evident in the George Floyd murder case, in which a black male was a victim of police brutality based on an assumption that he was breaking the law, which eventually led to his death. This is quite different to the phenomena of aversive racism, which is a more subtle, unconscious version of racism (Dovidio et. al, 2016). Researchers have often described this as implicit bias, with individuals potentially rationalising their actions by externalising their discriminatory beliefs to other issues so as not to appear racist (Salter et. al, 2017). Implicit bias can often be measured via the Implicit Association Test (IAT) (Greenwald et al., 1998), which is commonly used to measure specifically implicit beliefs and attitudes that may be unconscious or do not want to report. The IAT compares the association between cognitive representations of various concepts, including genders, age groups and racial groups, with negative or positive wording such as bad/good or unpleasant/pleasant (</w:t>
      </w:r>
      <w:proofErr w:type="spellStart"/>
      <w:r w:rsidRPr="00FD40FC">
        <w:rPr>
          <w:rFonts w:ascii="Times New Roman" w:eastAsia="Times New Roman" w:hAnsi="Times New Roman" w:cs="Times New Roman"/>
          <w:color w:val="000000"/>
          <w:kern w:val="0"/>
          <w:sz w:val="24"/>
          <w:szCs w:val="24"/>
          <w:lang w:eastAsia="en-GB"/>
          <w14:ligatures w14:val="none"/>
        </w:rPr>
        <w:t>Schimmack</w:t>
      </w:r>
      <w:proofErr w:type="spellEnd"/>
      <w:r w:rsidRPr="00FD40FC">
        <w:rPr>
          <w:rFonts w:ascii="Times New Roman" w:eastAsia="Times New Roman" w:hAnsi="Times New Roman" w:cs="Times New Roman"/>
          <w:color w:val="000000"/>
          <w:kern w:val="0"/>
          <w:sz w:val="24"/>
          <w:szCs w:val="24"/>
          <w:lang w:eastAsia="en-GB"/>
          <w14:ligatures w14:val="none"/>
        </w:rPr>
        <w:t xml:space="preserve">, 2019). In practice, the implicit bias test has been able to show how individuals can have negative attitudes towards minority groups even when they report explicit positive attitudes towards them (Aberson &amp; Ettlin, 2004; Dasgupta &amp; Greenwald, 2001). Dasgupta and Greenwald (2001) produced two experiments with two aims; the first was to find if exposure to images of disliked and admired exemplars had the potential to decrease preference for White over Black Americans automatically. The second was to find if there was a preference for younger over older individuals. The first experiment began the exposure to either admirable Black individuals and disliked White individuals, admirable White individuals and disliked Black individuals or </w:t>
      </w:r>
      <w:proofErr w:type="spellStart"/>
      <w:r w:rsidRPr="00FD40FC">
        <w:rPr>
          <w:rFonts w:ascii="Times New Roman" w:eastAsia="Times New Roman" w:hAnsi="Times New Roman" w:cs="Times New Roman"/>
          <w:color w:val="000000"/>
          <w:kern w:val="0"/>
          <w:sz w:val="24"/>
          <w:szCs w:val="24"/>
          <w:lang w:eastAsia="en-GB"/>
          <w14:ligatures w14:val="none"/>
        </w:rPr>
        <w:t>nonracial</w:t>
      </w:r>
      <w:proofErr w:type="spellEnd"/>
      <w:r w:rsidRPr="00FD40FC">
        <w:rPr>
          <w:rFonts w:ascii="Times New Roman" w:eastAsia="Times New Roman" w:hAnsi="Times New Roman" w:cs="Times New Roman"/>
          <w:color w:val="000000"/>
          <w:kern w:val="0"/>
          <w:sz w:val="24"/>
          <w:szCs w:val="24"/>
          <w:lang w:eastAsia="en-GB"/>
          <w14:ligatures w14:val="none"/>
        </w:rPr>
        <w:t xml:space="preserve"> exemplars. The results of these tests led to finding how exposure to admirable Black individuals and disliked White exemplars decreased the automatic pro-White attitudes for 24 hours and did not affect direct racial attitudes. Though aversive racism is still a rather new topic within the literature - with its existence being debated by academics, policymakers, and government alike - it has existed in society throughout history. </w:t>
      </w:r>
    </w:p>
    <w:p w14:paraId="31BBFDE8"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14087B36"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 xml:space="preserve">This essay will discuss the existence of aversive racism in contemporary society by assessing its development throughout history - from direct and aggressive, to indirect and subtle (Gaertner &amp; Dovidio, 2005) - as well as theories that contribute to its existence, and its influence on a plethora of subjects, such as culture, </w:t>
      </w:r>
      <w:proofErr w:type="gramStart"/>
      <w:r w:rsidRPr="00FD40FC">
        <w:rPr>
          <w:rFonts w:ascii="Times New Roman" w:eastAsia="Times New Roman" w:hAnsi="Times New Roman" w:cs="Times New Roman"/>
          <w:color w:val="000000"/>
          <w:kern w:val="0"/>
          <w:sz w:val="24"/>
          <w:szCs w:val="24"/>
          <w:lang w:eastAsia="en-GB"/>
          <w14:ligatures w14:val="none"/>
        </w:rPr>
        <w:t>healthcare</w:t>
      </w:r>
      <w:proofErr w:type="gramEnd"/>
      <w:r w:rsidRPr="00FD40FC">
        <w:rPr>
          <w:rFonts w:ascii="Times New Roman" w:eastAsia="Times New Roman" w:hAnsi="Times New Roman" w:cs="Times New Roman"/>
          <w:color w:val="000000"/>
          <w:kern w:val="0"/>
          <w:sz w:val="24"/>
          <w:szCs w:val="24"/>
          <w:lang w:eastAsia="en-GB"/>
          <w14:ligatures w14:val="none"/>
        </w:rPr>
        <w:t xml:space="preserve"> and law. Jones and Sigall (1971) criticised the Bogus Pipeline paradigm which was used to measure affect and attitude in studies, arguing that the Bogus Pipeline functions similarly to a lie detector. This then means that the results can be skewed as individuals could be dishonest when questioned about sensitive subjects, especially when the answer given would be seen as immoral or socially unacceptable. This is when the Hawthorne effect can be found which is when an individual would change their behaviour to suit what they believe the researcher is looking for or what would make them seem to fit the social norms. Roese and Jamieson (1993) meta-analysed thirty-one studies which all used the Bogus Pipeline and believed that the participant would need to believe that the machine would know what was deemed the truth and not the researcher. However, they found that with this belief that the participant would be more open to disclose their true beliefs and prejudices. </w:t>
      </w:r>
    </w:p>
    <w:p w14:paraId="246B7680"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49ADC299"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b/>
          <w:bCs/>
          <w:color w:val="000000"/>
          <w:kern w:val="0"/>
          <w:sz w:val="24"/>
          <w:szCs w:val="24"/>
          <w:u w:val="single"/>
          <w:lang w:eastAsia="en-GB"/>
          <w14:ligatures w14:val="none"/>
        </w:rPr>
        <w:t>History and culture</w:t>
      </w:r>
    </w:p>
    <w:p w14:paraId="2A0F46F8"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27225457"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Racism has a long reputation within history, specifically in eras of segregation, slavery, and apartheid. The transatlantic slave trade - occurring throughout the 18th century - transported millions of people from Africa across the world and forced them to work in extreme and inhumane conditions, and endure human rights violations (Rossum, 2021). These actions, as committed by White Europeans, reflected outwardly racist and discriminatory beliefs (Curran, 2011) about the perceived inferiority of Africans, and served as justification of their treatment. Antonio Gramsci (1930) believed that cultural hegemony involves creating and disseminating a dominant ideology or worldview that justifies the existing power relations in society. This dominant ideology is often communicated through cultural institutions, such as schools, media, and religion, and is supported by the participation and approval of the population. Marcuse (1964) found that the dominant group uses its authority over cultural institutions to shape the population's worldview. This explains how it makes it challenging for alternative views to gain traction, leading to social unrest (</w:t>
      </w:r>
      <w:proofErr w:type="spellStart"/>
      <w:r w:rsidRPr="00FD40FC">
        <w:rPr>
          <w:rFonts w:ascii="Times New Roman" w:eastAsia="Times New Roman" w:hAnsi="Times New Roman" w:cs="Times New Roman"/>
          <w:color w:val="000000"/>
          <w:kern w:val="0"/>
          <w:sz w:val="24"/>
          <w:szCs w:val="24"/>
          <w:lang w:eastAsia="en-GB"/>
          <w14:ligatures w14:val="none"/>
        </w:rPr>
        <w:t>Lears</w:t>
      </w:r>
      <w:proofErr w:type="spellEnd"/>
      <w:r w:rsidRPr="00FD40FC">
        <w:rPr>
          <w:rFonts w:ascii="Times New Roman" w:eastAsia="Times New Roman" w:hAnsi="Times New Roman" w:cs="Times New Roman"/>
          <w:color w:val="000000"/>
          <w:kern w:val="0"/>
          <w:sz w:val="24"/>
          <w:szCs w:val="24"/>
          <w:lang w:eastAsia="en-GB"/>
          <w14:ligatures w14:val="none"/>
        </w:rPr>
        <w:t xml:space="preserve">, 1985). Though the abusive treatment of Africans was </w:t>
      </w:r>
      <w:proofErr w:type="gramStart"/>
      <w:r w:rsidRPr="00FD40FC">
        <w:rPr>
          <w:rFonts w:ascii="Times New Roman" w:eastAsia="Times New Roman" w:hAnsi="Times New Roman" w:cs="Times New Roman"/>
          <w:color w:val="000000"/>
          <w:kern w:val="0"/>
          <w:sz w:val="24"/>
          <w:szCs w:val="24"/>
          <w:lang w:eastAsia="en-GB"/>
          <w14:ligatures w14:val="none"/>
        </w:rPr>
        <w:t>brought to an end</w:t>
      </w:r>
      <w:proofErr w:type="gramEnd"/>
      <w:r w:rsidRPr="00FD40FC">
        <w:rPr>
          <w:rFonts w:ascii="Times New Roman" w:eastAsia="Times New Roman" w:hAnsi="Times New Roman" w:cs="Times New Roman"/>
          <w:color w:val="000000"/>
          <w:kern w:val="0"/>
          <w:sz w:val="24"/>
          <w:szCs w:val="24"/>
          <w:lang w:eastAsia="en-GB"/>
          <w14:ligatures w14:val="none"/>
        </w:rPr>
        <w:t xml:space="preserve"> when slavery was abolished in the mid 1860’s, the discriminatory attitudes that began the slave trade in the first place largely remained (Rossum, 2021). These attitudes continued into the post-segregation era of the 20th century, wherein black individuals across the globe were treated differently to their white counterparts, often via policy, access to housing and healthcare, and outward discrimination. Dovidio et al. (2016) explained how the Civil Rights Movement brought to light the racism endured by Black Americans. Though governments attempted to disassemble direct racism via legislation such as the 1965 Civil Rights Act, protests and sit-ins during this era were often blocked or prevented, implying that negative racial beliefs still remained </w:t>
      </w:r>
      <w:proofErr w:type="gramStart"/>
      <w:r w:rsidRPr="00FD40FC">
        <w:rPr>
          <w:rFonts w:ascii="Times New Roman" w:eastAsia="Times New Roman" w:hAnsi="Times New Roman" w:cs="Times New Roman"/>
          <w:color w:val="000000"/>
          <w:kern w:val="0"/>
          <w:sz w:val="24"/>
          <w:szCs w:val="24"/>
          <w:lang w:eastAsia="en-GB"/>
          <w14:ligatures w14:val="none"/>
        </w:rPr>
        <w:t>prominent;</w:t>
      </w:r>
      <w:proofErr w:type="gramEnd"/>
      <w:r w:rsidRPr="00FD40FC">
        <w:rPr>
          <w:rFonts w:ascii="Times New Roman" w:eastAsia="Times New Roman" w:hAnsi="Times New Roman" w:cs="Times New Roman"/>
          <w:color w:val="000000"/>
          <w:kern w:val="0"/>
          <w:sz w:val="24"/>
          <w:szCs w:val="24"/>
          <w:lang w:eastAsia="en-GB"/>
          <w14:ligatures w14:val="none"/>
        </w:rPr>
        <w:t xml:space="preserve"> a component of aversive racism. The development of racism from direct forms of abuse and human rights violations to thought-based aversive racism is an ongoing transition. Gross and </w:t>
      </w:r>
      <w:proofErr w:type="spellStart"/>
      <w:r w:rsidRPr="00FD40FC">
        <w:rPr>
          <w:rFonts w:ascii="Times New Roman" w:eastAsia="Times New Roman" w:hAnsi="Times New Roman" w:cs="Times New Roman"/>
          <w:color w:val="000000"/>
          <w:kern w:val="0"/>
          <w:sz w:val="24"/>
          <w:szCs w:val="24"/>
          <w:lang w:eastAsia="en-GB"/>
          <w14:ligatures w14:val="none"/>
        </w:rPr>
        <w:t>Vostroknutov</w:t>
      </w:r>
      <w:proofErr w:type="spellEnd"/>
      <w:r w:rsidRPr="00FD40FC">
        <w:rPr>
          <w:rFonts w:ascii="Times New Roman" w:eastAsia="Times New Roman" w:hAnsi="Times New Roman" w:cs="Times New Roman"/>
          <w:color w:val="000000"/>
          <w:kern w:val="0"/>
          <w:sz w:val="24"/>
          <w:szCs w:val="24"/>
          <w:lang w:eastAsia="en-GB"/>
          <w14:ligatures w14:val="none"/>
        </w:rPr>
        <w:t xml:space="preserve"> (2022) found that within Western society, a culture of acceptance has been formed, where individuals are welcomed regardless of their race, with non-acceptance and intolerant attitudes being seen as socially deviant. Hence, there may be a wider pressure for individuals to conform, with attitudes that go against the societal norms appearing bigoted. Aversive racists often present as non-prejudiced to prevent being outcasted within society (Pearson et. al, 2009). Despite these substantial changes in society and the shift in social norms throughout history, individuals can still harbour negative personal beliefs and views on a specific group (Hall, 2007; Gaertner &amp; Dovidio, 2005), which may present in ways that even those individuals themselves are unaware of. In a study carried out by Heitland and Bohner (2010), it was found that amongst 202 German adults, </w:t>
      </w:r>
      <w:proofErr w:type="gramStart"/>
      <w:r w:rsidRPr="00FD40FC">
        <w:rPr>
          <w:rFonts w:ascii="Times New Roman" w:eastAsia="Times New Roman" w:hAnsi="Times New Roman" w:cs="Times New Roman"/>
          <w:color w:val="000000"/>
          <w:kern w:val="0"/>
          <w:sz w:val="24"/>
          <w:szCs w:val="24"/>
          <w:lang w:eastAsia="en-GB"/>
          <w14:ligatures w14:val="none"/>
        </w:rPr>
        <w:t>a majority of</w:t>
      </w:r>
      <w:proofErr w:type="gramEnd"/>
      <w:r w:rsidRPr="00FD40FC">
        <w:rPr>
          <w:rFonts w:ascii="Times New Roman" w:eastAsia="Times New Roman" w:hAnsi="Times New Roman" w:cs="Times New Roman"/>
          <w:color w:val="000000"/>
          <w:kern w:val="0"/>
          <w:sz w:val="24"/>
          <w:szCs w:val="24"/>
          <w:lang w:eastAsia="en-GB"/>
          <w14:ligatures w14:val="none"/>
        </w:rPr>
        <w:t xml:space="preserve"> the participants showed high prejudice towards Turkish individuals. </w:t>
      </w:r>
    </w:p>
    <w:p w14:paraId="6B0A4294"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03A911B8"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b/>
          <w:bCs/>
          <w:color w:val="000000"/>
          <w:kern w:val="0"/>
          <w:sz w:val="24"/>
          <w:szCs w:val="24"/>
          <w:u w:val="single"/>
          <w:lang w:eastAsia="en-GB"/>
          <w14:ligatures w14:val="none"/>
        </w:rPr>
        <w:t>Law</w:t>
      </w:r>
    </w:p>
    <w:p w14:paraId="08196D54"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5283ECCE"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Subtle forms of discrimination such as aversive racism still exist even in institutions that are supposed to represent fairness as paramount and uphold it too (Dovidio, Smith, Donnella, &amp; Gaertner, 1997a; Knight, Guiliano, &amp; Sanchez-Ross, 2001). Aversive racism has also shown some prominence within the law, such as within the George Floyd case, as aforementioned. </w:t>
      </w:r>
    </w:p>
    <w:p w14:paraId="2A208B01"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 xml:space="preserve">Furthermore, there have been several experiments and studies where aversive racism has been evident, such as through legal proceedings (Pearson et al., 2009). Kassin and Sommers (1997) conducted a study investigating how the presentation of evidence during a criminal trial can influence the perceptions of jurors and the probability of a guilty verdict. The study comprised a mock trial in which participants were asked to serve as jurors and decide on a defendant's guilt or innocence after being shown a video recording of a simulated crime, witness testimony and physical evidence. In some cases, the evidence was presented straightforwardly and objectively, while in other cases, the evidence was shown more ambiguously and suggestively, implying the defendant's guilt. Ambiguous and suggestive evidence was more likely to lead to a guilty verdict, even when the evidence itself was weak or circumstantial. This suggests that jurors can be influenced by the presentation of evidence and that the use of suggestive techniques can lead to wrongful convictions, often common in the case of legal proceedings wherein the defendant is Black. Johnson et. al (1995) found that the effect of inadmissible information was higher when the defendant was Black. This was shown when the participants who acted as jurors were exposed to potentially incriminating evidence, and it was immediately made clear that such evidence was inadmissible by the courts. This exposure resulted in the perception that the Black defendant was guilty of said crime, to a higher degree than their White counterpart. It has been suggested that this, too, can be impacted by aversive racism and implicit bias. Hodson et al. (2005) put forward how aversive racism in legal decisions is essential to raise awareness about how implicit biases can influence decision-making and to provide training and education for judges, lawyers, and other legal professionals on how to recognise and evade such biases. It is also essential to enforce policies and procedures that guarantee that inadmissible evidence is not utilised to support </w:t>
      </w:r>
      <w:proofErr w:type="spellStart"/>
      <w:r w:rsidRPr="00FD40FC">
        <w:rPr>
          <w:rFonts w:ascii="Times New Roman" w:eastAsia="Times New Roman" w:hAnsi="Times New Roman" w:cs="Times New Roman"/>
          <w:color w:val="000000"/>
          <w:kern w:val="0"/>
          <w:sz w:val="24"/>
          <w:szCs w:val="24"/>
          <w:lang w:eastAsia="en-GB"/>
          <w14:ligatures w14:val="none"/>
        </w:rPr>
        <w:t>biassed</w:t>
      </w:r>
      <w:proofErr w:type="spellEnd"/>
      <w:r w:rsidRPr="00FD40FC">
        <w:rPr>
          <w:rFonts w:ascii="Times New Roman" w:eastAsia="Times New Roman" w:hAnsi="Times New Roman" w:cs="Times New Roman"/>
          <w:color w:val="000000"/>
          <w:kern w:val="0"/>
          <w:sz w:val="24"/>
          <w:szCs w:val="24"/>
          <w:lang w:eastAsia="en-GB"/>
          <w14:ligatures w14:val="none"/>
        </w:rPr>
        <w:t xml:space="preserve"> assumptions or stereotypes and to hold legal professionals liable when such evidence is utilised. In this way, aversive racism can be maintained via legal systems to benefit the dominating cultural groups as Gramsci (1930) argues, which, in contemporary society is white individuals. </w:t>
      </w:r>
    </w:p>
    <w:p w14:paraId="3D817BFB"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2B7E2520"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b/>
          <w:bCs/>
          <w:color w:val="000000"/>
          <w:kern w:val="0"/>
          <w:sz w:val="24"/>
          <w:szCs w:val="24"/>
          <w:u w:val="single"/>
          <w:lang w:eastAsia="en-GB"/>
          <w14:ligatures w14:val="none"/>
        </w:rPr>
        <w:t>Healthcare</w:t>
      </w:r>
    </w:p>
    <w:p w14:paraId="21630768"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6F1FDEE5"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 xml:space="preserve">A key component of society wherein aversive racism is maintained to the modern day is the healthcare system. Research has shown how beliefs held about certain racial groups can affect the quality of healthcare they are provided with due to the implicit and explicit attitudes physicians may hold about race. In some studies, it has been shown to impact interactions with patients, including their diagnoses, treatment recommendations, and overall quality of care (Sabin et al., 2009). In an investigation into racial bias in healthcare, Hoffman et. al (2016) uncovered how white medical students were less likely to recommend pain medications for black patients than for their white counterparts, even when the patients had the same symptoms and medical history. The study also found that white medical providers were more likely to rate black patients' pain as lower than white patients' pain, even when the patients reported the same level of pain. This observation supported a correlation between incorrect beliefs about biological differences between whites and black individuals, including a belief that black individuals could endure surgeries with little to no pain (Pernick, 1988). Such beliefs, particularly about the physiology of black individuals, have been held throughout time, and are largely supported by the beginning of research into eugenics. Chen et. al (2021) further pointed out how aversive racism can impact the medical training of ethnic minority groups by examining the difficulty with which Asian and other minority groups described as Underrepresented in Medicine (URM) found it difficult to obtain residencies. </w:t>
      </w:r>
      <w:proofErr w:type="spellStart"/>
      <w:r w:rsidRPr="00FD40FC">
        <w:rPr>
          <w:rFonts w:ascii="Times New Roman" w:eastAsia="Times New Roman" w:hAnsi="Times New Roman" w:cs="Times New Roman"/>
          <w:color w:val="000000"/>
          <w:kern w:val="0"/>
          <w:sz w:val="24"/>
          <w:szCs w:val="24"/>
          <w:lang w:eastAsia="en-GB"/>
          <w14:ligatures w14:val="none"/>
        </w:rPr>
        <w:t>Teherani</w:t>
      </w:r>
      <w:proofErr w:type="spellEnd"/>
      <w:r w:rsidRPr="00FD40FC">
        <w:rPr>
          <w:rFonts w:ascii="Times New Roman" w:eastAsia="Times New Roman" w:hAnsi="Times New Roman" w:cs="Times New Roman"/>
          <w:color w:val="000000"/>
          <w:kern w:val="0"/>
          <w:sz w:val="24"/>
          <w:szCs w:val="24"/>
          <w:lang w:eastAsia="en-GB"/>
          <w14:ligatures w14:val="none"/>
        </w:rPr>
        <w:t xml:space="preserve"> et. al (2018) found that URM students received lower grades and were less likely to receive honours or membership in honour societies compared to their non-URM peers, even when they had similar objective performance measures, such as standardised test scores. Lower grades and fewer awards can limit opportunities for URM students, making it more difficult for them to secure competitive residency positions and pursue successful careers in medicine. This may discourage students from pursuing such careers, thus contributing to a lack of diversity within the medical field (</w:t>
      </w:r>
      <w:proofErr w:type="spellStart"/>
      <w:r w:rsidRPr="00FD40FC">
        <w:rPr>
          <w:rFonts w:ascii="Times New Roman" w:eastAsia="Times New Roman" w:hAnsi="Times New Roman" w:cs="Times New Roman"/>
          <w:color w:val="000000"/>
          <w:kern w:val="0"/>
          <w:sz w:val="24"/>
          <w:szCs w:val="24"/>
          <w:lang w:eastAsia="en-GB"/>
          <w14:ligatures w14:val="none"/>
        </w:rPr>
        <w:t>Teherani</w:t>
      </w:r>
      <w:proofErr w:type="spellEnd"/>
      <w:r w:rsidRPr="00FD40FC">
        <w:rPr>
          <w:rFonts w:ascii="Times New Roman" w:eastAsia="Times New Roman" w:hAnsi="Times New Roman" w:cs="Times New Roman"/>
          <w:color w:val="000000"/>
          <w:kern w:val="0"/>
          <w:sz w:val="24"/>
          <w:szCs w:val="24"/>
          <w:lang w:eastAsia="en-GB"/>
          <w14:ligatures w14:val="none"/>
        </w:rPr>
        <w:t xml:space="preserve"> et al., 2018; Chen et al., 2021). Overall, studies suggest that aversive racism may contribute to racial disparities in healthcare outcomes. Even healthcare providers who consciously reject racist beliefs and intentions may unconsciously act in ways that negatively affect the health outcomes of Black patients. This highlights the importance of addressing implicit biases among healthcare providers and developing strategies to reduce the impact of aversive racism on health outcomes. Hall et al. (2015) reviewed fifteen studies all of which were used to investigate the amount of implicit racial bias and/or implicit ethnic bias. </w:t>
      </w:r>
      <w:proofErr w:type="gramStart"/>
      <w:r w:rsidRPr="00FD40FC">
        <w:rPr>
          <w:rFonts w:ascii="Times New Roman" w:eastAsia="Times New Roman" w:hAnsi="Times New Roman" w:cs="Times New Roman"/>
          <w:color w:val="000000"/>
          <w:kern w:val="0"/>
          <w:sz w:val="24"/>
          <w:szCs w:val="24"/>
          <w:lang w:eastAsia="en-GB"/>
          <w14:ligatures w14:val="none"/>
        </w:rPr>
        <w:t>Specifically</w:t>
      </w:r>
      <w:proofErr w:type="gramEnd"/>
      <w:r w:rsidRPr="00FD40FC">
        <w:rPr>
          <w:rFonts w:ascii="Times New Roman" w:eastAsia="Times New Roman" w:hAnsi="Times New Roman" w:cs="Times New Roman"/>
          <w:color w:val="000000"/>
          <w:kern w:val="0"/>
          <w:sz w:val="24"/>
          <w:szCs w:val="24"/>
          <w:lang w:eastAsia="en-GB"/>
          <w14:ligatures w14:val="none"/>
        </w:rPr>
        <w:t xml:space="preserve"> among health care professionals and then compared this to the health care professionals implicit attitude regarding racial and or ethnic groups and then further examined the healthcare outcomes. The results found how </w:t>
      </w:r>
      <w:proofErr w:type="gramStart"/>
      <w:r w:rsidRPr="00FD40FC">
        <w:rPr>
          <w:rFonts w:ascii="Times New Roman" w:eastAsia="Times New Roman" w:hAnsi="Times New Roman" w:cs="Times New Roman"/>
          <w:color w:val="000000"/>
          <w:kern w:val="0"/>
          <w:sz w:val="24"/>
          <w:szCs w:val="24"/>
          <w:lang w:eastAsia="en-GB"/>
          <w14:ligatures w14:val="none"/>
        </w:rPr>
        <w:t>the majority of</w:t>
      </w:r>
      <w:proofErr w:type="gramEnd"/>
      <w:r w:rsidRPr="00FD40FC">
        <w:rPr>
          <w:rFonts w:ascii="Times New Roman" w:eastAsia="Times New Roman" w:hAnsi="Times New Roman" w:cs="Times New Roman"/>
          <w:color w:val="000000"/>
          <w:kern w:val="0"/>
          <w:sz w:val="24"/>
          <w:szCs w:val="24"/>
          <w:lang w:eastAsia="en-GB"/>
          <w14:ligatures w14:val="none"/>
        </w:rPr>
        <w:t xml:space="preserve"> healthcare professionals did in fact harbour implicit bias. The implicit bias was found to be a positive response towards the white individuals and therefore gained better healthcare outcomes.</w:t>
      </w:r>
    </w:p>
    <w:p w14:paraId="3E5A6DAF"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p>
    <w:p w14:paraId="2E2E9CFB" w14:textId="77777777" w:rsidR="00FD40FC" w:rsidRPr="00FD40FC" w:rsidRDefault="00FD40FC" w:rsidP="00FD40FC">
      <w:pPr>
        <w:spacing w:after="0"/>
        <w:rPr>
          <w:rFonts w:ascii="Times New Roman" w:eastAsia="Times New Roman" w:hAnsi="Times New Roman" w:cs="Times New Roman"/>
          <w:kern w:val="0"/>
          <w:sz w:val="24"/>
          <w:szCs w:val="24"/>
          <w:lang w:eastAsia="en-GB"/>
          <w14:ligatures w14:val="none"/>
        </w:rPr>
      </w:pPr>
      <w:r w:rsidRPr="00FD40FC">
        <w:rPr>
          <w:rFonts w:ascii="Times New Roman" w:eastAsia="Times New Roman" w:hAnsi="Times New Roman" w:cs="Times New Roman"/>
          <w:color w:val="000000"/>
          <w:kern w:val="0"/>
          <w:sz w:val="24"/>
          <w:szCs w:val="24"/>
          <w:lang w:eastAsia="en-GB"/>
          <w14:ligatures w14:val="none"/>
        </w:rPr>
        <w:t xml:space="preserve">Aversive racism has shown a detailed transition from the beginning of the slave trade, where individuals from Africa were brutally exploited for the resources they could bring to white Europeans, right through to the modern day, where racism remains an </w:t>
      </w:r>
      <w:proofErr w:type="gramStart"/>
      <w:r w:rsidRPr="00FD40FC">
        <w:rPr>
          <w:rFonts w:ascii="Times New Roman" w:eastAsia="Times New Roman" w:hAnsi="Times New Roman" w:cs="Times New Roman"/>
          <w:color w:val="000000"/>
          <w:kern w:val="0"/>
          <w:sz w:val="24"/>
          <w:szCs w:val="24"/>
          <w:lang w:eastAsia="en-GB"/>
          <w14:ligatures w14:val="none"/>
        </w:rPr>
        <w:t>implicit and subtle phenomena</w:t>
      </w:r>
      <w:proofErr w:type="gramEnd"/>
      <w:r w:rsidRPr="00FD40FC">
        <w:rPr>
          <w:rFonts w:ascii="Times New Roman" w:eastAsia="Times New Roman" w:hAnsi="Times New Roman" w:cs="Times New Roman"/>
          <w:color w:val="000000"/>
          <w:kern w:val="0"/>
          <w:sz w:val="24"/>
          <w:szCs w:val="24"/>
          <w:lang w:eastAsia="en-GB"/>
          <w14:ligatures w14:val="none"/>
        </w:rPr>
        <w:t xml:space="preserve"> often enacted in secretive ways. These ways may include its </w:t>
      </w:r>
      <w:proofErr w:type="gramStart"/>
      <w:r w:rsidRPr="00FD40FC">
        <w:rPr>
          <w:rFonts w:ascii="Times New Roman" w:eastAsia="Times New Roman" w:hAnsi="Times New Roman" w:cs="Times New Roman"/>
          <w:color w:val="000000"/>
          <w:kern w:val="0"/>
          <w:sz w:val="24"/>
          <w:szCs w:val="24"/>
          <w:lang w:eastAsia="en-GB"/>
          <w14:ligatures w14:val="none"/>
        </w:rPr>
        <w:t>ever felt</w:t>
      </w:r>
      <w:proofErr w:type="gramEnd"/>
      <w:r w:rsidRPr="00FD40FC">
        <w:rPr>
          <w:rFonts w:ascii="Times New Roman" w:eastAsia="Times New Roman" w:hAnsi="Times New Roman" w:cs="Times New Roman"/>
          <w:color w:val="000000"/>
          <w:kern w:val="0"/>
          <w:sz w:val="24"/>
          <w:szCs w:val="24"/>
          <w:lang w:eastAsia="en-GB"/>
          <w14:ligatures w14:val="none"/>
        </w:rPr>
        <w:t xml:space="preserve"> presence within institutions such as the healthcare and law industries. Both implicit and explicit racial bias can have significant impacts on our interactions with people of different races or ethnicities, including our judgments, attitudes, and behaviours towards them. It highlights the requirements for social change beyond individual attitudes and </w:t>
      </w:r>
      <w:proofErr w:type="gramStart"/>
      <w:r w:rsidRPr="00FD40FC">
        <w:rPr>
          <w:rFonts w:ascii="Times New Roman" w:eastAsia="Times New Roman" w:hAnsi="Times New Roman" w:cs="Times New Roman"/>
          <w:color w:val="000000"/>
          <w:kern w:val="0"/>
          <w:sz w:val="24"/>
          <w:szCs w:val="24"/>
          <w:lang w:eastAsia="en-GB"/>
          <w14:ligatures w14:val="none"/>
        </w:rPr>
        <w:t>behaviours, and</w:t>
      </w:r>
      <w:proofErr w:type="gramEnd"/>
      <w:r w:rsidRPr="00FD40FC">
        <w:rPr>
          <w:rFonts w:ascii="Times New Roman" w:eastAsia="Times New Roman" w:hAnsi="Times New Roman" w:cs="Times New Roman"/>
          <w:color w:val="000000"/>
          <w:kern w:val="0"/>
          <w:sz w:val="24"/>
          <w:szCs w:val="24"/>
          <w:lang w:eastAsia="en-GB"/>
          <w14:ligatures w14:val="none"/>
        </w:rPr>
        <w:t xml:space="preserve"> addresses the more critical problem of systemic racism. This can affect wider changes in policy, education, and cultural representation, as well as individual steps to challenge and oppose everyday forms of racism (</w:t>
      </w:r>
      <w:proofErr w:type="spellStart"/>
      <w:r w:rsidRPr="00FD40FC">
        <w:rPr>
          <w:rFonts w:ascii="Times New Roman" w:eastAsia="Times New Roman" w:hAnsi="Times New Roman" w:cs="Times New Roman"/>
          <w:color w:val="000000"/>
          <w:kern w:val="0"/>
          <w:sz w:val="24"/>
          <w:szCs w:val="24"/>
          <w:lang w:eastAsia="en-GB"/>
          <w14:ligatures w14:val="none"/>
        </w:rPr>
        <w:t>Trawalter</w:t>
      </w:r>
      <w:proofErr w:type="spellEnd"/>
      <w:r w:rsidRPr="00FD40FC">
        <w:rPr>
          <w:rFonts w:ascii="Times New Roman" w:eastAsia="Times New Roman" w:hAnsi="Times New Roman" w:cs="Times New Roman"/>
          <w:color w:val="000000"/>
          <w:kern w:val="0"/>
          <w:sz w:val="24"/>
          <w:szCs w:val="24"/>
          <w:lang w:eastAsia="en-GB"/>
          <w14:ligatures w14:val="none"/>
        </w:rPr>
        <w:t xml:space="preserve"> et al., 2022). It is important to recognise and address these biases </w:t>
      </w:r>
      <w:proofErr w:type="gramStart"/>
      <w:r w:rsidRPr="00FD40FC">
        <w:rPr>
          <w:rFonts w:ascii="Times New Roman" w:eastAsia="Times New Roman" w:hAnsi="Times New Roman" w:cs="Times New Roman"/>
          <w:color w:val="000000"/>
          <w:kern w:val="0"/>
          <w:sz w:val="24"/>
          <w:szCs w:val="24"/>
          <w:lang w:eastAsia="en-GB"/>
          <w14:ligatures w14:val="none"/>
        </w:rPr>
        <w:t>in order to</w:t>
      </w:r>
      <w:proofErr w:type="gramEnd"/>
      <w:r w:rsidRPr="00FD40FC">
        <w:rPr>
          <w:rFonts w:ascii="Times New Roman" w:eastAsia="Times New Roman" w:hAnsi="Times New Roman" w:cs="Times New Roman"/>
          <w:color w:val="000000"/>
          <w:kern w:val="0"/>
          <w:sz w:val="24"/>
          <w:szCs w:val="24"/>
          <w:lang w:eastAsia="en-GB"/>
          <w14:ligatures w14:val="none"/>
        </w:rPr>
        <w:t xml:space="preserve"> promote greater understanding, inclusion, and equality among different racial and ethnic groups (Hall et al., 2015). Contemporary research should aim to examine the maintaining factors of aversive racism and affect social policy to emphasise society wide equality. </w:t>
      </w:r>
    </w:p>
    <w:p w14:paraId="52CBB67E" w14:textId="2B4EB251" w:rsidR="00B83428" w:rsidRDefault="00B83428" w:rsidP="00FD40FC">
      <w:pPr>
        <w:rPr>
          <w:rFonts w:ascii="Times New Roman" w:hAnsi="Times New Roman" w:cs="Times New Roman"/>
          <w:sz w:val="24"/>
          <w:szCs w:val="24"/>
        </w:rPr>
      </w:pPr>
    </w:p>
    <w:p w14:paraId="74B3E141" w14:textId="5E1BFE6A" w:rsidR="00FD40FC" w:rsidRDefault="00FD40FC" w:rsidP="00FD40FC">
      <w:pPr>
        <w:rPr>
          <w:rFonts w:ascii="Times New Roman" w:hAnsi="Times New Roman" w:cs="Times New Roman"/>
          <w:sz w:val="24"/>
          <w:szCs w:val="24"/>
        </w:rPr>
      </w:pPr>
    </w:p>
    <w:p w14:paraId="72FC21BD" w14:textId="77777777" w:rsidR="00FD40FC" w:rsidRDefault="00FD40FC" w:rsidP="00FD40FC">
      <w:pPr>
        <w:rPr>
          <w:rFonts w:ascii="Times New Roman" w:hAnsi="Times New Roman" w:cs="Times New Roman"/>
          <w:sz w:val="24"/>
          <w:szCs w:val="24"/>
        </w:rPr>
      </w:pPr>
      <w:r>
        <w:rPr>
          <w:rFonts w:ascii="Times New Roman" w:hAnsi="Times New Roman" w:cs="Times New Roman"/>
          <w:sz w:val="24"/>
          <w:szCs w:val="24"/>
        </w:rPr>
        <w:br w:type="page"/>
      </w:r>
    </w:p>
    <w:p w14:paraId="14C4D494" w14:textId="1ADE143F" w:rsidR="00FD40FC" w:rsidRDefault="00FD40FC" w:rsidP="00FD40FC">
      <w:pPr>
        <w:jc w:val="center"/>
        <w:rPr>
          <w:rFonts w:ascii="Times New Roman" w:hAnsi="Times New Roman" w:cs="Times New Roman"/>
          <w:sz w:val="24"/>
          <w:szCs w:val="24"/>
          <w:u w:val="single"/>
        </w:rPr>
      </w:pPr>
      <w:r w:rsidRPr="00FD40FC">
        <w:rPr>
          <w:rFonts w:ascii="Times New Roman" w:hAnsi="Times New Roman" w:cs="Times New Roman"/>
          <w:sz w:val="24"/>
          <w:szCs w:val="24"/>
          <w:u w:val="single"/>
        </w:rPr>
        <w:t>References</w:t>
      </w:r>
    </w:p>
    <w:p w14:paraId="5C224F0F"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Aberson, C. L., &amp; Ettlin, T. E. (2004). The aversive racism paradigm and responses </w:t>
      </w:r>
      <w:proofErr w:type="spellStart"/>
      <w:r w:rsidRPr="008758E0">
        <w:rPr>
          <w:rFonts w:ascii="Times New Roman" w:eastAsia="Times New Roman" w:hAnsi="Times New Roman" w:cs="Times New Roman"/>
          <w:kern w:val="0"/>
          <w:sz w:val="24"/>
          <w:szCs w:val="24"/>
          <w:lang w:eastAsia="en-GB"/>
          <w14:ligatures w14:val="none"/>
        </w:rPr>
        <w:t>favoring</w:t>
      </w:r>
      <w:proofErr w:type="spellEnd"/>
      <w:r w:rsidRPr="008758E0">
        <w:rPr>
          <w:rFonts w:ascii="Times New Roman" w:eastAsia="Times New Roman" w:hAnsi="Times New Roman" w:cs="Times New Roman"/>
          <w:kern w:val="0"/>
          <w:sz w:val="24"/>
          <w:szCs w:val="24"/>
          <w:lang w:eastAsia="en-GB"/>
          <w14:ligatures w14:val="none"/>
        </w:rPr>
        <w:t xml:space="preserve"> African Americans: Meta-analytic evidence of two types of </w:t>
      </w:r>
      <w:proofErr w:type="spellStart"/>
      <w:r w:rsidRPr="008758E0">
        <w:rPr>
          <w:rFonts w:ascii="Times New Roman" w:eastAsia="Times New Roman" w:hAnsi="Times New Roman" w:cs="Times New Roman"/>
          <w:kern w:val="0"/>
          <w:sz w:val="24"/>
          <w:szCs w:val="24"/>
          <w:lang w:eastAsia="en-GB"/>
          <w14:ligatures w14:val="none"/>
        </w:rPr>
        <w:t>favoritism</w:t>
      </w:r>
      <w:proofErr w:type="spellEnd"/>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Social Justice Research</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17</w:t>
      </w:r>
      <w:r w:rsidRPr="008758E0">
        <w:rPr>
          <w:rFonts w:ascii="Times New Roman" w:eastAsia="Times New Roman" w:hAnsi="Times New Roman" w:cs="Times New Roman"/>
          <w:kern w:val="0"/>
          <w:sz w:val="24"/>
          <w:szCs w:val="24"/>
          <w:lang w:eastAsia="en-GB"/>
          <w14:ligatures w14:val="none"/>
        </w:rPr>
        <w:t xml:space="preserve">(1), 25–46. https://doi.org/10.1023/b:sore.0000018091.48241.7a </w:t>
      </w:r>
    </w:p>
    <w:p w14:paraId="2B3FE923"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American Psychological Association, A. P. A. (2015). </w:t>
      </w:r>
      <w:proofErr w:type="spellStart"/>
      <w:r w:rsidRPr="008758E0">
        <w:rPr>
          <w:rFonts w:ascii="Times New Roman" w:eastAsia="Times New Roman" w:hAnsi="Times New Roman" w:cs="Times New Roman"/>
          <w:i/>
          <w:iCs/>
          <w:kern w:val="0"/>
          <w:sz w:val="24"/>
          <w:szCs w:val="24"/>
          <w:lang w:eastAsia="en-GB"/>
          <w14:ligatures w14:val="none"/>
        </w:rPr>
        <w:t>Apa</w:t>
      </w:r>
      <w:proofErr w:type="spellEnd"/>
      <w:r w:rsidRPr="008758E0">
        <w:rPr>
          <w:rFonts w:ascii="Times New Roman" w:eastAsia="Times New Roman" w:hAnsi="Times New Roman" w:cs="Times New Roman"/>
          <w:i/>
          <w:iCs/>
          <w:kern w:val="0"/>
          <w:sz w:val="24"/>
          <w:szCs w:val="24"/>
          <w:lang w:eastAsia="en-GB"/>
          <w14:ligatures w14:val="none"/>
        </w:rPr>
        <w:t xml:space="preserve"> Dictionary of Psychology</w:t>
      </w:r>
      <w:r w:rsidRPr="008758E0">
        <w:rPr>
          <w:rFonts w:ascii="Times New Roman" w:eastAsia="Times New Roman" w:hAnsi="Times New Roman" w:cs="Times New Roman"/>
          <w:kern w:val="0"/>
          <w:sz w:val="24"/>
          <w:szCs w:val="24"/>
          <w:lang w:eastAsia="en-GB"/>
          <w14:ligatures w14:val="none"/>
        </w:rPr>
        <w:t xml:space="preserve">. American Psychological Association - Racism. Retrieved March 5, 2023, from </w:t>
      </w:r>
      <w:proofErr w:type="gramStart"/>
      <w:r w:rsidRPr="008758E0">
        <w:rPr>
          <w:rFonts w:ascii="Times New Roman" w:eastAsia="Times New Roman" w:hAnsi="Times New Roman" w:cs="Times New Roman"/>
          <w:kern w:val="0"/>
          <w:sz w:val="24"/>
          <w:szCs w:val="24"/>
          <w:lang w:eastAsia="en-GB"/>
          <w14:ligatures w14:val="none"/>
        </w:rPr>
        <w:t>https://dictionary.apa.org/racism</w:t>
      </w:r>
      <w:proofErr w:type="gramEnd"/>
      <w:r w:rsidRPr="008758E0">
        <w:rPr>
          <w:rFonts w:ascii="Times New Roman" w:eastAsia="Times New Roman" w:hAnsi="Times New Roman" w:cs="Times New Roman"/>
          <w:kern w:val="0"/>
          <w:sz w:val="24"/>
          <w:szCs w:val="24"/>
          <w:lang w:eastAsia="en-GB"/>
          <w14:ligatures w14:val="none"/>
        </w:rPr>
        <w:t xml:space="preserve"> </w:t>
      </w:r>
    </w:p>
    <w:p w14:paraId="4DDFB2C4"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Aronson, E. (1969). The theory of Cognitive Dissonance: A current perspective. </w:t>
      </w:r>
      <w:r w:rsidRPr="008758E0">
        <w:rPr>
          <w:rFonts w:ascii="Times New Roman" w:eastAsia="Times New Roman" w:hAnsi="Times New Roman" w:cs="Times New Roman"/>
          <w:i/>
          <w:iCs/>
          <w:kern w:val="0"/>
          <w:sz w:val="24"/>
          <w:szCs w:val="24"/>
          <w:lang w:eastAsia="en-GB"/>
          <w14:ligatures w14:val="none"/>
        </w:rPr>
        <w:t>Advances in Experimental Social Psychology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4</w:t>
      </w:r>
      <w:r w:rsidRPr="008758E0">
        <w:rPr>
          <w:rFonts w:ascii="Times New Roman" w:eastAsia="Times New Roman" w:hAnsi="Times New Roman" w:cs="Times New Roman"/>
          <w:kern w:val="0"/>
          <w:sz w:val="24"/>
          <w:szCs w:val="24"/>
          <w:lang w:eastAsia="en-GB"/>
          <w14:ligatures w14:val="none"/>
        </w:rPr>
        <w:t xml:space="preserve">, 1–34. https://doi.org/10.1016/s0065-2601(08)60075-1 </w:t>
      </w:r>
    </w:p>
    <w:p w14:paraId="19D9D4E2"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8758E0">
        <w:rPr>
          <w:rFonts w:ascii="Times New Roman" w:eastAsia="Times New Roman" w:hAnsi="Times New Roman" w:cs="Times New Roman"/>
          <w:kern w:val="0"/>
          <w:sz w:val="24"/>
          <w:szCs w:val="24"/>
          <w:lang w:eastAsia="en-GB"/>
          <w14:ligatures w14:val="none"/>
        </w:rPr>
        <w:t>Barakova</w:t>
      </w:r>
      <w:proofErr w:type="spellEnd"/>
      <w:r w:rsidRPr="008758E0">
        <w:rPr>
          <w:rFonts w:ascii="Times New Roman" w:eastAsia="Times New Roman" w:hAnsi="Times New Roman" w:cs="Times New Roman"/>
          <w:kern w:val="0"/>
          <w:sz w:val="24"/>
          <w:szCs w:val="24"/>
          <w:lang w:eastAsia="en-GB"/>
          <w14:ligatures w14:val="none"/>
        </w:rPr>
        <w:t xml:space="preserve">, E. I., </w:t>
      </w:r>
      <w:proofErr w:type="spellStart"/>
      <w:r w:rsidRPr="008758E0">
        <w:rPr>
          <w:rFonts w:ascii="Times New Roman" w:eastAsia="Times New Roman" w:hAnsi="Times New Roman" w:cs="Times New Roman"/>
          <w:kern w:val="0"/>
          <w:sz w:val="24"/>
          <w:szCs w:val="24"/>
          <w:lang w:eastAsia="en-GB"/>
          <w14:ligatures w14:val="none"/>
        </w:rPr>
        <w:t>Spink</w:t>
      </w:r>
      <w:proofErr w:type="spellEnd"/>
      <w:r w:rsidRPr="008758E0">
        <w:rPr>
          <w:rFonts w:ascii="Times New Roman" w:eastAsia="Times New Roman" w:hAnsi="Times New Roman" w:cs="Times New Roman"/>
          <w:kern w:val="0"/>
          <w:sz w:val="24"/>
          <w:szCs w:val="24"/>
          <w:lang w:eastAsia="en-GB"/>
          <w14:ligatures w14:val="none"/>
        </w:rPr>
        <w:t xml:space="preserve">, A. S., de Ruyter, B., &amp; Noldus, L. P. (2011). Trends in measuring human </w:t>
      </w:r>
      <w:proofErr w:type="spellStart"/>
      <w:r w:rsidRPr="008758E0">
        <w:rPr>
          <w:rFonts w:ascii="Times New Roman" w:eastAsia="Times New Roman" w:hAnsi="Times New Roman" w:cs="Times New Roman"/>
          <w:kern w:val="0"/>
          <w:sz w:val="24"/>
          <w:szCs w:val="24"/>
          <w:lang w:eastAsia="en-GB"/>
          <w14:ligatures w14:val="none"/>
        </w:rPr>
        <w:t>behavior</w:t>
      </w:r>
      <w:proofErr w:type="spellEnd"/>
      <w:r w:rsidRPr="008758E0">
        <w:rPr>
          <w:rFonts w:ascii="Times New Roman" w:eastAsia="Times New Roman" w:hAnsi="Times New Roman" w:cs="Times New Roman"/>
          <w:kern w:val="0"/>
          <w:sz w:val="24"/>
          <w:szCs w:val="24"/>
          <w:lang w:eastAsia="en-GB"/>
          <w14:ligatures w14:val="none"/>
        </w:rPr>
        <w:t xml:space="preserve"> and interaction. </w:t>
      </w:r>
      <w:r w:rsidRPr="008758E0">
        <w:rPr>
          <w:rFonts w:ascii="Times New Roman" w:eastAsia="Times New Roman" w:hAnsi="Times New Roman" w:cs="Times New Roman"/>
          <w:i/>
          <w:iCs/>
          <w:kern w:val="0"/>
          <w:sz w:val="24"/>
          <w:szCs w:val="24"/>
          <w:lang w:eastAsia="en-GB"/>
          <w14:ligatures w14:val="none"/>
        </w:rPr>
        <w:t>Personal and Ubiquitous Computing</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17</w:t>
      </w:r>
      <w:r w:rsidRPr="008758E0">
        <w:rPr>
          <w:rFonts w:ascii="Times New Roman" w:eastAsia="Times New Roman" w:hAnsi="Times New Roman" w:cs="Times New Roman"/>
          <w:kern w:val="0"/>
          <w:sz w:val="24"/>
          <w:szCs w:val="24"/>
          <w:lang w:eastAsia="en-GB"/>
          <w14:ligatures w14:val="none"/>
        </w:rPr>
        <w:t xml:space="preserve">(1), 1–2. https://doi.org/10.1007/s00779-011-0478-x </w:t>
      </w:r>
    </w:p>
    <w:p w14:paraId="54C8A71C"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Berman, G. J. (2018). Measuring </w:t>
      </w:r>
      <w:proofErr w:type="spellStart"/>
      <w:r w:rsidRPr="008758E0">
        <w:rPr>
          <w:rFonts w:ascii="Times New Roman" w:eastAsia="Times New Roman" w:hAnsi="Times New Roman" w:cs="Times New Roman"/>
          <w:kern w:val="0"/>
          <w:sz w:val="24"/>
          <w:szCs w:val="24"/>
          <w:lang w:eastAsia="en-GB"/>
          <w14:ligatures w14:val="none"/>
        </w:rPr>
        <w:t>behavior</w:t>
      </w:r>
      <w:proofErr w:type="spellEnd"/>
      <w:r w:rsidRPr="008758E0">
        <w:rPr>
          <w:rFonts w:ascii="Times New Roman" w:eastAsia="Times New Roman" w:hAnsi="Times New Roman" w:cs="Times New Roman"/>
          <w:kern w:val="0"/>
          <w:sz w:val="24"/>
          <w:szCs w:val="24"/>
          <w:lang w:eastAsia="en-GB"/>
          <w14:ligatures w14:val="none"/>
        </w:rPr>
        <w:t xml:space="preserve"> across scales. </w:t>
      </w:r>
      <w:r w:rsidRPr="008758E0">
        <w:rPr>
          <w:rFonts w:ascii="Times New Roman" w:eastAsia="Times New Roman" w:hAnsi="Times New Roman" w:cs="Times New Roman"/>
          <w:i/>
          <w:iCs/>
          <w:kern w:val="0"/>
          <w:sz w:val="24"/>
          <w:szCs w:val="24"/>
          <w:lang w:eastAsia="en-GB"/>
          <w14:ligatures w14:val="none"/>
        </w:rPr>
        <w:t>BMC Biology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16</w:t>
      </w:r>
      <w:r w:rsidRPr="008758E0">
        <w:rPr>
          <w:rFonts w:ascii="Times New Roman" w:eastAsia="Times New Roman" w:hAnsi="Times New Roman" w:cs="Times New Roman"/>
          <w:kern w:val="0"/>
          <w:sz w:val="24"/>
          <w:szCs w:val="24"/>
          <w:lang w:eastAsia="en-GB"/>
          <w14:ligatures w14:val="none"/>
        </w:rPr>
        <w:t xml:space="preserve">(1). https://doi.org/10.1186/s12915-018-0494-7 </w:t>
      </w:r>
    </w:p>
    <w:p w14:paraId="30BFC22D"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Beutler, L. E., Brown, M. T., Crothers, L., Booker, K., &amp; Seabrook, M. K. (1996). The dilemma of factitious demographic distinctions in psychological research. </w:t>
      </w:r>
      <w:r w:rsidRPr="008758E0">
        <w:rPr>
          <w:rFonts w:ascii="Times New Roman" w:eastAsia="Times New Roman" w:hAnsi="Times New Roman" w:cs="Times New Roman"/>
          <w:i/>
          <w:iCs/>
          <w:kern w:val="0"/>
          <w:sz w:val="24"/>
          <w:szCs w:val="24"/>
          <w:lang w:eastAsia="en-GB"/>
          <w14:ligatures w14:val="none"/>
        </w:rPr>
        <w:t>Journal of Consulting and Clinical Psychology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64</w:t>
      </w:r>
      <w:r w:rsidRPr="008758E0">
        <w:rPr>
          <w:rFonts w:ascii="Times New Roman" w:eastAsia="Times New Roman" w:hAnsi="Times New Roman" w:cs="Times New Roman"/>
          <w:kern w:val="0"/>
          <w:sz w:val="24"/>
          <w:szCs w:val="24"/>
          <w:lang w:eastAsia="en-GB"/>
          <w14:ligatures w14:val="none"/>
        </w:rPr>
        <w:t xml:space="preserve">(5), 892–902. https://doi.org/10.1037/0022-006x.64.5.892 </w:t>
      </w:r>
    </w:p>
    <w:p w14:paraId="47890C7E"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Chen, C. L., Gold, G. J., </w:t>
      </w:r>
      <w:proofErr w:type="spellStart"/>
      <w:r w:rsidRPr="008758E0">
        <w:rPr>
          <w:rFonts w:ascii="Times New Roman" w:eastAsia="Times New Roman" w:hAnsi="Times New Roman" w:cs="Times New Roman"/>
          <w:kern w:val="0"/>
          <w:sz w:val="24"/>
          <w:szCs w:val="24"/>
          <w:lang w:eastAsia="en-GB"/>
          <w14:ligatures w14:val="none"/>
        </w:rPr>
        <w:t>Cannesson</w:t>
      </w:r>
      <w:proofErr w:type="spellEnd"/>
      <w:r w:rsidRPr="008758E0">
        <w:rPr>
          <w:rFonts w:ascii="Times New Roman" w:eastAsia="Times New Roman" w:hAnsi="Times New Roman" w:cs="Times New Roman"/>
          <w:kern w:val="0"/>
          <w:sz w:val="24"/>
          <w:szCs w:val="24"/>
          <w:lang w:eastAsia="en-GB"/>
          <w14:ligatures w14:val="none"/>
        </w:rPr>
        <w:t xml:space="preserve">, M., &amp; Lucero, J. M. (2021). Calling out aversive racism in academic medicine. </w:t>
      </w:r>
      <w:r w:rsidRPr="008758E0">
        <w:rPr>
          <w:rFonts w:ascii="Times New Roman" w:eastAsia="Times New Roman" w:hAnsi="Times New Roman" w:cs="Times New Roman"/>
          <w:i/>
          <w:iCs/>
          <w:kern w:val="0"/>
          <w:sz w:val="24"/>
          <w:szCs w:val="24"/>
          <w:lang w:eastAsia="en-GB"/>
          <w14:ligatures w14:val="none"/>
        </w:rPr>
        <w:t>New England Journal of Medicine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385</w:t>
      </w:r>
      <w:r w:rsidRPr="008758E0">
        <w:rPr>
          <w:rFonts w:ascii="Times New Roman" w:eastAsia="Times New Roman" w:hAnsi="Times New Roman" w:cs="Times New Roman"/>
          <w:kern w:val="0"/>
          <w:sz w:val="24"/>
          <w:szCs w:val="24"/>
          <w:lang w:eastAsia="en-GB"/>
          <w14:ligatures w14:val="none"/>
        </w:rPr>
        <w:t xml:space="preserve">(27), 2499–2501. https://doi.org/10.1056/nejmp2112913 </w:t>
      </w:r>
    </w:p>
    <w:p w14:paraId="6FB116EF"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Curran, A. S. (2011). </w:t>
      </w:r>
      <w:r w:rsidRPr="008758E0">
        <w:rPr>
          <w:rFonts w:ascii="Times New Roman" w:eastAsia="Times New Roman" w:hAnsi="Times New Roman" w:cs="Times New Roman"/>
          <w:i/>
          <w:iCs/>
          <w:kern w:val="0"/>
          <w:sz w:val="24"/>
          <w:szCs w:val="24"/>
          <w:lang w:eastAsia="en-GB"/>
          <w14:ligatures w14:val="none"/>
        </w:rPr>
        <w:t>The Anatomy of Blackness: Theories of the African in French enlightenment travel writing, natural history, and debates on slavery</w:t>
      </w:r>
      <w:r w:rsidRPr="008758E0">
        <w:rPr>
          <w:rFonts w:ascii="Times New Roman" w:eastAsia="Times New Roman" w:hAnsi="Times New Roman" w:cs="Times New Roman"/>
          <w:kern w:val="0"/>
          <w:sz w:val="24"/>
          <w:szCs w:val="24"/>
          <w:lang w:eastAsia="en-GB"/>
          <w14:ligatures w14:val="none"/>
        </w:rPr>
        <w:t xml:space="preserve">. Johns Hopkins University Press. </w:t>
      </w:r>
    </w:p>
    <w:p w14:paraId="77C9D4DE"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Dasgupta, N., &amp; Greenwald, A. G. (2001). On the malleability of automatic attitudes: Combating Automatic Prejudice with images of admired and disliked individuals. </w:t>
      </w:r>
      <w:r w:rsidRPr="008758E0">
        <w:rPr>
          <w:rFonts w:ascii="Times New Roman" w:eastAsia="Times New Roman" w:hAnsi="Times New Roman" w:cs="Times New Roman"/>
          <w:i/>
          <w:iCs/>
          <w:kern w:val="0"/>
          <w:sz w:val="24"/>
          <w:szCs w:val="24"/>
          <w:lang w:eastAsia="en-GB"/>
          <w14:ligatures w14:val="none"/>
        </w:rPr>
        <w:t>Journal of Personality and Social Psychology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81</w:t>
      </w:r>
      <w:r w:rsidRPr="008758E0">
        <w:rPr>
          <w:rFonts w:ascii="Times New Roman" w:eastAsia="Times New Roman" w:hAnsi="Times New Roman" w:cs="Times New Roman"/>
          <w:kern w:val="0"/>
          <w:sz w:val="24"/>
          <w:szCs w:val="24"/>
          <w:lang w:eastAsia="en-GB"/>
          <w14:ligatures w14:val="none"/>
        </w:rPr>
        <w:t xml:space="preserve">(5), 800–814. https://doi.org/10.1037/0022-3514.81.5.800 </w:t>
      </w:r>
    </w:p>
    <w:p w14:paraId="14F84735"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Dovidio, J. F., Gaertner, S. L., &amp; Pearson, A. R. (2016). Aversive racism and contemporary bias. </w:t>
      </w:r>
      <w:r w:rsidRPr="008758E0">
        <w:rPr>
          <w:rFonts w:ascii="Times New Roman" w:eastAsia="Times New Roman" w:hAnsi="Times New Roman" w:cs="Times New Roman"/>
          <w:i/>
          <w:iCs/>
          <w:kern w:val="0"/>
          <w:sz w:val="24"/>
          <w:szCs w:val="24"/>
          <w:lang w:eastAsia="en-GB"/>
          <w14:ligatures w14:val="none"/>
        </w:rPr>
        <w:t>The Cambridge Handbook of the Psychology of Prejudice</w:t>
      </w:r>
      <w:r w:rsidRPr="008758E0">
        <w:rPr>
          <w:rFonts w:ascii="Times New Roman" w:eastAsia="Times New Roman" w:hAnsi="Times New Roman" w:cs="Times New Roman"/>
          <w:kern w:val="0"/>
          <w:sz w:val="24"/>
          <w:szCs w:val="24"/>
          <w:lang w:eastAsia="en-GB"/>
          <w14:ligatures w14:val="none"/>
        </w:rPr>
        <w:t xml:space="preserve">, 267–294. https://doi.org/10.1017/9781316161579.012 </w:t>
      </w:r>
    </w:p>
    <w:p w14:paraId="13D067CA"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Dovidio, J. F., Pearson, A. R., &amp; Penner, L. A. (2018). Aversive racism, implicit bias, and microaggressions. </w:t>
      </w:r>
      <w:r w:rsidRPr="008758E0">
        <w:rPr>
          <w:rFonts w:ascii="Times New Roman" w:eastAsia="Times New Roman" w:hAnsi="Times New Roman" w:cs="Times New Roman"/>
          <w:i/>
          <w:iCs/>
          <w:kern w:val="0"/>
          <w:sz w:val="24"/>
          <w:szCs w:val="24"/>
          <w:lang w:eastAsia="en-GB"/>
          <w14:ligatures w14:val="none"/>
        </w:rPr>
        <w:t>Microaggression Theory</w:t>
      </w:r>
      <w:r w:rsidRPr="008758E0">
        <w:rPr>
          <w:rFonts w:ascii="Times New Roman" w:eastAsia="Times New Roman" w:hAnsi="Times New Roman" w:cs="Times New Roman"/>
          <w:kern w:val="0"/>
          <w:sz w:val="24"/>
          <w:szCs w:val="24"/>
          <w:lang w:eastAsia="en-GB"/>
          <w14:ligatures w14:val="none"/>
        </w:rPr>
        <w:t xml:space="preserve">, 16–31. https://doi.org/10.1002/9781119466642.ch2 </w:t>
      </w:r>
    </w:p>
    <w:p w14:paraId="3D2A7851"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Ford, M. E., &amp; Kelly, P. A. (2005). Conceptualizing and categorizing race and ethnicity in Health Services Research. </w:t>
      </w:r>
      <w:r w:rsidRPr="008758E0">
        <w:rPr>
          <w:rFonts w:ascii="Times New Roman" w:eastAsia="Times New Roman" w:hAnsi="Times New Roman" w:cs="Times New Roman"/>
          <w:i/>
          <w:iCs/>
          <w:kern w:val="0"/>
          <w:sz w:val="24"/>
          <w:szCs w:val="24"/>
          <w:lang w:eastAsia="en-GB"/>
          <w14:ligatures w14:val="none"/>
        </w:rPr>
        <w:t>Health Services Research</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40</w:t>
      </w:r>
      <w:r w:rsidRPr="008758E0">
        <w:rPr>
          <w:rFonts w:ascii="Times New Roman" w:eastAsia="Times New Roman" w:hAnsi="Times New Roman" w:cs="Times New Roman"/>
          <w:kern w:val="0"/>
          <w:sz w:val="24"/>
          <w:szCs w:val="24"/>
          <w:lang w:eastAsia="en-GB"/>
          <w14:ligatures w14:val="none"/>
        </w:rPr>
        <w:t xml:space="preserve">(5p2), 1658–1675. https://doi.org/10.1111/j.1475-6773.2005.00449.x </w:t>
      </w:r>
    </w:p>
    <w:p w14:paraId="21567D4A"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Gaertner, S. L., &amp; Dovidio, J. F. (2005). Understanding and addressing contemporary racism: From aversive racism to the common ingroup identity model. </w:t>
      </w:r>
      <w:r w:rsidRPr="008758E0">
        <w:rPr>
          <w:rFonts w:ascii="Times New Roman" w:eastAsia="Times New Roman" w:hAnsi="Times New Roman" w:cs="Times New Roman"/>
          <w:i/>
          <w:iCs/>
          <w:kern w:val="0"/>
          <w:sz w:val="24"/>
          <w:szCs w:val="24"/>
          <w:lang w:eastAsia="en-GB"/>
          <w14:ligatures w14:val="none"/>
        </w:rPr>
        <w:t>Journal of Social Issues</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61</w:t>
      </w:r>
      <w:r w:rsidRPr="008758E0">
        <w:rPr>
          <w:rFonts w:ascii="Times New Roman" w:eastAsia="Times New Roman" w:hAnsi="Times New Roman" w:cs="Times New Roman"/>
          <w:kern w:val="0"/>
          <w:sz w:val="24"/>
          <w:szCs w:val="24"/>
          <w:lang w:eastAsia="en-GB"/>
          <w14:ligatures w14:val="none"/>
        </w:rPr>
        <w:t xml:space="preserve">(3), 615–639. https://doi.org/10.1111/j.1540-4560.2005.00424.x </w:t>
      </w:r>
    </w:p>
    <w:p w14:paraId="0E114CC3"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Greenwald, A. G., McGhee, D. E., &amp; Schwartz, J. L. (1998). Measuring individual differences in implicit cognition: The Implicit Association Test. </w:t>
      </w:r>
      <w:r w:rsidRPr="008758E0">
        <w:rPr>
          <w:rFonts w:ascii="Times New Roman" w:eastAsia="Times New Roman" w:hAnsi="Times New Roman" w:cs="Times New Roman"/>
          <w:i/>
          <w:iCs/>
          <w:kern w:val="0"/>
          <w:sz w:val="24"/>
          <w:szCs w:val="24"/>
          <w:lang w:eastAsia="en-GB"/>
          <w14:ligatures w14:val="none"/>
        </w:rPr>
        <w:t>Journal of Personality and Social Psychology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74</w:t>
      </w:r>
      <w:r w:rsidRPr="008758E0">
        <w:rPr>
          <w:rFonts w:ascii="Times New Roman" w:eastAsia="Times New Roman" w:hAnsi="Times New Roman" w:cs="Times New Roman"/>
          <w:kern w:val="0"/>
          <w:sz w:val="24"/>
          <w:szCs w:val="24"/>
          <w:lang w:eastAsia="en-GB"/>
          <w14:ligatures w14:val="none"/>
        </w:rPr>
        <w:t xml:space="preserve">(6), 1464–1480. https://doi.org/10.1037/0022-3514.74.6.1464 </w:t>
      </w:r>
    </w:p>
    <w:p w14:paraId="48BA9641"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Gross, J., &amp; </w:t>
      </w:r>
      <w:proofErr w:type="spellStart"/>
      <w:r w:rsidRPr="008758E0">
        <w:rPr>
          <w:rFonts w:ascii="Times New Roman" w:eastAsia="Times New Roman" w:hAnsi="Times New Roman" w:cs="Times New Roman"/>
          <w:kern w:val="0"/>
          <w:sz w:val="24"/>
          <w:szCs w:val="24"/>
          <w:lang w:eastAsia="en-GB"/>
          <w14:ligatures w14:val="none"/>
        </w:rPr>
        <w:t>Vostroknutov</w:t>
      </w:r>
      <w:proofErr w:type="spellEnd"/>
      <w:r w:rsidRPr="008758E0">
        <w:rPr>
          <w:rFonts w:ascii="Times New Roman" w:eastAsia="Times New Roman" w:hAnsi="Times New Roman" w:cs="Times New Roman"/>
          <w:kern w:val="0"/>
          <w:sz w:val="24"/>
          <w:szCs w:val="24"/>
          <w:lang w:eastAsia="en-GB"/>
          <w14:ligatures w14:val="none"/>
        </w:rPr>
        <w:t xml:space="preserve">, A. (2022). Why do people follow social norms? </w:t>
      </w:r>
      <w:r w:rsidRPr="008758E0">
        <w:rPr>
          <w:rFonts w:ascii="Times New Roman" w:eastAsia="Times New Roman" w:hAnsi="Times New Roman" w:cs="Times New Roman"/>
          <w:i/>
          <w:iCs/>
          <w:kern w:val="0"/>
          <w:sz w:val="24"/>
          <w:szCs w:val="24"/>
          <w:lang w:eastAsia="en-GB"/>
          <w14:ligatures w14:val="none"/>
        </w:rPr>
        <w:t>Current Opinion in Psychology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44</w:t>
      </w:r>
      <w:r w:rsidRPr="008758E0">
        <w:rPr>
          <w:rFonts w:ascii="Times New Roman" w:eastAsia="Times New Roman" w:hAnsi="Times New Roman" w:cs="Times New Roman"/>
          <w:kern w:val="0"/>
          <w:sz w:val="24"/>
          <w:szCs w:val="24"/>
          <w:lang w:eastAsia="en-GB"/>
          <w14:ligatures w14:val="none"/>
        </w:rPr>
        <w:t xml:space="preserve">, 1–6. https://doi.org/10.1016/j.copsyc.2021.08.016 </w:t>
      </w:r>
    </w:p>
    <w:p w14:paraId="3923050B"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Hall, J. D. (2007). The Long Civil Rights Movement and the political uses of the past. </w:t>
      </w:r>
      <w:r w:rsidRPr="008758E0">
        <w:rPr>
          <w:rFonts w:ascii="Times New Roman" w:eastAsia="Times New Roman" w:hAnsi="Times New Roman" w:cs="Times New Roman"/>
          <w:i/>
          <w:iCs/>
          <w:kern w:val="0"/>
          <w:sz w:val="24"/>
          <w:szCs w:val="24"/>
          <w:lang w:eastAsia="en-GB"/>
          <w14:ligatures w14:val="none"/>
        </w:rPr>
        <w:t>The Best American History Essays 2007</w:t>
      </w:r>
      <w:r w:rsidRPr="008758E0">
        <w:rPr>
          <w:rFonts w:ascii="Times New Roman" w:eastAsia="Times New Roman" w:hAnsi="Times New Roman" w:cs="Times New Roman"/>
          <w:kern w:val="0"/>
          <w:sz w:val="24"/>
          <w:szCs w:val="24"/>
          <w:lang w:eastAsia="en-GB"/>
          <w14:ligatures w14:val="none"/>
        </w:rPr>
        <w:t xml:space="preserve">, 235–271. https://doi.org/10.1007/978-1-137-06439-4_11 </w:t>
      </w:r>
    </w:p>
    <w:p w14:paraId="0F855123"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Hall, W. J., Chapman, M. V., Lee, K. M., Merino, Y. M., Thomas, T. W., Payne, B. K., Eng, E., Day, S. H., &amp; Coyne-Beasley, T. (2015). Implicit racial/ethnic bias among health care professionals and its influence on health care outcomes: A systematic review. </w:t>
      </w:r>
      <w:r w:rsidRPr="008758E0">
        <w:rPr>
          <w:rFonts w:ascii="Times New Roman" w:eastAsia="Times New Roman" w:hAnsi="Times New Roman" w:cs="Times New Roman"/>
          <w:i/>
          <w:iCs/>
          <w:kern w:val="0"/>
          <w:sz w:val="24"/>
          <w:szCs w:val="24"/>
          <w:lang w:eastAsia="en-GB"/>
          <w14:ligatures w14:val="none"/>
        </w:rPr>
        <w:t>American Journal of Public Health</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105</w:t>
      </w:r>
      <w:r w:rsidRPr="008758E0">
        <w:rPr>
          <w:rFonts w:ascii="Times New Roman" w:eastAsia="Times New Roman" w:hAnsi="Times New Roman" w:cs="Times New Roman"/>
          <w:kern w:val="0"/>
          <w:sz w:val="24"/>
          <w:szCs w:val="24"/>
          <w:lang w:eastAsia="en-GB"/>
          <w14:ligatures w14:val="none"/>
        </w:rPr>
        <w:t xml:space="preserve">(12). https://doi.org/10.2105/ajph.2015.302903 </w:t>
      </w:r>
    </w:p>
    <w:p w14:paraId="088672E7"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Heitland, K., &amp; Bohner, G. (2010). Reducing prejudice via cognitive dissonance: Individual differences in preference for consistency moderate the effects of counter-attitudinal advocacy. </w:t>
      </w:r>
      <w:r w:rsidRPr="008758E0">
        <w:rPr>
          <w:rFonts w:ascii="Times New Roman" w:eastAsia="Times New Roman" w:hAnsi="Times New Roman" w:cs="Times New Roman"/>
          <w:i/>
          <w:iCs/>
          <w:kern w:val="0"/>
          <w:sz w:val="24"/>
          <w:szCs w:val="24"/>
          <w:lang w:eastAsia="en-GB"/>
          <w14:ligatures w14:val="none"/>
        </w:rPr>
        <w:t>Social Influence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5</w:t>
      </w:r>
      <w:r w:rsidRPr="008758E0">
        <w:rPr>
          <w:rFonts w:ascii="Times New Roman" w:eastAsia="Times New Roman" w:hAnsi="Times New Roman" w:cs="Times New Roman"/>
          <w:kern w:val="0"/>
          <w:sz w:val="24"/>
          <w:szCs w:val="24"/>
          <w:lang w:eastAsia="en-GB"/>
          <w14:ligatures w14:val="none"/>
        </w:rPr>
        <w:t xml:space="preserve">(3), 164–181. https://doi.org/10.1080/15534510903332261 </w:t>
      </w:r>
    </w:p>
    <w:p w14:paraId="28F2AA76"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Hodson, G., Hooper, H., Dovidio, J. F., &amp; Gaertner, S. L. (2005). Aversive racism in Britain: The use of inadmissible evidence in legal decisions. </w:t>
      </w:r>
      <w:r w:rsidRPr="008758E0">
        <w:rPr>
          <w:rFonts w:ascii="Times New Roman" w:eastAsia="Times New Roman" w:hAnsi="Times New Roman" w:cs="Times New Roman"/>
          <w:i/>
          <w:iCs/>
          <w:kern w:val="0"/>
          <w:sz w:val="24"/>
          <w:szCs w:val="24"/>
          <w:lang w:eastAsia="en-GB"/>
          <w14:ligatures w14:val="none"/>
        </w:rPr>
        <w:t>European Journal of Social Psychology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35</w:t>
      </w:r>
      <w:r w:rsidRPr="008758E0">
        <w:rPr>
          <w:rFonts w:ascii="Times New Roman" w:eastAsia="Times New Roman" w:hAnsi="Times New Roman" w:cs="Times New Roman"/>
          <w:kern w:val="0"/>
          <w:sz w:val="24"/>
          <w:szCs w:val="24"/>
          <w:lang w:eastAsia="en-GB"/>
          <w14:ligatures w14:val="none"/>
        </w:rPr>
        <w:t xml:space="preserve">(4), 437–448. https://doi.org/10.1002/ejsp.261 </w:t>
      </w:r>
    </w:p>
    <w:p w14:paraId="00824098"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Hoffman, K. M., </w:t>
      </w:r>
      <w:proofErr w:type="spellStart"/>
      <w:r w:rsidRPr="008758E0">
        <w:rPr>
          <w:rFonts w:ascii="Times New Roman" w:eastAsia="Times New Roman" w:hAnsi="Times New Roman" w:cs="Times New Roman"/>
          <w:kern w:val="0"/>
          <w:sz w:val="24"/>
          <w:szCs w:val="24"/>
          <w:lang w:eastAsia="en-GB"/>
          <w14:ligatures w14:val="none"/>
        </w:rPr>
        <w:t>Trawalter</w:t>
      </w:r>
      <w:proofErr w:type="spellEnd"/>
      <w:r w:rsidRPr="008758E0">
        <w:rPr>
          <w:rFonts w:ascii="Times New Roman" w:eastAsia="Times New Roman" w:hAnsi="Times New Roman" w:cs="Times New Roman"/>
          <w:kern w:val="0"/>
          <w:sz w:val="24"/>
          <w:szCs w:val="24"/>
          <w:lang w:eastAsia="en-GB"/>
          <w14:ligatures w14:val="none"/>
        </w:rPr>
        <w:t xml:space="preserve">, S., Axt, J. R., &amp; Oliver, M. N. (2016). Racial bias in pain assessment and treatment recommendations, and false beliefs about biological differences between blacks and whites. </w:t>
      </w:r>
      <w:r w:rsidRPr="008758E0">
        <w:rPr>
          <w:rFonts w:ascii="Times New Roman" w:eastAsia="Times New Roman" w:hAnsi="Times New Roman" w:cs="Times New Roman"/>
          <w:i/>
          <w:iCs/>
          <w:kern w:val="0"/>
          <w:sz w:val="24"/>
          <w:szCs w:val="24"/>
          <w:lang w:eastAsia="en-GB"/>
          <w14:ligatures w14:val="none"/>
        </w:rPr>
        <w:t>Proceedings of the National Academy of Sciences</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113</w:t>
      </w:r>
      <w:r w:rsidRPr="008758E0">
        <w:rPr>
          <w:rFonts w:ascii="Times New Roman" w:eastAsia="Times New Roman" w:hAnsi="Times New Roman" w:cs="Times New Roman"/>
          <w:kern w:val="0"/>
          <w:sz w:val="24"/>
          <w:szCs w:val="24"/>
          <w:lang w:eastAsia="en-GB"/>
          <w14:ligatures w14:val="none"/>
        </w:rPr>
        <w:t xml:space="preserve">(16), 4296–4301. https://doi.org/10.1073/pnas.1516047113 </w:t>
      </w:r>
    </w:p>
    <w:p w14:paraId="1FF4C4E3"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Johnson, J. D., Whitestone, E., Jackson, L. A., &amp; Gatto, L. (1995). Justice is still not </w:t>
      </w:r>
      <w:proofErr w:type="spellStart"/>
      <w:r w:rsidRPr="008758E0">
        <w:rPr>
          <w:rFonts w:ascii="Times New Roman" w:eastAsia="Times New Roman" w:hAnsi="Times New Roman" w:cs="Times New Roman"/>
          <w:kern w:val="0"/>
          <w:sz w:val="24"/>
          <w:szCs w:val="24"/>
          <w:lang w:eastAsia="en-GB"/>
          <w14:ligatures w14:val="none"/>
        </w:rPr>
        <w:t>colorblind</w:t>
      </w:r>
      <w:proofErr w:type="spellEnd"/>
      <w:r w:rsidRPr="008758E0">
        <w:rPr>
          <w:rFonts w:ascii="Times New Roman" w:eastAsia="Times New Roman" w:hAnsi="Times New Roman" w:cs="Times New Roman"/>
          <w:kern w:val="0"/>
          <w:sz w:val="24"/>
          <w:szCs w:val="24"/>
          <w:lang w:eastAsia="en-GB"/>
          <w14:ligatures w14:val="none"/>
        </w:rPr>
        <w:t xml:space="preserve">: Differential racial effects of exposure to inadmissible evidence. </w:t>
      </w:r>
      <w:r w:rsidRPr="008758E0">
        <w:rPr>
          <w:rFonts w:ascii="Times New Roman" w:eastAsia="Times New Roman" w:hAnsi="Times New Roman" w:cs="Times New Roman"/>
          <w:i/>
          <w:iCs/>
          <w:kern w:val="0"/>
          <w:sz w:val="24"/>
          <w:szCs w:val="24"/>
          <w:lang w:eastAsia="en-GB"/>
          <w14:ligatures w14:val="none"/>
        </w:rPr>
        <w:t>Personality and Social Psychology Bulletin</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21</w:t>
      </w:r>
      <w:r w:rsidRPr="008758E0">
        <w:rPr>
          <w:rFonts w:ascii="Times New Roman" w:eastAsia="Times New Roman" w:hAnsi="Times New Roman" w:cs="Times New Roman"/>
          <w:kern w:val="0"/>
          <w:sz w:val="24"/>
          <w:szCs w:val="24"/>
          <w:lang w:eastAsia="en-GB"/>
          <w14:ligatures w14:val="none"/>
        </w:rPr>
        <w:t xml:space="preserve">(9), 893–898. https://doi.org/10.1177/0146167295219003 </w:t>
      </w:r>
    </w:p>
    <w:p w14:paraId="0C31FEC1"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Jones, E. E., &amp; Sigall, H. (1971). The Bogus Pipeline: A new paradigm for measuring affect and attitude. </w:t>
      </w:r>
      <w:r w:rsidRPr="008758E0">
        <w:rPr>
          <w:rFonts w:ascii="Times New Roman" w:eastAsia="Times New Roman" w:hAnsi="Times New Roman" w:cs="Times New Roman"/>
          <w:i/>
          <w:iCs/>
          <w:kern w:val="0"/>
          <w:sz w:val="24"/>
          <w:szCs w:val="24"/>
          <w:lang w:eastAsia="en-GB"/>
          <w14:ligatures w14:val="none"/>
        </w:rPr>
        <w:t>Psychological Bulletin</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76</w:t>
      </w:r>
      <w:r w:rsidRPr="008758E0">
        <w:rPr>
          <w:rFonts w:ascii="Times New Roman" w:eastAsia="Times New Roman" w:hAnsi="Times New Roman" w:cs="Times New Roman"/>
          <w:kern w:val="0"/>
          <w:sz w:val="24"/>
          <w:szCs w:val="24"/>
          <w:lang w:eastAsia="en-GB"/>
          <w14:ligatures w14:val="none"/>
        </w:rPr>
        <w:t xml:space="preserve">(5), 349–364. https://doi.org/10.1037/h0031617 </w:t>
      </w:r>
    </w:p>
    <w:p w14:paraId="7506D943"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Kassin, S. M., &amp; Sommers, S. R. (1997). Inadmissible testimony, instructions to disregard, and the jury: Substantive versus procedural considerations. </w:t>
      </w:r>
      <w:r w:rsidRPr="008758E0">
        <w:rPr>
          <w:rFonts w:ascii="Times New Roman" w:eastAsia="Times New Roman" w:hAnsi="Times New Roman" w:cs="Times New Roman"/>
          <w:i/>
          <w:iCs/>
          <w:kern w:val="0"/>
          <w:sz w:val="24"/>
          <w:szCs w:val="24"/>
          <w:lang w:eastAsia="en-GB"/>
          <w14:ligatures w14:val="none"/>
        </w:rPr>
        <w:t>Personality and Social Psychology Bulletin</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23</w:t>
      </w:r>
      <w:r w:rsidRPr="008758E0">
        <w:rPr>
          <w:rFonts w:ascii="Times New Roman" w:eastAsia="Times New Roman" w:hAnsi="Times New Roman" w:cs="Times New Roman"/>
          <w:kern w:val="0"/>
          <w:sz w:val="24"/>
          <w:szCs w:val="24"/>
          <w:lang w:eastAsia="en-GB"/>
          <w14:ligatures w14:val="none"/>
        </w:rPr>
        <w:t xml:space="preserve">(10), 1046–1054. https://doi.org/10.1177/01461672972310005 </w:t>
      </w:r>
    </w:p>
    <w:p w14:paraId="22C9C8CE"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Kite, M. E., Kite, M. E., Whitley, B. E., &amp; Wagner, L. S. (2023). </w:t>
      </w:r>
      <w:r w:rsidRPr="008758E0">
        <w:rPr>
          <w:rFonts w:ascii="Times New Roman" w:eastAsia="Times New Roman" w:hAnsi="Times New Roman" w:cs="Times New Roman"/>
          <w:i/>
          <w:iCs/>
          <w:kern w:val="0"/>
          <w:sz w:val="24"/>
          <w:szCs w:val="24"/>
          <w:lang w:eastAsia="en-GB"/>
          <w14:ligatures w14:val="none"/>
        </w:rPr>
        <w:t>Psychology of prejudice and discrimination Mary E. Kite, Bernard E. Whitley, jr., Lisa S. Wagner</w:t>
      </w:r>
      <w:r w:rsidRPr="008758E0">
        <w:rPr>
          <w:rFonts w:ascii="Times New Roman" w:eastAsia="Times New Roman" w:hAnsi="Times New Roman" w:cs="Times New Roman"/>
          <w:kern w:val="0"/>
          <w:sz w:val="24"/>
          <w:szCs w:val="24"/>
          <w:lang w:eastAsia="en-GB"/>
          <w14:ligatures w14:val="none"/>
        </w:rPr>
        <w:t xml:space="preserve">. Routledge. </w:t>
      </w:r>
    </w:p>
    <w:p w14:paraId="32294075"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Kunz, E. O. M., Howell, J. L., &amp; Beasley, N. (2023). Surviving racism and sexism: What votes in the television program survivor reveal about discrimination. </w:t>
      </w:r>
      <w:r w:rsidRPr="008758E0">
        <w:rPr>
          <w:rFonts w:ascii="Times New Roman" w:eastAsia="Times New Roman" w:hAnsi="Times New Roman" w:cs="Times New Roman"/>
          <w:i/>
          <w:iCs/>
          <w:kern w:val="0"/>
          <w:sz w:val="24"/>
          <w:szCs w:val="24"/>
          <w:lang w:eastAsia="en-GB"/>
          <w14:ligatures w14:val="none"/>
        </w:rPr>
        <w:t>What Votes in the Television Program Survivor Reveal about Discrimination</w:t>
      </w:r>
      <w:r w:rsidRPr="008758E0">
        <w:rPr>
          <w:rFonts w:ascii="Times New Roman" w:eastAsia="Times New Roman" w:hAnsi="Times New Roman" w:cs="Times New Roman"/>
          <w:kern w:val="0"/>
          <w:sz w:val="24"/>
          <w:szCs w:val="24"/>
          <w:lang w:eastAsia="en-GB"/>
          <w14:ligatures w14:val="none"/>
        </w:rPr>
        <w:t xml:space="preserve">. https://doi.org/10.31234/osf.io/9kfhw </w:t>
      </w:r>
    </w:p>
    <w:p w14:paraId="739A9620"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8758E0">
        <w:rPr>
          <w:rFonts w:ascii="Times New Roman" w:eastAsia="Times New Roman" w:hAnsi="Times New Roman" w:cs="Times New Roman"/>
          <w:kern w:val="0"/>
          <w:sz w:val="24"/>
          <w:szCs w:val="24"/>
          <w:lang w:eastAsia="en-GB"/>
          <w14:ligatures w14:val="none"/>
        </w:rPr>
        <w:t>Lears</w:t>
      </w:r>
      <w:proofErr w:type="spellEnd"/>
      <w:r w:rsidRPr="008758E0">
        <w:rPr>
          <w:rFonts w:ascii="Times New Roman" w:eastAsia="Times New Roman" w:hAnsi="Times New Roman" w:cs="Times New Roman"/>
          <w:kern w:val="0"/>
          <w:sz w:val="24"/>
          <w:szCs w:val="24"/>
          <w:lang w:eastAsia="en-GB"/>
          <w14:ligatures w14:val="none"/>
        </w:rPr>
        <w:t xml:space="preserve">, T. J. (1985). The concept of cultural hegemony: Problems and possibilities. </w:t>
      </w:r>
      <w:r w:rsidRPr="008758E0">
        <w:rPr>
          <w:rFonts w:ascii="Times New Roman" w:eastAsia="Times New Roman" w:hAnsi="Times New Roman" w:cs="Times New Roman"/>
          <w:i/>
          <w:iCs/>
          <w:kern w:val="0"/>
          <w:sz w:val="24"/>
          <w:szCs w:val="24"/>
          <w:lang w:eastAsia="en-GB"/>
          <w14:ligatures w14:val="none"/>
        </w:rPr>
        <w:t>The American Historical Review</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90</w:t>
      </w:r>
      <w:r w:rsidRPr="008758E0">
        <w:rPr>
          <w:rFonts w:ascii="Times New Roman" w:eastAsia="Times New Roman" w:hAnsi="Times New Roman" w:cs="Times New Roman"/>
          <w:kern w:val="0"/>
          <w:sz w:val="24"/>
          <w:szCs w:val="24"/>
          <w:lang w:eastAsia="en-GB"/>
          <w14:ligatures w14:val="none"/>
        </w:rPr>
        <w:t xml:space="preserve">(3), 567. https://doi.org/10.2307/1860957 </w:t>
      </w:r>
    </w:p>
    <w:p w14:paraId="0C7E50B9"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Lourens, T., van Berkel, R., &amp; </w:t>
      </w:r>
      <w:proofErr w:type="spellStart"/>
      <w:r w:rsidRPr="008758E0">
        <w:rPr>
          <w:rFonts w:ascii="Times New Roman" w:eastAsia="Times New Roman" w:hAnsi="Times New Roman" w:cs="Times New Roman"/>
          <w:kern w:val="0"/>
          <w:sz w:val="24"/>
          <w:szCs w:val="24"/>
          <w:lang w:eastAsia="en-GB"/>
          <w14:ligatures w14:val="none"/>
        </w:rPr>
        <w:t>Barakova</w:t>
      </w:r>
      <w:proofErr w:type="spellEnd"/>
      <w:r w:rsidRPr="008758E0">
        <w:rPr>
          <w:rFonts w:ascii="Times New Roman" w:eastAsia="Times New Roman" w:hAnsi="Times New Roman" w:cs="Times New Roman"/>
          <w:kern w:val="0"/>
          <w:sz w:val="24"/>
          <w:szCs w:val="24"/>
          <w:lang w:eastAsia="en-GB"/>
          <w14:ligatures w14:val="none"/>
        </w:rPr>
        <w:t xml:space="preserve">, E. (2010). Communicating emotions and mental states to robots in a real time parallel framework using Laban Movement Analysis. </w:t>
      </w:r>
      <w:r w:rsidRPr="008758E0">
        <w:rPr>
          <w:rFonts w:ascii="Times New Roman" w:eastAsia="Times New Roman" w:hAnsi="Times New Roman" w:cs="Times New Roman"/>
          <w:i/>
          <w:iCs/>
          <w:kern w:val="0"/>
          <w:sz w:val="24"/>
          <w:szCs w:val="24"/>
          <w:lang w:eastAsia="en-GB"/>
          <w14:ligatures w14:val="none"/>
        </w:rPr>
        <w:t>Robotics and Autonomous Systems</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58</w:t>
      </w:r>
      <w:r w:rsidRPr="008758E0">
        <w:rPr>
          <w:rFonts w:ascii="Times New Roman" w:eastAsia="Times New Roman" w:hAnsi="Times New Roman" w:cs="Times New Roman"/>
          <w:kern w:val="0"/>
          <w:sz w:val="24"/>
          <w:szCs w:val="24"/>
          <w:lang w:eastAsia="en-GB"/>
          <w14:ligatures w14:val="none"/>
        </w:rPr>
        <w:t xml:space="preserve">(12), 1256–1265. https://doi.org/10.1016/j.robot.2010.08.006 </w:t>
      </w:r>
    </w:p>
    <w:p w14:paraId="64EB8FDD"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Mastro, D. E., Behm-Morawitz, E., &amp; Kopacz, M. A. (2008). Exposure to television portrayals of Latinos: The implications of aversive racism and social identity theory. </w:t>
      </w:r>
      <w:r w:rsidRPr="008758E0">
        <w:rPr>
          <w:rFonts w:ascii="Times New Roman" w:eastAsia="Times New Roman" w:hAnsi="Times New Roman" w:cs="Times New Roman"/>
          <w:i/>
          <w:iCs/>
          <w:kern w:val="0"/>
          <w:sz w:val="24"/>
          <w:szCs w:val="24"/>
          <w:lang w:eastAsia="en-GB"/>
          <w14:ligatures w14:val="none"/>
        </w:rPr>
        <w:t>Human Communication Research</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34</w:t>
      </w:r>
      <w:r w:rsidRPr="008758E0">
        <w:rPr>
          <w:rFonts w:ascii="Times New Roman" w:eastAsia="Times New Roman" w:hAnsi="Times New Roman" w:cs="Times New Roman"/>
          <w:kern w:val="0"/>
          <w:sz w:val="24"/>
          <w:szCs w:val="24"/>
          <w:lang w:eastAsia="en-GB"/>
          <w14:ligatures w14:val="none"/>
        </w:rPr>
        <w:t xml:space="preserve">(1), 1–27. https://doi.org/10.1111/j.1468-2958.2007.00311.x </w:t>
      </w:r>
    </w:p>
    <w:p w14:paraId="3BFAF624"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Pager, D., Bonikowski, B., &amp; Western, B. (2009). Discrimination in a low-wage </w:t>
      </w:r>
      <w:proofErr w:type="spellStart"/>
      <w:r w:rsidRPr="008758E0">
        <w:rPr>
          <w:rFonts w:ascii="Times New Roman" w:eastAsia="Times New Roman" w:hAnsi="Times New Roman" w:cs="Times New Roman"/>
          <w:kern w:val="0"/>
          <w:sz w:val="24"/>
          <w:szCs w:val="24"/>
          <w:lang w:eastAsia="en-GB"/>
          <w14:ligatures w14:val="none"/>
        </w:rPr>
        <w:t>labor</w:t>
      </w:r>
      <w:proofErr w:type="spellEnd"/>
      <w:r w:rsidRPr="008758E0">
        <w:rPr>
          <w:rFonts w:ascii="Times New Roman" w:eastAsia="Times New Roman" w:hAnsi="Times New Roman" w:cs="Times New Roman"/>
          <w:kern w:val="0"/>
          <w:sz w:val="24"/>
          <w:szCs w:val="24"/>
          <w:lang w:eastAsia="en-GB"/>
          <w14:ligatures w14:val="none"/>
        </w:rPr>
        <w:t xml:space="preserve"> market. </w:t>
      </w:r>
      <w:r w:rsidRPr="008758E0">
        <w:rPr>
          <w:rFonts w:ascii="Times New Roman" w:eastAsia="Times New Roman" w:hAnsi="Times New Roman" w:cs="Times New Roman"/>
          <w:i/>
          <w:iCs/>
          <w:kern w:val="0"/>
          <w:sz w:val="24"/>
          <w:szCs w:val="24"/>
          <w:lang w:eastAsia="en-GB"/>
          <w14:ligatures w14:val="none"/>
        </w:rPr>
        <w:t>American Sociological Review</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74</w:t>
      </w:r>
      <w:r w:rsidRPr="008758E0">
        <w:rPr>
          <w:rFonts w:ascii="Times New Roman" w:eastAsia="Times New Roman" w:hAnsi="Times New Roman" w:cs="Times New Roman"/>
          <w:kern w:val="0"/>
          <w:sz w:val="24"/>
          <w:szCs w:val="24"/>
          <w:lang w:eastAsia="en-GB"/>
          <w14:ligatures w14:val="none"/>
        </w:rPr>
        <w:t xml:space="preserve">(5), 777–799. https://doi.org/10.1177/000312240907400505 </w:t>
      </w:r>
    </w:p>
    <w:p w14:paraId="25C1894A"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Pearson, A. R., Dovidio, J. F., &amp; Gaertner, S. L. (2009). The nature of contemporary prejudice: Insights from aversive racism. </w:t>
      </w:r>
      <w:r w:rsidRPr="008758E0">
        <w:rPr>
          <w:rFonts w:ascii="Times New Roman" w:eastAsia="Times New Roman" w:hAnsi="Times New Roman" w:cs="Times New Roman"/>
          <w:i/>
          <w:iCs/>
          <w:kern w:val="0"/>
          <w:sz w:val="24"/>
          <w:szCs w:val="24"/>
          <w:lang w:eastAsia="en-GB"/>
          <w14:ligatures w14:val="none"/>
        </w:rPr>
        <w:t>Social and Personality Psychology Compass</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3</w:t>
      </w:r>
      <w:r w:rsidRPr="008758E0">
        <w:rPr>
          <w:rFonts w:ascii="Times New Roman" w:eastAsia="Times New Roman" w:hAnsi="Times New Roman" w:cs="Times New Roman"/>
          <w:kern w:val="0"/>
          <w:sz w:val="24"/>
          <w:szCs w:val="24"/>
          <w:lang w:eastAsia="en-GB"/>
          <w14:ligatures w14:val="none"/>
        </w:rPr>
        <w:t xml:space="preserve">(3), 314–338. https://doi.org/10.1111/j.1751-9004.2009.00183.x </w:t>
      </w:r>
    </w:p>
    <w:p w14:paraId="0CBC96EE"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Pernick, M. S. (1988). 5. In </w:t>
      </w:r>
      <w:r w:rsidRPr="008758E0">
        <w:rPr>
          <w:rFonts w:ascii="Times New Roman" w:eastAsia="Times New Roman" w:hAnsi="Times New Roman" w:cs="Times New Roman"/>
          <w:i/>
          <w:iCs/>
          <w:kern w:val="0"/>
          <w:sz w:val="24"/>
          <w:szCs w:val="24"/>
          <w:lang w:eastAsia="en-GB"/>
          <w14:ligatures w14:val="none"/>
        </w:rPr>
        <w:t xml:space="preserve">A calculus of suffering: Pain, </w:t>
      </w:r>
      <w:proofErr w:type="gramStart"/>
      <w:r w:rsidRPr="008758E0">
        <w:rPr>
          <w:rFonts w:ascii="Times New Roman" w:eastAsia="Times New Roman" w:hAnsi="Times New Roman" w:cs="Times New Roman"/>
          <w:i/>
          <w:iCs/>
          <w:kern w:val="0"/>
          <w:sz w:val="24"/>
          <w:szCs w:val="24"/>
          <w:lang w:eastAsia="en-GB"/>
          <w14:ligatures w14:val="none"/>
        </w:rPr>
        <w:t>professionalism</w:t>
      </w:r>
      <w:proofErr w:type="gramEnd"/>
      <w:r w:rsidRPr="008758E0">
        <w:rPr>
          <w:rFonts w:ascii="Times New Roman" w:eastAsia="Times New Roman" w:hAnsi="Times New Roman" w:cs="Times New Roman"/>
          <w:i/>
          <w:iCs/>
          <w:kern w:val="0"/>
          <w:sz w:val="24"/>
          <w:szCs w:val="24"/>
          <w:lang w:eastAsia="en-GB"/>
          <w14:ligatures w14:val="none"/>
        </w:rPr>
        <w:t xml:space="preserve"> and </w:t>
      </w:r>
      <w:proofErr w:type="spellStart"/>
      <w:r w:rsidRPr="008758E0">
        <w:rPr>
          <w:rFonts w:ascii="Times New Roman" w:eastAsia="Times New Roman" w:hAnsi="Times New Roman" w:cs="Times New Roman"/>
          <w:i/>
          <w:iCs/>
          <w:kern w:val="0"/>
          <w:sz w:val="24"/>
          <w:szCs w:val="24"/>
          <w:lang w:eastAsia="en-GB"/>
          <w14:ligatures w14:val="none"/>
        </w:rPr>
        <w:t>anesthesia</w:t>
      </w:r>
      <w:proofErr w:type="spellEnd"/>
      <w:r w:rsidRPr="008758E0">
        <w:rPr>
          <w:rFonts w:ascii="Times New Roman" w:eastAsia="Times New Roman" w:hAnsi="Times New Roman" w:cs="Times New Roman"/>
          <w:i/>
          <w:iCs/>
          <w:kern w:val="0"/>
          <w:sz w:val="24"/>
          <w:szCs w:val="24"/>
          <w:lang w:eastAsia="en-GB"/>
          <w14:ligatures w14:val="none"/>
        </w:rPr>
        <w:t xml:space="preserve"> in nineteenth-century America</w:t>
      </w:r>
      <w:r w:rsidRPr="008758E0">
        <w:rPr>
          <w:rFonts w:ascii="Times New Roman" w:eastAsia="Times New Roman" w:hAnsi="Times New Roman" w:cs="Times New Roman"/>
          <w:kern w:val="0"/>
          <w:sz w:val="24"/>
          <w:szCs w:val="24"/>
          <w:lang w:eastAsia="en-GB"/>
          <w14:ligatures w14:val="none"/>
        </w:rPr>
        <w:t xml:space="preserve"> (pp. 421–421). essay, Columbia University Press. </w:t>
      </w:r>
    </w:p>
    <w:p w14:paraId="39F6E108"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Roese, N. J., &amp; Jamieson, D. W. (1993). Twenty Years of bogus pipeline research: A critical review and meta-analysis. </w:t>
      </w:r>
      <w:r w:rsidRPr="008758E0">
        <w:rPr>
          <w:rFonts w:ascii="Times New Roman" w:eastAsia="Times New Roman" w:hAnsi="Times New Roman" w:cs="Times New Roman"/>
          <w:i/>
          <w:iCs/>
          <w:kern w:val="0"/>
          <w:sz w:val="24"/>
          <w:szCs w:val="24"/>
          <w:lang w:eastAsia="en-GB"/>
          <w14:ligatures w14:val="none"/>
        </w:rPr>
        <w:t>Psychological Bulletin</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114</w:t>
      </w:r>
      <w:r w:rsidRPr="008758E0">
        <w:rPr>
          <w:rFonts w:ascii="Times New Roman" w:eastAsia="Times New Roman" w:hAnsi="Times New Roman" w:cs="Times New Roman"/>
          <w:kern w:val="0"/>
          <w:sz w:val="24"/>
          <w:szCs w:val="24"/>
          <w:lang w:eastAsia="en-GB"/>
          <w14:ligatures w14:val="none"/>
        </w:rPr>
        <w:t xml:space="preserve">(2), 363–375. https://doi.org/10.1037/0033-2909.114.2.363 </w:t>
      </w:r>
    </w:p>
    <w:p w14:paraId="4F23CF11"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Rossum, M. V. (2021). Slavery and its transformations: Prolegomena for a global and comparative research agenda. </w:t>
      </w:r>
      <w:r w:rsidRPr="008758E0">
        <w:rPr>
          <w:rFonts w:ascii="Times New Roman" w:eastAsia="Times New Roman" w:hAnsi="Times New Roman" w:cs="Times New Roman"/>
          <w:i/>
          <w:iCs/>
          <w:kern w:val="0"/>
          <w:sz w:val="24"/>
          <w:szCs w:val="24"/>
          <w:lang w:eastAsia="en-GB"/>
          <w14:ligatures w14:val="none"/>
        </w:rPr>
        <w:t>Comparative Studies in Society and History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63</w:t>
      </w:r>
      <w:r w:rsidRPr="008758E0">
        <w:rPr>
          <w:rFonts w:ascii="Times New Roman" w:eastAsia="Times New Roman" w:hAnsi="Times New Roman" w:cs="Times New Roman"/>
          <w:kern w:val="0"/>
          <w:sz w:val="24"/>
          <w:szCs w:val="24"/>
          <w:lang w:eastAsia="en-GB"/>
          <w14:ligatures w14:val="none"/>
        </w:rPr>
        <w:t xml:space="preserve">(3), 566–598. https://doi.org/10.1017/s0010417521000153 </w:t>
      </w:r>
    </w:p>
    <w:p w14:paraId="2BCB8CE1"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Sabin, J. A., Nosek, B. A., Greenwald, A. G., &amp; Rivara, F. P. (2009). Physicians’ implicit and explicit attitudes about race by MD race, ethnicity, and gender. </w:t>
      </w:r>
      <w:r w:rsidRPr="008758E0">
        <w:rPr>
          <w:rFonts w:ascii="Times New Roman" w:eastAsia="Times New Roman" w:hAnsi="Times New Roman" w:cs="Times New Roman"/>
          <w:i/>
          <w:iCs/>
          <w:kern w:val="0"/>
          <w:sz w:val="24"/>
          <w:szCs w:val="24"/>
          <w:lang w:eastAsia="en-GB"/>
          <w14:ligatures w14:val="none"/>
        </w:rPr>
        <w:t>Journal of Health Care for the Poor and Underserved</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20</w:t>
      </w:r>
      <w:r w:rsidRPr="008758E0">
        <w:rPr>
          <w:rFonts w:ascii="Times New Roman" w:eastAsia="Times New Roman" w:hAnsi="Times New Roman" w:cs="Times New Roman"/>
          <w:kern w:val="0"/>
          <w:sz w:val="24"/>
          <w:szCs w:val="24"/>
          <w:lang w:eastAsia="en-GB"/>
          <w14:ligatures w14:val="none"/>
        </w:rPr>
        <w:t xml:space="preserve">(3), 896–913. https://doi.org/10.1353/hpu.0.0185 </w:t>
      </w:r>
    </w:p>
    <w:p w14:paraId="3AE85514"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Salter, P. S., Adams, G., &amp; Perez, M. J. (2017). Racism in the structure of Everyday Worlds: A cultural-psychological perspective. </w:t>
      </w:r>
      <w:r w:rsidRPr="008758E0">
        <w:rPr>
          <w:rFonts w:ascii="Times New Roman" w:eastAsia="Times New Roman" w:hAnsi="Times New Roman" w:cs="Times New Roman"/>
          <w:i/>
          <w:iCs/>
          <w:kern w:val="0"/>
          <w:sz w:val="24"/>
          <w:szCs w:val="24"/>
          <w:lang w:eastAsia="en-GB"/>
          <w14:ligatures w14:val="none"/>
        </w:rPr>
        <w:t>Current Directions in Psychological Science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27</w:t>
      </w:r>
      <w:r w:rsidRPr="008758E0">
        <w:rPr>
          <w:rFonts w:ascii="Times New Roman" w:eastAsia="Times New Roman" w:hAnsi="Times New Roman" w:cs="Times New Roman"/>
          <w:kern w:val="0"/>
          <w:sz w:val="24"/>
          <w:szCs w:val="24"/>
          <w:lang w:eastAsia="en-GB"/>
          <w14:ligatures w14:val="none"/>
        </w:rPr>
        <w:t xml:space="preserve">(3), 150–155. https://doi.org/10.1177/0963721417724239 </w:t>
      </w:r>
    </w:p>
    <w:p w14:paraId="7E14A2B9"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8758E0">
        <w:rPr>
          <w:rFonts w:ascii="Times New Roman" w:eastAsia="Times New Roman" w:hAnsi="Times New Roman" w:cs="Times New Roman"/>
          <w:kern w:val="0"/>
          <w:sz w:val="24"/>
          <w:szCs w:val="24"/>
          <w:lang w:eastAsia="en-GB"/>
          <w14:ligatures w14:val="none"/>
        </w:rPr>
        <w:t>Schimmack</w:t>
      </w:r>
      <w:proofErr w:type="spellEnd"/>
      <w:r w:rsidRPr="008758E0">
        <w:rPr>
          <w:rFonts w:ascii="Times New Roman" w:eastAsia="Times New Roman" w:hAnsi="Times New Roman" w:cs="Times New Roman"/>
          <w:kern w:val="0"/>
          <w:sz w:val="24"/>
          <w:szCs w:val="24"/>
          <w:lang w:eastAsia="en-GB"/>
          <w14:ligatures w14:val="none"/>
        </w:rPr>
        <w:t xml:space="preserve">, U. (2019). The implicit association test: A method in search of a construct. </w:t>
      </w:r>
      <w:r w:rsidRPr="008758E0">
        <w:rPr>
          <w:rFonts w:ascii="Times New Roman" w:eastAsia="Times New Roman" w:hAnsi="Times New Roman" w:cs="Times New Roman"/>
          <w:i/>
          <w:iCs/>
          <w:kern w:val="0"/>
          <w:sz w:val="24"/>
          <w:szCs w:val="24"/>
          <w:lang w:eastAsia="en-GB"/>
          <w14:ligatures w14:val="none"/>
        </w:rPr>
        <w:t>Perspectives on Psychological Science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16</w:t>
      </w:r>
      <w:r w:rsidRPr="008758E0">
        <w:rPr>
          <w:rFonts w:ascii="Times New Roman" w:eastAsia="Times New Roman" w:hAnsi="Times New Roman" w:cs="Times New Roman"/>
          <w:kern w:val="0"/>
          <w:sz w:val="24"/>
          <w:szCs w:val="24"/>
          <w:lang w:eastAsia="en-GB"/>
          <w14:ligatures w14:val="none"/>
        </w:rPr>
        <w:t xml:space="preserve">(2), 396–414. https://doi.org/10.1177/1745691619863798 </w:t>
      </w:r>
    </w:p>
    <w:p w14:paraId="78B397D4"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Shiao, J., &amp; Woody, A. (2020). The meaning of “racism.” </w:t>
      </w:r>
      <w:r w:rsidRPr="008758E0">
        <w:rPr>
          <w:rFonts w:ascii="Times New Roman" w:eastAsia="Times New Roman" w:hAnsi="Times New Roman" w:cs="Times New Roman"/>
          <w:i/>
          <w:iCs/>
          <w:kern w:val="0"/>
          <w:sz w:val="24"/>
          <w:szCs w:val="24"/>
          <w:lang w:eastAsia="en-GB"/>
          <w14:ligatures w14:val="none"/>
        </w:rPr>
        <w:t>Sociological Perspectives</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64</w:t>
      </w:r>
      <w:r w:rsidRPr="008758E0">
        <w:rPr>
          <w:rFonts w:ascii="Times New Roman" w:eastAsia="Times New Roman" w:hAnsi="Times New Roman" w:cs="Times New Roman"/>
          <w:kern w:val="0"/>
          <w:sz w:val="24"/>
          <w:szCs w:val="24"/>
          <w:lang w:eastAsia="en-GB"/>
          <w14:ligatures w14:val="none"/>
        </w:rPr>
        <w:t xml:space="preserve">(4), 495–517. https://doi.org/10.1177/0731121420964239 </w:t>
      </w:r>
    </w:p>
    <w:p w14:paraId="1CD48D57"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Stangl, A. L., Earnshaw, V. A., </w:t>
      </w:r>
      <w:proofErr w:type="spellStart"/>
      <w:r w:rsidRPr="008758E0">
        <w:rPr>
          <w:rFonts w:ascii="Times New Roman" w:eastAsia="Times New Roman" w:hAnsi="Times New Roman" w:cs="Times New Roman"/>
          <w:kern w:val="0"/>
          <w:sz w:val="24"/>
          <w:szCs w:val="24"/>
          <w:lang w:eastAsia="en-GB"/>
          <w14:ligatures w14:val="none"/>
        </w:rPr>
        <w:t>Logie</w:t>
      </w:r>
      <w:proofErr w:type="spellEnd"/>
      <w:r w:rsidRPr="008758E0">
        <w:rPr>
          <w:rFonts w:ascii="Times New Roman" w:eastAsia="Times New Roman" w:hAnsi="Times New Roman" w:cs="Times New Roman"/>
          <w:kern w:val="0"/>
          <w:sz w:val="24"/>
          <w:szCs w:val="24"/>
          <w:lang w:eastAsia="en-GB"/>
          <w14:ligatures w14:val="none"/>
        </w:rPr>
        <w:t xml:space="preserve">, C. H., van Brakel, W., C. </w:t>
      </w:r>
      <w:proofErr w:type="spellStart"/>
      <w:r w:rsidRPr="008758E0">
        <w:rPr>
          <w:rFonts w:ascii="Times New Roman" w:eastAsia="Times New Roman" w:hAnsi="Times New Roman" w:cs="Times New Roman"/>
          <w:kern w:val="0"/>
          <w:sz w:val="24"/>
          <w:szCs w:val="24"/>
          <w:lang w:eastAsia="en-GB"/>
          <w14:ligatures w14:val="none"/>
        </w:rPr>
        <w:t>Simbayi</w:t>
      </w:r>
      <w:proofErr w:type="spellEnd"/>
      <w:r w:rsidRPr="008758E0">
        <w:rPr>
          <w:rFonts w:ascii="Times New Roman" w:eastAsia="Times New Roman" w:hAnsi="Times New Roman" w:cs="Times New Roman"/>
          <w:kern w:val="0"/>
          <w:sz w:val="24"/>
          <w:szCs w:val="24"/>
          <w:lang w:eastAsia="en-GB"/>
          <w14:ligatures w14:val="none"/>
        </w:rPr>
        <w:t xml:space="preserve">, L., Barré, I., &amp; Dovidio, J. F. (2019). The health stigma and discrimination framework: A global, crosscutting framework to inform research, Intervention Development, and policy on health-related stigmas. </w:t>
      </w:r>
      <w:r w:rsidRPr="008758E0">
        <w:rPr>
          <w:rFonts w:ascii="Times New Roman" w:eastAsia="Times New Roman" w:hAnsi="Times New Roman" w:cs="Times New Roman"/>
          <w:i/>
          <w:iCs/>
          <w:kern w:val="0"/>
          <w:sz w:val="24"/>
          <w:szCs w:val="24"/>
          <w:lang w:eastAsia="en-GB"/>
          <w14:ligatures w14:val="none"/>
        </w:rPr>
        <w:t>BMC Medicine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17</w:t>
      </w:r>
      <w:r w:rsidRPr="008758E0">
        <w:rPr>
          <w:rFonts w:ascii="Times New Roman" w:eastAsia="Times New Roman" w:hAnsi="Times New Roman" w:cs="Times New Roman"/>
          <w:kern w:val="0"/>
          <w:sz w:val="24"/>
          <w:szCs w:val="24"/>
          <w:lang w:eastAsia="en-GB"/>
          <w14:ligatures w14:val="none"/>
        </w:rPr>
        <w:t xml:space="preserve">(1). https://doi.org/10.1186/s12916-019-1271-3 </w:t>
      </w:r>
    </w:p>
    <w:p w14:paraId="213EF6AF"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8758E0">
        <w:rPr>
          <w:rFonts w:ascii="Times New Roman" w:eastAsia="Times New Roman" w:hAnsi="Times New Roman" w:cs="Times New Roman"/>
          <w:kern w:val="0"/>
          <w:sz w:val="24"/>
          <w:szCs w:val="24"/>
          <w:lang w:eastAsia="en-GB"/>
          <w14:ligatures w14:val="none"/>
        </w:rPr>
        <w:t>Teherani</w:t>
      </w:r>
      <w:proofErr w:type="spellEnd"/>
      <w:r w:rsidRPr="008758E0">
        <w:rPr>
          <w:rFonts w:ascii="Times New Roman" w:eastAsia="Times New Roman" w:hAnsi="Times New Roman" w:cs="Times New Roman"/>
          <w:kern w:val="0"/>
          <w:sz w:val="24"/>
          <w:szCs w:val="24"/>
          <w:lang w:eastAsia="en-GB"/>
          <w14:ligatures w14:val="none"/>
        </w:rPr>
        <w:t xml:space="preserve">, A., Hauer, K. E., Fernandez, A., King, T. E., &amp; Lucey, C. (2018). </w:t>
      </w:r>
      <w:proofErr w:type="gramStart"/>
      <w:r w:rsidRPr="008758E0">
        <w:rPr>
          <w:rFonts w:ascii="Times New Roman" w:eastAsia="Times New Roman" w:hAnsi="Times New Roman" w:cs="Times New Roman"/>
          <w:kern w:val="0"/>
          <w:sz w:val="24"/>
          <w:szCs w:val="24"/>
          <w:lang w:eastAsia="en-GB"/>
          <w14:ligatures w14:val="none"/>
        </w:rPr>
        <w:t>How</w:t>
      </w:r>
      <w:proofErr w:type="gramEnd"/>
      <w:r w:rsidRPr="008758E0">
        <w:rPr>
          <w:rFonts w:ascii="Times New Roman" w:eastAsia="Times New Roman" w:hAnsi="Times New Roman" w:cs="Times New Roman"/>
          <w:kern w:val="0"/>
          <w:sz w:val="24"/>
          <w:szCs w:val="24"/>
          <w:lang w:eastAsia="en-GB"/>
          <w14:ligatures w14:val="none"/>
        </w:rPr>
        <w:t xml:space="preserve"> small differences in assessed clinical performance amplify to large differences in grades and awards. </w:t>
      </w:r>
      <w:r w:rsidRPr="008758E0">
        <w:rPr>
          <w:rFonts w:ascii="Times New Roman" w:eastAsia="Times New Roman" w:hAnsi="Times New Roman" w:cs="Times New Roman"/>
          <w:i/>
          <w:iCs/>
          <w:kern w:val="0"/>
          <w:sz w:val="24"/>
          <w:szCs w:val="24"/>
          <w:lang w:eastAsia="en-GB"/>
          <w14:ligatures w14:val="none"/>
        </w:rPr>
        <w:t>Academic Medicine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93</w:t>
      </w:r>
      <w:r w:rsidRPr="008758E0">
        <w:rPr>
          <w:rFonts w:ascii="Times New Roman" w:eastAsia="Times New Roman" w:hAnsi="Times New Roman" w:cs="Times New Roman"/>
          <w:kern w:val="0"/>
          <w:sz w:val="24"/>
          <w:szCs w:val="24"/>
          <w:lang w:eastAsia="en-GB"/>
          <w14:ligatures w14:val="none"/>
        </w:rPr>
        <w:t xml:space="preserve">(9), 1286–1292. https://doi.org/10.1097/acm.0000000000002323 </w:t>
      </w:r>
    </w:p>
    <w:p w14:paraId="078A5445"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8758E0">
        <w:rPr>
          <w:rFonts w:ascii="Times New Roman" w:eastAsia="Times New Roman" w:hAnsi="Times New Roman" w:cs="Times New Roman"/>
          <w:kern w:val="0"/>
          <w:sz w:val="24"/>
          <w:szCs w:val="24"/>
          <w:lang w:eastAsia="en-GB"/>
          <w14:ligatures w14:val="none"/>
        </w:rPr>
        <w:t>Toosi</w:t>
      </w:r>
      <w:proofErr w:type="spellEnd"/>
      <w:r w:rsidRPr="008758E0">
        <w:rPr>
          <w:rFonts w:ascii="Times New Roman" w:eastAsia="Times New Roman" w:hAnsi="Times New Roman" w:cs="Times New Roman"/>
          <w:kern w:val="0"/>
          <w:sz w:val="24"/>
          <w:szCs w:val="24"/>
          <w:lang w:eastAsia="en-GB"/>
          <w14:ligatures w14:val="none"/>
        </w:rPr>
        <w:t xml:space="preserve">, N. R., Layous, K., &amp; </w:t>
      </w:r>
      <w:proofErr w:type="spellStart"/>
      <w:r w:rsidRPr="008758E0">
        <w:rPr>
          <w:rFonts w:ascii="Times New Roman" w:eastAsia="Times New Roman" w:hAnsi="Times New Roman" w:cs="Times New Roman"/>
          <w:kern w:val="0"/>
          <w:sz w:val="24"/>
          <w:szCs w:val="24"/>
          <w:lang w:eastAsia="en-GB"/>
          <w14:ligatures w14:val="none"/>
        </w:rPr>
        <w:t>Reevy</w:t>
      </w:r>
      <w:proofErr w:type="spellEnd"/>
      <w:r w:rsidRPr="008758E0">
        <w:rPr>
          <w:rFonts w:ascii="Times New Roman" w:eastAsia="Times New Roman" w:hAnsi="Times New Roman" w:cs="Times New Roman"/>
          <w:kern w:val="0"/>
          <w:sz w:val="24"/>
          <w:szCs w:val="24"/>
          <w:lang w:eastAsia="en-GB"/>
          <w14:ligatures w14:val="none"/>
        </w:rPr>
        <w:t xml:space="preserve">, G. M. (2021). Recognizing racism in George Floyd's death. </w:t>
      </w:r>
      <w:r w:rsidRPr="008758E0">
        <w:rPr>
          <w:rFonts w:ascii="Times New Roman" w:eastAsia="Times New Roman" w:hAnsi="Times New Roman" w:cs="Times New Roman"/>
          <w:i/>
          <w:iCs/>
          <w:kern w:val="0"/>
          <w:sz w:val="24"/>
          <w:szCs w:val="24"/>
          <w:lang w:eastAsia="en-GB"/>
          <w14:ligatures w14:val="none"/>
        </w:rPr>
        <w:t>Analyses of Social Issues and Public Policy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21</w:t>
      </w:r>
      <w:r w:rsidRPr="008758E0">
        <w:rPr>
          <w:rFonts w:ascii="Times New Roman" w:eastAsia="Times New Roman" w:hAnsi="Times New Roman" w:cs="Times New Roman"/>
          <w:kern w:val="0"/>
          <w:sz w:val="24"/>
          <w:szCs w:val="24"/>
          <w:lang w:eastAsia="en-GB"/>
          <w14:ligatures w14:val="none"/>
        </w:rPr>
        <w:t xml:space="preserve">(1), 1184–1201. https://doi.org/10.1111/asap.12282 </w:t>
      </w:r>
    </w:p>
    <w:p w14:paraId="60CF937C"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8758E0">
        <w:rPr>
          <w:rFonts w:ascii="Times New Roman" w:eastAsia="Times New Roman" w:hAnsi="Times New Roman" w:cs="Times New Roman"/>
          <w:kern w:val="0"/>
          <w:sz w:val="24"/>
          <w:szCs w:val="24"/>
          <w:lang w:eastAsia="en-GB"/>
          <w14:ligatures w14:val="none"/>
        </w:rPr>
        <w:t>Trawalter</w:t>
      </w:r>
      <w:proofErr w:type="spellEnd"/>
      <w:r w:rsidRPr="008758E0">
        <w:rPr>
          <w:rFonts w:ascii="Times New Roman" w:eastAsia="Times New Roman" w:hAnsi="Times New Roman" w:cs="Times New Roman"/>
          <w:kern w:val="0"/>
          <w:sz w:val="24"/>
          <w:szCs w:val="24"/>
          <w:lang w:eastAsia="en-GB"/>
          <w14:ligatures w14:val="none"/>
        </w:rPr>
        <w:t xml:space="preserve">, S., Higginbotham, G. D., &amp; Henderson, K. (2022). Social Psychological Research on racism and the importance of historical context: Implications for policy. </w:t>
      </w:r>
      <w:r w:rsidRPr="008758E0">
        <w:rPr>
          <w:rFonts w:ascii="Times New Roman" w:eastAsia="Times New Roman" w:hAnsi="Times New Roman" w:cs="Times New Roman"/>
          <w:i/>
          <w:iCs/>
          <w:kern w:val="0"/>
          <w:sz w:val="24"/>
          <w:szCs w:val="24"/>
          <w:lang w:eastAsia="en-GB"/>
          <w14:ligatures w14:val="none"/>
        </w:rPr>
        <w:t>Current Directions in Psychological Science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31</w:t>
      </w:r>
      <w:r w:rsidRPr="008758E0">
        <w:rPr>
          <w:rFonts w:ascii="Times New Roman" w:eastAsia="Times New Roman" w:hAnsi="Times New Roman" w:cs="Times New Roman"/>
          <w:kern w:val="0"/>
          <w:sz w:val="24"/>
          <w:szCs w:val="24"/>
          <w:lang w:eastAsia="en-GB"/>
          <w14:ligatures w14:val="none"/>
        </w:rPr>
        <w:t xml:space="preserve">(6), 493–499. https://doi.org/10.1177/09637214221114092 </w:t>
      </w:r>
    </w:p>
    <w:p w14:paraId="1659F3A3"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roofErr w:type="spellStart"/>
      <w:r w:rsidRPr="008758E0">
        <w:rPr>
          <w:rFonts w:ascii="Times New Roman" w:eastAsia="Times New Roman" w:hAnsi="Times New Roman" w:cs="Times New Roman"/>
          <w:kern w:val="0"/>
          <w:sz w:val="24"/>
          <w:szCs w:val="24"/>
          <w:lang w:eastAsia="en-GB"/>
          <w14:ligatures w14:val="none"/>
        </w:rPr>
        <w:t>Vaidis</w:t>
      </w:r>
      <w:proofErr w:type="spellEnd"/>
      <w:r w:rsidRPr="008758E0">
        <w:rPr>
          <w:rFonts w:ascii="Times New Roman" w:eastAsia="Times New Roman" w:hAnsi="Times New Roman" w:cs="Times New Roman"/>
          <w:kern w:val="0"/>
          <w:sz w:val="24"/>
          <w:szCs w:val="24"/>
          <w:lang w:eastAsia="en-GB"/>
          <w14:ligatures w14:val="none"/>
        </w:rPr>
        <w:t xml:space="preserve">, D. C., &amp; Bran, A. (2019). Respectable challenges to respectable theory: Cognitive dissonance theory requires conceptualization clarification and operational tools. </w:t>
      </w:r>
      <w:r w:rsidRPr="008758E0">
        <w:rPr>
          <w:rFonts w:ascii="Times New Roman" w:eastAsia="Times New Roman" w:hAnsi="Times New Roman" w:cs="Times New Roman"/>
          <w:i/>
          <w:iCs/>
          <w:kern w:val="0"/>
          <w:sz w:val="24"/>
          <w:szCs w:val="24"/>
          <w:lang w:eastAsia="en-GB"/>
          <w14:ligatures w14:val="none"/>
        </w:rPr>
        <w:t>Frontiers in Psychology</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10</w:t>
      </w:r>
      <w:r w:rsidRPr="008758E0">
        <w:rPr>
          <w:rFonts w:ascii="Times New Roman" w:eastAsia="Times New Roman" w:hAnsi="Times New Roman" w:cs="Times New Roman"/>
          <w:kern w:val="0"/>
          <w:sz w:val="24"/>
          <w:szCs w:val="24"/>
          <w:lang w:eastAsia="en-GB"/>
          <w14:ligatures w14:val="none"/>
        </w:rPr>
        <w:t xml:space="preserve">. https://doi.org/10.3389/fpsyg.2019.01189 </w:t>
      </w:r>
    </w:p>
    <w:p w14:paraId="13E463CC" w14:textId="77777777" w:rsidR="008758E0" w:rsidRPr="008758E0" w:rsidRDefault="008758E0" w:rsidP="008758E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8758E0">
        <w:rPr>
          <w:rFonts w:ascii="Times New Roman" w:eastAsia="Times New Roman" w:hAnsi="Times New Roman" w:cs="Times New Roman"/>
          <w:kern w:val="0"/>
          <w:sz w:val="24"/>
          <w:szCs w:val="24"/>
          <w:lang w:eastAsia="en-GB"/>
          <w14:ligatures w14:val="none"/>
        </w:rPr>
        <w:t xml:space="preserve">Williams, J. A., Logan, T. D., &amp; Hardy, B. L. (2021). The persistence of historical racial violence and political suppression: Implications for contemporary regional inequality. </w:t>
      </w:r>
      <w:r w:rsidRPr="008758E0">
        <w:rPr>
          <w:rFonts w:ascii="Times New Roman" w:eastAsia="Times New Roman" w:hAnsi="Times New Roman" w:cs="Times New Roman"/>
          <w:i/>
          <w:iCs/>
          <w:kern w:val="0"/>
          <w:sz w:val="24"/>
          <w:szCs w:val="24"/>
          <w:lang w:eastAsia="en-GB"/>
          <w14:ligatures w14:val="none"/>
        </w:rPr>
        <w:t>The ANNALS of the American Academy of Political and Social Science</w:t>
      </w:r>
      <w:r w:rsidRPr="008758E0">
        <w:rPr>
          <w:rFonts w:ascii="Times New Roman" w:eastAsia="Times New Roman" w:hAnsi="Times New Roman" w:cs="Times New Roman"/>
          <w:kern w:val="0"/>
          <w:sz w:val="24"/>
          <w:szCs w:val="24"/>
          <w:lang w:eastAsia="en-GB"/>
          <w14:ligatures w14:val="none"/>
        </w:rPr>
        <w:t xml:space="preserve">, </w:t>
      </w:r>
      <w:r w:rsidRPr="008758E0">
        <w:rPr>
          <w:rFonts w:ascii="Times New Roman" w:eastAsia="Times New Roman" w:hAnsi="Times New Roman" w:cs="Times New Roman"/>
          <w:i/>
          <w:iCs/>
          <w:kern w:val="0"/>
          <w:sz w:val="24"/>
          <w:szCs w:val="24"/>
          <w:lang w:eastAsia="en-GB"/>
          <w14:ligatures w14:val="none"/>
        </w:rPr>
        <w:t>694</w:t>
      </w:r>
      <w:r w:rsidRPr="008758E0">
        <w:rPr>
          <w:rFonts w:ascii="Times New Roman" w:eastAsia="Times New Roman" w:hAnsi="Times New Roman" w:cs="Times New Roman"/>
          <w:kern w:val="0"/>
          <w:sz w:val="24"/>
          <w:szCs w:val="24"/>
          <w:lang w:eastAsia="en-GB"/>
          <w14:ligatures w14:val="none"/>
        </w:rPr>
        <w:t xml:space="preserve">(1), 92–107. https://doi.org/10.1177/00027162211016298 </w:t>
      </w:r>
    </w:p>
    <w:p w14:paraId="263F5AD2" w14:textId="77777777" w:rsidR="00FD40FC" w:rsidRPr="00FD40FC" w:rsidRDefault="00FD40FC" w:rsidP="00FD40FC">
      <w:pPr>
        <w:jc w:val="center"/>
        <w:rPr>
          <w:rFonts w:ascii="Times New Roman" w:hAnsi="Times New Roman" w:cs="Times New Roman"/>
          <w:sz w:val="24"/>
          <w:szCs w:val="24"/>
          <w:u w:val="single"/>
        </w:rPr>
      </w:pPr>
    </w:p>
    <w:sectPr w:rsidR="00FD40FC" w:rsidRPr="00FD4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6D3"/>
    <w:rsid w:val="00254B15"/>
    <w:rsid w:val="005266D3"/>
    <w:rsid w:val="00560D66"/>
    <w:rsid w:val="00577E26"/>
    <w:rsid w:val="00674E28"/>
    <w:rsid w:val="0070270D"/>
    <w:rsid w:val="008353E3"/>
    <w:rsid w:val="00872C0F"/>
    <w:rsid w:val="008758E0"/>
    <w:rsid w:val="009069E5"/>
    <w:rsid w:val="00B83428"/>
    <w:rsid w:val="00C67738"/>
    <w:rsid w:val="00FD4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81503"/>
  <w15:chartTrackingRefBased/>
  <w15:docId w15:val="{1413A0AB-2046-4EA5-9179-FD421D298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66D3"/>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872C0F"/>
    <w:pPr>
      <w:spacing w:after="0"/>
      <w:ind w:firstLine="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10009">
      <w:bodyDiv w:val="1"/>
      <w:marLeft w:val="0"/>
      <w:marRight w:val="0"/>
      <w:marTop w:val="0"/>
      <w:marBottom w:val="0"/>
      <w:divBdr>
        <w:top w:val="none" w:sz="0" w:space="0" w:color="auto"/>
        <w:left w:val="none" w:sz="0" w:space="0" w:color="auto"/>
        <w:bottom w:val="none" w:sz="0" w:space="0" w:color="auto"/>
        <w:right w:val="none" w:sz="0" w:space="0" w:color="auto"/>
      </w:divBdr>
    </w:div>
    <w:div w:id="804157026">
      <w:bodyDiv w:val="1"/>
      <w:marLeft w:val="0"/>
      <w:marRight w:val="0"/>
      <w:marTop w:val="0"/>
      <w:marBottom w:val="0"/>
      <w:divBdr>
        <w:top w:val="none" w:sz="0" w:space="0" w:color="auto"/>
        <w:left w:val="none" w:sz="0" w:space="0" w:color="auto"/>
        <w:bottom w:val="none" w:sz="0" w:space="0" w:color="auto"/>
        <w:right w:val="none" w:sz="0" w:space="0" w:color="auto"/>
      </w:divBdr>
    </w:div>
    <w:div w:id="1087264696">
      <w:bodyDiv w:val="1"/>
      <w:marLeft w:val="0"/>
      <w:marRight w:val="0"/>
      <w:marTop w:val="0"/>
      <w:marBottom w:val="0"/>
      <w:divBdr>
        <w:top w:val="none" w:sz="0" w:space="0" w:color="auto"/>
        <w:left w:val="none" w:sz="0" w:space="0" w:color="auto"/>
        <w:bottom w:val="none" w:sz="0" w:space="0" w:color="auto"/>
        <w:right w:val="none" w:sz="0" w:space="0" w:color="auto"/>
      </w:divBdr>
    </w:div>
    <w:div w:id="1202479032">
      <w:bodyDiv w:val="1"/>
      <w:marLeft w:val="0"/>
      <w:marRight w:val="0"/>
      <w:marTop w:val="0"/>
      <w:marBottom w:val="0"/>
      <w:divBdr>
        <w:top w:val="none" w:sz="0" w:space="0" w:color="auto"/>
        <w:left w:val="none" w:sz="0" w:space="0" w:color="auto"/>
        <w:bottom w:val="none" w:sz="0" w:space="0" w:color="auto"/>
        <w:right w:val="none" w:sz="0" w:space="0" w:color="auto"/>
      </w:divBdr>
    </w:div>
    <w:div w:id="160623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c427e4b33fd639e5d605588267226c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4df75a9dbe3d32f2eb2740d63ae2e6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CD4DC1-E682-43FB-949F-61C39A11C741}">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7E946406-C399-42CE-BF8B-10571FF7F9A5}">
  <ds:schemaRefs>
    <ds:schemaRef ds:uri="http://schemas.microsoft.com/sharepoint/v3/contenttype/forms"/>
  </ds:schemaRefs>
</ds:datastoreItem>
</file>

<file path=customXml/itemProps3.xml><?xml version="1.0" encoding="utf-8"?>
<ds:datastoreItem xmlns:ds="http://schemas.openxmlformats.org/officeDocument/2006/customXml" ds:itemID="{C6CB0D6C-78FC-4227-AD20-6E0F88971C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3646</Words>
  <Characters>20787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Mahmood</dc:creator>
  <cp:keywords/>
  <dc:description/>
  <cp:lastModifiedBy>Sabha Mahmood</cp:lastModifiedBy>
  <cp:revision>7</cp:revision>
  <dcterms:created xsi:type="dcterms:W3CDTF">2023-03-14T23:16:00Z</dcterms:created>
  <dcterms:modified xsi:type="dcterms:W3CDTF">2023-03-14T23:51:00Z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