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spacing w:lineRule="auto" w:line="360"/>
        <w:jc w:val="center"/>
        <w:rPr>
          <w:rFonts w:ascii="Times New Roman" w:hAnsi="Times New Roman" w:eastAsia="Times New Roman" w:cs="Times New Roman"/>
          <w:b/>
          <w:b/>
          <w:color w:val="000000" w:themeColor="text1"/>
          <w:sz w:val="36"/>
          <w:szCs w:val="36"/>
          <w:lang w:val="en-GB"/>
        </w:rPr>
      </w:pPr>
      <w:r>
        <w:rPr>
          <w:rFonts w:eastAsia="Times New Roman" w:cs="Times New Roman" w:ascii="Times New Roman" w:hAnsi="Times New Roman"/>
          <w:b/>
          <w:color w:val="000000" w:themeColor="text1"/>
          <w:sz w:val="36"/>
          <w:szCs w:val="36"/>
          <w:lang w:val="en-GB"/>
        </w:rPr>
      </w:r>
    </w:p>
    <w:p>
      <w:pPr>
        <w:pStyle w:val="Normal1"/>
        <w:spacing w:lineRule="auto" w:line="360"/>
        <w:jc w:val="center"/>
        <w:rPr>
          <w:rFonts w:ascii="Times New Roman" w:hAnsi="Times New Roman" w:eastAsia="Times New Roman" w:cs="Times New Roman"/>
          <w:b/>
          <w:b/>
          <w:color w:val="000000" w:themeColor="text1"/>
          <w:sz w:val="36"/>
          <w:szCs w:val="36"/>
          <w:lang w:val="en-GB"/>
        </w:rPr>
      </w:pPr>
      <w:r>
        <w:rPr>
          <w:rFonts w:eastAsia="Times New Roman" w:cs="Times New Roman" w:ascii="Times New Roman" w:hAnsi="Times New Roman"/>
          <w:b/>
          <w:color w:val="000000" w:themeColor="text1"/>
          <w:sz w:val="36"/>
          <w:szCs w:val="36"/>
          <w:lang w:val="en-GB"/>
        </w:rPr>
      </w:r>
    </w:p>
    <w:p>
      <w:pPr>
        <w:pStyle w:val="Normal1"/>
        <w:spacing w:lineRule="auto" w:line="360"/>
        <w:jc w:val="center"/>
        <w:rPr>
          <w:rFonts w:ascii="Times New Roman" w:hAnsi="Times New Roman" w:eastAsia="Times New Roman" w:cs="Times New Roman"/>
          <w:b/>
          <w:b/>
          <w:color w:val="000000" w:themeColor="text1"/>
          <w:sz w:val="36"/>
          <w:szCs w:val="36"/>
          <w:lang w:val="en-GB"/>
        </w:rPr>
      </w:pPr>
      <w:r>
        <w:rPr>
          <w:rFonts w:eastAsia="Times New Roman" w:cs="Times New Roman" w:ascii="Times New Roman" w:hAnsi="Times New Roman"/>
          <w:b/>
          <w:color w:val="000000" w:themeColor="text1"/>
          <w:sz w:val="36"/>
          <w:szCs w:val="36"/>
          <w:lang w:val="en-GB"/>
        </w:rPr>
      </w:r>
    </w:p>
    <w:p>
      <w:pPr>
        <w:pStyle w:val="Normal1"/>
        <w:spacing w:lineRule="auto" w:line="360"/>
        <w:jc w:val="center"/>
        <w:rPr>
          <w:rFonts w:ascii="Times New Roman" w:hAnsi="Times New Roman" w:eastAsia="Times New Roman" w:cs="Times New Roman"/>
          <w:b/>
          <w:b/>
          <w:color w:val="000000" w:themeColor="text1"/>
          <w:sz w:val="36"/>
          <w:szCs w:val="36"/>
          <w:lang w:val="en-GB"/>
        </w:rPr>
      </w:pPr>
      <w:r>
        <w:rPr>
          <w:rFonts w:eastAsia="Times New Roman" w:cs="Times New Roman" w:ascii="Times New Roman" w:hAnsi="Times New Roman"/>
          <w:b/>
          <w:color w:val="000000" w:themeColor="text1"/>
          <w:sz w:val="36"/>
          <w:szCs w:val="36"/>
          <w:lang w:val="en-GB"/>
        </w:rPr>
      </w:r>
    </w:p>
    <w:p>
      <w:pPr>
        <w:pStyle w:val="Normal1"/>
        <w:spacing w:lineRule="auto" w:line="360"/>
        <w:rPr>
          <w:rFonts w:ascii="Times New Roman" w:hAnsi="Times New Roman" w:eastAsia="Times New Roman" w:cs="Times New Roman"/>
          <w:b/>
          <w:b/>
          <w:color w:val="000000" w:themeColor="text1"/>
          <w:sz w:val="36"/>
          <w:szCs w:val="36"/>
          <w:lang w:val="en-GB"/>
        </w:rPr>
      </w:pPr>
      <w:r>
        <w:rPr>
          <w:rFonts w:eastAsia="Times New Roman" w:cs="Times New Roman" w:ascii="Times New Roman" w:hAnsi="Times New Roman"/>
          <w:b/>
          <w:color w:val="000000" w:themeColor="text1"/>
          <w:sz w:val="36"/>
          <w:szCs w:val="36"/>
          <w:lang w:val="en-GB"/>
        </w:rPr>
      </w:r>
    </w:p>
    <w:p>
      <w:pPr>
        <w:pStyle w:val="Normal1"/>
        <w:spacing w:lineRule="auto" w:line="360"/>
        <w:jc w:val="center"/>
        <w:rPr>
          <w:rFonts w:ascii="Times New Roman" w:hAnsi="Times New Roman" w:eastAsia="Times New Roman" w:cs="Times New Roman"/>
          <w:b/>
          <w:b/>
          <w:color w:val="000000" w:themeColor="text1"/>
          <w:sz w:val="36"/>
          <w:szCs w:val="36"/>
          <w:u w:val="single"/>
          <w:lang w:val="en-GB"/>
        </w:rPr>
      </w:pPr>
      <w:r>
        <w:rPr>
          <w:rFonts w:eastAsia="Times New Roman" w:cs="Times New Roman" w:ascii="Times New Roman" w:hAnsi="Times New Roman"/>
          <w:b/>
          <w:color w:val="000000" w:themeColor="text1"/>
          <w:sz w:val="36"/>
          <w:szCs w:val="36"/>
          <w:u w:val="single"/>
          <w:lang w:val="en-GB"/>
        </w:rPr>
        <w:t>Constitutional Reform Act 2005</w:t>
      </w:r>
    </w:p>
    <w:p>
      <w:pPr>
        <w:pStyle w:val="Normal1"/>
        <w:spacing w:lineRule="auto" w:line="360"/>
        <w:jc w:val="center"/>
        <w:rPr>
          <w:rFonts w:ascii="Times New Roman" w:hAnsi="Times New Roman" w:eastAsia="Times New Roman" w:cs="Times New Roman"/>
          <w:b/>
          <w:b/>
          <w:color w:val="000000" w:themeColor="text1"/>
          <w:sz w:val="36"/>
          <w:szCs w:val="36"/>
          <w:u w:val="single"/>
          <w:lang w:val="en-GB"/>
        </w:rPr>
      </w:pPr>
      <w:r>
        <w:rPr>
          <w:rFonts w:eastAsia="Times New Roman" w:cs="Times New Roman" w:ascii="Times New Roman" w:hAnsi="Times New Roman"/>
          <w:b/>
          <w:color w:val="000000" w:themeColor="text1"/>
          <w:sz w:val="36"/>
          <w:szCs w:val="36"/>
          <w:u w:val="single"/>
          <w:lang w:val="en-GB"/>
        </w:rPr>
        <w:t>BMPL4011</w:t>
      </w:r>
    </w:p>
    <w:p>
      <w:pPr>
        <w:pStyle w:val="Normal1"/>
        <w:spacing w:lineRule="auto" w:line="360"/>
        <w:jc w:val="center"/>
        <w:rPr>
          <w:rFonts w:ascii="Times New Roman" w:hAnsi="Times New Roman" w:eastAsia="Times New Roman" w:cs="Times New Roman"/>
          <w:b/>
          <w:b/>
          <w:i/>
          <w:i/>
          <w:color w:val="000000" w:themeColor="text1"/>
          <w:sz w:val="24"/>
          <w:szCs w:val="24"/>
          <w:lang w:val="en-GB"/>
        </w:rPr>
      </w:pPr>
      <w:r>
        <w:rPr>
          <w:rFonts w:eastAsia="Times New Roman" w:cs="Times New Roman" w:ascii="Times New Roman" w:hAnsi="Times New Roman"/>
          <w:b/>
          <w:i/>
          <w:color w:val="000000" w:themeColor="text1"/>
          <w:sz w:val="24"/>
          <w:szCs w:val="24"/>
          <w:lang w:val="en-GB"/>
        </w:rPr>
      </w:r>
    </w:p>
    <w:p>
      <w:pPr>
        <w:pStyle w:val="Normal1"/>
        <w:spacing w:lineRule="auto" w:line="360"/>
        <w:jc w:val="center"/>
        <w:rPr>
          <w:rFonts w:ascii="Times New Roman" w:hAnsi="Times New Roman" w:eastAsia="Times New Roman" w:cs="Times New Roman"/>
          <w:b/>
          <w:b/>
          <w:i/>
          <w:i/>
          <w:color w:val="000000" w:themeColor="text1"/>
          <w:sz w:val="24"/>
          <w:szCs w:val="24"/>
          <w:lang w:val="en-GB"/>
        </w:rPr>
      </w:pPr>
      <w:r>
        <w:rPr>
          <w:rFonts w:eastAsia="Times New Roman" w:cs="Times New Roman" w:ascii="Times New Roman" w:hAnsi="Times New Roman"/>
          <w:b/>
          <w:i/>
          <w:color w:val="000000" w:themeColor="text1"/>
          <w:sz w:val="24"/>
          <w:szCs w:val="24"/>
          <w:lang w:val="en-GB"/>
        </w:rPr>
        <w:t xml:space="preserve">Student Name: </w:t>
      </w:r>
      <w:r>
        <w:rPr>
          <w:rFonts w:eastAsia="Times New Roman" w:cs="Times New Roman" w:ascii="Times New Roman" w:hAnsi="Times New Roman"/>
          <w:b/>
          <w:i/>
          <w:color w:val="000000" w:themeColor="text1"/>
          <w:sz w:val="24"/>
          <w:szCs w:val="24"/>
          <w:lang w:val="en-GB"/>
        </w:rPr>
        <w:t>Stefania Steliana Boaba</w:t>
      </w:r>
    </w:p>
    <w:p>
      <w:pPr>
        <w:pStyle w:val="Normal1"/>
        <w:spacing w:lineRule="auto" w:line="360"/>
        <w:jc w:val="center"/>
        <w:rPr>
          <w:rFonts w:ascii="Times New Roman" w:hAnsi="Times New Roman" w:eastAsia="Times New Roman" w:cs="Times New Roman"/>
          <w:b/>
          <w:b/>
          <w:i/>
          <w:i/>
          <w:color w:val="000000" w:themeColor="text1"/>
          <w:sz w:val="24"/>
          <w:szCs w:val="24"/>
          <w:lang w:val="en-GB"/>
        </w:rPr>
      </w:pPr>
      <w:r>
        <w:rPr>
          <w:rFonts w:eastAsia="Times New Roman" w:cs="Times New Roman" w:ascii="Times New Roman" w:hAnsi="Times New Roman"/>
          <w:b/>
          <w:i/>
          <w:color w:val="000000" w:themeColor="text1"/>
          <w:sz w:val="24"/>
          <w:szCs w:val="24"/>
          <w:lang w:val="en-GB"/>
        </w:rPr>
        <w:t xml:space="preserve">Student Id: </w:t>
      </w:r>
      <w:r>
        <w:rPr>
          <w:rFonts w:eastAsia="Times New Roman" w:cs="Times New Roman" w:ascii="Times New Roman" w:hAnsi="Times New Roman"/>
          <w:b/>
          <w:i/>
          <w:color w:val="000000" w:themeColor="text1"/>
          <w:sz w:val="24"/>
          <w:szCs w:val="24"/>
          <w:lang w:val="en-GB"/>
        </w:rPr>
        <w:t>2245096</w:t>
      </w:r>
    </w:p>
    <w:p>
      <w:pPr>
        <w:pStyle w:val="Normal1"/>
        <w:spacing w:lineRule="auto" w:line="360"/>
        <w:jc w:val="center"/>
        <w:rPr>
          <w:rFonts w:ascii="Times New Roman" w:hAnsi="Times New Roman" w:eastAsia="Times New Roman" w:cs="Times New Roman"/>
          <w:b/>
          <w:b/>
          <w:i/>
          <w:i/>
          <w:color w:val="000000" w:themeColor="text1"/>
          <w:sz w:val="24"/>
          <w:szCs w:val="24"/>
          <w:lang w:val="en-GB"/>
        </w:rPr>
      </w:pPr>
      <w:r>
        <w:rPr>
          <w:rFonts w:eastAsia="Times New Roman" w:cs="Times New Roman" w:ascii="Times New Roman" w:hAnsi="Times New Roman"/>
          <w:b/>
          <w:i/>
          <w:color w:val="000000" w:themeColor="text1"/>
          <w:sz w:val="24"/>
          <w:szCs w:val="24"/>
          <w:lang w:val="en-GB"/>
        </w:rPr>
        <w:t xml:space="preserve">Course Name: </w:t>
      </w:r>
      <w:r>
        <w:rPr>
          <w:rFonts w:eastAsia="Times New Roman" w:cs="Times New Roman" w:ascii="Times New Roman" w:hAnsi="Times New Roman"/>
          <w:b/>
          <w:i/>
          <w:color w:val="000000" w:themeColor="text1"/>
          <w:sz w:val="24"/>
          <w:szCs w:val="24"/>
          <w:lang w:val="en-GB"/>
        </w:rPr>
        <w:t>Legal Process</w:t>
      </w:r>
    </w:p>
    <w:p>
      <w:pPr>
        <w:pStyle w:val="Normal1"/>
        <w:spacing w:lineRule="auto" w:line="360"/>
        <w:jc w:val="both"/>
        <w:rPr>
          <w:rFonts w:ascii="Times New Roman" w:hAnsi="Times New Roman" w:eastAsia="Times New Roman" w:cs="Times New Roman"/>
          <w:color w:val="000000" w:themeColor="text1"/>
          <w:sz w:val="24"/>
          <w:szCs w:val="24"/>
          <w:lang w:val="en-GB"/>
        </w:rPr>
      </w:pPr>
      <w:r>
        <w:rPr>
          <w:rFonts w:eastAsia="Times New Roman" w:cs="Times New Roman" w:ascii="Times New Roman" w:hAnsi="Times New Roman"/>
          <w:color w:val="000000" w:themeColor="text1"/>
          <w:sz w:val="24"/>
          <w:szCs w:val="24"/>
          <w:lang w:val="en-GB"/>
        </w:rPr>
      </w:r>
      <w:r>
        <w:br w:type="page"/>
      </w:r>
    </w:p>
    <w:p>
      <w:pPr>
        <w:pStyle w:val="Heading1"/>
        <w:rPr>
          <w:lang w:val="en-GB"/>
        </w:rPr>
      </w:pPr>
      <w:r>
        <w:rPr>
          <w:lang w:val="en-GB"/>
        </w:rPr>
        <w:t xml:space="preserve">Introduction </w:t>
      </w:r>
    </w:p>
    <w:p>
      <w:pPr>
        <w:pStyle w:val="Normal1"/>
        <w:spacing w:lineRule="auto" w:line="360"/>
        <w:jc w:val="both"/>
        <w:rPr>
          <w:rFonts w:ascii="Times New Roman" w:hAnsi="Times New Roman" w:eastAsia="Times New Roman" w:cs="Times New Roman"/>
          <w:color w:val="000000" w:themeColor="text1"/>
          <w:sz w:val="24"/>
          <w:szCs w:val="24"/>
          <w:lang w:val="en-GB"/>
        </w:rPr>
      </w:pPr>
      <w:r>
        <w:rPr>
          <w:rFonts w:eastAsia="Times New Roman" w:cs="Times New Roman" w:ascii="Times New Roman" w:hAnsi="Times New Roman"/>
          <w:color w:val="000000" w:themeColor="text1"/>
          <w:sz w:val="24"/>
          <w:szCs w:val="24"/>
          <w:lang w:val="en-GB"/>
        </w:rPr>
        <w:t xml:space="preserve">As per </w:t>
      </w:r>
      <w:r>
        <w:rPr>
          <w:rFonts w:eastAsia="Times New Roman" w:cs="Times New Roman" w:ascii="Times New Roman" w:hAnsi="Times New Roman"/>
          <w:color w:val="000000" w:themeColor="text1"/>
          <w:sz w:val="24"/>
          <w:szCs w:val="24"/>
          <w:highlight w:val="white"/>
          <w:lang w:val="en-GB"/>
        </w:rPr>
        <w:t xml:space="preserve">Bhambra, (2020, p.307), </w:t>
      </w:r>
      <w:r>
        <w:rPr>
          <w:rFonts w:eastAsia="Times New Roman" w:cs="Times New Roman" w:ascii="Times New Roman" w:hAnsi="Times New Roman"/>
          <w:color w:val="000000" w:themeColor="text1"/>
          <w:sz w:val="24"/>
          <w:szCs w:val="24"/>
          <w:lang w:val="en-GB"/>
        </w:rPr>
        <w:t>The Constitutional Reform Act that has been implemented on 3rd April 2006, changed the role of the Lord Chancellor and the Act effectively enshrined the freedom of the judiciary after 900 years. The act has provided various guidelines that can be used by the country to ensure greater power to the judiciary as the act prohibits any special access to the judges that can directly or indirectly influence the decision. Further, the Act prescribed reform of the Lord Chancellor and introduced the title of The Lord Chief Justice who would be liable for the activities related to the judiciary matters. The Act established the Supreme Court and created the Judicial Appointment Commission but even after so much initiative regarding the reshaping of the judicial structure and other bodies in the UK constitution, the Act did not have enough potential to bring too many changes in the Separation of Power theory and the UK constitution (</w:t>
      </w:r>
      <w:r>
        <w:rPr>
          <w:rFonts w:eastAsia="Times New Roman" w:cs="Times New Roman" w:ascii="Times New Roman" w:hAnsi="Times New Roman"/>
          <w:color w:val="000000" w:themeColor="text1"/>
          <w:sz w:val="24"/>
          <w:szCs w:val="24"/>
          <w:highlight w:val="white"/>
          <w:lang w:val="en-GB"/>
        </w:rPr>
        <w:t>Bickerton, 2021, p.70</w:t>
      </w:r>
      <w:r>
        <w:rPr>
          <w:rFonts w:eastAsia="Times New Roman" w:cs="Times New Roman" w:ascii="Times New Roman" w:hAnsi="Times New Roman"/>
          <w:color w:val="000000" w:themeColor="text1"/>
          <w:sz w:val="24"/>
          <w:szCs w:val="24"/>
          <w:lang w:val="en-GB"/>
        </w:rPr>
        <w:t xml:space="preserve">). A detailed understanding of the loopholes of the Act has been evaluated in the essay and the failure of the Act has been indicated.            </w:t>
      </w:r>
    </w:p>
    <w:p>
      <w:pPr>
        <w:pStyle w:val="Heading1"/>
        <w:rPr>
          <w:lang w:val="en-GB"/>
        </w:rPr>
      </w:pPr>
      <w:r>
        <w:rPr>
          <w:lang w:val="en-GB"/>
        </w:rPr>
        <w:t>Discussion</w:t>
      </w:r>
    </w:p>
    <w:p>
      <w:pPr>
        <w:pStyle w:val="Normal1"/>
        <w:spacing w:lineRule="auto" w:line="360" w:before="240" w:after="0"/>
        <w:jc w:val="both"/>
        <w:rPr>
          <w:rFonts w:ascii="Times New Roman" w:hAnsi="Times New Roman" w:eastAsia="Times New Roman" w:cs="Times New Roman"/>
          <w:color w:val="000000" w:themeColor="text1"/>
          <w:sz w:val="24"/>
          <w:szCs w:val="24"/>
          <w:lang w:val="en-GB"/>
        </w:rPr>
      </w:pPr>
      <w:r>
        <w:rPr>
          <w:rFonts w:eastAsia="Times New Roman" w:cs="Times New Roman" w:ascii="Times New Roman" w:hAnsi="Times New Roman"/>
          <w:color w:val="000000" w:themeColor="text1"/>
          <w:sz w:val="24"/>
          <w:szCs w:val="24"/>
          <w:lang w:val="en-GB"/>
        </w:rPr>
        <w:t xml:space="preserve">The constitution of any country can be considered as the set of rules and principles that organise the country and these guidelines are contained in a single document. The British constitution is a collective form that contains various conventions, statutes, treaties and judicial decisions that combined govern the UK. As opined by </w:t>
      </w:r>
      <w:r>
        <w:rPr>
          <w:rFonts w:eastAsia="Times New Roman" w:cs="Times New Roman" w:ascii="Times New Roman" w:hAnsi="Times New Roman"/>
          <w:color w:val="000000" w:themeColor="text1"/>
          <w:sz w:val="24"/>
          <w:szCs w:val="24"/>
          <w:highlight w:val="white"/>
          <w:lang w:val="en-GB"/>
        </w:rPr>
        <w:t xml:space="preserve">Khanal and Bracarense, (2022, p.150), </w:t>
      </w:r>
      <w:r>
        <w:rPr>
          <w:rFonts w:eastAsia="Times New Roman" w:cs="Times New Roman" w:ascii="Times New Roman" w:hAnsi="Times New Roman"/>
          <w:color w:val="000000" w:themeColor="text1"/>
          <w:sz w:val="24"/>
          <w:szCs w:val="24"/>
          <w:lang w:val="en-GB"/>
        </w:rPr>
        <w:t xml:space="preserve">the constitution of the country is also referred to as the supreme law of the land and any law that has been passed, must not contradict the principles that have been stated in the constitution of the country. The defining principle of the British constitution is parliamentary sovereignty.    </w:t>
      </w:r>
    </w:p>
    <w:p>
      <w:pPr>
        <w:pStyle w:val="Normal1"/>
        <w:spacing w:lineRule="auto" w:line="360" w:before="240" w:after="0"/>
        <w:jc w:val="both"/>
        <w:rPr>
          <w:rFonts w:ascii="Times New Roman" w:hAnsi="Times New Roman" w:eastAsia="Times New Roman" w:cs="Times New Roman"/>
          <w:color w:val="000000" w:themeColor="text1"/>
          <w:sz w:val="24"/>
          <w:szCs w:val="24"/>
          <w:lang w:val="en-GB"/>
        </w:rPr>
      </w:pPr>
      <w:r>
        <w:rPr>
          <w:rFonts w:eastAsia="Times New Roman" w:cs="Times New Roman" w:ascii="Times New Roman" w:hAnsi="Times New Roman"/>
          <w:color w:val="000000" w:themeColor="text1"/>
          <w:sz w:val="24"/>
          <w:szCs w:val="24"/>
          <w:lang w:val="en-GB"/>
        </w:rPr>
        <w:t>Various other core principles of the constitution in the UK are the rules of the law, accountability of the ministers of the parliament, separation of the government into different levels of the judiciary, legislative and executive branches and the independence granted to the judiciary of the land. The constitution of the UK holds various guardians which involve the House of Lords Constitution Committee, The Supreme Court, the Lord Chancellor, the constitutional affairs committee, common public administration and some of the constitutional watchdogs including the electoral commission and judicial appointments commission (</w:t>
      </w:r>
      <w:r>
        <w:rPr>
          <w:rFonts w:eastAsia="Times New Roman" w:cs="Times New Roman" w:ascii="Times New Roman" w:hAnsi="Times New Roman"/>
          <w:color w:val="000000" w:themeColor="text1"/>
          <w:sz w:val="24"/>
          <w:szCs w:val="24"/>
          <w:highlight w:val="white"/>
          <w:lang w:val="en-GB"/>
        </w:rPr>
        <w:t>Partlett, 2021, p.311</w:t>
      </w:r>
      <w:r>
        <w:rPr>
          <w:rFonts w:eastAsia="Times New Roman" w:cs="Times New Roman" w:ascii="Times New Roman" w:hAnsi="Times New Roman"/>
          <w:color w:val="000000" w:themeColor="text1"/>
          <w:sz w:val="24"/>
          <w:szCs w:val="24"/>
          <w:lang w:val="en-GB"/>
        </w:rPr>
        <w:t xml:space="preserve">). The Constitutional Reform Act 2005 directly aims at the </w:t>
      </w:r>
      <w:r>
        <w:rPr>
          <w:rFonts w:eastAsia="Times New Roman" w:cs="Times New Roman" w:ascii="Times New Roman" w:hAnsi="Times New Roman"/>
          <w:i/>
          <w:color w:val="000000" w:themeColor="text1"/>
          <w:sz w:val="24"/>
          <w:szCs w:val="24"/>
          <w:lang w:val="en-GB"/>
        </w:rPr>
        <w:t>Separation of power theory</w:t>
      </w:r>
      <w:r>
        <w:rPr>
          <w:rFonts w:eastAsia="Times New Roman" w:cs="Times New Roman" w:ascii="Times New Roman" w:hAnsi="Times New Roman"/>
          <w:color w:val="000000" w:themeColor="text1"/>
          <w:sz w:val="24"/>
          <w:szCs w:val="24"/>
          <w:lang w:val="en-GB"/>
        </w:rPr>
        <w:t xml:space="preserve"> which states that the authorities and responsibilities of a country along with the power distribution must be reformed between various levels and branches of government. The various power of the government regarding the executive, legislative and judicial areas are vested in different bodies to ensure better control and management of the country.  The separation of power indicates the independent functionality of the different principal institutions such as the judiciary and the legislature.</w:t>
      </w:r>
    </w:p>
    <w:p>
      <w:pPr>
        <w:pStyle w:val="Normal1"/>
        <w:spacing w:lineRule="auto" w:line="360" w:before="240" w:after="0"/>
        <w:jc w:val="both"/>
        <w:rPr>
          <w:rFonts w:ascii="Times New Roman" w:hAnsi="Times New Roman" w:eastAsia="Times New Roman" w:cs="Times New Roman"/>
          <w:color w:val="000000" w:themeColor="text1"/>
          <w:sz w:val="24"/>
          <w:szCs w:val="24"/>
          <w:lang w:val="en-GB"/>
        </w:rPr>
      </w:pPr>
      <w:r>
        <w:rPr>
          <w:rFonts w:eastAsia="Times New Roman" w:cs="Times New Roman" w:ascii="Times New Roman" w:hAnsi="Times New Roman"/>
          <w:color w:val="000000" w:themeColor="text1"/>
          <w:sz w:val="24"/>
          <w:szCs w:val="24"/>
          <w:lang w:val="en-GB"/>
        </w:rPr>
        <w:t>As per the UK, the executive and the legislative are entwined closely and the majority of the ministers under the UK prime minister is the member of the House of Commons (</w:t>
      </w:r>
      <w:r>
        <w:rPr>
          <w:rFonts w:eastAsia="Times New Roman" w:cs="Times New Roman" w:ascii="Times New Roman" w:hAnsi="Times New Roman"/>
          <w:color w:val="000000" w:themeColor="text1"/>
          <w:sz w:val="24"/>
          <w:szCs w:val="24"/>
          <w:highlight w:val="white"/>
          <w:lang w:val="en-GB"/>
        </w:rPr>
        <w:t>Behnke and Benz, 2020, p.168</w:t>
      </w:r>
      <w:r>
        <w:rPr>
          <w:rFonts w:eastAsia="Times New Roman" w:cs="Times New Roman" w:ascii="Times New Roman" w:hAnsi="Times New Roman"/>
          <w:color w:val="000000" w:themeColor="text1"/>
          <w:sz w:val="24"/>
          <w:szCs w:val="24"/>
          <w:lang w:val="en-GB"/>
        </w:rPr>
        <w:t xml:space="preserve">). Also, parliament if think necessary can delegate its power of law-making to the government by the formation of the power that indicates the ability to create subordinate legislation. But as per the UK or the Common law system, the strict separation of the executive and the legislation have not been strictly indicated. The separation of the legislature and the judiciary has been initiated as the judge can be influential in the way of the interpretation and application but they do not hold the ability to challenge the validity of any Act that has been formulated by the Parliament unless the law indicates a breach to the European Law. The judges cannot strike down any Act rather they can declare the law incompetent as per the Human Rights by the European Convention. The judges are provided with the responsibility to develop the common law but the parliament, if deems necessary, can modify or overturn the common law passed by the judge and this provides the parliament with the ability to override the judge. </w:t>
      </w:r>
    </w:p>
    <w:p>
      <w:pPr>
        <w:pStyle w:val="Normal1"/>
        <w:spacing w:lineRule="auto" w:line="360" w:before="240" w:after="0"/>
        <w:jc w:val="both"/>
        <w:rPr>
          <w:rFonts w:ascii="Times New Roman" w:hAnsi="Times New Roman" w:eastAsia="Times New Roman" w:cs="Times New Roman"/>
          <w:color w:val="000000" w:themeColor="text1"/>
          <w:sz w:val="24"/>
          <w:szCs w:val="24"/>
          <w:lang w:val="en-GB"/>
        </w:rPr>
      </w:pPr>
      <w:r>
        <w:rPr>
          <w:rFonts w:eastAsia="Times New Roman" w:cs="Times New Roman" w:ascii="Times New Roman" w:hAnsi="Times New Roman"/>
          <w:color w:val="000000" w:themeColor="text1"/>
          <w:sz w:val="24"/>
          <w:szCs w:val="24"/>
          <w:lang w:val="en-GB"/>
        </w:rPr>
        <w:t xml:space="preserve">The Constitutional Reform Act 2005, aims at significant changes regarding the changes in the relationship between the legislature, judiciary and executive of the UK including placing a responsibility on the government ministers to ensure the independence of the judiciary and barring them from getting affected by special access that can influence their decision. This act has also brought a significant reform of the post of the Lord Chancellor and provided a new title to the Lord Chief Justice who will be further responsible for the guidance, training and deployment of the judges and along with that the representation of the views regarding the judiciary of Wales and England to the ministers and the Parliament. As opined by </w:t>
      </w:r>
      <w:r>
        <w:rPr>
          <w:rFonts w:eastAsia="Times New Roman" w:cs="Times New Roman" w:ascii="Times New Roman" w:hAnsi="Times New Roman"/>
          <w:color w:val="000000" w:themeColor="text1"/>
          <w:sz w:val="24"/>
          <w:szCs w:val="24"/>
          <w:highlight w:val="white"/>
          <w:lang w:val="en-GB"/>
        </w:rPr>
        <w:t xml:space="preserve">Nakashidze and Sirabidze, (2020, p.20), </w:t>
      </w:r>
      <w:r>
        <w:rPr>
          <w:rFonts w:eastAsia="Times New Roman" w:cs="Times New Roman" w:ascii="Times New Roman" w:hAnsi="Times New Roman"/>
          <w:color w:val="000000" w:themeColor="text1"/>
          <w:sz w:val="24"/>
          <w:szCs w:val="24"/>
          <w:lang w:val="en-GB"/>
        </w:rPr>
        <w:t xml:space="preserve">the Act is also responsible for the formation of an independent Supreme Court that can have its own building, staff, budget and appointment system. Under the Act, the selection of the candidates for the recommendation for a judicial appointment for justice to the Secretary of State will be done by the Judicial Appointment Commission that has been created under the provision of the Act.  </w:t>
      </w:r>
    </w:p>
    <w:p>
      <w:pPr>
        <w:pStyle w:val="Normal1"/>
        <w:spacing w:lineRule="auto" w:line="360" w:before="240" w:after="0"/>
        <w:jc w:val="both"/>
        <w:rPr>
          <w:rFonts w:ascii="Times New Roman" w:hAnsi="Times New Roman" w:eastAsia="Times New Roman" w:cs="Times New Roman"/>
          <w:color w:val="000000" w:themeColor="text1"/>
          <w:sz w:val="24"/>
          <w:szCs w:val="24"/>
          <w:lang w:val="en-GB"/>
        </w:rPr>
      </w:pPr>
      <w:r>
        <w:rPr>
          <w:rFonts w:eastAsia="Times New Roman" w:cs="Times New Roman" w:ascii="Times New Roman" w:hAnsi="Times New Roman"/>
          <w:color w:val="000000" w:themeColor="text1"/>
          <w:sz w:val="24"/>
          <w:szCs w:val="24"/>
          <w:lang w:val="en-GB"/>
        </w:rPr>
        <w:t>The constitutional reform act can be considered to be an important part of the legislation for the UK and the main aim of the Act is to reform various constitutional frameworks of the country and facilitate a more enhancement to the separation of power (</w:t>
      </w:r>
      <w:r>
        <w:rPr>
          <w:rFonts w:eastAsia="Times New Roman" w:cs="Times New Roman" w:ascii="Times New Roman" w:hAnsi="Times New Roman"/>
          <w:color w:val="000000" w:themeColor="text1"/>
          <w:sz w:val="24"/>
          <w:szCs w:val="24"/>
          <w:highlight w:val="white"/>
          <w:lang w:val="en-GB"/>
        </w:rPr>
        <w:t>Norton, 2021, p.350</w:t>
      </w:r>
      <w:r>
        <w:rPr>
          <w:rFonts w:eastAsia="Times New Roman" w:cs="Times New Roman" w:ascii="Times New Roman" w:hAnsi="Times New Roman"/>
          <w:color w:val="000000" w:themeColor="text1"/>
          <w:sz w:val="24"/>
          <w:szCs w:val="24"/>
          <w:lang w:val="en-GB"/>
        </w:rPr>
        <w:t>). Though the changes prescribed by the Act are significant but can be evaluated that the changes are very limited alternation to the separation of power and the constitution of the UK. Various significant changes are introduced by the Constitutional Reform Act 2005 in the judiciary system of the land (</w:t>
      </w:r>
      <w:r>
        <w:rPr>
          <w:rFonts w:eastAsia="Times New Roman" w:cs="Times New Roman" w:ascii="Times New Roman" w:hAnsi="Times New Roman"/>
          <w:color w:val="000000" w:themeColor="text1"/>
          <w:sz w:val="24"/>
          <w:szCs w:val="24"/>
          <w:highlight w:val="white"/>
          <w:lang w:val="en-GB"/>
        </w:rPr>
        <w:t>Judiciary.uk, 2023</w:t>
      </w:r>
      <w:r>
        <w:rPr>
          <w:rFonts w:eastAsia="Times New Roman" w:cs="Times New Roman" w:ascii="Times New Roman" w:hAnsi="Times New Roman"/>
          <w:color w:val="000000" w:themeColor="text1"/>
          <w:sz w:val="24"/>
          <w:szCs w:val="24"/>
          <w:lang w:val="en-GB"/>
        </w:rPr>
        <w:t>). The major change under the Act was the introduction of the Supreme Court that has successfully replaced the Appellate Committee under the House of the Lords which was considered as the highest court of the country. The idea of independence was introduced from this act as the separation of the legislation from the judiciary has been initiated from this. Apart from these changes, various aspects must be aimed by the Act but the Act failed to do so. They has also failed to alter the relationship between the legislative and the executive branch. This can be reflected in the situation that the prime minister and the government exercise control of the legislative process as the various members from the executive branch exercise involvement in the Parliament. The separation of power gets weak where there is a significant amount of infusion of power between the entities (</w:t>
      </w:r>
      <w:r>
        <w:rPr>
          <w:rFonts w:eastAsia="Times New Roman" w:cs="Times New Roman" w:ascii="Times New Roman" w:hAnsi="Times New Roman"/>
          <w:color w:val="000000" w:themeColor="text1"/>
          <w:sz w:val="24"/>
          <w:szCs w:val="24"/>
          <w:highlight w:val="white"/>
          <w:lang w:val="en-GB"/>
        </w:rPr>
        <w:t>Gordon, 2019, p.125</w:t>
      </w:r>
      <w:r>
        <w:rPr>
          <w:rFonts w:eastAsia="Times New Roman" w:cs="Times New Roman" w:ascii="Times New Roman" w:hAnsi="Times New Roman"/>
          <w:color w:val="000000" w:themeColor="text1"/>
          <w:sz w:val="24"/>
          <w:szCs w:val="24"/>
          <w:lang w:val="en-GB"/>
        </w:rPr>
        <w:t xml:space="preserve">). The act has also failed to codify the various principles of the separation of power into the constitution of the UK. </w:t>
      </w:r>
    </w:p>
    <w:p>
      <w:pPr>
        <w:pStyle w:val="Normal1"/>
        <w:spacing w:lineRule="auto" w:line="360" w:before="240" w:after="0"/>
        <w:jc w:val="both"/>
        <w:rPr>
          <w:rFonts w:ascii="Times New Roman" w:hAnsi="Times New Roman" w:eastAsia="Times New Roman" w:cs="Times New Roman"/>
          <w:color w:val="000000" w:themeColor="text1"/>
          <w:sz w:val="24"/>
          <w:szCs w:val="24"/>
          <w:lang w:val="en-GB"/>
        </w:rPr>
      </w:pPr>
      <w:r>
        <w:rPr>
          <w:rFonts w:eastAsia="Times New Roman" w:cs="Times New Roman" w:ascii="Times New Roman" w:hAnsi="Times New Roman"/>
          <w:color w:val="000000" w:themeColor="text1"/>
          <w:sz w:val="24"/>
          <w:szCs w:val="24"/>
          <w:lang w:val="en-GB"/>
        </w:rPr>
        <w:t>The dependency of the UK constitution on the legal precedents and conventions is higher than any other written constitution and also the constitution of the country is much uncodified. The Act does not establish a clear delineation of power between the three branches of the government and only aims at setting the independence factor of the judiciary.  This should also be considered that the executive branch of the UK exercises huge dominance in the political system of the country. The prime minister and other government executives hold a high level of power to successfully shape the legislation of the country. The act does not provide an initiative for the legislative body to hold a separate and exclusive power that cannot be influenced by any other branches (Legislation.gov.uk, 2023). The concentration of power at the executive level can be indicated as the biggest drawback to the separation of power in the UK constitution. The constitution of the UK is prominently divided into various government bodies and these bodies demand separate power so that the decision-making and law formation can become more efficient within the country but the Act has failed to fulfil the need and has emerged as a limited provisional Act that needs changes and amendments so that the applicability of the Act can become relevant to the current scenario of the UK. Further, this act has imposed limitations on the separation of power theory which is very important for the good conduct of the country. The separate power not only aims at better and delegated power and control in the country but also aims at a well-aligned structure that can reflect transparency to the citizens of the country (</w:t>
      </w:r>
      <w:r>
        <w:rPr>
          <w:rFonts w:eastAsia="Times New Roman" w:cs="Times New Roman" w:ascii="Times New Roman" w:hAnsi="Times New Roman"/>
          <w:color w:val="000000" w:themeColor="text1"/>
          <w:sz w:val="24"/>
          <w:szCs w:val="24"/>
          <w:highlight w:val="white"/>
          <w:lang w:val="en-GB"/>
        </w:rPr>
        <w:t>Syrett and Alder, 2021</w:t>
      </w:r>
      <w:r>
        <w:rPr>
          <w:rFonts w:eastAsia="Times New Roman" w:cs="Times New Roman" w:ascii="Times New Roman" w:hAnsi="Times New Roman"/>
          <w:color w:val="000000" w:themeColor="text1"/>
          <w:sz w:val="24"/>
          <w:szCs w:val="24"/>
          <w:lang w:val="en-GB"/>
        </w:rPr>
        <w:t xml:space="preserve">).   </w:t>
      </w:r>
    </w:p>
    <w:p>
      <w:pPr>
        <w:pStyle w:val="Heading1"/>
        <w:rPr>
          <w:lang w:val="en-GB"/>
        </w:rPr>
      </w:pPr>
      <w:r>
        <w:rPr>
          <w:lang w:val="en-GB"/>
        </w:rPr>
        <w:t xml:space="preserve">Conclusion </w:t>
      </w:r>
    </w:p>
    <w:p>
      <w:pPr>
        <w:pStyle w:val="Normal1"/>
        <w:spacing w:lineRule="auto" w:line="360"/>
        <w:jc w:val="both"/>
        <w:rPr>
          <w:rFonts w:ascii="Times New Roman" w:hAnsi="Times New Roman" w:eastAsia="Times New Roman" w:cs="Times New Roman"/>
          <w:color w:val="000000" w:themeColor="text1"/>
          <w:sz w:val="24"/>
          <w:szCs w:val="24"/>
          <w:lang w:val="en-GB"/>
        </w:rPr>
      </w:pPr>
      <w:r>
        <w:rPr>
          <w:rFonts w:eastAsia="Times New Roman" w:cs="Times New Roman" w:ascii="Times New Roman" w:hAnsi="Times New Roman"/>
          <w:color w:val="000000" w:themeColor="text1"/>
          <w:sz w:val="24"/>
          <w:szCs w:val="24"/>
          <w:lang w:val="en-GB"/>
        </w:rPr>
        <w:t>This can be concluded that the Constitutional Reform Act 2005 has brought some significant changes regarding the establishment and introduction of the Supreme Court along with that provided independence to the judicial body of the UK but this is also important to note that the Act has imposed various limitation on the Separation of Power and the UK constitution. It also does not codify the separation of principle and nor it signifies any separation of power for the executive and legislative branches of the government of the UK. These statements can be effectively used to convey that the Constitution Reform Act 2005 has made little changes in the separation of power and the constitution of the UK.</w:t>
      </w:r>
    </w:p>
    <w:p>
      <w:pPr>
        <w:pStyle w:val="Normal1"/>
        <w:spacing w:lineRule="auto" w:line="360"/>
        <w:jc w:val="both"/>
        <w:rPr>
          <w:rFonts w:ascii="Times New Roman" w:hAnsi="Times New Roman" w:eastAsia="Times New Roman" w:cs="Times New Roman"/>
          <w:b/>
          <w:b/>
          <w:color w:val="000000" w:themeColor="text1"/>
          <w:sz w:val="24"/>
          <w:szCs w:val="24"/>
          <w:lang w:val="en-GB"/>
        </w:rPr>
      </w:pPr>
      <w:r>
        <w:rPr>
          <w:rFonts w:eastAsia="Times New Roman" w:cs="Times New Roman" w:ascii="Times New Roman" w:hAnsi="Times New Roman"/>
          <w:b/>
          <w:color w:val="000000" w:themeColor="text1"/>
          <w:sz w:val="24"/>
          <w:szCs w:val="24"/>
          <w:lang w:val="en-GB"/>
        </w:rPr>
      </w:r>
      <w:r>
        <w:br w:type="page"/>
      </w:r>
    </w:p>
    <w:p>
      <w:pPr>
        <w:pStyle w:val="Heading1"/>
        <w:rPr>
          <w:lang w:val="en-GB"/>
        </w:rPr>
      </w:pPr>
      <w:r>
        <w:rPr>
          <w:lang w:val="en-GB"/>
        </w:rPr>
        <w:t>References</w:t>
      </w:r>
    </w:p>
    <w:p>
      <w:pPr>
        <w:pStyle w:val="Normal1"/>
        <w:spacing w:lineRule="auto" w:line="360"/>
        <w:jc w:val="both"/>
        <w:rPr>
          <w:rFonts w:ascii="Times New Roman" w:hAnsi="Times New Roman" w:eastAsia="Times New Roman" w:cs="Times New Roman"/>
          <w:b/>
          <w:b/>
          <w:color w:val="000000" w:themeColor="text1"/>
          <w:sz w:val="24"/>
          <w:szCs w:val="24"/>
          <w:lang w:val="en-GB"/>
        </w:rPr>
      </w:pPr>
      <w:r>
        <w:rPr>
          <w:rFonts w:eastAsia="Times New Roman" w:cs="Times New Roman" w:ascii="Times New Roman" w:hAnsi="Times New Roman"/>
          <w:b/>
          <w:color w:val="000000" w:themeColor="text1"/>
          <w:sz w:val="24"/>
          <w:szCs w:val="24"/>
          <w:lang w:val="en-GB"/>
        </w:rPr>
        <w:t xml:space="preserve">Websites </w:t>
      </w:r>
    </w:p>
    <w:p>
      <w:pPr>
        <w:pStyle w:val="NormalWeb"/>
        <w:spacing w:lineRule="auto" w:line="360" w:beforeAutospacing="0" w:before="0" w:afterAutospacing="0" w:after="0"/>
        <w:jc w:val="both"/>
        <w:rPr>
          <w:color w:val="000000" w:themeColor="text1"/>
          <w:lang w:val="en-GB"/>
        </w:rPr>
      </w:pPr>
      <w:r>
        <w:rPr>
          <w:color w:val="000000" w:themeColor="text1"/>
          <w:shd w:fill="FFFFFF" w:val="clear"/>
          <w:lang w:val="en-GB"/>
        </w:rPr>
        <w:t>Judiciary.uk, 2023. Available at:</w:t>
      </w:r>
      <w:hyperlink r:id="rId2">
        <w:r>
          <w:rPr>
            <w:rStyle w:val="InternetLink"/>
            <w:color w:val="000000" w:themeColor="text1"/>
            <w:shd w:fill="FFFFFF" w:val="clear"/>
            <w:lang w:val="en-GB"/>
          </w:rPr>
          <w:t xml:space="preserve"> https://www.judiciary.uk/about-the-judiciary/our-justice-system/constitutional-reform/</w:t>
        </w:r>
      </w:hyperlink>
      <w:r>
        <w:rPr>
          <w:color w:val="000000" w:themeColor="text1"/>
          <w:shd w:fill="FFFFFF" w:val="clear"/>
          <w:lang w:val="en-GB"/>
        </w:rPr>
        <w:t xml:space="preserve"> (Accessed on July 19th, 2023)</w:t>
      </w:r>
    </w:p>
    <w:p>
      <w:pPr>
        <w:pStyle w:val="Normal1"/>
        <w:spacing w:lineRule="auto" w:line="360"/>
        <w:jc w:val="both"/>
        <w:rPr>
          <w:rFonts w:ascii="Times New Roman" w:hAnsi="Times New Roman" w:eastAsia="Times New Roman" w:cs="Times New Roman"/>
          <w:b/>
          <w:b/>
          <w:color w:val="000000" w:themeColor="text1"/>
          <w:sz w:val="24"/>
          <w:szCs w:val="24"/>
          <w:lang w:val="en-GB"/>
        </w:rPr>
      </w:pPr>
      <w:r>
        <w:rPr>
          <w:rFonts w:cs="Times New Roman" w:ascii="Times New Roman" w:hAnsi="Times New Roman"/>
          <w:color w:val="000000" w:themeColor="text1"/>
          <w:sz w:val="24"/>
          <w:szCs w:val="24"/>
          <w:shd w:fill="FFFFFF" w:val="clear"/>
          <w:lang w:val="en-GB"/>
        </w:rPr>
        <w:t xml:space="preserve">Legislation.gov.uk, 2023. Available at: </w:t>
      </w:r>
      <w:r>
        <w:fldChar w:fldCharType="begin"/>
      </w:r>
      <w:r>
        <w:rPr>
          <w:rStyle w:val="InternetLink"/>
          <w:sz w:val="24"/>
          <w:shd w:fill="FFFFFF" w:val="clear"/>
          <w:szCs w:val="24"/>
          <w:rFonts w:cs="Times New Roman" w:ascii="Times New Roman" w:hAnsi="Times New Roman"/>
          <w:color w:val="000000"/>
          <w:lang w:val="en-GB"/>
        </w:rPr>
        <w:instrText xml:space="preserve"> HYPERLINK "https://www.legislation.gov.uk/ukpga/2005/4/notes" \l ":~:text=The Act seeks to make,Committee of the Privy Council"</w:instrText>
      </w:r>
      <w:r>
        <w:rPr>
          <w:rStyle w:val="InternetLink"/>
          <w:sz w:val="24"/>
          <w:shd w:fill="FFFFFF" w:val="clear"/>
          <w:szCs w:val="24"/>
          <w:rFonts w:cs="Times New Roman" w:ascii="Times New Roman" w:hAnsi="Times New Roman"/>
          <w:color w:val="000000"/>
          <w:lang w:val="en-GB"/>
        </w:rPr>
        <w:fldChar w:fldCharType="separate"/>
      </w:r>
      <w:r>
        <w:rPr>
          <w:rStyle w:val="InternetLink"/>
          <w:rFonts w:cs="Times New Roman" w:ascii="Times New Roman" w:hAnsi="Times New Roman"/>
          <w:color w:val="000000" w:themeColor="text1"/>
          <w:sz w:val="24"/>
          <w:szCs w:val="24"/>
          <w:shd w:fill="FFFFFF" w:val="clear"/>
          <w:lang w:val="en-GB"/>
        </w:rPr>
        <w:t>https://www.legislation.gov.uk/ukpga/2005/4/notes#:~:text=The%20Act%20seeks%20to%20make,Committee%20of%20the%20Privy%20Council</w:t>
      </w:r>
      <w:r>
        <w:rPr>
          <w:rStyle w:val="InternetLink"/>
          <w:sz w:val="24"/>
          <w:shd w:fill="FFFFFF" w:val="clear"/>
          <w:szCs w:val="24"/>
          <w:rFonts w:cs="Times New Roman" w:ascii="Times New Roman" w:hAnsi="Times New Roman"/>
          <w:color w:val="000000"/>
          <w:lang w:val="en-GB"/>
        </w:rPr>
        <w:fldChar w:fldCharType="end"/>
      </w:r>
      <w:r>
        <w:rPr>
          <w:rFonts w:cs="Times New Roman" w:ascii="Times New Roman" w:hAnsi="Times New Roman"/>
          <w:color w:val="000000" w:themeColor="text1"/>
          <w:sz w:val="24"/>
          <w:szCs w:val="24"/>
          <w:shd w:fill="FFFFFF" w:val="clear"/>
          <w:lang w:val="en-GB"/>
        </w:rPr>
        <w:t>. (Accessed on July 19th, 2023)</w:t>
      </w:r>
    </w:p>
    <w:p>
      <w:pPr>
        <w:pStyle w:val="Normal1"/>
        <w:spacing w:lineRule="auto" w:line="360"/>
        <w:jc w:val="both"/>
        <w:rPr>
          <w:rFonts w:ascii="Times New Roman" w:hAnsi="Times New Roman" w:eastAsia="Times New Roman" w:cs="Times New Roman"/>
          <w:b/>
          <w:b/>
          <w:color w:val="000000" w:themeColor="text1"/>
          <w:sz w:val="24"/>
          <w:szCs w:val="24"/>
          <w:lang w:val="en-GB"/>
        </w:rPr>
      </w:pPr>
      <w:r>
        <w:rPr>
          <w:rFonts w:eastAsia="Times New Roman" w:cs="Times New Roman" w:ascii="Times New Roman" w:hAnsi="Times New Roman"/>
          <w:b/>
          <w:color w:val="000000" w:themeColor="text1"/>
          <w:sz w:val="24"/>
          <w:szCs w:val="24"/>
          <w:lang w:val="en-GB"/>
        </w:rPr>
        <w:t xml:space="preserve">Journals/Books  </w:t>
      </w:r>
    </w:p>
    <w:p>
      <w:pPr>
        <w:pStyle w:val="NormalWeb"/>
        <w:spacing w:lineRule="auto" w:line="360" w:beforeAutospacing="0" w:before="0" w:afterAutospacing="0" w:after="0"/>
        <w:jc w:val="both"/>
        <w:rPr>
          <w:color w:val="000000" w:themeColor="text1"/>
          <w:lang w:val="en-GB"/>
        </w:rPr>
      </w:pPr>
      <w:r>
        <w:rPr>
          <w:color w:val="000000" w:themeColor="text1"/>
          <w:shd w:fill="FFFFFF" w:val="clear"/>
          <w:lang w:val="en-GB"/>
        </w:rPr>
        <w:t xml:space="preserve">Behnke, N. and Benz, A., 2020. Federalism and constitutional change. </w:t>
      </w:r>
      <w:r>
        <w:rPr>
          <w:i/>
          <w:iCs/>
          <w:color w:val="000000" w:themeColor="text1"/>
          <w:shd w:fill="FFFFFF" w:val="clear"/>
          <w:lang w:val="en-GB"/>
        </w:rPr>
        <w:t>Routledge Handbook of Comparative Constitutional Change</w:t>
      </w:r>
      <w:r>
        <w:rPr>
          <w:color w:val="000000" w:themeColor="text1"/>
          <w:shd w:fill="FFFFFF" w:val="clear"/>
          <w:lang w:val="en-GB"/>
        </w:rPr>
        <w:t xml:space="preserve">, pp.167-181. </w:t>
      </w:r>
      <w:hyperlink r:id="rId3">
        <w:r>
          <w:rPr>
            <w:rStyle w:val="InternetLink"/>
            <w:color w:val="000000" w:themeColor="text1"/>
            <w:shd w:fill="FFFFFF" w:val="clear"/>
            <w:lang w:val="en-GB"/>
          </w:rPr>
          <w:t>https://books.google.com/books?hl=en&amp;lr=&amp;id=QTTrDwAAQBAJ&amp;oi=fnd&amp;pg=PT185&amp;dq=Constitutional+Reform+Act+2005&amp;ots=h4b97VBP9b&amp;sig=Vclf0lC7vgfvWM1Thi4NUN8aFoM</w:t>
        </w:r>
      </w:hyperlink>
    </w:p>
    <w:p>
      <w:pPr>
        <w:pStyle w:val="NormalWeb"/>
        <w:spacing w:lineRule="auto" w:line="360" w:beforeAutospacing="0" w:before="0" w:afterAutospacing="0" w:after="0"/>
        <w:jc w:val="both"/>
        <w:rPr>
          <w:color w:val="000000" w:themeColor="text1"/>
          <w:lang w:val="en-GB"/>
        </w:rPr>
      </w:pPr>
      <w:r>
        <w:rPr>
          <w:color w:val="000000" w:themeColor="text1"/>
          <w:shd w:fill="FFFFFF" w:val="clear"/>
          <w:lang w:val="en-GB"/>
        </w:rPr>
        <w:t xml:space="preserve">Bhambra, G.K., 2020. Colonial global economy: towards a theoretical reorientation of political economy. </w:t>
      </w:r>
      <w:r>
        <w:rPr>
          <w:i/>
          <w:iCs/>
          <w:color w:val="000000" w:themeColor="text1"/>
          <w:shd w:fill="FFFFFF" w:val="clear"/>
          <w:lang w:val="en-GB"/>
        </w:rPr>
        <w:t>Review of International Political Economy</w:t>
      </w:r>
      <w:r>
        <w:rPr>
          <w:color w:val="000000" w:themeColor="text1"/>
          <w:shd w:fill="FFFFFF" w:val="clear"/>
          <w:lang w:val="en-GB"/>
        </w:rPr>
        <w:t xml:space="preserve">, </w:t>
      </w:r>
      <w:r>
        <w:rPr>
          <w:i/>
          <w:iCs/>
          <w:color w:val="000000" w:themeColor="text1"/>
          <w:shd w:fill="FFFFFF" w:val="clear"/>
          <w:lang w:val="en-GB"/>
        </w:rPr>
        <w:t>28</w:t>
      </w:r>
      <w:r>
        <w:rPr>
          <w:color w:val="000000" w:themeColor="text1"/>
          <w:shd w:fill="FFFFFF" w:val="clear"/>
          <w:lang w:val="en-GB"/>
        </w:rPr>
        <w:t xml:space="preserve">(2), pp.307-322. </w:t>
      </w:r>
      <w:hyperlink r:id="rId4">
        <w:r>
          <w:rPr>
            <w:rStyle w:val="InternetLink"/>
            <w:color w:val="000000" w:themeColor="text1"/>
            <w:shd w:fill="FFFFFF" w:val="clear"/>
            <w:lang w:val="en-GB"/>
          </w:rPr>
          <w:t>https://www.tandfonline.com/doi/abs/10.1080/09692290.2020.1830831</w:t>
        </w:r>
      </w:hyperlink>
    </w:p>
    <w:p>
      <w:pPr>
        <w:pStyle w:val="NormalWeb"/>
        <w:spacing w:lineRule="auto" w:line="360" w:beforeAutospacing="0" w:before="0" w:afterAutospacing="0" w:after="0"/>
        <w:jc w:val="both"/>
        <w:rPr>
          <w:color w:val="000000" w:themeColor="text1"/>
          <w:lang w:val="en-GB"/>
        </w:rPr>
      </w:pPr>
      <w:r>
        <w:rPr>
          <w:color w:val="000000" w:themeColor="text1"/>
          <w:shd w:fill="FFFFFF" w:val="clear"/>
          <w:lang w:val="en-GB"/>
        </w:rPr>
        <w:t xml:space="preserve">Bickerton, C., 2021. ‘Parliamentary’,‘popular’and ‘pooled’: conflicts of sovereignty in the United Kingdom’s exit from the European Union. In </w:t>
      </w:r>
      <w:r>
        <w:rPr>
          <w:i/>
          <w:iCs/>
          <w:color w:val="000000" w:themeColor="text1"/>
          <w:shd w:fill="FFFFFF" w:val="clear"/>
          <w:lang w:val="en-GB"/>
        </w:rPr>
        <w:t>Understanding Conflicts of Sovereignty in the EU</w:t>
      </w:r>
      <w:r>
        <w:rPr>
          <w:color w:val="000000" w:themeColor="text1"/>
          <w:shd w:fill="FFFFFF" w:val="clear"/>
          <w:lang w:val="en-GB"/>
        </w:rPr>
        <w:t xml:space="preserve"> (pp. 69-84). Routledge. </w:t>
      </w:r>
      <w:hyperlink r:id="rId5">
        <w:r>
          <w:rPr>
            <w:rStyle w:val="InternetLink"/>
            <w:color w:val="000000" w:themeColor="text1"/>
            <w:shd w:fill="FFFFFF" w:val="clear"/>
            <w:lang w:val="en-GB"/>
          </w:rPr>
          <w:t>https://www.taylorfrancis.com/chapters/edit/10.4324/9781003165675-5/parliamentary-popular-pooled-conflicts-sovereignty-united-kingdom-exit-european-union-christopher-bickerton</w:t>
        </w:r>
      </w:hyperlink>
    </w:p>
    <w:p>
      <w:pPr>
        <w:pStyle w:val="NormalWeb"/>
        <w:spacing w:lineRule="auto" w:line="360" w:beforeAutospacing="0" w:before="0" w:afterAutospacing="0" w:after="0"/>
        <w:jc w:val="both"/>
        <w:rPr>
          <w:color w:val="000000" w:themeColor="text1"/>
          <w:lang w:val="en-GB"/>
        </w:rPr>
      </w:pPr>
      <w:r>
        <w:rPr>
          <w:color w:val="000000" w:themeColor="text1"/>
          <w:shd w:fill="FFFFFF" w:val="clear"/>
          <w:lang w:val="en-GB"/>
        </w:rPr>
        <w:t xml:space="preserve">Gordon, M., 2019. Parliamentary sovereignty and the political constitution (s): From Griffith to Brexit. </w:t>
      </w:r>
      <w:r>
        <w:rPr>
          <w:i/>
          <w:iCs/>
          <w:color w:val="000000" w:themeColor="text1"/>
          <w:shd w:fill="FFFFFF" w:val="clear"/>
          <w:lang w:val="en-GB"/>
        </w:rPr>
        <w:t>King's Law Journal</w:t>
      </w:r>
      <w:r>
        <w:rPr>
          <w:color w:val="000000" w:themeColor="text1"/>
          <w:shd w:fill="FFFFFF" w:val="clear"/>
          <w:lang w:val="en-GB"/>
        </w:rPr>
        <w:t xml:space="preserve">, </w:t>
      </w:r>
      <w:r>
        <w:rPr>
          <w:i/>
          <w:iCs/>
          <w:color w:val="000000" w:themeColor="text1"/>
          <w:shd w:fill="FFFFFF" w:val="clear"/>
          <w:lang w:val="en-GB"/>
        </w:rPr>
        <w:t>30</w:t>
      </w:r>
      <w:r>
        <w:rPr>
          <w:color w:val="000000" w:themeColor="text1"/>
          <w:shd w:fill="FFFFFF" w:val="clear"/>
          <w:lang w:val="en-GB"/>
        </w:rPr>
        <w:t xml:space="preserve">(1), pp.125-147. </w:t>
      </w:r>
      <w:hyperlink r:id="rId6">
        <w:r>
          <w:rPr>
            <w:rStyle w:val="InternetLink"/>
            <w:color w:val="000000" w:themeColor="text1"/>
            <w:shd w:fill="FFFFFF" w:val="clear"/>
            <w:lang w:val="en-GB"/>
          </w:rPr>
          <w:t>https://www.tandfonline.com/doi/full/10.1080/09615768.2019.1594614</w:t>
        </w:r>
      </w:hyperlink>
    </w:p>
    <w:p>
      <w:pPr>
        <w:pStyle w:val="NormalWeb"/>
        <w:spacing w:lineRule="auto" w:line="360" w:beforeAutospacing="0" w:before="0" w:afterAutospacing="0" w:after="0"/>
        <w:jc w:val="both"/>
        <w:rPr>
          <w:color w:val="000000" w:themeColor="text1"/>
          <w:lang w:val="en-GB"/>
        </w:rPr>
      </w:pPr>
      <w:r>
        <w:rPr>
          <w:color w:val="000000" w:themeColor="text1"/>
          <w:shd w:fill="FFFFFF" w:val="clear"/>
          <w:lang w:val="en-GB"/>
        </w:rPr>
        <w:t xml:space="preserve">Khanal, K. and Bracarense, N., 2022. Institutional Change in Nepal: Liberalization, Maoist Movement, Rise of Political Consciousness and Constitutional Change. In </w:t>
      </w:r>
      <w:r>
        <w:rPr>
          <w:i/>
          <w:iCs/>
          <w:color w:val="000000" w:themeColor="text1"/>
          <w:shd w:fill="FFFFFF" w:val="clear"/>
          <w:lang w:val="en-GB"/>
        </w:rPr>
        <w:t>Development Economics</w:t>
      </w:r>
      <w:r>
        <w:rPr>
          <w:color w:val="000000" w:themeColor="text1"/>
          <w:shd w:fill="FFFFFF" w:val="clear"/>
          <w:lang w:val="en-GB"/>
        </w:rPr>
        <w:t xml:space="preserve"> (pp. 145-166). Routledge. </w:t>
      </w:r>
      <w:hyperlink r:id="rId7">
        <w:r>
          <w:rPr>
            <w:rStyle w:val="InternetLink"/>
            <w:color w:val="000000" w:themeColor="text1"/>
            <w:shd w:fill="FFFFFF" w:val="clear"/>
            <w:lang w:val="en-GB"/>
          </w:rPr>
          <w:t>https://www.taylorfrancis.com/chapters/edit/10.4324/9781003267300-10/institutional-change-nepal-liberalization-maoist-movement-rise-political-consciousness-constitutional-change-kalpana-khanal-natalia-bracarense</w:t>
        </w:r>
      </w:hyperlink>
    </w:p>
    <w:p>
      <w:pPr>
        <w:pStyle w:val="NormalWeb"/>
        <w:spacing w:lineRule="auto" w:line="360" w:beforeAutospacing="0" w:before="0" w:afterAutospacing="0" w:after="0"/>
        <w:jc w:val="both"/>
        <w:rPr>
          <w:color w:val="000000" w:themeColor="text1"/>
          <w:lang w:val="en-GB"/>
        </w:rPr>
      </w:pPr>
      <w:r>
        <w:rPr>
          <w:color w:val="000000" w:themeColor="text1"/>
          <w:shd w:fill="FFFFFF" w:val="clear"/>
          <w:lang w:val="en-GB"/>
        </w:rPr>
        <w:t xml:space="preserve">Nakashidze, M. and Sirabidze, D., 2020. Constitutional Reforms on Electoral System for Consolidation of Parliamentary Democracy in Georgia. </w:t>
      </w:r>
      <w:r>
        <w:rPr>
          <w:i/>
          <w:iCs/>
          <w:color w:val="000000" w:themeColor="text1"/>
          <w:shd w:fill="FFFFFF" w:val="clear"/>
          <w:lang w:val="en-GB"/>
        </w:rPr>
        <w:t>International Comparative Jurisprudence</w:t>
      </w:r>
      <w:r>
        <w:rPr>
          <w:color w:val="000000" w:themeColor="text1"/>
          <w:shd w:fill="FFFFFF" w:val="clear"/>
          <w:lang w:val="en-GB"/>
        </w:rPr>
        <w:t xml:space="preserve">, </w:t>
      </w:r>
      <w:r>
        <w:rPr>
          <w:i/>
          <w:iCs/>
          <w:color w:val="000000" w:themeColor="text1"/>
          <w:shd w:fill="FFFFFF" w:val="clear"/>
          <w:lang w:val="en-GB"/>
        </w:rPr>
        <w:t>6</w:t>
      </w:r>
      <w:r>
        <w:rPr>
          <w:color w:val="000000" w:themeColor="text1"/>
          <w:shd w:fill="FFFFFF" w:val="clear"/>
          <w:lang w:val="en-GB"/>
        </w:rPr>
        <w:t xml:space="preserve">(1), pp.9-27. </w:t>
      </w:r>
      <w:hyperlink r:id="rId8">
        <w:r>
          <w:rPr>
            <w:rStyle w:val="InternetLink"/>
            <w:color w:val="000000" w:themeColor="text1"/>
            <w:shd w:fill="FFFFFF" w:val="clear"/>
            <w:lang w:val="en-GB"/>
          </w:rPr>
          <w:t>https://www.ceeol.com/search/article-detail?id=875775</w:t>
        </w:r>
      </w:hyperlink>
    </w:p>
    <w:p>
      <w:pPr>
        <w:pStyle w:val="NormalWeb"/>
        <w:spacing w:lineRule="auto" w:line="360" w:beforeAutospacing="0" w:before="0" w:afterAutospacing="0" w:after="0"/>
        <w:jc w:val="both"/>
        <w:rPr>
          <w:color w:val="000000" w:themeColor="text1"/>
          <w:lang w:val="en-GB"/>
        </w:rPr>
      </w:pPr>
      <w:r>
        <w:rPr>
          <w:color w:val="000000" w:themeColor="text1"/>
          <w:shd w:fill="FFFFFF" w:val="clear"/>
          <w:lang w:val="en-GB"/>
        </w:rPr>
        <w:t xml:space="preserve">Norton, P., 2021. The changing constitution. In </w:t>
      </w:r>
      <w:r>
        <w:rPr>
          <w:i/>
          <w:iCs/>
          <w:color w:val="000000" w:themeColor="text1"/>
          <w:shd w:fill="FFFFFF" w:val="clear"/>
          <w:lang w:val="en-GB"/>
        </w:rPr>
        <w:t>Politics UK</w:t>
      </w:r>
      <w:r>
        <w:rPr>
          <w:color w:val="000000" w:themeColor="text1"/>
          <w:shd w:fill="FFFFFF" w:val="clear"/>
          <w:lang w:val="en-GB"/>
        </w:rPr>
        <w:t xml:space="preserve"> (pp. 348-373). Routledge. </w:t>
      </w:r>
      <w:hyperlink r:id="rId9">
        <w:r>
          <w:rPr>
            <w:rStyle w:val="InternetLink"/>
            <w:color w:val="000000" w:themeColor="text1"/>
            <w:shd w:fill="FFFFFF" w:val="clear"/>
            <w:lang w:val="en-GB"/>
          </w:rPr>
          <w:t>https://www.taylorfrancis.com/chapters/edit/10.4324/9781003028574-23/changing-constitution-philip-norton</w:t>
        </w:r>
      </w:hyperlink>
    </w:p>
    <w:p>
      <w:pPr>
        <w:pStyle w:val="NormalWeb"/>
        <w:spacing w:lineRule="auto" w:line="360" w:beforeAutospacing="0" w:before="0" w:afterAutospacing="0" w:after="0"/>
        <w:jc w:val="both"/>
        <w:rPr>
          <w:color w:val="000000" w:themeColor="text1"/>
          <w:lang w:val="en-GB"/>
        </w:rPr>
      </w:pPr>
      <w:r>
        <w:rPr>
          <w:color w:val="000000" w:themeColor="text1"/>
          <w:shd w:fill="FFFFFF" w:val="clear"/>
          <w:lang w:val="en-GB"/>
        </w:rPr>
        <w:t xml:space="preserve">Partlett, W., 2021. Russia's 2020 Constitutional Amendments: A Comparative Analysis. </w:t>
      </w:r>
      <w:r>
        <w:rPr>
          <w:i/>
          <w:iCs/>
          <w:color w:val="000000" w:themeColor="text1"/>
          <w:shd w:fill="FFFFFF" w:val="clear"/>
          <w:lang w:val="en-GB"/>
        </w:rPr>
        <w:t>Cambridge Yearbook of European Legal Studies</w:t>
      </w:r>
      <w:r>
        <w:rPr>
          <w:color w:val="000000" w:themeColor="text1"/>
          <w:shd w:fill="FFFFFF" w:val="clear"/>
          <w:lang w:val="en-GB"/>
        </w:rPr>
        <w:t xml:space="preserve">, </w:t>
      </w:r>
      <w:r>
        <w:rPr>
          <w:i/>
          <w:iCs/>
          <w:color w:val="000000" w:themeColor="text1"/>
          <w:shd w:fill="FFFFFF" w:val="clear"/>
          <w:lang w:val="en-GB"/>
        </w:rPr>
        <w:t>23</w:t>
      </w:r>
      <w:r>
        <w:rPr>
          <w:color w:val="000000" w:themeColor="text1"/>
          <w:shd w:fill="FFFFFF" w:val="clear"/>
          <w:lang w:val="en-GB"/>
        </w:rPr>
        <w:t xml:space="preserve">, pp.311-342. </w:t>
      </w:r>
      <w:hyperlink r:id="rId10">
        <w:r>
          <w:rPr>
            <w:rStyle w:val="InternetLink"/>
            <w:color w:val="000000" w:themeColor="text1"/>
            <w:shd w:fill="FFFFFF" w:val="clear"/>
            <w:lang w:val="en-GB"/>
          </w:rPr>
          <w:t>https://www.cambridge.org/core/journals/cambridge-yearbook-of-european-legal-studies/article/russias-2020-constitutional-amendments-a-comparative-analysis/4A8B84877258789A56CF0B47625386CD</w:t>
        </w:r>
      </w:hyperlink>
    </w:p>
    <w:p>
      <w:pPr>
        <w:pStyle w:val="NormalWeb"/>
        <w:spacing w:lineRule="auto" w:line="360" w:beforeAutospacing="0" w:before="0" w:afterAutospacing="0" w:after="0"/>
        <w:jc w:val="both"/>
        <w:rPr>
          <w:color w:val="000000" w:themeColor="text1"/>
          <w:lang w:val="en-GB"/>
        </w:rPr>
      </w:pPr>
      <w:r>
        <w:rPr>
          <w:color w:val="000000" w:themeColor="text1"/>
          <w:shd w:fill="FFFFFF" w:val="clear"/>
          <w:lang w:val="en-GB"/>
        </w:rPr>
        <w:t xml:space="preserve">Syrett, K. and Alder, J., 2021. </w:t>
      </w:r>
      <w:r>
        <w:rPr>
          <w:i/>
          <w:iCs/>
          <w:color w:val="000000" w:themeColor="text1"/>
          <w:shd w:fill="FFFFFF" w:val="clear"/>
          <w:lang w:val="en-GB"/>
        </w:rPr>
        <w:t>Constitutional and administrative law</w:t>
      </w:r>
      <w:r>
        <w:rPr>
          <w:color w:val="000000" w:themeColor="text1"/>
          <w:shd w:fill="FFFFFF" w:val="clear"/>
          <w:lang w:val="en-GB"/>
        </w:rPr>
        <w:t xml:space="preserve">. Bloomsbury Publishing. </w:t>
      </w:r>
      <w:hyperlink r:id="rId11">
        <w:r>
          <w:rPr>
            <w:rStyle w:val="InternetLink"/>
            <w:color w:val="000000" w:themeColor="text1"/>
            <w:shd w:fill="FFFFFF" w:val="clear"/>
            <w:lang w:val="en-GB"/>
          </w:rPr>
          <w:t>https://books.google.com/books?hl=en&amp;lr=&amp;id=WUZkEAAAQBAJ&amp;oi=fnd&amp;pg=PT17&amp;dq=UK+CONSTITUTION&amp;ots=dAgl4_eJnG&amp;sig=ekLYzu6Lf33fKT5IjHtJl-N4zTQ</w:t>
        </w:r>
      </w:hyperlink>
    </w:p>
    <w:p>
      <w:pPr>
        <w:pStyle w:val="Normal1"/>
        <w:spacing w:lineRule="auto" w:line="360"/>
        <w:jc w:val="both"/>
        <w:rPr>
          <w:rFonts w:ascii="Times New Roman" w:hAnsi="Times New Roman" w:eastAsia="Times New Roman" w:cs="Times New Roman"/>
          <w:b/>
          <w:b/>
          <w:color w:val="000000" w:themeColor="text1"/>
          <w:sz w:val="24"/>
          <w:szCs w:val="24"/>
          <w:lang w:val="en-GB"/>
        </w:rPr>
      </w:pPr>
      <w:r>
        <w:rPr/>
      </w:r>
    </w:p>
    <w:sectPr>
      <w:footerReference w:type="default" r:id="rId12"/>
      <w:type w:val="nextPage"/>
      <w:pgSz w:w="11906" w:h="16838"/>
      <w:pgMar w:left="1440" w:right="1440" w:gutter="0" w:header="0" w:top="1440" w:footer="720" w:bottom="144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Times New Roman">
    <w:charset w:val="00"/>
    <w:family w:val="swiss"/>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382934512"/>
    </w:sdtPr>
    <w:sdtContent>
      <w:p>
        <w:pPr>
          <w:pStyle w:val="Footer"/>
          <w:jc w:val="right"/>
          <w:rPr/>
        </w:pPr>
        <w:r>
          <w:rPr/>
          <w:fldChar w:fldCharType="begin"/>
        </w:r>
        <w:r>
          <w:rPr/>
          <w:instrText xml:space="preserve"> PAGE </w:instrText>
        </w:r>
        <w:r>
          <w:rPr/>
          <w:fldChar w:fldCharType="separate"/>
        </w:r>
        <w:r>
          <w:rPr/>
          <w:t>7</w:t>
        </w:r>
        <w:r>
          <w:rPr/>
          <w:fldChar w:fldCharType="end"/>
        </w:r>
      </w:p>
    </w:sdtContent>
  </w:sdt>
  <w:p>
    <w:pPr>
      <w:pStyle w:val="Footer"/>
      <w:rPr/>
    </w:pPr>
    <w:r>
      <w:rPr/>
    </w:r>
  </w:p>
</w:ft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IN"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GB"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b77b5"/>
    <w:pPr>
      <w:widowControl/>
      <w:bidi w:val="0"/>
      <w:spacing w:lineRule="auto" w:line="276" w:before="0" w:after="0"/>
      <w:jc w:val="left"/>
    </w:pPr>
    <w:rPr>
      <w:rFonts w:ascii="Arial" w:hAnsi="Arial" w:eastAsia="Arial" w:cs="Arial"/>
      <w:color w:val="auto"/>
      <w:kern w:val="0"/>
      <w:sz w:val="22"/>
      <w:szCs w:val="22"/>
      <w:lang w:val="en-GB" w:eastAsia="en-US" w:bidi="ar-SA"/>
    </w:rPr>
  </w:style>
  <w:style w:type="paragraph" w:styleId="Heading1">
    <w:name w:val="Heading 1"/>
    <w:basedOn w:val="Normal1"/>
    <w:next w:val="Normal1"/>
    <w:qFormat/>
    <w:rsid w:val="00226200"/>
    <w:pPr>
      <w:keepNext w:val="true"/>
      <w:keepLines/>
      <w:spacing w:lineRule="auto" w:line="360" w:before="400" w:after="120"/>
      <w:jc w:val="both"/>
      <w:outlineLvl w:val="0"/>
    </w:pPr>
    <w:rPr>
      <w:rFonts w:ascii="Times New Roman" w:hAnsi="Times New Roman"/>
      <w:b/>
      <w:sz w:val="24"/>
      <w:szCs w:val="40"/>
    </w:rPr>
  </w:style>
  <w:style w:type="paragraph" w:styleId="Heading2">
    <w:name w:val="Heading 2"/>
    <w:basedOn w:val="Normal1"/>
    <w:next w:val="Normal1"/>
    <w:qFormat/>
    <w:pPr>
      <w:keepNext w:val="true"/>
      <w:keepLines/>
      <w:spacing w:before="360" w:after="120"/>
      <w:outlineLvl w:val="1"/>
    </w:pPr>
    <w:rPr>
      <w:sz w:val="32"/>
      <w:szCs w:val="32"/>
    </w:rPr>
  </w:style>
  <w:style w:type="paragraph" w:styleId="Heading3">
    <w:name w:val="Heading 3"/>
    <w:basedOn w:val="Normal1"/>
    <w:next w:val="Normal1"/>
    <w:qFormat/>
    <w:pPr>
      <w:keepNext w:val="true"/>
      <w:keepLines/>
      <w:spacing w:before="320" w:after="80"/>
      <w:outlineLvl w:val="2"/>
    </w:pPr>
    <w:rPr>
      <w:color w:val="434343"/>
      <w:sz w:val="28"/>
      <w:szCs w:val="28"/>
    </w:rPr>
  </w:style>
  <w:style w:type="paragraph" w:styleId="Heading4">
    <w:name w:val="Heading 4"/>
    <w:basedOn w:val="Normal1"/>
    <w:next w:val="Normal1"/>
    <w:qFormat/>
    <w:pPr>
      <w:keepNext w:val="true"/>
      <w:keepLines/>
      <w:spacing w:before="280" w:after="80"/>
      <w:outlineLvl w:val="3"/>
    </w:pPr>
    <w:rPr>
      <w:color w:val="666666"/>
      <w:sz w:val="24"/>
      <w:szCs w:val="24"/>
    </w:rPr>
  </w:style>
  <w:style w:type="paragraph" w:styleId="Heading5">
    <w:name w:val="Heading 5"/>
    <w:basedOn w:val="Normal1"/>
    <w:next w:val="Normal1"/>
    <w:qFormat/>
    <w:pPr>
      <w:keepNext w:val="true"/>
      <w:keepLines/>
      <w:spacing w:before="240" w:after="80"/>
      <w:outlineLvl w:val="4"/>
    </w:pPr>
    <w:rPr>
      <w:color w:val="666666"/>
    </w:rPr>
  </w:style>
  <w:style w:type="paragraph" w:styleId="Heading6">
    <w:name w:val="Heading 6"/>
    <w:basedOn w:val="Normal1"/>
    <w:next w:val="Normal1"/>
    <w:qFormat/>
    <w:pPr>
      <w:keepNext w:val="true"/>
      <w:keepLines/>
      <w:spacing w:before="240" w:after="80"/>
      <w:outlineLvl w:val="5"/>
    </w:pPr>
    <w:rPr>
      <w:i/>
      <w:color w:val="666666"/>
    </w:rPr>
  </w:style>
  <w:style w:type="character" w:styleId="DefaultParagraphFont" w:default="1">
    <w:name w:val="Default Paragraph Font"/>
    <w:uiPriority w:val="1"/>
    <w:semiHidden/>
    <w:unhideWhenUsed/>
    <w:qFormat/>
    <w:rPr/>
  </w:style>
  <w:style w:type="character" w:styleId="InternetLink">
    <w:name w:val="Hyperlink"/>
    <w:basedOn w:val="DefaultParagraphFont"/>
    <w:uiPriority w:val="99"/>
    <w:semiHidden/>
    <w:unhideWhenUsed/>
    <w:rsid w:val="00cc3c4b"/>
    <w:rPr>
      <w:color w:val="0000FF"/>
      <w:u w:val="single"/>
    </w:rPr>
  </w:style>
  <w:style w:type="character" w:styleId="HeaderChar" w:customStyle="1">
    <w:name w:val="Header Char"/>
    <w:basedOn w:val="DefaultParagraphFont"/>
    <w:link w:val="Header"/>
    <w:uiPriority w:val="99"/>
    <w:qFormat/>
    <w:rsid w:val="00cc3c4b"/>
    <w:rPr/>
  </w:style>
  <w:style w:type="character" w:styleId="FooterChar" w:customStyle="1">
    <w:name w:val="Footer Char"/>
    <w:basedOn w:val="DefaultParagraphFont"/>
    <w:link w:val="Footer"/>
    <w:uiPriority w:val="99"/>
    <w:qFormat/>
    <w:rsid w:val="00cc3c4b"/>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Normal1" w:customStyle="1">
    <w:name w:val="Normal1"/>
    <w:qFormat/>
    <w:pPr>
      <w:widowControl/>
      <w:bidi w:val="0"/>
      <w:spacing w:lineRule="auto" w:line="276" w:before="0" w:after="0"/>
      <w:jc w:val="left"/>
    </w:pPr>
    <w:rPr>
      <w:rFonts w:ascii="Arial" w:hAnsi="Arial" w:eastAsia="Arial" w:cs="Arial"/>
      <w:color w:val="auto"/>
      <w:kern w:val="0"/>
      <w:sz w:val="22"/>
      <w:szCs w:val="22"/>
      <w:lang w:val="en-GB" w:eastAsia="en-US" w:bidi="ar-SA"/>
    </w:rPr>
  </w:style>
  <w:style w:type="paragraph" w:styleId="Title">
    <w:name w:val="Title"/>
    <w:basedOn w:val="Normal1"/>
    <w:next w:val="Normal1"/>
    <w:qFormat/>
    <w:pPr>
      <w:keepNext w:val="true"/>
      <w:keepLines/>
      <w:spacing w:before="0" w:after="60"/>
    </w:pPr>
    <w:rPr>
      <w:sz w:val="52"/>
      <w:szCs w:val="52"/>
    </w:rPr>
  </w:style>
  <w:style w:type="paragraph" w:styleId="Subtitle">
    <w:name w:val="Subtitle"/>
    <w:basedOn w:val="Normal1"/>
    <w:next w:val="Normal1"/>
    <w:qFormat/>
    <w:pPr>
      <w:keepNext w:val="true"/>
      <w:keepLines/>
      <w:spacing w:before="0" w:after="320"/>
    </w:pPr>
    <w:rPr>
      <w:color w:val="666666"/>
      <w:sz w:val="30"/>
      <w:szCs w:val="30"/>
    </w:rPr>
  </w:style>
  <w:style w:type="paragraph" w:styleId="NormalWeb">
    <w:name w:val="Normal (Web)"/>
    <w:basedOn w:val="Normal"/>
    <w:uiPriority w:val="99"/>
    <w:semiHidden/>
    <w:unhideWhenUsed/>
    <w:qFormat/>
    <w:rsid w:val="00cc3c4b"/>
    <w:pPr>
      <w:spacing w:lineRule="auto" w:line="240" w:beforeAutospacing="1" w:afterAutospacing="1"/>
    </w:pPr>
    <w:rPr>
      <w:rFonts w:ascii="Times New Roman" w:hAnsi="Times New Roman" w:eastAsia="Times New Roman" w:cs="Times New Roman"/>
      <w:sz w:val="24"/>
      <w:szCs w:val="24"/>
      <w:lang w:val="en-IN" w:eastAsia="en-IN"/>
    </w:rPr>
  </w:style>
  <w:style w:type="paragraph" w:styleId="HeaderandFooter">
    <w:name w:val="Header and Footer"/>
    <w:basedOn w:val="Normal"/>
    <w:qFormat/>
    <w:pPr/>
    <w:rPr/>
  </w:style>
  <w:style w:type="paragraph" w:styleId="Header">
    <w:name w:val="Header"/>
    <w:basedOn w:val="Normal"/>
    <w:link w:val="HeaderChar"/>
    <w:uiPriority w:val="99"/>
    <w:unhideWhenUsed/>
    <w:rsid w:val="00cc3c4b"/>
    <w:pPr>
      <w:tabs>
        <w:tab w:val="clear" w:pos="720"/>
        <w:tab w:val="center" w:pos="4513" w:leader="none"/>
        <w:tab w:val="right" w:pos="9026" w:leader="none"/>
      </w:tabs>
      <w:spacing w:lineRule="auto" w:line="240"/>
    </w:pPr>
    <w:rPr/>
  </w:style>
  <w:style w:type="paragraph" w:styleId="Footer">
    <w:name w:val="Footer"/>
    <w:basedOn w:val="Normal"/>
    <w:link w:val="FooterChar"/>
    <w:uiPriority w:val="99"/>
    <w:unhideWhenUsed/>
    <w:rsid w:val="00cc3c4b"/>
    <w:pPr>
      <w:tabs>
        <w:tab w:val="clear" w:pos="720"/>
        <w:tab w:val="center" w:pos="4513" w:leader="none"/>
        <w:tab w:val="right" w:pos="9026" w:leader="none"/>
      </w:tabs>
      <w:spacing w:lineRule="auto" w:line="24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customStyle="1" w:styleId="TableNormal1">
    <w:name w:val="Table Normal1"/>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judiciary.uk/about-the-judiciary/our-justice-system/constitutional-reform/" TargetMode="External"/><Relationship Id="rId3" Type="http://schemas.openxmlformats.org/officeDocument/2006/relationships/hyperlink" Target="https://books.google.com/books?hl=en&amp;lr=&amp;id=QTTrDwAAQBAJ&amp;oi=fnd&amp;pg=PT185&amp;dq=Constitutional+Reform+Act+2005&amp;ots=h4b97VBP9b&amp;sig=Vclf0lC7vgfvWM1Thi4NUN8aFoM" TargetMode="External"/><Relationship Id="rId4" Type="http://schemas.openxmlformats.org/officeDocument/2006/relationships/hyperlink" Target="https://www.tandfonline.com/doi/abs/10.1080/09692290.2020.1830831" TargetMode="External"/><Relationship Id="rId5" Type="http://schemas.openxmlformats.org/officeDocument/2006/relationships/hyperlink" Target="https://www.taylorfrancis.com/chapters/edit/10.4324/9781003165675-5/parliamentary-popular-pooled-conflicts-sovereignty-united-kingdom-exit-european-union-christopher-bickerton" TargetMode="External"/><Relationship Id="rId6" Type="http://schemas.openxmlformats.org/officeDocument/2006/relationships/hyperlink" Target="https://www.tandfonline.com/doi/full/10.1080/09615768.2019.1594614" TargetMode="External"/><Relationship Id="rId7" Type="http://schemas.openxmlformats.org/officeDocument/2006/relationships/hyperlink" Target="https://www.taylorfrancis.com/chapters/edit/10.4324/9781003267300-10/institutional-change-nepal-liberalization-maoist-movement-rise-political-consciousness-constitutional-change-kalpana-khanal-natalia-bracarense" TargetMode="External"/><Relationship Id="rId8" Type="http://schemas.openxmlformats.org/officeDocument/2006/relationships/hyperlink" Target="https://www.ceeol.com/search/article-detail?id=875775" TargetMode="External"/><Relationship Id="rId9" Type="http://schemas.openxmlformats.org/officeDocument/2006/relationships/hyperlink" Target="https://www.taylorfrancis.com/chapters/edit/10.4324/9781003028574-23/changing-constitution-philip-norton" TargetMode="External"/><Relationship Id="rId10" Type="http://schemas.openxmlformats.org/officeDocument/2006/relationships/hyperlink" Target="https://www.cambridge.org/core/journals/cambridge-yearbook-of-european-legal-studies/article/russias-2020-constitutional-amendments-a-comparative-analysis/4A8B84877258789A56CF0B47625386CD" TargetMode="External"/><Relationship Id="rId11" Type="http://schemas.openxmlformats.org/officeDocument/2006/relationships/hyperlink" Target="https://books.google.com/books?hl=en&amp;lr=&amp;id=WUZkEAAAQBAJ&amp;oi=fnd&amp;pg=PT17&amp;dq=UK+CONSTITUTION&amp;ots=dAgl4_eJnG&amp;sig=ekLYzu6Lf33fKT5IjHtJl-N4zTQ" TargetMode="Externa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Application>LibreOffice/7.4.1.2$Windows_X86_64 LibreOffice_project/3c58a8f3a960df8bc8fd77b461821e42c061c5f0</Application>
  <AppVersion>15.0000</AppVersion>
  <Pages>7</Pages>
  <Words>1758</Words>
  <Characters>10779</Characters>
  <CharactersWithSpaces>12536</CharactersWithSpaces>
  <Paragraphs>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2023-07-19T08:44:00Z</dcterms:created>
  <dc:creator/>
  <dc:description/>
  <dc:language>en-GB</dc:language>
  <cp:lastModifiedBy/>
  <dcterms:modified xsi:type="dcterms:W3CDTF">2023-08-11T22:43:45Z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