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103827" w14:textId="77777777" w:rsidR="00701353" w:rsidRPr="0078635D" w:rsidRDefault="00701353">
      <w:pPr>
        <w:spacing w:line="360" w:lineRule="auto"/>
        <w:jc w:val="center"/>
        <w:rPr>
          <w:rFonts w:ascii="Times New Roman" w:eastAsia="Times New Roman" w:hAnsi="Times New Roman" w:cs="Times New Roman"/>
          <w:b/>
          <w:sz w:val="32"/>
          <w:szCs w:val="32"/>
        </w:rPr>
      </w:pPr>
    </w:p>
    <w:p w14:paraId="4963EDEC" w14:textId="77777777" w:rsidR="00701353" w:rsidRPr="0078635D" w:rsidRDefault="00701353">
      <w:pPr>
        <w:spacing w:line="360" w:lineRule="auto"/>
        <w:jc w:val="center"/>
        <w:rPr>
          <w:rFonts w:ascii="Times New Roman" w:eastAsia="Times New Roman" w:hAnsi="Times New Roman" w:cs="Times New Roman"/>
          <w:b/>
          <w:sz w:val="32"/>
          <w:szCs w:val="32"/>
        </w:rPr>
      </w:pPr>
    </w:p>
    <w:p w14:paraId="5B1F7601" w14:textId="77777777" w:rsidR="00701353" w:rsidRPr="0078635D" w:rsidRDefault="00701353">
      <w:pPr>
        <w:spacing w:line="360" w:lineRule="auto"/>
        <w:jc w:val="center"/>
        <w:rPr>
          <w:rFonts w:ascii="Times New Roman" w:eastAsia="Times New Roman" w:hAnsi="Times New Roman" w:cs="Times New Roman"/>
          <w:b/>
          <w:sz w:val="32"/>
          <w:szCs w:val="32"/>
        </w:rPr>
      </w:pPr>
    </w:p>
    <w:p w14:paraId="30D25232" w14:textId="77777777" w:rsidR="00701353" w:rsidRPr="0078635D" w:rsidRDefault="00701353">
      <w:pPr>
        <w:spacing w:line="360" w:lineRule="auto"/>
        <w:jc w:val="center"/>
        <w:rPr>
          <w:rFonts w:ascii="Times New Roman" w:eastAsia="Times New Roman" w:hAnsi="Times New Roman" w:cs="Times New Roman"/>
          <w:b/>
          <w:sz w:val="32"/>
          <w:szCs w:val="32"/>
        </w:rPr>
      </w:pPr>
    </w:p>
    <w:p w14:paraId="3F195E73" w14:textId="77777777" w:rsidR="00701353" w:rsidRPr="0078635D" w:rsidRDefault="00701353">
      <w:pPr>
        <w:spacing w:line="360" w:lineRule="auto"/>
        <w:jc w:val="center"/>
        <w:rPr>
          <w:rFonts w:ascii="Times New Roman" w:eastAsia="Times New Roman" w:hAnsi="Times New Roman" w:cs="Times New Roman"/>
          <w:b/>
          <w:sz w:val="32"/>
          <w:szCs w:val="32"/>
        </w:rPr>
      </w:pPr>
    </w:p>
    <w:p w14:paraId="553B9A27" w14:textId="77777777" w:rsidR="00701353" w:rsidRPr="0078635D" w:rsidRDefault="00701353">
      <w:pPr>
        <w:spacing w:line="360" w:lineRule="auto"/>
        <w:jc w:val="center"/>
        <w:rPr>
          <w:rFonts w:ascii="Times New Roman" w:eastAsia="Times New Roman" w:hAnsi="Times New Roman" w:cs="Times New Roman"/>
          <w:b/>
          <w:sz w:val="32"/>
          <w:szCs w:val="32"/>
        </w:rPr>
      </w:pPr>
    </w:p>
    <w:p w14:paraId="0C5114EA" w14:textId="77777777" w:rsidR="00701353" w:rsidRPr="0078635D" w:rsidRDefault="00701353">
      <w:pPr>
        <w:spacing w:line="360" w:lineRule="auto"/>
        <w:jc w:val="center"/>
        <w:rPr>
          <w:rFonts w:ascii="Times New Roman" w:eastAsia="Times New Roman" w:hAnsi="Times New Roman" w:cs="Times New Roman"/>
          <w:b/>
          <w:sz w:val="32"/>
          <w:szCs w:val="32"/>
        </w:rPr>
      </w:pPr>
    </w:p>
    <w:p w14:paraId="08D86DE0" w14:textId="77777777" w:rsidR="00701353" w:rsidRPr="0078635D" w:rsidRDefault="00701353">
      <w:pPr>
        <w:spacing w:line="360" w:lineRule="auto"/>
        <w:jc w:val="center"/>
        <w:rPr>
          <w:rFonts w:ascii="Times New Roman" w:eastAsia="Times New Roman" w:hAnsi="Times New Roman" w:cs="Times New Roman"/>
          <w:b/>
          <w:sz w:val="32"/>
          <w:szCs w:val="32"/>
        </w:rPr>
      </w:pPr>
    </w:p>
    <w:p w14:paraId="64C5D986" w14:textId="77777777" w:rsidR="00701353" w:rsidRPr="0078635D" w:rsidRDefault="00701353">
      <w:pPr>
        <w:spacing w:line="360" w:lineRule="auto"/>
        <w:jc w:val="center"/>
        <w:rPr>
          <w:rFonts w:ascii="Times New Roman" w:eastAsia="Times New Roman" w:hAnsi="Times New Roman" w:cs="Times New Roman"/>
          <w:b/>
          <w:sz w:val="32"/>
          <w:szCs w:val="32"/>
        </w:rPr>
      </w:pPr>
    </w:p>
    <w:p w14:paraId="3468DC3F" w14:textId="1FF5CE40" w:rsidR="00573FAA" w:rsidRPr="0078635D" w:rsidRDefault="00000000">
      <w:pPr>
        <w:spacing w:line="360" w:lineRule="auto"/>
        <w:jc w:val="center"/>
        <w:rPr>
          <w:rFonts w:ascii="Times New Roman" w:eastAsia="Times New Roman" w:hAnsi="Times New Roman" w:cs="Times New Roman"/>
          <w:b/>
          <w:sz w:val="32"/>
          <w:szCs w:val="32"/>
        </w:rPr>
      </w:pPr>
      <w:proofErr w:type="spellStart"/>
      <w:r w:rsidRPr="0078635D">
        <w:rPr>
          <w:rFonts w:ascii="Times New Roman" w:eastAsia="Times New Roman" w:hAnsi="Times New Roman" w:cs="Times New Roman"/>
          <w:b/>
          <w:sz w:val="32"/>
          <w:szCs w:val="32"/>
        </w:rPr>
        <w:t>Name:</w:t>
      </w:r>
      <w:r w:rsidR="009B7CE1">
        <w:rPr>
          <w:rFonts w:ascii="Times New Roman" w:eastAsia="Times New Roman" w:hAnsi="Times New Roman" w:cs="Times New Roman"/>
          <w:b/>
          <w:sz w:val="32"/>
          <w:szCs w:val="32"/>
        </w:rPr>
        <w:t>Florin</w:t>
      </w:r>
      <w:proofErr w:type="spellEnd"/>
      <w:r w:rsidR="009B7CE1">
        <w:rPr>
          <w:rFonts w:ascii="Times New Roman" w:eastAsia="Times New Roman" w:hAnsi="Times New Roman" w:cs="Times New Roman"/>
          <w:b/>
          <w:sz w:val="32"/>
          <w:szCs w:val="32"/>
        </w:rPr>
        <w:t xml:space="preserve"> Dragomir</w:t>
      </w:r>
    </w:p>
    <w:p w14:paraId="35D61E60" w14:textId="46CA12A0" w:rsidR="00573FAA" w:rsidRPr="0078635D" w:rsidRDefault="00000000">
      <w:pPr>
        <w:spacing w:line="360" w:lineRule="auto"/>
        <w:jc w:val="center"/>
        <w:rPr>
          <w:rFonts w:ascii="Times New Roman" w:eastAsia="Times New Roman" w:hAnsi="Times New Roman" w:cs="Times New Roman"/>
          <w:b/>
          <w:sz w:val="32"/>
          <w:szCs w:val="32"/>
        </w:rPr>
      </w:pPr>
      <w:r w:rsidRPr="0078635D">
        <w:rPr>
          <w:rFonts w:ascii="Times New Roman" w:eastAsia="Times New Roman" w:hAnsi="Times New Roman" w:cs="Times New Roman"/>
          <w:b/>
          <w:sz w:val="32"/>
          <w:szCs w:val="32"/>
        </w:rPr>
        <w:t>Student Number:</w:t>
      </w:r>
      <w:r w:rsidR="009B7CE1">
        <w:rPr>
          <w:rFonts w:ascii="Times New Roman" w:eastAsia="Times New Roman" w:hAnsi="Times New Roman" w:cs="Times New Roman"/>
          <w:b/>
          <w:sz w:val="32"/>
          <w:szCs w:val="32"/>
        </w:rPr>
        <w:t>2227451</w:t>
      </w:r>
    </w:p>
    <w:p w14:paraId="72581945" w14:textId="56BE0E0B" w:rsidR="00573FAA" w:rsidRPr="0078635D" w:rsidRDefault="00000000">
      <w:pPr>
        <w:spacing w:line="360" w:lineRule="auto"/>
        <w:jc w:val="center"/>
        <w:rPr>
          <w:rFonts w:ascii="Times New Roman" w:eastAsia="Times New Roman" w:hAnsi="Times New Roman" w:cs="Times New Roman"/>
          <w:b/>
          <w:sz w:val="32"/>
          <w:szCs w:val="32"/>
        </w:rPr>
      </w:pPr>
      <w:r w:rsidRPr="0078635D">
        <w:rPr>
          <w:rFonts w:ascii="Times New Roman" w:eastAsia="Times New Roman" w:hAnsi="Times New Roman" w:cs="Times New Roman"/>
          <w:b/>
          <w:sz w:val="32"/>
          <w:szCs w:val="32"/>
        </w:rPr>
        <w:t xml:space="preserve">Assignment </w:t>
      </w:r>
      <w:proofErr w:type="spellStart"/>
      <w:r w:rsidRPr="0078635D">
        <w:rPr>
          <w:rFonts w:ascii="Times New Roman" w:eastAsia="Times New Roman" w:hAnsi="Times New Roman" w:cs="Times New Roman"/>
          <w:b/>
          <w:sz w:val="32"/>
          <w:szCs w:val="32"/>
        </w:rPr>
        <w:t>Title:</w:t>
      </w:r>
      <w:r w:rsidR="009B7CE1">
        <w:rPr>
          <w:rFonts w:ascii="Times New Roman" w:eastAsia="Times New Roman" w:hAnsi="Times New Roman" w:cs="Times New Roman"/>
          <w:b/>
          <w:sz w:val="32"/>
          <w:szCs w:val="32"/>
        </w:rPr>
        <w:t>Planing</w:t>
      </w:r>
      <w:proofErr w:type="spellEnd"/>
      <w:r w:rsidR="009B7CE1">
        <w:rPr>
          <w:rFonts w:ascii="Times New Roman" w:eastAsia="Times New Roman" w:hAnsi="Times New Roman" w:cs="Times New Roman"/>
          <w:b/>
          <w:sz w:val="32"/>
          <w:szCs w:val="32"/>
        </w:rPr>
        <w:t xml:space="preserve"> and delivering an International Meeting Event</w:t>
      </w:r>
    </w:p>
    <w:p w14:paraId="38CE6873" w14:textId="77777777" w:rsidR="00573FAA" w:rsidRPr="0078635D" w:rsidRDefault="00000000">
      <w:pPr>
        <w:spacing w:line="360" w:lineRule="auto"/>
        <w:jc w:val="center"/>
        <w:rPr>
          <w:rFonts w:ascii="Times New Roman" w:eastAsia="Times New Roman" w:hAnsi="Times New Roman" w:cs="Times New Roman"/>
          <w:b/>
          <w:sz w:val="32"/>
          <w:szCs w:val="32"/>
        </w:rPr>
      </w:pPr>
      <w:r w:rsidRPr="0078635D">
        <w:rPr>
          <w:rFonts w:ascii="Times New Roman" w:eastAsia="Times New Roman" w:hAnsi="Times New Roman" w:cs="Times New Roman"/>
          <w:b/>
          <w:sz w:val="32"/>
          <w:szCs w:val="32"/>
        </w:rPr>
        <w:t>Module Title: International Meetings Management BMIH6007</w:t>
      </w:r>
    </w:p>
    <w:p w14:paraId="792DB7E3" w14:textId="47B3F092" w:rsidR="00701353" w:rsidRPr="0078635D" w:rsidRDefault="00000000">
      <w:pPr>
        <w:spacing w:line="360" w:lineRule="auto"/>
        <w:jc w:val="center"/>
        <w:rPr>
          <w:rFonts w:ascii="Times New Roman" w:eastAsia="Times New Roman" w:hAnsi="Times New Roman" w:cs="Times New Roman"/>
          <w:b/>
          <w:sz w:val="32"/>
          <w:szCs w:val="32"/>
        </w:rPr>
      </w:pPr>
      <w:r w:rsidRPr="0078635D">
        <w:rPr>
          <w:rFonts w:ascii="Times New Roman" w:eastAsia="Times New Roman" w:hAnsi="Times New Roman" w:cs="Times New Roman"/>
          <w:b/>
          <w:sz w:val="32"/>
          <w:szCs w:val="32"/>
        </w:rPr>
        <w:t>Lecturer</w:t>
      </w:r>
      <w:r w:rsidR="001708E4">
        <w:rPr>
          <w:rFonts w:ascii="Times New Roman" w:eastAsia="Times New Roman" w:hAnsi="Times New Roman" w:cs="Times New Roman"/>
          <w:b/>
          <w:sz w:val="32"/>
          <w:szCs w:val="32"/>
        </w:rPr>
        <w:t>’</w:t>
      </w:r>
      <w:r w:rsidRPr="0078635D">
        <w:rPr>
          <w:rFonts w:ascii="Times New Roman" w:eastAsia="Times New Roman" w:hAnsi="Times New Roman" w:cs="Times New Roman"/>
          <w:b/>
          <w:sz w:val="32"/>
          <w:szCs w:val="32"/>
        </w:rPr>
        <w:t xml:space="preserve">s </w:t>
      </w:r>
      <w:proofErr w:type="spellStart"/>
      <w:r w:rsidRPr="0078635D">
        <w:rPr>
          <w:rFonts w:ascii="Times New Roman" w:eastAsia="Times New Roman" w:hAnsi="Times New Roman" w:cs="Times New Roman"/>
          <w:b/>
          <w:sz w:val="32"/>
          <w:szCs w:val="32"/>
        </w:rPr>
        <w:t>Name:</w:t>
      </w:r>
      <w:r w:rsidR="009B7CE1">
        <w:rPr>
          <w:rFonts w:ascii="Times New Roman" w:eastAsia="Times New Roman" w:hAnsi="Times New Roman" w:cs="Times New Roman"/>
          <w:b/>
          <w:sz w:val="32"/>
          <w:szCs w:val="32"/>
        </w:rPr>
        <w:t>Kathryn</w:t>
      </w:r>
      <w:proofErr w:type="spellEnd"/>
      <w:r w:rsidR="009B7CE1">
        <w:rPr>
          <w:rFonts w:ascii="Times New Roman" w:eastAsia="Times New Roman" w:hAnsi="Times New Roman" w:cs="Times New Roman"/>
          <w:b/>
          <w:sz w:val="32"/>
          <w:szCs w:val="32"/>
        </w:rPr>
        <w:t xml:space="preserve"> Flynn</w:t>
      </w:r>
    </w:p>
    <w:p w14:paraId="636839BA" w14:textId="77777777" w:rsidR="00701353" w:rsidRPr="0078635D" w:rsidRDefault="00000000">
      <w:pPr>
        <w:rPr>
          <w:rFonts w:ascii="Times New Roman" w:eastAsia="Times New Roman" w:hAnsi="Times New Roman" w:cs="Times New Roman"/>
          <w:b/>
          <w:sz w:val="32"/>
          <w:szCs w:val="32"/>
        </w:rPr>
      </w:pPr>
      <w:r w:rsidRPr="0078635D">
        <w:rPr>
          <w:rFonts w:ascii="Times New Roman" w:eastAsia="Times New Roman" w:hAnsi="Times New Roman" w:cs="Times New Roman"/>
          <w:b/>
          <w:sz w:val="32"/>
          <w:szCs w:val="32"/>
        </w:rPr>
        <w:br w:type="page"/>
      </w:r>
    </w:p>
    <w:sdt>
      <w:sdtPr>
        <w:rPr>
          <w:rFonts w:ascii="Times New Roman" w:eastAsia="Arial" w:hAnsi="Times New Roman" w:cs="Times New Roman"/>
          <w:color w:val="auto"/>
          <w:sz w:val="24"/>
          <w:szCs w:val="24"/>
          <w:lang w:val="en-GB" w:eastAsia="en-IN"/>
        </w:rPr>
        <w:id w:val="-1787723813"/>
        <w:docPartObj>
          <w:docPartGallery w:val="Table of Contents"/>
          <w:docPartUnique/>
        </w:docPartObj>
      </w:sdtPr>
      <w:sdtEndPr>
        <w:rPr>
          <w:rFonts w:ascii="Arial" w:hAnsi="Arial" w:cs="Arial"/>
          <w:b/>
          <w:bCs/>
          <w:sz w:val="22"/>
          <w:szCs w:val="22"/>
        </w:rPr>
      </w:sdtEndPr>
      <w:sdtContent>
        <w:p w14:paraId="529308A0" w14:textId="5E09080A" w:rsidR="00701353" w:rsidRPr="0078635D" w:rsidRDefault="00000000" w:rsidP="0088562A">
          <w:pPr>
            <w:pStyle w:val="TOCHeading"/>
            <w:spacing w:line="360" w:lineRule="auto"/>
            <w:rPr>
              <w:rFonts w:ascii="Times New Roman" w:hAnsi="Times New Roman" w:cs="Times New Roman"/>
              <w:b/>
              <w:bCs/>
              <w:color w:val="000000" w:themeColor="text1"/>
              <w:sz w:val="28"/>
              <w:szCs w:val="28"/>
              <w:lang w:val="en-GB"/>
            </w:rPr>
          </w:pPr>
          <w:r w:rsidRPr="0078635D">
            <w:rPr>
              <w:rFonts w:ascii="Times New Roman" w:hAnsi="Times New Roman" w:cs="Times New Roman"/>
              <w:b/>
              <w:bCs/>
              <w:color w:val="000000" w:themeColor="text1"/>
              <w:sz w:val="28"/>
              <w:szCs w:val="28"/>
              <w:lang w:val="en-GB"/>
            </w:rPr>
            <w:t>Table of Contents</w:t>
          </w:r>
        </w:p>
        <w:p w14:paraId="530FB590" w14:textId="66CC1D97" w:rsidR="0088562A" w:rsidRDefault="00000000"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r w:rsidRPr="0078635D">
            <w:rPr>
              <w:rFonts w:ascii="Times New Roman" w:hAnsi="Times New Roman" w:cs="Times New Roman"/>
              <w:sz w:val="24"/>
              <w:szCs w:val="24"/>
            </w:rPr>
            <w:fldChar w:fldCharType="begin"/>
          </w:r>
          <w:r w:rsidRPr="0078635D">
            <w:rPr>
              <w:rFonts w:ascii="Times New Roman" w:hAnsi="Times New Roman" w:cs="Times New Roman"/>
              <w:sz w:val="24"/>
              <w:szCs w:val="24"/>
            </w:rPr>
            <w:instrText xml:space="preserve"> TOC \o "1-3" \h \z \u </w:instrText>
          </w:r>
          <w:r w:rsidRPr="0078635D">
            <w:rPr>
              <w:rFonts w:ascii="Times New Roman" w:hAnsi="Times New Roman" w:cs="Times New Roman"/>
              <w:sz w:val="24"/>
              <w:szCs w:val="24"/>
            </w:rPr>
            <w:fldChar w:fldCharType="separate"/>
          </w:r>
          <w:hyperlink w:anchor="_Toc191676289" w:history="1">
            <w:r w:rsidR="0088562A" w:rsidRPr="006347E4">
              <w:rPr>
                <w:rStyle w:val="Hyperlink"/>
                <w:noProof/>
              </w:rPr>
              <w:t>Introduction</w:t>
            </w:r>
            <w:r w:rsidR="0088562A">
              <w:rPr>
                <w:noProof/>
                <w:webHidden/>
              </w:rPr>
              <w:tab/>
            </w:r>
            <w:r w:rsidR="0088562A">
              <w:rPr>
                <w:noProof/>
                <w:webHidden/>
              </w:rPr>
              <w:fldChar w:fldCharType="begin"/>
            </w:r>
            <w:r w:rsidR="0088562A">
              <w:rPr>
                <w:noProof/>
                <w:webHidden/>
              </w:rPr>
              <w:instrText xml:space="preserve"> PAGEREF _Toc191676289 \h </w:instrText>
            </w:r>
            <w:r w:rsidR="0088562A">
              <w:rPr>
                <w:noProof/>
                <w:webHidden/>
              </w:rPr>
            </w:r>
            <w:r w:rsidR="0088562A">
              <w:rPr>
                <w:noProof/>
                <w:webHidden/>
              </w:rPr>
              <w:fldChar w:fldCharType="separate"/>
            </w:r>
            <w:r w:rsidR="0088562A">
              <w:rPr>
                <w:noProof/>
                <w:webHidden/>
              </w:rPr>
              <w:t>3</w:t>
            </w:r>
            <w:r w:rsidR="0088562A">
              <w:rPr>
                <w:noProof/>
                <w:webHidden/>
              </w:rPr>
              <w:fldChar w:fldCharType="end"/>
            </w:r>
          </w:hyperlink>
        </w:p>
        <w:p w14:paraId="1CB53081" w14:textId="4846544B"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0" w:history="1">
            <w:r w:rsidRPr="006347E4">
              <w:rPr>
                <w:rStyle w:val="Hyperlink"/>
                <w:noProof/>
              </w:rPr>
              <w:t>The Event Cycle</w:t>
            </w:r>
            <w:r>
              <w:rPr>
                <w:noProof/>
                <w:webHidden/>
              </w:rPr>
              <w:tab/>
            </w:r>
            <w:r>
              <w:rPr>
                <w:noProof/>
                <w:webHidden/>
              </w:rPr>
              <w:fldChar w:fldCharType="begin"/>
            </w:r>
            <w:r>
              <w:rPr>
                <w:noProof/>
                <w:webHidden/>
              </w:rPr>
              <w:instrText xml:space="preserve"> PAGEREF _Toc191676290 \h </w:instrText>
            </w:r>
            <w:r>
              <w:rPr>
                <w:noProof/>
                <w:webHidden/>
              </w:rPr>
            </w:r>
            <w:r>
              <w:rPr>
                <w:noProof/>
                <w:webHidden/>
              </w:rPr>
              <w:fldChar w:fldCharType="separate"/>
            </w:r>
            <w:r>
              <w:rPr>
                <w:noProof/>
                <w:webHidden/>
              </w:rPr>
              <w:t>3</w:t>
            </w:r>
            <w:r>
              <w:rPr>
                <w:noProof/>
                <w:webHidden/>
              </w:rPr>
              <w:fldChar w:fldCharType="end"/>
            </w:r>
          </w:hyperlink>
        </w:p>
        <w:p w14:paraId="6E127A82" w14:textId="1585FB62"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1" w:history="1">
            <w:r w:rsidRPr="006347E4">
              <w:rPr>
                <w:rStyle w:val="Hyperlink"/>
                <w:noProof/>
              </w:rPr>
              <w:t>Event Concept</w:t>
            </w:r>
            <w:r>
              <w:rPr>
                <w:noProof/>
                <w:webHidden/>
              </w:rPr>
              <w:tab/>
            </w:r>
            <w:r>
              <w:rPr>
                <w:noProof/>
                <w:webHidden/>
              </w:rPr>
              <w:fldChar w:fldCharType="begin"/>
            </w:r>
            <w:r>
              <w:rPr>
                <w:noProof/>
                <w:webHidden/>
              </w:rPr>
              <w:instrText xml:space="preserve"> PAGEREF _Toc191676291 \h </w:instrText>
            </w:r>
            <w:r>
              <w:rPr>
                <w:noProof/>
                <w:webHidden/>
              </w:rPr>
            </w:r>
            <w:r>
              <w:rPr>
                <w:noProof/>
                <w:webHidden/>
              </w:rPr>
              <w:fldChar w:fldCharType="separate"/>
            </w:r>
            <w:r>
              <w:rPr>
                <w:noProof/>
                <w:webHidden/>
              </w:rPr>
              <w:t>4</w:t>
            </w:r>
            <w:r>
              <w:rPr>
                <w:noProof/>
                <w:webHidden/>
              </w:rPr>
              <w:fldChar w:fldCharType="end"/>
            </w:r>
          </w:hyperlink>
        </w:p>
        <w:p w14:paraId="55F2CF87" w14:textId="22EACAB5"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2" w:history="1">
            <w:r w:rsidRPr="006347E4">
              <w:rPr>
                <w:rStyle w:val="Hyperlink"/>
                <w:noProof/>
              </w:rPr>
              <w:t>Aim and Objectives of the Meeting / Event</w:t>
            </w:r>
            <w:r>
              <w:rPr>
                <w:noProof/>
                <w:webHidden/>
              </w:rPr>
              <w:tab/>
            </w:r>
            <w:r>
              <w:rPr>
                <w:noProof/>
                <w:webHidden/>
              </w:rPr>
              <w:fldChar w:fldCharType="begin"/>
            </w:r>
            <w:r>
              <w:rPr>
                <w:noProof/>
                <w:webHidden/>
              </w:rPr>
              <w:instrText xml:space="preserve"> PAGEREF _Toc191676292 \h </w:instrText>
            </w:r>
            <w:r>
              <w:rPr>
                <w:noProof/>
                <w:webHidden/>
              </w:rPr>
            </w:r>
            <w:r>
              <w:rPr>
                <w:noProof/>
                <w:webHidden/>
              </w:rPr>
              <w:fldChar w:fldCharType="separate"/>
            </w:r>
            <w:r>
              <w:rPr>
                <w:noProof/>
                <w:webHidden/>
              </w:rPr>
              <w:t>5</w:t>
            </w:r>
            <w:r>
              <w:rPr>
                <w:noProof/>
                <w:webHidden/>
              </w:rPr>
              <w:fldChar w:fldCharType="end"/>
            </w:r>
          </w:hyperlink>
        </w:p>
        <w:p w14:paraId="5F104316" w14:textId="37D9B2C9"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3" w:history="1">
            <w:r w:rsidRPr="006347E4">
              <w:rPr>
                <w:rStyle w:val="Hyperlink"/>
                <w:noProof/>
              </w:rPr>
              <w:t>Event Management</w:t>
            </w:r>
            <w:r>
              <w:rPr>
                <w:noProof/>
                <w:webHidden/>
              </w:rPr>
              <w:tab/>
            </w:r>
            <w:r>
              <w:rPr>
                <w:noProof/>
                <w:webHidden/>
              </w:rPr>
              <w:fldChar w:fldCharType="begin"/>
            </w:r>
            <w:r>
              <w:rPr>
                <w:noProof/>
                <w:webHidden/>
              </w:rPr>
              <w:instrText xml:space="preserve"> PAGEREF _Toc191676293 \h </w:instrText>
            </w:r>
            <w:r>
              <w:rPr>
                <w:noProof/>
                <w:webHidden/>
              </w:rPr>
            </w:r>
            <w:r>
              <w:rPr>
                <w:noProof/>
                <w:webHidden/>
              </w:rPr>
              <w:fldChar w:fldCharType="separate"/>
            </w:r>
            <w:r>
              <w:rPr>
                <w:noProof/>
                <w:webHidden/>
              </w:rPr>
              <w:t>7</w:t>
            </w:r>
            <w:r>
              <w:rPr>
                <w:noProof/>
                <w:webHidden/>
              </w:rPr>
              <w:fldChar w:fldCharType="end"/>
            </w:r>
          </w:hyperlink>
        </w:p>
        <w:p w14:paraId="0DEA830E" w14:textId="66652472"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4" w:history="1">
            <w:r w:rsidRPr="006347E4">
              <w:rPr>
                <w:rStyle w:val="Hyperlink"/>
                <w:noProof/>
              </w:rPr>
              <w:t>Event Budget</w:t>
            </w:r>
            <w:r>
              <w:rPr>
                <w:noProof/>
                <w:webHidden/>
              </w:rPr>
              <w:tab/>
            </w:r>
            <w:r>
              <w:rPr>
                <w:noProof/>
                <w:webHidden/>
              </w:rPr>
              <w:fldChar w:fldCharType="begin"/>
            </w:r>
            <w:r>
              <w:rPr>
                <w:noProof/>
                <w:webHidden/>
              </w:rPr>
              <w:instrText xml:space="preserve"> PAGEREF _Toc191676294 \h </w:instrText>
            </w:r>
            <w:r>
              <w:rPr>
                <w:noProof/>
                <w:webHidden/>
              </w:rPr>
            </w:r>
            <w:r>
              <w:rPr>
                <w:noProof/>
                <w:webHidden/>
              </w:rPr>
              <w:fldChar w:fldCharType="separate"/>
            </w:r>
            <w:r>
              <w:rPr>
                <w:noProof/>
                <w:webHidden/>
              </w:rPr>
              <w:t>8</w:t>
            </w:r>
            <w:r>
              <w:rPr>
                <w:noProof/>
                <w:webHidden/>
              </w:rPr>
              <w:fldChar w:fldCharType="end"/>
            </w:r>
          </w:hyperlink>
        </w:p>
        <w:p w14:paraId="78B25E50" w14:textId="55CC0B15"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5" w:history="1">
            <w:r w:rsidRPr="006347E4">
              <w:rPr>
                <w:rStyle w:val="Hyperlink"/>
                <w:noProof/>
              </w:rPr>
              <w:t>Industry Trends / Issues / Impacts</w:t>
            </w:r>
            <w:r>
              <w:rPr>
                <w:noProof/>
                <w:webHidden/>
              </w:rPr>
              <w:tab/>
            </w:r>
            <w:r>
              <w:rPr>
                <w:noProof/>
                <w:webHidden/>
              </w:rPr>
              <w:fldChar w:fldCharType="begin"/>
            </w:r>
            <w:r>
              <w:rPr>
                <w:noProof/>
                <w:webHidden/>
              </w:rPr>
              <w:instrText xml:space="preserve"> PAGEREF _Toc191676295 \h </w:instrText>
            </w:r>
            <w:r>
              <w:rPr>
                <w:noProof/>
                <w:webHidden/>
              </w:rPr>
            </w:r>
            <w:r>
              <w:rPr>
                <w:noProof/>
                <w:webHidden/>
              </w:rPr>
              <w:fldChar w:fldCharType="separate"/>
            </w:r>
            <w:r>
              <w:rPr>
                <w:noProof/>
                <w:webHidden/>
              </w:rPr>
              <w:t>9</w:t>
            </w:r>
            <w:r>
              <w:rPr>
                <w:noProof/>
                <w:webHidden/>
              </w:rPr>
              <w:fldChar w:fldCharType="end"/>
            </w:r>
          </w:hyperlink>
        </w:p>
        <w:p w14:paraId="6DD92609" w14:textId="73A093EA"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6" w:history="1">
            <w:r w:rsidRPr="006347E4">
              <w:rPr>
                <w:rStyle w:val="Hyperlink"/>
                <w:noProof/>
              </w:rPr>
              <w:t>Situational and Cultural Considerations</w:t>
            </w:r>
            <w:r>
              <w:rPr>
                <w:noProof/>
                <w:webHidden/>
              </w:rPr>
              <w:tab/>
            </w:r>
            <w:r>
              <w:rPr>
                <w:noProof/>
                <w:webHidden/>
              </w:rPr>
              <w:fldChar w:fldCharType="begin"/>
            </w:r>
            <w:r>
              <w:rPr>
                <w:noProof/>
                <w:webHidden/>
              </w:rPr>
              <w:instrText xml:space="preserve"> PAGEREF _Toc191676296 \h </w:instrText>
            </w:r>
            <w:r>
              <w:rPr>
                <w:noProof/>
                <w:webHidden/>
              </w:rPr>
            </w:r>
            <w:r>
              <w:rPr>
                <w:noProof/>
                <w:webHidden/>
              </w:rPr>
              <w:fldChar w:fldCharType="separate"/>
            </w:r>
            <w:r>
              <w:rPr>
                <w:noProof/>
                <w:webHidden/>
              </w:rPr>
              <w:t>11</w:t>
            </w:r>
            <w:r>
              <w:rPr>
                <w:noProof/>
                <w:webHidden/>
              </w:rPr>
              <w:fldChar w:fldCharType="end"/>
            </w:r>
          </w:hyperlink>
        </w:p>
        <w:p w14:paraId="3E951497" w14:textId="4F05865D"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7" w:history="1">
            <w:r w:rsidRPr="006347E4">
              <w:rPr>
                <w:rStyle w:val="Hyperlink"/>
                <w:noProof/>
              </w:rPr>
              <w:t>Conclusion</w:t>
            </w:r>
            <w:r>
              <w:rPr>
                <w:noProof/>
                <w:webHidden/>
              </w:rPr>
              <w:tab/>
            </w:r>
            <w:r>
              <w:rPr>
                <w:noProof/>
                <w:webHidden/>
              </w:rPr>
              <w:fldChar w:fldCharType="begin"/>
            </w:r>
            <w:r>
              <w:rPr>
                <w:noProof/>
                <w:webHidden/>
              </w:rPr>
              <w:instrText xml:space="preserve"> PAGEREF _Toc191676297 \h </w:instrText>
            </w:r>
            <w:r>
              <w:rPr>
                <w:noProof/>
                <w:webHidden/>
              </w:rPr>
            </w:r>
            <w:r>
              <w:rPr>
                <w:noProof/>
                <w:webHidden/>
              </w:rPr>
              <w:fldChar w:fldCharType="separate"/>
            </w:r>
            <w:r>
              <w:rPr>
                <w:noProof/>
                <w:webHidden/>
              </w:rPr>
              <w:t>12</w:t>
            </w:r>
            <w:r>
              <w:rPr>
                <w:noProof/>
                <w:webHidden/>
              </w:rPr>
              <w:fldChar w:fldCharType="end"/>
            </w:r>
          </w:hyperlink>
        </w:p>
        <w:p w14:paraId="7843BF4A" w14:textId="6E36915B"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8" w:history="1">
            <w:r w:rsidRPr="006347E4">
              <w:rPr>
                <w:rStyle w:val="Hyperlink"/>
                <w:noProof/>
              </w:rPr>
              <w:t>References</w:t>
            </w:r>
            <w:r>
              <w:rPr>
                <w:noProof/>
                <w:webHidden/>
              </w:rPr>
              <w:tab/>
            </w:r>
            <w:r>
              <w:rPr>
                <w:noProof/>
                <w:webHidden/>
              </w:rPr>
              <w:fldChar w:fldCharType="begin"/>
            </w:r>
            <w:r>
              <w:rPr>
                <w:noProof/>
                <w:webHidden/>
              </w:rPr>
              <w:instrText xml:space="preserve"> PAGEREF _Toc191676298 \h </w:instrText>
            </w:r>
            <w:r>
              <w:rPr>
                <w:noProof/>
                <w:webHidden/>
              </w:rPr>
            </w:r>
            <w:r>
              <w:rPr>
                <w:noProof/>
                <w:webHidden/>
              </w:rPr>
              <w:fldChar w:fldCharType="separate"/>
            </w:r>
            <w:r>
              <w:rPr>
                <w:noProof/>
                <w:webHidden/>
              </w:rPr>
              <w:t>14</w:t>
            </w:r>
            <w:r>
              <w:rPr>
                <w:noProof/>
                <w:webHidden/>
              </w:rPr>
              <w:fldChar w:fldCharType="end"/>
            </w:r>
          </w:hyperlink>
        </w:p>
        <w:p w14:paraId="5A0E834D" w14:textId="4F9CA297" w:rsidR="0088562A" w:rsidRDefault="0088562A" w:rsidP="0088562A">
          <w:pPr>
            <w:pStyle w:val="TOC1"/>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91676299" w:history="1">
            <w:r w:rsidRPr="006347E4">
              <w:rPr>
                <w:rStyle w:val="Hyperlink"/>
                <w:noProof/>
              </w:rPr>
              <w:t>Appendix 1 – Gantt Chart</w:t>
            </w:r>
            <w:r>
              <w:rPr>
                <w:noProof/>
                <w:webHidden/>
              </w:rPr>
              <w:tab/>
            </w:r>
            <w:r>
              <w:rPr>
                <w:noProof/>
                <w:webHidden/>
              </w:rPr>
              <w:fldChar w:fldCharType="begin"/>
            </w:r>
            <w:r>
              <w:rPr>
                <w:noProof/>
                <w:webHidden/>
              </w:rPr>
              <w:instrText xml:space="preserve"> PAGEREF _Toc191676299 \h </w:instrText>
            </w:r>
            <w:r>
              <w:rPr>
                <w:noProof/>
                <w:webHidden/>
              </w:rPr>
            </w:r>
            <w:r>
              <w:rPr>
                <w:noProof/>
                <w:webHidden/>
              </w:rPr>
              <w:fldChar w:fldCharType="separate"/>
            </w:r>
            <w:r>
              <w:rPr>
                <w:noProof/>
                <w:webHidden/>
              </w:rPr>
              <w:t>16</w:t>
            </w:r>
            <w:r>
              <w:rPr>
                <w:noProof/>
                <w:webHidden/>
              </w:rPr>
              <w:fldChar w:fldCharType="end"/>
            </w:r>
          </w:hyperlink>
        </w:p>
        <w:p w14:paraId="47DBFD9F" w14:textId="79CFFFC1" w:rsidR="00701353" w:rsidRPr="0078635D" w:rsidRDefault="00000000" w:rsidP="0088562A">
          <w:pPr>
            <w:spacing w:line="360" w:lineRule="auto"/>
            <w:jc w:val="both"/>
            <w:rPr>
              <w:b/>
              <w:bCs/>
            </w:rPr>
          </w:pPr>
          <w:r w:rsidRPr="0078635D">
            <w:rPr>
              <w:rFonts w:ascii="Times New Roman" w:hAnsi="Times New Roman" w:cs="Times New Roman"/>
              <w:b/>
              <w:bCs/>
              <w:sz w:val="24"/>
              <w:szCs w:val="24"/>
            </w:rPr>
            <w:fldChar w:fldCharType="end"/>
          </w:r>
        </w:p>
      </w:sdtContent>
    </w:sdt>
    <w:p w14:paraId="6189CB55" w14:textId="0F8A4DEC" w:rsidR="00573FAA" w:rsidRPr="0078635D" w:rsidRDefault="00000000" w:rsidP="00701353">
      <w:r w:rsidRPr="0078635D">
        <w:br w:type="page"/>
      </w:r>
    </w:p>
    <w:p w14:paraId="7E4A679F" w14:textId="77777777" w:rsidR="00573FAA" w:rsidRPr="00A4329F" w:rsidRDefault="00000000">
      <w:pPr>
        <w:pStyle w:val="Heading1"/>
        <w:rPr>
          <w:color w:val="000000" w:themeColor="text1"/>
        </w:rPr>
      </w:pPr>
      <w:bookmarkStart w:id="0" w:name="_npeccz84b0yz" w:colFirst="0" w:colLast="0"/>
      <w:bookmarkStart w:id="1" w:name="_Toc191676289"/>
      <w:bookmarkEnd w:id="0"/>
      <w:r w:rsidRPr="00A4329F">
        <w:rPr>
          <w:color w:val="000000" w:themeColor="text1"/>
        </w:rPr>
        <w:lastRenderedPageBreak/>
        <w:t>Introduction</w:t>
      </w:r>
      <w:bookmarkEnd w:id="1"/>
      <w:r w:rsidRPr="00A4329F">
        <w:rPr>
          <w:color w:val="000000" w:themeColor="text1"/>
        </w:rPr>
        <w:t xml:space="preserve"> </w:t>
      </w:r>
    </w:p>
    <w:p w14:paraId="2C82AE9D" w14:textId="6742DEC6" w:rsidR="00F227F7" w:rsidRPr="00A4329F" w:rsidRDefault="00000000" w:rsidP="00F227F7">
      <w:p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color w:val="000000" w:themeColor="text1"/>
          <w:sz w:val="24"/>
          <w:szCs w:val="24"/>
        </w:rPr>
        <w:t xml:space="preserve">The event, </w:t>
      </w:r>
      <w:r w:rsidR="001708E4">
        <w:rPr>
          <w:rFonts w:ascii="Times New Roman" w:eastAsia="Times New Roman" w:hAnsi="Times New Roman" w:cs="Times New Roman"/>
          <w:color w:val="000000" w:themeColor="text1"/>
          <w:sz w:val="24"/>
          <w:szCs w:val="24"/>
        </w:rPr>
        <w:t>“</w:t>
      </w:r>
      <w:r w:rsidRPr="00A4329F">
        <w:rPr>
          <w:rFonts w:ascii="Times New Roman" w:eastAsia="Times New Roman" w:hAnsi="Times New Roman" w:cs="Times New Roman"/>
          <w:color w:val="000000" w:themeColor="text1"/>
          <w:sz w:val="24"/>
          <w:szCs w:val="24"/>
        </w:rPr>
        <w:t>Flavours Without Borders: A Celebration of Cultural Diversity in Hotel Dining,</w:t>
      </w:r>
      <w:r w:rsidR="001708E4">
        <w:rPr>
          <w:rFonts w:ascii="Times New Roman" w:eastAsia="Times New Roman" w:hAnsi="Times New Roman" w:cs="Times New Roman"/>
          <w:color w:val="000000" w:themeColor="text1"/>
          <w:sz w:val="24"/>
          <w:szCs w:val="24"/>
        </w:rPr>
        <w:t>”</w:t>
      </w:r>
      <w:r w:rsidRPr="00A4329F">
        <w:rPr>
          <w:rFonts w:ascii="Times New Roman" w:eastAsia="Times New Roman" w:hAnsi="Times New Roman" w:cs="Times New Roman"/>
          <w:color w:val="000000" w:themeColor="text1"/>
          <w:sz w:val="24"/>
          <w:szCs w:val="24"/>
        </w:rPr>
        <w:t xml:space="preserve"> is a culinary and cultural event that celebrates the hospitality industry</w:t>
      </w:r>
      <w:r w:rsidR="001708E4">
        <w:rPr>
          <w:rFonts w:ascii="Times New Roman" w:eastAsia="Times New Roman" w:hAnsi="Times New Roman" w:cs="Times New Roman"/>
          <w:color w:val="000000" w:themeColor="text1"/>
          <w:sz w:val="24"/>
          <w:szCs w:val="24"/>
        </w:rPr>
        <w:t>’</w:t>
      </w:r>
      <w:r w:rsidRPr="00A4329F">
        <w:rPr>
          <w:rFonts w:ascii="Times New Roman" w:eastAsia="Times New Roman" w:hAnsi="Times New Roman" w:cs="Times New Roman"/>
          <w:color w:val="000000" w:themeColor="text1"/>
          <w:sz w:val="24"/>
          <w:szCs w:val="24"/>
        </w:rPr>
        <w:t>s culinary diversity. To take place at the Park Plaza, Westminster Bridge, London, it seeks to have the hotel industry, chefs, and travellers participate in celebrating different world cuisines and dining service inclusivity.</w:t>
      </w:r>
    </w:p>
    <w:p w14:paraId="2C71771B" w14:textId="7B99CA8E" w:rsidR="00F227F7" w:rsidRPr="00A4329F" w:rsidRDefault="00000000" w:rsidP="00F227F7">
      <w:p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color w:val="000000" w:themeColor="text1"/>
          <w:sz w:val="24"/>
          <w:szCs w:val="24"/>
        </w:rPr>
        <w:t>The increasing demand for diversity in culinary experience will be paralleled by the hospitality sector</w:t>
      </w:r>
      <w:r w:rsidR="001708E4">
        <w:rPr>
          <w:rFonts w:ascii="Times New Roman" w:eastAsia="Times New Roman" w:hAnsi="Times New Roman" w:cs="Times New Roman"/>
          <w:color w:val="000000" w:themeColor="text1"/>
          <w:sz w:val="24"/>
          <w:szCs w:val="24"/>
        </w:rPr>
        <w:t>’</w:t>
      </w:r>
      <w:r w:rsidRPr="00A4329F">
        <w:rPr>
          <w:rFonts w:ascii="Times New Roman" w:eastAsia="Times New Roman" w:hAnsi="Times New Roman" w:cs="Times New Roman"/>
          <w:color w:val="000000" w:themeColor="text1"/>
          <w:sz w:val="24"/>
          <w:szCs w:val="24"/>
        </w:rPr>
        <w:t>s increasing demand for diversity, equality, and inclusion. Live tastings, live projects on food, and cultural food blending workshops with hotel menus will be integrated as a part of the event. It will serve as a source of training and inspiration for culinary professionals and elevate the hotel</w:t>
      </w:r>
      <w:r w:rsidR="001708E4">
        <w:rPr>
          <w:rFonts w:ascii="Times New Roman" w:eastAsia="Times New Roman" w:hAnsi="Times New Roman" w:cs="Times New Roman"/>
          <w:color w:val="000000" w:themeColor="text1"/>
          <w:sz w:val="24"/>
          <w:szCs w:val="24"/>
        </w:rPr>
        <w:t>’</w:t>
      </w:r>
      <w:r w:rsidRPr="00A4329F">
        <w:rPr>
          <w:rFonts w:ascii="Times New Roman" w:eastAsia="Times New Roman" w:hAnsi="Times New Roman" w:cs="Times New Roman"/>
          <w:color w:val="000000" w:themeColor="text1"/>
          <w:sz w:val="24"/>
          <w:szCs w:val="24"/>
        </w:rPr>
        <w:t>s image for hospitality with diversity in mind.</w:t>
      </w:r>
    </w:p>
    <w:p w14:paraId="3B826887" w14:textId="73138791" w:rsidR="00573FAA" w:rsidRPr="004349EF" w:rsidRDefault="00000000" w:rsidP="00F227F7">
      <w:pPr>
        <w:spacing w:line="360" w:lineRule="auto"/>
        <w:jc w:val="both"/>
        <w:rPr>
          <w:rFonts w:ascii="Times New Roman" w:eastAsia="Times New Roman" w:hAnsi="Times New Roman" w:cs="Times New Roman"/>
          <w:color w:val="000000" w:themeColor="text1"/>
          <w:sz w:val="24"/>
          <w:szCs w:val="24"/>
        </w:rPr>
      </w:pPr>
      <w:r w:rsidRPr="004349EF">
        <w:rPr>
          <w:rFonts w:ascii="Times New Roman" w:eastAsia="Times New Roman" w:hAnsi="Times New Roman" w:cs="Times New Roman"/>
          <w:color w:val="000000" w:themeColor="text1"/>
          <w:sz w:val="24"/>
          <w:szCs w:val="24"/>
        </w:rPr>
        <w:t>Park Plaza Westminster Bridge is ideally situated considering London is a melting pot of cultures with the help of its top-notch conference facilities and superb hospitality. This fantastic event will greatly assist foodies looking to vary their menu and hospitality professionals. Emphasizing the value of worldwide cuisine in shaping the guest experience and fostering cross-cultural respect inside the sector, the Flavours Without Borders will help to define the guest experience.</w:t>
      </w:r>
    </w:p>
    <w:p w14:paraId="14F0CD00" w14:textId="77777777" w:rsidR="00573FAA" w:rsidRPr="004349EF" w:rsidRDefault="00000000">
      <w:pPr>
        <w:pStyle w:val="Heading1"/>
        <w:rPr>
          <w:color w:val="000000" w:themeColor="text1"/>
        </w:rPr>
      </w:pPr>
      <w:bookmarkStart w:id="2" w:name="_fofdkptumjeh" w:colFirst="0" w:colLast="0"/>
      <w:bookmarkStart w:id="3" w:name="_Toc191676290"/>
      <w:bookmarkEnd w:id="2"/>
      <w:r w:rsidRPr="004349EF">
        <w:rPr>
          <w:color w:val="000000" w:themeColor="text1"/>
        </w:rPr>
        <w:t>The Event Cycle</w:t>
      </w:r>
      <w:bookmarkEnd w:id="3"/>
      <w:r w:rsidRPr="004349EF">
        <w:rPr>
          <w:color w:val="000000" w:themeColor="text1"/>
        </w:rPr>
        <w:t xml:space="preserve"> </w:t>
      </w:r>
    </w:p>
    <w:p w14:paraId="74F53730" w14:textId="376D54D3" w:rsidR="00573FAA" w:rsidRPr="004349EF" w:rsidRDefault="00000000">
      <w:pPr>
        <w:spacing w:line="360" w:lineRule="auto"/>
        <w:jc w:val="both"/>
        <w:rPr>
          <w:rFonts w:ascii="Times New Roman" w:eastAsia="Times New Roman" w:hAnsi="Times New Roman" w:cs="Times New Roman"/>
          <w:color w:val="000000" w:themeColor="text1"/>
          <w:sz w:val="24"/>
          <w:szCs w:val="24"/>
        </w:rPr>
      </w:pPr>
      <w:r w:rsidRPr="004349EF">
        <w:rPr>
          <w:rFonts w:ascii="Times New Roman" w:eastAsia="Times New Roman" w:hAnsi="Times New Roman" w:cs="Times New Roman"/>
          <w:color w:val="000000" w:themeColor="text1"/>
          <w:sz w:val="24"/>
          <w:szCs w:val="24"/>
        </w:rPr>
        <w:t xml:space="preserve">Event Cycle is the methodical process of event initiation and </w:t>
      </w:r>
      <w:r w:rsidR="00826011">
        <w:rPr>
          <w:rFonts w:ascii="Times New Roman" w:eastAsia="Times New Roman" w:hAnsi="Times New Roman" w:cs="Times New Roman"/>
          <w:color w:val="000000" w:themeColor="text1"/>
          <w:sz w:val="24"/>
          <w:szCs w:val="24"/>
        </w:rPr>
        <w:t xml:space="preserve">it </w:t>
      </w:r>
      <w:r w:rsidRPr="004349EF">
        <w:rPr>
          <w:rFonts w:ascii="Times New Roman" w:eastAsia="Times New Roman" w:hAnsi="Times New Roman" w:cs="Times New Roman"/>
          <w:color w:val="000000" w:themeColor="text1"/>
          <w:sz w:val="24"/>
          <w:szCs w:val="24"/>
        </w:rPr>
        <w:t xml:space="preserve">guarantee that the event goes off flawlessly from </w:t>
      </w:r>
      <w:r w:rsidR="00826011">
        <w:rPr>
          <w:rFonts w:ascii="Times New Roman" w:eastAsia="Times New Roman" w:hAnsi="Times New Roman" w:cs="Times New Roman"/>
          <w:color w:val="000000" w:themeColor="text1"/>
          <w:sz w:val="24"/>
          <w:szCs w:val="24"/>
        </w:rPr>
        <w:t xml:space="preserve">the </w:t>
      </w:r>
      <w:r w:rsidRPr="004349EF">
        <w:rPr>
          <w:rFonts w:ascii="Times New Roman" w:eastAsia="Times New Roman" w:hAnsi="Times New Roman" w:cs="Times New Roman"/>
          <w:color w:val="000000" w:themeColor="text1"/>
          <w:sz w:val="24"/>
          <w:szCs w:val="24"/>
        </w:rPr>
        <w:t>start to</w:t>
      </w:r>
      <w:r w:rsidR="00826011">
        <w:rPr>
          <w:rFonts w:ascii="Times New Roman" w:eastAsia="Times New Roman" w:hAnsi="Times New Roman" w:cs="Times New Roman"/>
          <w:color w:val="000000" w:themeColor="text1"/>
          <w:sz w:val="24"/>
          <w:szCs w:val="24"/>
        </w:rPr>
        <w:t xml:space="preserve"> then end</w:t>
      </w:r>
      <w:r w:rsidRPr="004349EF">
        <w:rPr>
          <w:rFonts w:ascii="Times New Roman" w:eastAsia="Times New Roman" w:hAnsi="Times New Roman" w:cs="Times New Roman"/>
          <w:color w:val="000000" w:themeColor="text1"/>
          <w:sz w:val="24"/>
          <w:szCs w:val="24"/>
        </w:rPr>
        <w:t>. The Event Management Body of Knowledge (EMBOK) suggests five concrete phases including initiation, preparation, execution, event, and completion (</w:t>
      </w:r>
      <w:r w:rsidR="00647CA3" w:rsidRPr="00647CA3">
        <w:rPr>
          <w:rFonts w:ascii="Times New Roman" w:eastAsia="Times New Roman" w:hAnsi="Times New Roman" w:cs="Times New Roman"/>
          <w:color w:val="000000" w:themeColor="text1"/>
          <w:sz w:val="24"/>
          <w:szCs w:val="24"/>
        </w:rPr>
        <w:t>van Antwerpen, 2023</w:t>
      </w:r>
      <w:r w:rsidRPr="004349EF">
        <w:rPr>
          <w:rFonts w:ascii="Times New Roman" w:eastAsia="Times New Roman" w:hAnsi="Times New Roman" w:cs="Times New Roman"/>
          <w:color w:val="000000" w:themeColor="text1"/>
          <w:sz w:val="24"/>
          <w:szCs w:val="24"/>
        </w:rPr>
        <w:t>).</w:t>
      </w:r>
    </w:p>
    <w:p w14:paraId="7E53237F" w14:textId="59F071C8" w:rsidR="00573FAA" w:rsidRPr="004349EF" w:rsidRDefault="00000000">
      <w:pPr>
        <w:numPr>
          <w:ilvl w:val="0"/>
          <w:numId w:val="11"/>
        </w:numPr>
        <w:spacing w:line="360" w:lineRule="auto"/>
        <w:jc w:val="both"/>
        <w:rPr>
          <w:rFonts w:ascii="Times New Roman" w:eastAsia="Times New Roman" w:hAnsi="Times New Roman" w:cs="Times New Roman"/>
          <w:color w:val="000000" w:themeColor="text1"/>
          <w:sz w:val="24"/>
          <w:szCs w:val="24"/>
        </w:rPr>
      </w:pPr>
      <w:r w:rsidRPr="004349EF">
        <w:rPr>
          <w:rFonts w:ascii="Times New Roman" w:eastAsia="Times New Roman" w:hAnsi="Times New Roman" w:cs="Times New Roman"/>
          <w:b/>
          <w:i/>
          <w:color w:val="000000" w:themeColor="text1"/>
          <w:sz w:val="24"/>
          <w:szCs w:val="24"/>
        </w:rPr>
        <w:t xml:space="preserve">Initiation: </w:t>
      </w:r>
      <w:r w:rsidR="004349EF" w:rsidRPr="004349EF">
        <w:rPr>
          <w:rFonts w:ascii="Times New Roman" w:eastAsia="Times New Roman" w:hAnsi="Times New Roman" w:cs="Times New Roman"/>
          <w:color w:val="000000" w:themeColor="text1"/>
          <w:sz w:val="24"/>
          <w:szCs w:val="24"/>
        </w:rPr>
        <w:t>The event</w:t>
      </w:r>
      <w:r w:rsidR="001708E4">
        <w:rPr>
          <w:rFonts w:ascii="Times New Roman" w:eastAsia="Times New Roman" w:hAnsi="Times New Roman" w:cs="Times New Roman"/>
          <w:color w:val="000000" w:themeColor="text1"/>
          <w:sz w:val="24"/>
          <w:szCs w:val="24"/>
        </w:rPr>
        <w:t>’</w:t>
      </w:r>
      <w:r w:rsidR="004349EF" w:rsidRPr="004349EF">
        <w:rPr>
          <w:rFonts w:ascii="Times New Roman" w:eastAsia="Times New Roman" w:hAnsi="Times New Roman" w:cs="Times New Roman"/>
          <w:color w:val="000000" w:themeColor="text1"/>
          <w:sz w:val="24"/>
          <w:szCs w:val="24"/>
        </w:rPr>
        <w:t>s idea grew from an observation of an industry trend toward diversity and hospitality inclusivity. Market studies justified demand, and Park Plaza Westminster Bridge was picked as the venue.</w:t>
      </w:r>
    </w:p>
    <w:p w14:paraId="5685B11A" w14:textId="31003B69" w:rsidR="00573FAA" w:rsidRPr="004349EF" w:rsidRDefault="00000000">
      <w:pPr>
        <w:numPr>
          <w:ilvl w:val="0"/>
          <w:numId w:val="11"/>
        </w:numPr>
        <w:spacing w:line="360" w:lineRule="auto"/>
        <w:jc w:val="both"/>
        <w:rPr>
          <w:rFonts w:ascii="Times New Roman" w:eastAsia="Times New Roman" w:hAnsi="Times New Roman" w:cs="Times New Roman"/>
          <w:color w:val="000000" w:themeColor="text1"/>
          <w:sz w:val="24"/>
          <w:szCs w:val="24"/>
        </w:rPr>
      </w:pPr>
      <w:r w:rsidRPr="004349EF">
        <w:rPr>
          <w:rFonts w:ascii="Times New Roman" w:eastAsia="Times New Roman" w:hAnsi="Times New Roman" w:cs="Times New Roman"/>
          <w:b/>
          <w:i/>
          <w:color w:val="000000" w:themeColor="text1"/>
          <w:sz w:val="24"/>
          <w:szCs w:val="24"/>
        </w:rPr>
        <w:t xml:space="preserve">Planning: </w:t>
      </w:r>
      <w:r w:rsidR="004349EF" w:rsidRPr="004349EF">
        <w:rPr>
          <w:rFonts w:ascii="Times New Roman" w:eastAsia="Times New Roman" w:hAnsi="Times New Roman" w:cs="Times New Roman"/>
          <w:color w:val="000000" w:themeColor="text1"/>
          <w:sz w:val="24"/>
          <w:szCs w:val="24"/>
        </w:rPr>
        <w:t>Planning for an event schedule, such as live cooking demonstrations and cultural seminars, making bookings for chefs, sponsors, and vendors, budgeting, risk analysis, and scheduling were the main tasks.</w:t>
      </w:r>
    </w:p>
    <w:p w14:paraId="61E816EC" w14:textId="77777777" w:rsidR="00573FAA" w:rsidRPr="0078635D" w:rsidRDefault="00000000">
      <w:pPr>
        <w:numPr>
          <w:ilvl w:val="0"/>
          <w:numId w:val="1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Implementation: </w:t>
      </w:r>
      <w:r w:rsidRPr="0078635D">
        <w:rPr>
          <w:rFonts w:ascii="Times New Roman" w:eastAsia="Times New Roman" w:hAnsi="Times New Roman" w:cs="Times New Roman"/>
          <w:sz w:val="24"/>
          <w:szCs w:val="24"/>
        </w:rPr>
        <w:t>Marketing strategies were implemented, including social media campaigns and association with food influencers, to engage new audiences (Abell and Biswas, 2023). Logistics, including the technical setup and resource allocation, were finalized.</w:t>
      </w:r>
    </w:p>
    <w:p w14:paraId="1FC44BD4" w14:textId="77777777" w:rsidR="00573FAA" w:rsidRPr="0078635D" w:rsidRDefault="00000000">
      <w:pPr>
        <w:numPr>
          <w:ilvl w:val="0"/>
          <w:numId w:val="1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lastRenderedPageBreak/>
        <w:t xml:space="preserve">Event Execution: </w:t>
      </w:r>
      <w:r w:rsidRPr="0078635D">
        <w:rPr>
          <w:rFonts w:ascii="Times New Roman" w:eastAsia="Times New Roman" w:hAnsi="Times New Roman" w:cs="Times New Roman"/>
          <w:sz w:val="24"/>
          <w:szCs w:val="24"/>
        </w:rPr>
        <w:t>The event will feature tastings, panel discussions, and networking. Operational teams will ensure coordinated flow.</w:t>
      </w:r>
    </w:p>
    <w:p w14:paraId="489DD3AA" w14:textId="77777777" w:rsidR="00573FAA" w:rsidRPr="0078635D" w:rsidRDefault="00000000">
      <w:pPr>
        <w:numPr>
          <w:ilvl w:val="0"/>
          <w:numId w:val="1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Closure: </w:t>
      </w:r>
      <w:r w:rsidRPr="0078635D">
        <w:rPr>
          <w:rFonts w:ascii="Times New Roman" w:eastAsia="Times New Roman" w:hAnsi="Times New Roman" w:cs="Times New Roman"/>
          <w:sz w:val="24"/>
          <w:szCs w:val="24"/>
        </w:rPr>
        <w:t>The post-event evaluation will collect feedback from stakeholders, settle financial accounts, and assess the impact to allow further improvements for coming editions.</w:t>
      </w:r>
    </w:p>
    <w:p w14:paraId="69CDFDD1"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Incorporating EMBOK principles into Flavours Without Borders allows for an organized, risk-free, and impactful experience; a true celebration of culinary diversity in the hospitality industry.</w:t>
      </w:r>
    </w:p>
    <w:p w14:paraId="1E8F2BB2" w14:textId="77777777" w:rsidR="00573FAA" w:rsidRPr="0078635D" w:rsidRDefault="00000000">
      <w:pPr>
        <w:pStyle w:val="Heading1"/>
      </w:pPr>
      <w:bookmarkStart w:id="4" w:name="_a4ljz6qaokq" w:colFirst="0" w:colLast="0"/>
      <w:bookmarkStart w:id="5" w:name="_Toc191676291"/>
      <w:bookmarkEnd w:id="4"/>
      <w:r w:rsidRPr="0078635D">
        <w:t>Event Concept</w:t>
      </w:r>
      <w:bookmarkEnd w:id="5"/>
    </w:p>
    <w:p w14:paraId="758C0D4C"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Flavours Without Borders is an interactive cultural and culinary event, where hospitality professionals, chefs, and food-loving enthusiasts celebrate global cuisine. The conference and food reception experience has been designed to enhance inclusivity and diversity within hotel dining.</w:t>
      </w:r>
    </w:p>
    <w:p w14:paraId="18E7214F" w14:textId="77777777" w:rsidR="00573FAA" w:rsidRPr="0078635D" w:rsidRDefault="00000000">
      <w:pPr>
        <w:numPr>
          <w:ilvl w:val="0"/>
          <w:numId w:val="6"/>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Arrival and Welcome:</w:t>
      </w:r>
    </w:p>
    <w:p w14:paraId="75F5A18C"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The guests will be welcomed with a culturally themed reception serving light refreshments from the different cuisines. A short opening ceremony will outline the principles of the meeting, stressing the importance of different culinary traditions in improving guest experiences within the hospitality industry (Kastuti and Susanto, 2024).</w:t>
      </w:r>
    </w:p>
    <w:p w14:paraId="6B436D7F" w14:textId="77777777" w:rsidR="00573FAA" w:rsidRPr="0078635D" w:rsidRDefault="00000000">
      <w:pPr>
        <w:numPr>
          <w:ilvl w:val="0"/>
          <w:numId w:val="6"/>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Interactive Cooking Stations:</w:t>
      </w:r>
    </w:p>
    <w:p w14:paraId="14CC81DF" w14:textId="4E1FA782"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 xml:space="preserve">One of the key attractions will be the live cooking demonstrations by chefs presenting signature dishes from different cultures. Attendees will have the chance to participate in a hands-on cooking workshop, learning about techniques and </w:t>
      </w:r>
      <w:r w:rsidR="0078635D" w:rsidRPr="0078635D">
        <w:rPr>
          <w:rFonts w:ascii="Times New Roman" w:eastAsia="Times New Roman" w:hAnsi="Times New Roman" w:cs="Times New Roman"/>
          <w:sz w:val="24"/>
          <w:szCs w:val="24"/>
        </w:rPr>
        <w:t>flavours</w:t>
      </w:r>
      <w:r w:rsidRPr="0078635D">
        <w:rPr>
          <w:rFonts w:ascii="Times New Roman" w:eastAsia="Times New Roman" w:hAnsi="Times New Roman" w:cs="Times New Roman"/>
          <w:sz w:val="24"/>
          <w:szCs w:val="24"/>
        </w:rPr>
        <w:t xml:space="preserve"> that characterize different world cuisines.</w:t>
      </w:r>
    </w:p>
    <w:p w14:paraId="049F0EAC" w14:textId="77777777" w:rsidR="00573FAA" w:rsidRPr="0078635D" w:rsidRDefault="00000000">
      <w:pPr>
        <w:numPr>
          <w:ilvl w:val="0"/>
          <w:numId w:val="6"/>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Tasting Sessions:</w:t>
      </w:r>
    </w:p>
    <w:p w14:paraId="65029AF9"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Guests will have the opportunity to sample food from a wide variety of traditions. Special emphasis will be placed on culinary inclusivity, with dietary options that reflect cultural, religious, and dietary preferences.</w:t>
      </w:r>
    </w:p>
    <w:p w14:paraId="30002F08" w14:textId="77777777" w:rsidR="00573FAA" w:rsidRPr="0078635D" w:rsidRDefault="00000000">
      <w:pPr>
        <w:numPr>
          <w:ilvl w:val="0"/>
          <w:numId w:val="6"/>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Panel Discussions and Workshops:</w:t>
      </w:r>
    </w:p>
    <w:p w14:paraId="121900F4"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Industry professionals will conduct sessions on integrating cultural cuisine into hotel menus, trends in culinary tourism, and sustainable sourcing of ingredients (Denizova, 2024). These discussions will illuminate some avenues for culinary professionals to expand their offerings.</w:t>
      </w:r>
    </w:p>
    <w:p w14:paraId="64464936" w14:textId="77777777" w:rsidR="00573FAA" w:rsidRPr="0078635D" w:rsidRDefault="00000000">
      <w:pPr>
        <w:numPr>
          <w:ilvl w:val="0"/>
          <w:numId w:val="6"/>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Networking and Vendor Exhibits:</w:t>
      </w:r>
    </w:p>
    <w:p w14:paraId="77737BC6"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lastRenderedPageBreak/>
        <w:t>The event will host booths of hospitality brands, food suppliers, and cultural organizations, thus allowing guests to network and explore business collaborations. Attendees can mingle with vendors offering speciality ingredients, various culinary tools, and services that are tailored to different dining experiences.</w:t>
      </w:r>
    </w:p>
    <w:p w14:paraId="24604EFF" w14:textId="77777777" w:rsidR="00573FAA" w:rsidRPr="0078635D" w:rsidRDefault="00000000">
      <w:pPr>
        <w:numPr>
          <w:ilvl w:val="0"/>
          <w:numId w:val="6"/>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Cultural Entertainment and Closing Ceremony:</w:t>
      </w:r>
    </w:p>
    <w:p w14:paraId="1DC34E0D"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The day will conclude with performances, such as traditional music and dance forms, adding to the ambience of cultural experiences. The closing speech will provide the overall wrap-up of the day and convey thanks to the contributors, sponsors, and the invited guests.</w:t>
      </w:r>
    </w:p>
    <w:p w14:paraId="68961226" w14:textId="77777777" w:rsidR="00573FAA" w:rsidRPr="0078635D" w:rsidRDefault="00000000">
      <w:pPr>
        <w:spacing w:line="360" w:lineRule="auto"/>
        <w:jc w:val="both"/>
        <w:rPr>
          <w:rFonts w:ascii="Times New Roman" w:eastAsia="Times New Roman" w:hAnsi="Times New Roman" w:cs="Times New Roman"/>
          <w:b/>
          <w:sz w:val="28"/>
          <w:szCs w:val="28"/>
        </w:rPr>
      </w:pPr>
      <w:r w:rsidRPr="0078635D">
        <w:rPr>
          <w:rFonts w:ascii="Times New Roman" w:eastAsia="Times New Roman" w:hAnsi="Times New Roman" w:cs="Times New Roman"/>
          <w:sz w:val="24"/>
          <w:szCs w:val="24"/>
        </w:rPr>
        <w:t>By the end of the event, delegates will be inspired, educated, and connected in the hospitality industry to enhance cultural diversity. Flavours Without Borders will leave its mark in the hotel world through the creation of inclusive dining experiences.</w:t>
      </w:r>
    </w:p>
    <w:p w14:paraId="60433C4E" w14:textId="77777777" w:rsidR="00573FAA" w:rsidRPr="0078635D" w:rsidRDefault="00000000">
      <w:pPr>
        <w:pStyle w:val="Heading1"/>
      </w:pPr>
      <w:bookmarkStart w:id="6" w:name="_i02zmli5w36l" w:colFirst="0" w:colLast="0"/>
      <w:bookmarkStart w:id="7" w:name="_Toc191676292"/>
      <w:bookmarkEnd w:id="6"/>
      <w:r w:rsidRPr="0078635D">
        <w:t>Aim and Objectives of the Meeting / Event</w:t>
      </w:r>
      <w:bookmarkEnd w:id="7"/>
    </w:p>
    <w:p w14:paraId="0E6D69E2"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Aim:</w:t>
      </w:r>
    </w:p>
    <w:p w14:paraId="1683CC02"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To celebrate culturally diverse dining in hotels through the showcase of world cuisines, promote inclusivity, and educate hospitality professionals on integrating culturally diverse menus into their establishments.</w:t>
      </w:r>
    </w:p>
    <w:p w14:paraId="59363873"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Objective 1: Increase Industry Engagement</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A75A7" w14:paraId="6482850F" w14:textId="77777777">
        <w:tc>
          <w:tcPr>
            <w:tcW w:w="4513" w:type="dxa"/>
            <w:shd w:val="clear" w:color="auto" w:fill="auto"/>
            <w:tcMar>
              <w:top w:w="100" w:type="dxa"/>
              <w:left w:w="100" w:type="dxa"/>
              <w:bottom w:w="100" w:type="dxa"/>
              <w:right w:w="100" w:type="dxa"/>
            </w:tcMar>
          </w:tcPr>
          <w:p w14:paraId="102077CF"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Specific:</w:t>
            </w:r>
          </w:p>
        </w:tc>
        <w:tc>
          <w:tcPr>
            <w:tcW w:w="4513" w:type="dxa"/>
            <w:shd w:val="clear" w:color="auto" w:fill="auto"/>
            <w:tcMar>
              <w:top w:w="100" w:type="dxa"/>
              <w:left w:w="100" w:type="dxa"/>
              <w:bottom w:w="100" w:type="dxa"/>
              <w:right w:w="100" w:type="dxa"/>
            </w:tcMar>
          </w:tcPr>
          <w:p w14:paraId="48A1067B"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Engage hospitality professionals, including chefs, food and beverage managers, and hotel executives, to promote cultural inclusivity in dining services (Marinakou and Giousmpasoglou, 2022).</w:t>
            </w:r>
          </w:p>
        </w:tc>
      </w:tr>
      <w:tr w:rsidR="00FA75A7" w14:paraId="319903A1" w14:textId="77777777">
        <w:tc>
          <w:tcPr>
            <w:tcW w:w="4513" w:type="dxa"/>
            <w:shd w:val="clear" w:color="auto" w:fill="auto"/>
            <w:tcMar>
              <w:top w:w="100" w:type="dxa"/>
              <w:left w:w="100" w:type="dxa"/>
              <w:bottom w:w="100" w:type="dxa"/>
              <w:right w:w="100" w:type="dxa"/>
            </w:tcMar>
          </w:tcPr>
          <w:p w14:paraId="7E376B42"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Measurable:</w:t>
            </w:r>
          </w:p>
        </w:tc>
        <w:tc>
          <w:tcPr>
            <w:tcW w:w="4513" w:type="dxa"/>
            <w:shd w:val="clear" w:color="auto" w:fill="auto"/>
            <w:tcMar>
              <w:top w:w="100" w:type="dxa"/>
              <w:left w:w="100" w:type="dxa"/>
              <w:bottom w:w="100" w:type="dxa"/>
              <w:right w:w="100" w:type="dxa"/>
            </w:tcMar>
          </w:tcPr>
          <w:p w14:paraId="2F1AC8E0"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Secure participation from at least 500 attendees, including industry experts, culinary enthusiasts, and hospitality professionals.</w:t>
            </w:r>
          </w:p>
        </w:tc>
      </w:tr>
      <w:tr w:rsidR="00FA75A7" w14:paraId="21816980" w14:textId="77777777">
        <w:tc>
          <w:tcPr>
            <w:tcW w:w="4513" w:type="dxa"/>
            <w:shd w:val="clear" w:color="auto" w:fill="auto"/>
            <w:tcMar>
              <w:top w:w="100" w:type="dxa"/>
              <w:left w:w="100" w:type="dxa"/>
              <w:bottom w:w="100" w:type="dxa"/>
              <w:right w:w="100" w:type="dxa"/>
            </w:tcMar>
          </w:tcPr>
          <w:p w14:paraId="562D118D"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Achievable:</w:t>
            </w:r>
          </w:p>
        </w:tc>
        <w:tc>
          <w:tcPr>
            <w:tcW w:w="4513" w:type="dxa"/>
            <w:shd w:val="clear" w:color="auto" w:fill="auto"/>
            <w:tcMar>
              <w:top w:w="100" w:type="dxa"/>
              <w:left w:w="100" w:type="dxa"/>
              <w:bottom w:w="100" w:type="dxa"/>
              <w:right w:w="100" w:type="dxa"/>
            </w:tcMar>
          </w:tcPr>
          <w:p w14:paraId="1A0734CD"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By leveraging strategic marketing campaigns, industry partnerships, and targeted invitations, the event will attract professionals from relevant sectors.</w:t>
            </w:r>
          </w:p>
        </w:tc>
      </w:tr>
      <w:tr w:rsidR="00FA75A7" w14:paraId="321978A4" w14:textId="77777777">
        <w:tc>
          <w:tcPr>
            <w:tcW w:w="4513" w:type="dxa"/>
            <w:shd w:val="clear" w:color="auto" w:fill="auto"/>
            <w:tcMar>
              <w:top w:w="100" w:type="dxa"/>
              <w:left w:w="100" w:type="dxa"/>
              <w:bottom w:w="100" w:type="dxa"/>
              <w:right w:w="100" w:type="dxa"/>
            </w:tcMar>
          </w:tcPr>
          <w:p w14:paraId="7CB922D8"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lastRenderedPageBreak/>
              <w:t>Relevant:</w:t>
            </w:r>
          </w:p>
        </w:tc>
        <w:tc>
          <w:tcPr>
            <w:tcW w:w="4513" w:type="dxa"/>
            <w:shd w:val="clear" w:color="auto" w:fill="auto"/>
            <w:tcMar>
              <w:top w:w="100" w:type="dxa"/>
              <w:left w:w="100" w:type="dxa"/>
              <w:bottom w:w="100" w:type="dxa"/>
              <w:right w:w="100" w:type="dxa"/>
            </w:tcMar>
          </w:tcPr>
          <w:p w14:paraId="657AC662"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Addressing the rising demand for diverse culinary experiences aligns with global hospitality trends and guest expectations.</w:t>
            </w:r>
          </w:p>
        </w:tc>
      </w:tr>
      <w:tr w:rsidR="00FA75A7" w14:paraId="28E4DC0E" w14:textId="77777777">
        <w:tc>
          <w:tcPr>
            <w:tcW w:w="4513" w:type="dxa"/>
            <w:shd w:val="clear" w:color="auto" w:fill="auto"/>
            <w:tcMar>
              <w:top w:w="100" w:type="dxa"/>
              <w:left w:w="100" w:type="dxa"/>
              <w:bottom w:w="100" w:type="dxa"/>
              <w:right w:w="100" w:type="dxa"/>
            </w:tcMar>
          </w:tcPr>
          <w:p w14:paraId="1635F9A8"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Time-bound:</w:t>
            </w:r>
          </w:p>
        </w:tc>
        <w:tc>
          <w:tcPr>
            <w:tcW w:w="4513" w:type="dxa"/>
            <w:shd w:val="clear" w:color="auto" w:fill="auto"/>
            <w:tcMar>
              <w:top w:w="100" w:type="dxa"/>
              <w:left w:w="100" w:type="dxa"/>
              <w:bottom w:w="100" w:type="dxa"/>
              <w:right w:w="100" w:type="dxa"/>
            </w:tcMar>
          </w:tcPr>
          <w:p w14:paraId="2FB75FD9"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Achieve the attendance target by the event date through three months of active promotions and outreach.</w:t>
            </w:r>
          </w:p>
        </w:tc>
      </w:tr>
    </w:tbl>
    <w:p w14:paraId="6EDABEDA" w14:textId="77777777" w:rsidR="00573FAA" w:rsidRPr="0078635D" w:rsidRDefault="00000000">
      <w:pPr>
        <w:spacing w:line="360" w:lineRule="auto"/>
        <w:jc w:val="center"/>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Table 1: Objective 1: Increase Industry Engagement</w:t>
      </w:r>
    </w:p>
    <w:p w14:paraId="58D8B31F"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Objective 2: Deliver Educational Impact Through Workshops</w:t>
      </w: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A75A7" w14:paraId="047A6B0B" w14:textId="77777777">
        <w:tc>
          <w:tcPr>
            <w:tcW w:w="4513" w:type="dxa"/>
            <w:shd w:val="clear" w:color="auto" w:fill="auto"/>
            <w:tcMar>
              <w:top w:w="100" w:type="dxa"/>
              <w:left w:w="100" w:type="dxa"/>
              <w:bottom w:w="100" w:type="dxa"/>
              <w:right w:w="100" w:type="dxa"/>
            </w:tcMar>
          </w:tcPr>
          <w:p w14:paraId="0C5C84E8"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Specific:</w:t>
            </w:r>
          </w:p>
        </w:tc>
        <w:tc>
          <w:tcPr>
            <w:tcW w:w="4513" w:type="dxa"/>
            <w:shd w:val="clear" w:color="auto" w:fill="auto"/>
            <w:tcMar>
              <w:top w:w="100" w:type="dxa"/>
              <w:left w:w="100" w:type="dxa"/>
              <w:bottom w:w="100" w:type="dxa"/>
              <w:right w:w="100" w:type="dxa"/>
            </w:tcMar>
          </w:tcPr>
          <w:p w14:paraId="5463672F"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Provide five interactive workshops focused on cultural cuisine integration, menu diversification, and inclusive hospitality practices (Kraff and Jernsand, 2023).</w:t>
            </w:r>
          </w:p>
        </w:tc>
      </w:tr>
      <w:tr w:rsidR="00FA75A7" w14:paraId="7AC70492" w14:textId="77777777">
        <w:tc>
          <w:tcPr>
            <w:tcW w:w="4513" w:type="dxa"/>
            <w:shd w:val="clear" w:color="auto" w:fill="auto"/>
            <w:tcMar>
              <w:top w:w="100" w:type="dxa"/>
              <w:left w:w="100" w:type="dxa"/>
              <w:bottom w:w="100" w:type="dxa"/>
              <w:right w:w="100" w:type="dxa"/>
            </w:tcMar>
          </w:tcPr>
          <w:p w14:paraId="676926DD"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Measurable:</w:t>
            </w:r>
          </w:p>
        </w:tc>
        <w:tc>
          <w:tcPr>
            <w:tcW w:w="4513" w:type="dxa"/>
            <w:shd w:val="clear" w:color="auto" w:fill="auto"/>
            <w:tcMar>
              <w:top w:w="100" w:type="dxa"/>
              <w:left w:w="100" w:type="dxa"/>
              <w:bottom w:w="100" w:type="dxa"/>
              <w:right w:w="100" w:type="dxa"/>
            </w:tcMar>
          </w:tcPr>
          <w:p w14:paraId="4804CA05"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Each workshop will have at least 50 participants, ensuring engagement and knowledge transfer.</w:t>
            </w:r>
          </w:p>
        </w:tc>
      </w:tr>
      <w:tr w:rsidR="00FA75A7" w14:paraId="049F8DE3" w14:textId="77777777">
        <w:tc>
          <w:tcPr>
            <w:tcW w:w="4513" w:type="dxa"/>
            <w:shd w:val="clear" w:color="auto" w:fill="auto"/>
            <w:tcMar>
              <w:top w:w="100" w:type="dxa"/>
              <w:left w:w="100" w:type="dxa"/>
              <w:bottom w:w="100" w:type="dxa"/>
              <w:right w:w="100" w:type="dxa"/>
            </w:tcMar>
          </w:tcPr>
          <w:p w14:paraId="40073E50"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Achievable:</w:t>
            </w:r>
          </w:p>
        </w:tc>
        <w:tc>
          <w:tcPr>
            <w:tcW w:w="4513" w:type="dxa"/>
            <w:shd w:val="clear" w:color="auto" w:fill="auto"/>
            <w:tcMar>
              <w:top w:w="100" w:type="dxa"/>
              <w:left w:w="100" w:type="dxa"/>
              <w:bottom w:w="100" w:type="dxa"/>
              <w:right w:w="100" w:type="dxa"/>
            </w:tcMar>
          </w:tcPr>
          <w:p w14:paraId="70EE64D7"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The workshops will feature renowned chefs and industry experts, offering practical strategies to attendees.</w:t>
            </w:r>
          </w:p>
        </w:tc>
      </w:tr>
      <w:tr w:rsidR="00FA75A7" w14:paraId="3148458D" w14:textId="77777777">
        <w:tc>
          <w:tcPr>
            <w:tcW w:w="4513" w:type="dxa"/>
            <w:shd w:val="clear" w:color="auto" w:fill="auto"/>
            <w:tcMar>
              <w:top w:w="100" w:type="dxa"/>
              <w:left w:w="100" w:type="dxa"/>
              <w:bottom w:w="100" w:type="dxa"/>
              <w:right w:w="100" w:type="dxa"/>
            </w:tcMar>
          </w:tcPr>
          <w:p w14:paraId="7812E1A7"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Relevant:</w:t>
            </w:r>
          </w:p>
        </w:tc>
        <w:tc>
          <w:tcPr>
            <w:tcW w:w="4513" w:type="dxa"/>
            <w:shd w:val="clear" w:color="auto" w:fill="auto"/>
            <w:tcMar>
              <w:top w:w="100" w:type="dxa"/>
              <w:left w:w="100" w:type="dxa"/>
              <w:bottom w:w="100" w:type="dxa"/>
              <w:right w:w="100" w:type="dxa"/>
            </w:tcMar>
          </w:tcPr>
          <w:p w14:paraId="0767B99C"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Equipping hospitality professionals with skills to incorporate diverse cuisines enhances guest satisfaction and market competitiveness.</w:t>
            </w:r>
          </w:p>
        </w:tc>
      </w:tr>
      <w:tr w:rsidR="00FA75A7" w14:paraId="39BF4F9C" w14:textId="77777777">
        <w:tc>
          <w:tcPr>
            <w:tcW w:w="4513" w:type="dxa"/>
            <w:shd w:val="clear" w:color="auto" w:fill="auto"/>
            <w:tcMar>
              <w:top w:w="100" w:type="dxa"/>
              <w:left w:w="100" w:type="dxa"/>
              <w:bottom w:w="100" w:type="dxa"/>
              <w:right w:w="100" w:type="dxa"/>
            </w:tcMar>
          </w:tcPr>
          <w:p w14:paraId="3CA10EAF"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Time-bound:</w:t>
            </w:r>
          </w:p>
        </w:tc>
        <w:tc>
          <w:tcPr>
            <w:tcW w:w="4513" w:type="dxa"/>
            <w:shd w:val="clear" w:color="auto" w:fill="auto"/>
            <w:tcMar>
              <w:top w:w="100" w:type="dxa"/>
              <w:left w:w="100" w:type="dxa"/>
              <w:bottom w:w="100" w:type="dxa"/>
              <w:right w:w="100" w:type="dxa"/>
            </w:tcMar>
          </w:tcPr>
          <w:p w14:paraId="09BD2EF6"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Successfully conduct all workshops during the one-day event, with structured schedules to maximize participation.</w:t>
            </w:r>
          </w:p>
        </w:tc>
      </w:tr>
    </w:tbl>
    <w:p w14:paraId="7B5DEF02" w14:textId="77777777" w:rsidR="00573FAA" w:rsidRPr="0078635D" w:rsidRDefault="00000000">
      <w:pPr>
        <w:spacing w:line="360" w:lineRule="auto"/>
        <w:jc w:val="center"/>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Table 2: Objective 2: Deliver Educational Impact Through Workshops</w:t>
      </w:r>
    </w:p>
    <w:p w14:paraId="5DA709AC"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Objective 3: Expand Marketing Reach and Awareness</w:t>
      </w:r>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A75A7" w14:paraId="3D9092F5" w14:textId="77777777">
        <w:tc>
          <w:tcPr>
            <w:tcW w:w="4513" w:type="dxa"/>
            <w:shd w:val="clear" w:color="auto" w:fill="auto"/>
            <w:tcMar>
              <w:top w:w="100" w:type="dxa"/>
              <w:left w:w="100" w:type="dxa"/>
              <w:bottom w:w="100" w:type="dxa"/>
              <w:right w:w="100" w:type="dxa"/>
            </w:tcMar>
          </w:tcPr>
          <w:p w14:paraId="6C2B05B1"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lastRenderedPageBreak/>
              <w:t>Specific:</w:t>
            </w:r>
          </w:p>
        </w:tc>
        <w:tc>
          <w:tcPr>
            <w:tcW w:w="4513" w:type="dxa"/>
            <w:shd w:val="clear" w:color="auto" w:fill="auto"/>
            <w:tcMar>
              <w:top w:w="100" w:type="dxa"/>
              <w:left w:w="100" w:type="dxa"/>
              <w:bottom w:w="100" w:type="dxa"/>
              <w:right w:w="100" w:type="dxa"/>
            </w:tcMar>
          </w:tcPr>
          <w:p w14:paraId="49863AF5"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Create a strong digital presence using social media campaigns and influencer partnerships.</w:t>
            </w:r>
          </w:p>
        </w:tc>
      </w:tr>
      <w:tr w:rsidR="00FA75A7" w14:paraId="260EBEE9" w14:textId="77777777">
        <w:tc>
          <w:tcPr>
            <w:tcW w:w="4513" w:type="dxa"/>
            <w:shd w:val="clear" w:color="auto" w:fill="auto"/>
            <w:tcMar>
              <w:top w:w="100" w:type="dxa"/>
              <w:left w:w="100" w:type="dxa"/>
              <w:bottom w:w="100" w:type="dxa"/>
              <w:right w:w="100" w:type="dxa"/>
            </w:tcMar>
          </w:tcPr>
          <w:p w14:paraId="6E62A58E"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Measurable:</w:t>
            </w:r>
          </w:p>
        </w:tc>
        <w:tc>
          <w:tcPr>
            <w:tcW w:w="4513" w:type="dxa"/>
            <w:shd w:val="clear" w:color="auto" w:fill="auto"/>
            <w:tcMar>
              <w:top w:w="100" w:type="dxa"/>
              <w:left w:w="100" w:type="dxa"/>
              <w:bottom w:w="100" w:type="dxa"/>
              <w:right w:w="100" w:type="dxa"/>
            </w:tcMar>
          </w:tcPr>
          <w:p w14:paraId="59762FA5"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Generate at least 10,000 social media impressions through posts, event hashtags (#FlavoursWithoutBorders), and collaborations.</w:t>
            </w:r>
          </w:p>
        </w:tc>
      </w:tr>
      <w:tr w:rsidR="00FA75A7" w14:paraId="03979ECD" w14:textId="77777777">
        <w:tc>
          <w:tcPr>
            <w:tcW w:w="4513" w:type="dxa"/>
            <w:shd w:val="clear" w:color="auto" w:fill="auto"/>
            <w:tcMar>
              <w:top w:w="100" w:type="dxa"/>
              <w:left w:w="100" w:type="dxa"/>
              <w:bottom w:w="100" w:type="dxa"/>
              <w:right w:w="100" w:type="dxa"/>
            </w:tcMar>
          </w:tcPr>
          <w:p w14:paraId="1EBEAEB0"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Achievable:</w:t>
            </w:r>
          </w:p>
        </w:tc>
        <w:tc>
          <w:tcPr>
            <w:tcW w:w="4513" w:type="dxa"/>
            <w:shd w:val="clear" w:color="auto" w:fill="auto"/>
            <w:tcMar>
              <w:top w:w="100" w:type="dxa"/>
              <w:left w:w="100" w:type="dxa"/>
              <w:bottom w:w="100" w:type="dxa"/>
              <w:right w:w="100" w:type="dxa"/>
            </w:tcMar>
          </w:tcPr>
          <w:p w14:paraId="144058B4"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Leverage sponsorships, food bloggers, and online promotions to drive engagement.</w:t>
            </w:r>
          </w:p>
        </w:tc>
      </w:tr>
      <w:tr w:rsidR="00FA75A7" w14:paraId="20C58384" w14:textId="77777777">
        <w:tc>
          <w:tcPr>
            <w:tcW w:w="4513" w:type="dxa"/>
            <w:shd w:val="clear" w:color="auto" w:fill="auto"/>
            <w:tcMar>
              <w:top w:w="100" w:type="dxa"/>
              <w:left w:w="100" w:type="dxa"/>
              <w:bottom w:w="100" w:type="dxa"/>
              <w:right w:w="100" w:type="dxa"/>
            </w:tcMar>
          </w:tcPr>
          <w:p w14:paraId="6AB3D4CB"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Relevant:</w:t>
            </w:r>
          </w:p>
        </w:tc>
        <w:tc>
          <w:tcPr>
            <w:tcW w:w="4513" w:type="dxa"/>
            <w:shd w:val="clear" w:color="auto" w:fill="auto"/>
            <w:tcMar>
              <w:top w:w="100" w:type="dxa"/>
              <w:left w:w="100" w:type="dxa"/>
              <w:bottom w:w="100" w:type="dxa"/>
              <w:right w:w="100" w:type="dxa"/>
            </w:tcMar>
          </w:tcPr>
          <w:p w14:paraId="0FF7640A"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Increasing event visibility will attract a broader audience and boost participation in future editions.</w:t>
            </w:r>
          </w:p>
        </w:tc>
      </w:tr>
      <w:tr w:rsidR="00FA75A7" w14:paraId="595BB56A" w14:textId="77777777">
        <w:tc>
          <w:tcPr>
            <w:tcW w:w="4513" w:type="dxa"/>
            <w:shd w:val="clear" w:color="auto" w:fill="auto"/>
            <w:tcMar>
              <w:top w:w="100" w:type="dxa"/>
              <w:left w:w="100" w:type="dxa"/>
              <w:bottom w:w="100" w:type="dxa"/>
              <w:right w:w="100" w:type="dxa"/>
            </w:tcMar>
          </w:tcPr>
          <w:p w14:paraId="5453150D"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Time-bound:</w:t>
            </w:r>
          </w:p>
        </w:tc>
        <w:tc>
          <w:tcPr>
            <w:tcW w:w="4513" w:type="dxa"/>
            <w:shd w:val="clear" w:color="auto" w:fill="auto"/>
            <w:tcMar>
              <w:top w:w="100" w:type="dxa"/>
              <w:left w:w="100" w:type="dxa"/>
              <w:bottom w:w="100" w:type="dxa"/>
              <w:right w:w="100" w:type="dxa"/>
            </w:tcMar>
          </w:tcPr>
          <w:p w14:paraId="125B731C"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sz w:val="24"/>
                <w:szCs w:val="24"/>
              </w:rPr>
              <w:t>Achieve the target within two months leading up to the event through consistent online marketing efforts.</w:t>
            </w:r>
          </w:p>
        </w:tc>
      </w:tr>
    </w:tbl>
    <w:p w14:paraId="2E4B7ED9" w14:textId="77777777" w:rsidR="00573FAA" w:rsidRPr="0078635D" w:rsidRDefault="00000000">
      <w:pPr>
        <w:spacing w:line="360" w:lineRule="auto"/>
        <w:jc w:val="center"/>
        <w:rPr>
          <w:rFonts w:ascii="Times New Roman" w:eastAsia="Times New Roman" w:hAnsi="Times New Roman" w:cs="Times New Roman"/>
          <w:b/>
          <w:sz w:val="28"/>
          <w:szCs w:val="28"/>
        </w:rPr>
      </w:pPr>
      <w:r w:rsidRPr="0078635D">
        <w:rPr>
          <w:rFonts w:ascii="Times New Roman" w:eastAsia="Times New Roman" w:hAnsi="Times New Roman" w:cs="Times New Roman"/>
          <w:b/>
          <w:sz w:val="24"/>
          <w:szCs w:val="24"/>
        </w:rPr>
        <w:t>Table 3: Objective 3: Expand Marketing Reach and Awareness</w:t>
      </w:r>
    </w:p>
    <w:p w14:paraId="214E0E6B" w14:textId="77777777" w:rsidR="00573FAA" w:rsidRPr="0078635D" w:rsidRDefault="00000000">
      <w:pPr>
        <w:pStyle w:val="Heading1"/>
      </w:pPr>
      <w:bookmarkStart w:id="8" w:name="_d6lhnya7lhrg" w:colFirst="0" w:colLast="0"/>
      <w:bookmarkStart w:id="9" w:name="_Toc191676293"/>
      <w:bookmarkEnd w:id="8"/>
      <w:r w:rsidRPr="0078635D">
        <w:t>Event Management</w:t>
      </w:r>
      <w:bookmarkEnd w:id="9"/>
    </w:p>
    <w:p w14:paraId="4A8BF291"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Required Skills</w:t>
      </w:r>
    </w:p>
    <w:p w14:paraId="75E57A64" w14:textId="77777777" w:rsidR="00573FAA" w:rsidRPr="0078635D" w:rsidRDefault="00000000">
      <w:pPr>
        <w:numPr>
          <w:ilvl w:val="0"/>
          <w:numId w:val="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Event Planning and Organization: </w:t>
      </w:r>
      <w:r w:rsidRPr="0078635D">
        <w:rPr>
          <w:rFonts w:ascii="Times New Roman" w:eastAsia="Times New Roman" w:hAnsi="Times New Roman" w:cs="Times New Roman"/>
          <w:sz w:val="24"/>
          <w:szCs w:val="24"/>
        </w:rPr>
        <w:t>Event planning and organizing are essential in developing the event timeline, arranging logistics, and smooth execution.</w:t>
      </w:r>
    </w:p>
    <w:p w14:paraId="7F9546BC" w14:textId="77777777" w:rsidR="00573FAA" w:rsidRPr="0078635D" w:rsidRDefault="00000000">
      <w:pPr>
        <w:numPr>
          <w:ilvl w:val="0"/>
          <w:numId w:val="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Communication and Negotiation: </w:t>
      </w:r>
      <w:r w:rsidRPr="0078635D">
        <w:rPr>
          <w:rFonts w:ascii="Times New Roman" w:eastAsia="Times New Roman" w:hAnsi="Times New Roman" w:cs="Times New Roman"/>
          <w:sz w:val="24"/>
          <w:szCs w:val="24"/>
        </w:rPr>
        <w:t xml:space="preserve">Communications and negotiations are important in terms of communicating with vendors, chefs, sponsors, and guests concerning partnerships and coordination (Kwiatkowski </w:t>
      </w:r>
      <w:r w:rsidRPr="0078635D">
        <w:rPr>
          <w:rFonts w:ascii="Times New Roman" w:eastAsia="Times New Roman" w:hAnsi="Times New Roman" w:cs="Times New Roman"/>
          <w:i/>
          <w:sz w:val="24"/>
          <w:szCs w:val="24"/>
        </w:rPr>
        <w:t>et al</w:t>
      </w:r>
      <w:r w:rsidRPr="0078635D">
        <w:rPr>
          <w:rFonts w:ascii="Times New Roman" w:eastAsia="Times New Roman" w:hAnsi="Times New Roman" w:cs="Times New Roman"/>
          <w:sz w:val="24"/>
          <w:szCs w:val="24"/>
        </w:rPr>
        <w:t>., 2024).</w:t>
      </w:r>
    </w:p>
    <w:p w14:paraId="1CC7969B" w14:textId="77777777" w:rsidR="00573FAA" w:rsidRPr="0078635D" w:rsidRDefault="00000000">
      <w:pPr>
        <w:numPr>
          <w:ilvl w:val="0"/>
          <w:numId w:val="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Marketing and Promotion: </w:t>
      </w:r>
      <w:r w:rsidRPr="0078635D">
        <w:rPr>
          <w:rFonts w:ascii="Times New Roman" w:eastAsia="Times New Roman" w:hAnsi="Times New Roman" w:cs="Times New Roman"/>
          <w:sz w:val="24"/>
          <w:szCs w:val="24"/>
        </w:rPr>
        <w:t>Social media management, influencer partnerships, and branding strategies are the expertise ensuring maximum exposure of the event.</w:t>
      </w:r>
    </w:p>
    <w:p w14:paraId="2FE978F9" w14:textId="77777777" w:rsidR="00573FAA" w:rsidRPr="0078635D" w:rsidRDefault="00000000">
      <w:pPr>
        <w:numPr>
          <w:ilvl w:val="0"/>
          <w:numId w:val="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Budget Management: </w:t>
      </w:r>
      <w:r w:rsidRPr="0078635D">
        <w:rPr>
          <w:rFonts w:ascii="Times New Roman" w:eastAsia="Times New Roman" w:hAnsi="Times New Roman" w:cs="Times New Roman"/>
          <w:sz w:val="24"/>
          <w:szCs w:val="24"/>
        </w:rPr>
        <w:t>Budget management is the skill that entails appropriately managing finances in order to negotiate vendor contracts and ensure the financial feasibility of a project.</w:t>
      </w:r>
    </w:p>
    <w:p w14:paraId="2AD2B8EE" w14:textId="77777777" w:rsidR="00573FAA" w:rsidRPr="0078635D" w:rsidRDefault="00000000">
      <w:pPr>
        <w:numPr>
          <w:ilvl w:val="0"/>
          <w:numId w:val="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Culinary and Cultural Knowledge: </w:t>
      </w:r>
      <w:r w:rsidRPr="0078635D">
        <w:rPr>
          <w:rFonts w:ascii="Times New Roman" w:eastAsia="Times New Roman" w:hAnsi="Times New Roman" w:cs="Times New Roman"/>
          <w:sz w:val="24"/>
          <w:szCs w:val="24"/>
        </w:rPr>
        <w:t>Diversity of cuisines and hospitality trends to provide a genuine and diversified dining experience (Richards, 2021).</w:t>
      </w:r>
    </w:p>
    <w:p w14:paraId="710D5F72" w14:textId="77777777" w:rsidR="00573FAA" w:rsidRPr="0078635D" w:rsidRDefault="00000000">
      <w:pPr>
        <w:numPr>
          <w:ilvl w:val="0"/>
          <w:numId w:val="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lastRenderedPageBreak/>
        <w:t xml:space="preserve">Risk and Crisis Management: </w:t>
      </w:r>
      <w:r w:rsidRPr="0078635D">
        <w:rPr>
          <w:rFonts w:ascii="Times New Roman" w:eastAsia="Times New Roman" w:hAnsi="Times New Roman" w:cs="Times New Roman"/>
          <w:sz w:val="24"/>
          <w:szCs w:val="24"/>
        </w:rPr>
        <w:t>Risk and Crisis Management are event security management, health regulations, and contingency planning skills to avoid potential problems in advance.</w:t>
      </w:r>
    </w:p>
    <w:p w14:paraId="29138237" w14:textId="77777777" w:rsidR="00573FAA" w:rsidRPr="0078635D" w:rsidRDefault="00000000">
      <w:pPr>
        <w:numPr>
          <w:ilvl w:val="0"/>
          <w:numId w:val="1"/>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Leadership and Team Coordination: </w:t>
      </w:r>
      <w:r w:rsidRPr="0078635D">
        <w:rPr>
          <w:rFonts w:ascii="Times New Roman" w:eastAsia="Times New Roman" w:hAnsi="Times New Roman" w:cs="Times New Roman"/>
          <w:sz w:val="24"/>
          <w:szCs w:val="24"/>
        </w:rPr>
        <w:t>Leadership and Team Coordination is the coordination of a diverse team comprising event staff, volunteers, and vendors for unified working.</w:t>
      </w:r>
    </w:p>
    <w:p w14:paraId="6C773DBC"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Required Resources</w:t>
      </w:r>
    </w:p>
    <w:p w14:paraId="3588599F" w14:textId="77777777" w:rsidR="00573FAA" w:rsidRPr="0078635D" w:rsidRDefault="00000000">
      <w:pPr>
        <w:numPr>
          <w:ilvl w:val="0"/>
          <w:numId w:val="5"/>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Venue and Infrastructure: </w:t>
      </w:r>
      <w:r w:rsidRPr="0078635D">
        <w:rPr>
          <w:rFonts w:ascii="Times New Roman" w:eastAsia="Times New Roman" w:hAnsi="Times New Roman" w:cs="Times New Roman"/>
          <w:sz w:val="24"/>
          <w:szCs w:val="24"/>
        </w:rPr>
        <w:t>Park Plaza Westminster Bridge features conference rooms, business kitchens, and presentation and live demonstration audiovisual equipment.</w:t>
      </w:r>
    </w:p>
    <w:p w14:paraId="4AE2FA35" w14:textId="77777777" w:rsidR="00573FAA" w:rsidRPr="0078635D" w:rsidRDefault="00000000">
      <w:pPr>
        <w:numPr>
          <w:ilvl w:val="0"/>
          <w:numId w:val="5"/>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Catering and Culinary Equipment: </w:t>
      </w:r>
      <w:r w:rsidRPr="0078635D">
        <w:rPr>
          <w:rFonts w:ascii="Times New Roman" w:eastAsia="Times New Roman" w:hAnsi="Times New Roman" w:cs="Times New Roman"/>
          <w:sz w:val="24"/>
          <w:szCs w:val="24"/>
        </w:rPr>
        <w:t>Premium kitchen appliances, catering foods, as well as tasting and workshop cooking areas.</w:t>
      </w:r>
    </w:p>
    <w:p w14:paraId="00A5AE1B" w14:textId="77777777" w:rsidR="00573FAA" w:rsidRPr="0078635D" w:rsidRDefault="00000000">
      <w:pPr>
        <w:numPr>
          <w:ilvl w:val="0"/>
          <w:numId w:val="5"/>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Marketing Materials: </w:t>
      </w:r>
      <w:r w:rsidRPr="0078635D">
        <w:rPr>
          <w:rFonts w:ascii="Times New Roman" w:eastAsia="Times New Roman" w:hAnsi="Times New Roman" w:cs="Times New Roman"/>
          <w:sz w:val="24"/>
          <w:szCs w:val="24"/>
        </w:rPr>
        <w:t>Online promotions, event notices, social media updates, and influencer collaborations to create awareness (Musiyiwa and Jacobson, 2024).</w:t>
      </w:r>
    </w:p>
    <w:p w14:paraId="6F14F608" w14:textId="77777777" w:rsidR="00573FAA" w:rsidRPr="0078635D" w:rsidRDefault="00000000">
      <w:pPr>
        <w:numPr>
          <w:ilvl w:val="0"/>
          <w:numId w:val="5"/>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Staff and Volunteers: </w:t>
      </w:r>
      <w:r w:rsidRPr="0078635D">
        <w:rPr>
          <w:rFonts w:ascii="Times New Roman" w:eastAsia="Times New Roman" w:hAnsi="Times New Roman" w:cs="Times New Roman"/>
          <w:sz w:val="24"/>
          <w:szCs w:val="24"/>
        </w:rPr>
        <w:t>Event coordinators, hospitality experts, security personnel, and technical support staff for a seamless rollout.</w:t>
      </w:r>
    </w:p>
    <w:p w14:paraId="122F81E7" w14:textId="77777777" w:rsidR="00573FAA" w:rsidRPr="0078635D" w:rsidRDefault="00000000">
      <w:pPr>
        <w:numPr>
          <w:ilvl w:val="0"/>
          <w:numId w:val="5"/>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Technology and Audiovisual Support: </w:t>
      </w:r>
      <w:r w:rsidRPr="0078635D">
        <w:rPr>
          <w:rFonts w:ascii="Times New Roman" w:eastAsia="Times New Roman" w:hAnsi="Times New Roman" w:cs="Times New Roman"/>
          <w:sz w:val="24"/>
          <w:szCs w:val="24"/>
        </w:rPr>
        <w:t>Live webcasting capabilities, sound equipment, and stage design for panel discussions and culinary demonstrations (Penny, 2022).</w:t>
      </w:r>
    </w:p>
    <w:p w14:paraId="439736A3" w14:textId="77777777" w:rsidR="00573FAA" w:rsidRPr="0078635D" w:rsidRDefault="00000000">
      <w:pPr>
        <w:numPr>
          <w:ilvl w:val="0"/>
          <w:numId w:val="5"/>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Cultural-Themed Decorations: </w:t>
      </w:r>
      <w:r w:rsidRPr="0078635D">
        <w:rPr>
          <w:rFonts w:ascii="Times New Roman" w:eastAsia="Times New Roman" w:hAnsi="Times New Roman" w:cs="Times New Roman"/>
          <w:sz w:val="24"/>
          <w:szCs w:val="24"/>
        </w:rPr>
        <w:t>Creating a lively atmosphere with culturally themed décor, lighting, and signage to transport the visitors into the experience.</w:t>
      </w:r>
    </w:p>
    <w:p w14:paraId="1B17DC24" w14:textId="77777777" w:rsidR="00573FAA" w:rsidRPr="0078635D" w:rsidRDefault="00000000">
      <w:pPr>
        <w:spacing w:line="360" w:lineRule="auto"/>
        <w:jc w:val="both"/>
        <w:rPr>
          <w:rFonts w:ascii="Times New Roman" w:eastAsia="Times New Roman" w:hAnsi="Times New Roman" w:cs="Times New Roman"/>
          <w:b/>
          <w:sz w:val="28"/>
          <w:szCs w:val="28"/>
        </w:rPr>
      </w:pPr>
      <w:r w:rsidRPr="0078635D">
        <w:rPr>
          <w:rFonts w:ascii="Times New Roman" w:eastAsia="Times New Roman" w:hAnsi="Times New Roman" w:cs="Times New Roman"/>
          <w:sz w:val="24"/>
          <w:szCs w:val="24"/>
        </w:rPr>
        <w:t>Organizational skills and efficient use of resources will make Flavours Without Borders a successful and effective event.</w:t>
      </w:r>
    </w:p>
    <w:p w14:paraId="7D650B25" w14:textId="77777777" w:rsidR="00573FAA" w:rsidRPr="0078635D" w:rsidRDefault="00000000">
      <w:pPr>
        <w:pStyle w:val="Heading1"/>
      </w:pPr>
      <w:bookmarkStart w:id="10" w:name="_wha83dhfq4fj" w:colFirst="0" w:colLast="0"/>
      <w:bookmarkStart w:id="11" w:name="_Toc191676294"/>
      <w:bookmarkEnd w:id="10"/>
      <w:r w:rsidRPr="0078635D">
        <w:t>Event Budget</w:t>
      </w:r>
      <w:bookmarkEnd w:id="11"/>
    </w:p>
    <w:p w14:paraId="286981E1"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sz w:val="24"/>
          <w:szCs w:val="24"/>
        </w:rPr>
        <w:t>Expenditure Breakdown:</w:t>
      </w:r>
    </w:p>
    <w:tbl>
      <w:tblPr>
        <w:tblStyle w:val="a2"/>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A75A7" w14:paraId="71390507" w14:textId="77777777">
        <w:tc>
          <w:tcPr>
            <w:tcW w:w="4513" w:type="dxa"/>
            <w:shd w:val="clear" w:color="auto" w:fill="auto"/>
            <w:tcMar>
              <w:top w:w="100" w:type="dxa"/>
              <w:left w:w="100" w:type="dxa"/>
              <w:bottom w:w="100" w:type="dxa"/>
              <w:right w:w="100" w:type="dxa"/>
            </w:tcMar>
          </w:tcPr>
          <w:p w14:paraId="72A85CE4"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Venue Rental (Park Plaza Westminster Bridge):</w:t>
            </w:r>
          </w:p>
        </w:tc>
        <w:tc>
          <w:tcPr>
            <w:tcW w:w="4513" w:type="dxa"/>
            <w:shd w:val="clear" w:color="auto" w:fill="auto"/>
            <w:tcMar>
              <w:top w:w="100" w:type="dxa"/>
              <w:left w:w="100" w:type="dxa"/>
              <w:bottom w:w="100" w:type="dxa"/>
              <w:right w:w="100" w:type="dxa"/>
            </w:tcMar>
          </w:tcPr>
          <w:p w14:paraId="400093F5"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£10,000</w:t>
            </w:r>
          </w:p>
        </w:tc>
      </w:tr>
      <w:tr w:rsidR="00FA75A7" w14:paraId="396FB63F" w14:textId="77777777">
        <w:tc>
          <w:tcPr>
            <w:tcW w:w="4513" w:type="dxa"/>
            <w:shd w:val="clear" w:color="auto" w:fill="auto"/>
            <w:tcMar>
              <w:top w:w="100" w:type="dxa"/>
              <w:left w:w="100" w:type="dxa"/>
              <w:bottom w:w="100" w:type="dxa"/>
              <w:right w:w="100" w:type="dxa"/>
            </w:tcMar>
          </w:tcPr>
          <w:p w14:paraId="3382D461"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Catering and Food Supplies:</w:t>
            </w:r>
          </w:p>
        </w:tc>
        <w:tc>
          <w:tcPr>
            <w:tcW w:w="4513" w:type="dxa"/>
            <w:shd w:val="clear" w:color="auto" w:fill="auto"/>
            <w:tcMar>
              <w:top w:w="100" w:type="dxa"/>
              <w:left w:w="100" w:type="dxa"/>
              <w:bottom w:w="100" w:type="dxa"/>
              <w:right w:w="100" w:type="dxa"/>
            </w:tcMar>
          </w:tcPr>
          <w:p w14:paraId="3D1A6A60"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£8,000</w:t>
            </w:r>
          </w:p>
        </w:tc>
      </w:tr>
      <w:tr w:rsidR="00FA75A7" w14:paraId="12808644" w14:textId="77777777">
        <w:tc>
          <w:tcPr>
            <w:tcW w:w="4513" w:type="dxa"/>
            <w:shd w:val="clear" w:color="auto" w:fill="auto"/>
            <w:tcMar>
              <w:top w:w="100" w:type="dxa"/>
              <w:left w:w="100" w:type="dxa"/>
              <w:bottom w:w="100" w:type="dxa"/>
              <w:right w:w="100" w:type="dxa"/>
            </w:tcMar>
          </w:tcPr>
          <w:p w14:paraId="0DAF72C5"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Staffing (Chefs, Event Coordinators, Volunteers):</w:t>
            </w:r>
          </w:p>
        </w:tc>
        <w:tc>
          <w:tcPr>
            <w:tcW w:w="4513" w:type="dxa"/>
            <w:shd w:val="clear" w:color="auto" w:fill="auto"/>
            <w:tcMar>
              <w:top w:w="100" w:type="dxa"/>
              <w:left w:w="100" w:type="dxa"/>
              <w:bottom w:w="100" w:type="dxa"/>
              <w:right w:w="100" w:type="dxa"/>
            </w:tcMar>
          </w:tcPr>
          <w:p w14:paraId="1ED2A7EA"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£5,000</w:t>
            </w:r>
          </w:p>
        </w:tc>
      </w:tr>
      <w:tr w:rsidR="00FA75A7" w14:paraId="279B86AA" w14:textId="77777777">
        <w:tc>
          <w:tcPr>
            <w:tcW w:w="4513" w:type="dxa"/>
            <w:shd w:val="clear" w:color="auto" w:fill="auto"/>
            <w:tcMar>
              <w:top w:w="100" w:type="dxa"/>
              <w:left w:w="100" w:type="dxa"/>
              <w:bottom w:w="100" w:type="dxa"/>
              <w:right w:w="100" w:type="dxa"/>
            </w:tcMar>
          </w:tcPr>
          <w:p w14:paraId="67AB9267"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Marketing and Promotion (Social Media, Ads, Flyers):</w:t>
            </w:r>
          </w:p>
        </w:tc>
        <w:tc>
          <w:tcPr>
            <w:tcW w:w="4513" w:type="dxa"/>
            <w:shd w:val="clear" w:color="auto" w:fill="auto"/>
            <w:tcMar>
              <w:top w:w="100" w:type="dxa"/>
              <w:left w:w="100" w:type="dxa"/>
              <w:bottom w:w="100" w:type="dxa"/>
              <w:right w:w="100" w:type="dxa"/>
            </w:tcMar>
          </w:tcPr>
          <w:p w14:paraId="3C1C5FFF"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£3,000</w:t>
            </w:r>
          </w:p>
        </w:tc>
      </w:tr>
      <w:tr w:rsidR="00FA75A7" w14:paraId="3902DA50" w14:textId="77777777">
        <w:tc>
          <w:tcPr>
            <w:tcW w:w="4513" w:type="dxa"/>
            <w:shd w:val="clear" w:color="auto" w:fill="auto"/>
            <w:tcMar>
              <w:top w:w="100" w:type="dxa"/>
              <w:left w:w="100" w:type="dxa"/>
              <w:bottom w:w="100" w:type="dxa"/>
              <w:right w:w="100" w:type="dxa"/>
            </w:tcMar>
          </w:tcPr>
          <w:p w14:paraId="1489F71C"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lastRenderedPageBreak/>
              <w:t>Technical Setup (Lighting, AV Equipment, Streaming):</w:t>
            </w:r>
          </w:p>
        </w:tc>
        <w:tc>
          <w:tcPr>
            <w:tcW w:w="4513" w:type="dxa"/>
            <w:shd w:val="clear" w:color="auto" w:fill="auto"/>
            <w:tcMar>
              <w:top w:w="100" w:type="dxa"/>
              <w:left w:w="100" w:type="dxa"/>
              <w:bottom w:w="100" w:type="dxa"/>
              <w:right w:w="100" w:type="dxa"/>
            </w:tcMar>
          </w:tcPr>
          <w:p w14:paraId="0BD9AE5D"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£2,500</w:t>
            </w:r>
          </w:p>
        </w:tc>
      </w:tr>
      <w:tr w:rsidR="00FA75A7" w14:paraId="115D34C0" w14:textId="77777777">
        <w:tc>
          <w:tcPr>
            <w:tcW w:w="4513" w:type="dxa"/>
            <w:shd w:val="clear" w:color="auto" w:fill="auto"/>
            <w:tcMar>
              <w:top w:w="100" w:type="dxa"/>
              <w:left w:w="100" w:type="dxa"/>
              <w:bottom w:w="100" w:type="dxa"/>
              <w:right w:w="100" w:type="dxa"/>
            </w:tcMar>
          </w:tcPr>
          <w:p w14:paraId="3D7DEF34"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Decorations and Cultural Setup:</w:t>
            </w:r>
          </w:p>
        </w:tc>
        <w:tc>
          <w:tcPr>
            <w:tcW w:w="4513" w:type="dxa"/>
            <w:shd w:val="clear" w:color="auto" w:fill="auto"/>
            <w:tcMar>
              <w:top w:w="100" w:type="dxa"/>
              <w:left w:w="100" w:type="dxa"/>
              <w:bottom w:w="100" w:type="dxa"/>
              <w:right w:w="100" w:type="dxa"/>
            </w:tcMar>
          </w:tcPr>
          <w:p w14:paraId="234E63F3"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£2,000</w:t>
            </w:r>
          </w:p>
        </w:tc>
      </w:tr>
      <w:tr w:rsidR="00FA75A7" w14:paraId="0C9231F4" w14:textId="77777777">
        <w:tc>
          <w:tcPr>
            <w:tcW w:w="4513" w:type="dxa"/>
            <w:shd w:val="clear" w:color="auto" w:fill="auto"/>
            <w:tcMar>
              <w:top w:w="100" w:type="dxa"/>
              <w:left w:w="100" w:type="dxa"/>
              <w:bottom w:w="100" w:type="dxa"/>
              <w:right w:w="100" w:type="dxa"/>
            </w:tcMar>
          </w:tcPr>
          <w:p w14:paraId="3FBD6A90"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Miscellaneous (Permits, Logistics, Unexpected Costs):</w:t>
            </w:r>
          </w:p>
        </w:tc>
        <w:tc>
          <w:tcPr>
            <w:tcW w:w="4513" w:type="dxa"/>
            <w:shd w:val="clear" w:color="auto" w:fill="auto"/>
            <w:tcMar>
              <w:top w:w="100" w:type="dxa"/>
              <w:left w:w="100" w:type="dxa"/>
              <w:bottom w:w="100" w:type="dxa"/>
              <w:right w:w="100" w:type="dxa"/>
            </w:tcMar>
          </w:tcPr>
          <w:p w14:paraId="60ADF4B8"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£2,000</w:t>
            </w:r>
          </w:p>
        </w:tc>
      </w:tr>
      <w:tr w:rsidR="00FA75A7" w14:paraId="5EA8610B" w14:textId="77777777">
        <w:tc>
          <w:tcPr>
            <w:tcW w:w="4513" w:type="dxa"/>
            <w:shd w:val="clear" w:color="auto" w:fill="auto"/>
            <w:tcMar>
              <w:top w:w="100" w:type="dxa"/>
              <w:left w:w="100" w:type="dxa"/>
              <w:bottom w:w="100" w:type="dxa"/>
              <w:right w:w="100" w:type="dxa"/>
            </w:tcMar>
          </w:tcPr>
          <w:p w14:paraId="5F9321D3"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Total Expenditure:</w:t>
            </w:r>
          </w:p>
        </w:tc>
        <w:tc>
          <w:tcPr>
            <w:tcW w:w="4513" w:type="dxa"/>
            <w:shd w:val="clear" w:color="auto" w:fill="auto"/>
            <w:tcMar>
              <w:top w:w="100" w:type="dxa"/>
              <w:left w:w="100" w:type="dxa"/>
              <w:bottom w:w="100" w:type="dxa"/>
              <w:right w:w="100" w:type="dxa"/>
            </w:tcMar>
          </w:tcPr>
          <w:p w14:paraId="2A8580BB"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£32,500</w:t>
            </w:r>
          </w:p>
        </w:tc>
      </w:tr>
    </w:tbl>
    <w:p w14:paraId="7C9FDE66" w14:textId="77777777" w:rsidR="00573FAA" w:rsidRPr="0078635D" w:rsidRDefault="00000000">
      <w:pPr>
        <w:spacing w:line="360" w:lineRule="auto"/>
        <w:jc w:val="center"/>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Table 4: Expenditure Breakdown</w:t>
      </w:r>
    </w:p>
    <w:p w14:paraId="1C23F57B"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sz w:val="24"/>
          <w:szCs w:val="24"/>
        </w:rPr>
        <w:t>Income Breakdown:</w:t>
      </w:r>
    </w:p>
    <w:tbl>
      <w:tblPr>
        <w:tblStyle w:val="a3"/>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A75A7" w14:paraId="2F7D4C80" w14:textId="77777777">
        <w:tc>
          <w:tcPr>
            <w:tcW w:w="4513" w:type="dxa"/>
            <w:shd w:val="clear" w:color="auto" w:fill="auto"/>
            <w:tcMar>
              <w:top w:w="100" w:type="dxa"/>
              <w:left w:w="100" w:type="dxa"/>
              <w:bottom w:w="100" w:type="dxa"/>
              <w:right w:w="100" w:type="dxa"/>
            </w:tcMar>
          </w:tcPr>
          <w:p w14:paraId="2A8D1E11"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Ticket Sales (500 tickets @ £100):</w:t>
            </w:r>
          </w:p>
        </w:tc>
        <w:tc>
          <w:tcPr>
            <w:tcW w:w="4513" w:type="dxa"/>
            <w:shd w:val="clear" w:color="auto" w:fill="auto"/>
            <w:tcMar>
              <w:top w:w="100" w:type="dxa"/>
              <w:left w:w="100" w:type="dxa"/>
              <w:bottom w:w="100" w:type="dxa"/>
              <w:right w:w="100" w:type="dxa"/>
            </w:tcMar>
          </w:tcPr>
          <w:p w14:paraId="02C7365D"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£50,000</w:t>
            </w:r>
          </w:p>
        </w:tc>
      </w:tr>
      <w:tr w:rsidR="00FA75A7" w14:paraId="7EFE50C4" w14:textId="77777777">
        <w:tc>
          <w:tcPr>
            <w:tcW w:w="4513" w:type="dxa"/>
            <w:shd w:val="clear" w:color="auto" w:fill="auto"/>
            <w:tcMar>
              <w:top w:w="100" w:type="dxa"/>
              <w:left w:w="100" w:type="dxa"/>
              <w:bottom w:w="100" w:type="dxa"/>
              <w:right w:w="100" w:type="dxa"/>
            </w:tcMar>
          </w:tcPr>
          <w:p w14:paraId="74ECA59D"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Sponsorships and Partnerships (Hospitality Brands, Cultural Organizations):</w:t>
            </w:r>
          </w:p>
        </w:tc>
        <w:tc>
          <w:tcPr>
            <w:tcW w:w="4513" w:type="dxa"/>
            <w:shd w:val="clear" w:color="auto" w:fill="auto"/>
            <w:tcMar>
              <w:top w:w="100" w:type="dxa"/>
              <w:left w:w="100" w:type="dxa"/>
              <w:bottom w:w="100" w:type="dxa"/>
              <w:right w:w="100" w:type="dxa"/>
            </w:tcMar>
          </w:tcPr>
          <w:p w14:paraId="359A6415"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£5,000</w:t>
            </w:r>
          </w:p>
        </w:tc>
      </w:tr>
      <w:tr w:rsidR="00FA75A7" w14:paraId="778D1575" w14:textId="77777777">
        <w:tc>
          <w:tcPr>
            <w:tcW w:w="4513" w:type="dxa"/>
            <w:shd w:val="clear" w:color="auto" w:fill="auto"/>
            <w:tcMar>
              <w:top w:w="100" w:type="dxa"/>
              <w:left w:w="100" w:type="dxa"/>
              <w:bottom w:w="100" w:type="dxa"/>
              <w:right w:w="100" w:type="dxa"/>
            </w:tcMar>
          </w:tcPr>
          <w:p w14:paraId="7D6D78EB"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Vendor Participation Fees (Food Exhibitors and Suppliers):</w:t>
            </w:r>
          </w:p>
        </w:tc>
        <w:tc>
          <w:tcPr>
            <w:tcW w:w="4513" w:type="dxa"/>
            <w:shd w:val="clear" w:color="auto" w:fill="auto"/>
            <w:tcMar>
              <w:top w:w="100" w:type="dxa"/>
              <w:left w:w="100" w:type="dxa"/>
              <w:bottom w:w="100" w:type="dxa"/>
              <w:right w:w="100" w:type="dxa"/>
            </w:tcMar>
          </w:tcPr>
          <w:p w14:paraId="6BC4CA2D"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£3,000</w:t>
            </w:r>
          </w:p>
        </w:tc>
      </w:tr>
      <w:tr w:rsidR="00FA75A7" w14:paraId="63BEF22E" w14:textId="77777777">
        <w:tc>
          <w:tcPr>
            <w:tcW w:w="4513" w:type="dxa"/>
            <w:shd w:val="clear" w:color="auto" w:fill="auto"/>
            <w:tcMar>
              <w:top w:w="100" w:type="dxa"/>
              <w:left w:w="100" w:type="dxa"/>
              <w:bottom w:w="100" w:type="dxa"/>
              <w:right w:w="100" w:type="dxa"/>
            </w:tcMar>
          </w:tcPr>
          <w:p w14:paraId="7A7D261B"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Total Income:</w:t>
            </w:r>
          </w:p>
        </w:tc>
        <w:tc>
          <w:tcPr>
            <w:tcW w:w="4513" w:type="dxa"/>
            <w:shd w:val="clear" w:color="auto" w:fill="auto"/>
            <w:tcMar>
              <w:top w:w="100" w:type="dxa"/>
              <w:left w:w="100" w:type="dxa"/>
              <w:bottom w:w="100" w:type="dxa"/>
              <w:right w:w="100" w:type="dxa"/>
            </w:tcMar>
          </w:tcPr>
          <w:p w14:paraId="2E2BDCB6"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£58,000</w:t>
            </w:r>
          </w:p>
        </w:tc>
      </w:tr>
    </w:tbl>
    <w:p w14:paraId="2F5DB42A" w14:textId="77777777" w:rsidR="00573FAA" w:rsidRPr="0078635D" w:rsidRDefault="00000000">
      <w:pPr>
        <w:spacing w:line="360" w:lineRule="auto"/>
        <w:jc w:val="center"/>
        <w:rPr>
          <w:rFonts w:ascii="Times New Roman" w:eastAsia="Times New Roman" w:hAnsi="Times New Roman" w:cs="Times New Roman"/>
          <w:sz w:val="24"/>
          <w:szCs w:val="24"/>
        </w:rPr>
      </w:pPr>
      <w:r w:rsidRPr="0078635D">
        <w:rPr>
          <w:rFonts w:ascii="Times New Roman" w:eastAsia="Times New Roman" w:hAnsi="Times New Roman" w:cs="Times New Roman"/>
          <w:b/>
          <w:sz w:val="24"/>
          <w:szCs w:val="24"/>
        </w:rPr>
        <w:t>Table 5: Income Breakdown</w:t>
      </w:r>
    </w:p>
    <w:p w14:paraId="38D586DA"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Analysis and Funding Sources:</w:t>
      </w:r>
    </w:p>
    <w:p w14:paraId="72A319A2"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The event is primarily funded through ticket sales, sponsorships, and vendor fees. Ticket sales contribute the highest revenue, ensuring financial sustainability. Sponsorships from food brands, cultural organizations, and hospitality businesses help cover operational costs, while vendor fees provide additional income (Bilgihan and Ricci, 2024).</w:t>
      </w:r>
    </w:p>
    <w:p w14:paraId="761B3DC8"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With a projected £25,500 profit, the event is financially viable. The budget ensures high-quality catering, effective marketing, and a well-equipped venue, delivering a premium experience for attendees while maintaining cost efficiency.</w:t>
      </w:r>
    </w:p>
    <w:p w14:paraId="0E1E0B15" w14:textId="77777777" w:rsidR="00573FAA" w:rsidRPr="0078635D" w:rsidRDefault="00000000">
      <w:pPr>
        <w:pStyle w:val="Heading1"/>
      </w:pPr>
      <w:bookmarkStart w:id="12" w:name="_aszi5yeb2je8" w:colFirst="0" w:colLast="0"/>
      <w:bookmarkStart w:id="13" w:name="_Toc191676295"/>
      <w:bookmarkEnd w:id="12"/>
      <w:r w:rsidRPr="0078635D">
        <w:t>Industry Trends / Issues / Impacts</w:t>
      </w:r>
      <w:bookmarkEnd w:id="13"/>
    </w:p>
    <w:p w14:paraId="319BEDFC" w14:textId="0DF3A284"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The meetings and events industry is evolving rapidly due to changing consumer expectations, technological advancements, and global trends. Flavours Without Borders is influenced by several industry trends and challenges that impact event planning, execution, and audience engagement.</w:t>
      </w:r>
    </w:p>
    <w:p w14:paraId="4605AFB8"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lastRenderedPageBreak/>
        <w:t>1. Key Industry Trends</w:t>
      </w:r>
    </w:p>
    <w:p w14:paraId="6332F125" w14:textId="77777777" w:rsidR="00573FAA" w:rsidRPr="0078635D" w:rsidRDefault="00000000">
      <w:pPr>
        <w:numPr>
          <w:ilvl w:val="0"/>
          <w:numId w:val="7"/>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Growth of Culinary Tourism</w:t>
      </w:r>
    </w:p>
    <w:p w14:paraId="345A0756"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Culinary tourism is a growing sector, projected to reach $208.6 billion by 2028 (Technavio, 2025). Travelers are increasingly seeking authentic and immersive food experiences, making events such as Flavours Without Borders highly relevant. The event capitalizes on this trend by offering live cooking demos, interactive tasting sessions, and cultural food education.</w:t>
      </w:r>
    </w:p>
    <w:p w14:paraId="7CD8417C" w14:textId="77777777" w:rsidR="00573FAA" w:rsidRPr="0078635D" w:rsidRDefault="00000000">
      <w:pPr>
        <w:numPr>
          <w:ilvl w:val="0"/>
          <w:numId w:val="7"/>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Demand for Diversity and Inclusion</w:t>
      </w:r>
    </w:p>
    <w:p w14:paraId="0F552AAF" w14:textId="5B1F7760"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 xml:space="preserve">Over 72% of </w:t>
      </w:r>
      <w:r w:rsidR="0078635D" w:rsidRPr="0078635D">
        <w:rPr>
          <w:rFonts w:ascii="Times New Roman" w:eastAsia="Times New Roman" w:hAnsi="Times New Roman" w:cs="Times New Roman"/>
          <w:sz w:val="24"/>
          <w:szCs w:val="24"/>
        </w:rPr>
        <w:t>travellers</w:t>
      </w:r>
      <w:r w:rsidRPr="0078635D">
        <w:rPr>
          <w:rFonts w:ascii="Times New Roman" w:eastAsia="Times New Roman" w:hAnsi="Times New Roman" w:cs="Times New Roman"/>
          <w:sz w:val="24"/>
          <w:szCs w:val="24"/>
        </w:rPr>
        <w:t xml:space="preserve"> prioritize cultural dining experiences during their stays (Hilton, 2025). Hotels and restaurants must accommodate diverse dietary needs, from halal, kosher, and vegetarian to allergen-free options. Flavours Without Borders directly aligns with this trend by celebrating culinary diversity and training hospitality professionals on inclusive dining practices.</w:t>
      </w:r>
    </w:p>
    <w:p w14:paraId="51534022" w14:textId="77777777" w:rsidR="00573FAA" w:rsidRPr="0078635D" w:rsidRDefault="00000000">
      <w:pPr>
        <w:numPr>
          <w:ilvl w:val="0"/>
          <w:numId w:val="7"/>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Digital and Hybrid Event Integration</w:t>
      </w:r>
    </w:p>
    <w:p w14:paraId="01D039EA"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Virtual and hybrid events are rising, allowing broader participation and increased accessibility. The global virtual cooking class market is expected to grow at an 11.3% CAGR by 2032 (BRI, 2025). While Flavours Without Borders is an in-person event, incorporating live streaming of workshops and cooking demos can expand its reach and attract global audiences.</w:t>
      </w:r>
    </w:p>
    <w:p w14:paraId="2C4A6627" w14:textId="77777777" w:rsidR="00573FAA" w:rsidRPr="0078635D" w:rsidRDefault="00000000">
      <w:pPr>
        <w:numPr>
          <w:ilvl w:val="0"/>
          <w:numId w:val="7"/>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Sustainability in Events</w:t>
      </w:r>
    </w:p>
    <w:p w14:paraId="3D3DBD16"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Sustainability is becoming a key focus, with attendees expecting eco-friendly initiatives such as reduced food waste, locally sourced ingredients, and minimal plastic use. Flavours Without Borders addresses this by partnering with sustainable food suppliers and implementing waste reduction strategies.</w:t>
      </w:r>
    </w:p>
    <w:p w14:paraId="048BDA73"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2. Industry Challenges and Issues</w:t>
      </w:r>
    </w:p>
    <w:p w14:paraId="04481F02" w14:textId="77777777" w:rsidR="00573FAA" w:rsidRPr="0078635D" w:rsidRDefault="00000000">
      <w:pPr>
        <w:numPr>
          <w:ilvl w:val="0"/>
          <w:numId w:val="4"/>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Competition from Established Culinary Events</w:t>
      </w:r>
    </w:p>
    <w:p w14:paraId="5DDA502A"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London hosts several well-known food festivals, such as Taste of London and the National Geographic Traveller Food Festival, which had 7,000+ attendees in just two days (F&amp;B Insights, 2025). Competing with established events requires strong marketing, unique value propositions, and strategic partnerships to differentiate Flavours Without Borders.</w:t>
      </w:r>
    </w:p>
    <w:p w14:paraId="1B423D31" w14:textId="77777777" w:rsidR="00573FAA" w:rsidRPr="0078635D" w:rsidRDefault="00000000">
      <w:pPr>
        <w:numPr>
          <w:ilvl w:val="0"/>
          <w:numId w:val="4"/>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Rising Costs and Budget Constraints</w:t>
      </w:r>
    </w:p>
    <w:p w14:paraId="573243C9"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Event planning costs are increasing due to venue pricing, staffing expenses, and marketing needs. To maintain profitability, Flavours Without Borders must maximize sponsorship opportunities, secure vendor fees, and optimize budget allocation to ensure financial sustainability.</w:t>
      </w:r>
    </w:p>
    <w:p w14:paraId="3E5F5EB2" w14:textId="77777777" w:rsidR="00573FAA" w:rsidRPr="0078635D" w:rsidRDefault="00000000">
      <w:pPr>
        <w:numPr>
          <w:ilvl w:val="0"/>
          <w:numId w:val="4"/>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Changing Consumer Preferences</w:t>
      </w:r>
    </w:p>
    <w:p w14:paraId="6BC0A2FC"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lastRenderedPageBreak/>
        <w:t>Post-pandemic, consumers prefer smaller, personalized experiences over large-scale gatherings (Burazer, 2021). Flavours Without Borders addresses this by offering intimate workshops and exclusive tastings, ensuring meaningful engagement.</w:t>
      </w:r>
    </w:p>
    <w:p w14:paraId="583992F5" w14:textId="77777777" w:rsidR="00573FAA" w:rsidRPr="0078635D" w:rsidRDefault="00000000">
      <w:pPr>
        <w:numPr>
          <w:ilvl w:val="0"/>
          <w:numId w:val="4"/>
        </w:numPr>
        <w:spacing w:line="360" w:lineRule="auto"/>
        <w:jc w:val="both"/>
        <w:rPr>
          <w:rFonts w:ascii="Times New Roman" w:eastAsia="Times New Roman" w:hAnsi="Times New Roman" w:cs="Times New Roman"/>
          <w:b/>
          <w:i/>
          <w:sz w:val="24"/>
          <w:szCs w:val="24"/>
        </w:rPr>
      </w:pPr>
      <w:r w:rsidRPr="0078635D">
        <w:rPr>
          <w:rFonts w:ascii="Times New Roman" w:eastAsia="Times New Roman" w:hAnsi="Times New Roman" w:cs="Times New Roman"/>
          <w:b/>
          <w:i/>
          <w:sz w:val="24"/>
          <w:szCs w:val="24"/>
        </w:rPr>
        <w:t>Sponsorship and Funding Challenges</w:t>
      </w:r>
    </w:p>
    <w:p w14:paraId="33C7B31F"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With competition for sponsorships growing, securing funding from hospitality brands, food suppliers, and cultural organizations is critical. Offering branding opportunities, media exposure, and customized sponsorship packages can attract financial backing.</w:t>
      </w:r>
    </w:p>
    <w:p w14:paraId="0F2F783E" w14:textId="77777777" w:rsidR="00573FAA" w:rsidRPr="00A4329F" w:rsidRDefault="00000000">
      <w:pPr>
        <w:spacing w:line="360" w:lineRule="auto"/>
        <w:jc w:val="both"/>
        <w:rPr>
          <w:rFonts w:ascii="Times New Roman" w:eastAsia="Times New Roman" w:hAnsi="Times New Roman" w:cs="Times New Roman"/>
          <w:b/>
          <w:color w:val="000000" w:themeColor="text1"/>
          <w:sz w:val="24"/>
          <w:szCs w:val="24"/>
        </w:rPr>
      </w:pPr>
      <w:r w:rsidRPr="00A4329F">
        <w:rPr>
          <w:rFonts w:ascii="Times New Roman" w:eastAsia="Times New Roman" w:hAnsi="Times New Roman" w:cs="Times New Roman"/>
          <w:b/>
          <w:color w:val="000000" w:themeColor="text1"/>
          <w:sz w:val="24"/>
          <w:szCs w:val="24"/>
        </w:rPr>
        <w:t>3. Impacts on Flavours Without Borders</w:t>
      </w:r>
    </w:p>
    <w:p w14:paraId="2B249D0B" w14:textId="0EF541B8" w:rsidR="00573FAA" w:rsidRPr="00A4329F" w:rsidRDefault="00000000">
      <w:pPr>
        <w:numPr>
          <w:ilvl w:val="0"/>
          <w:numId w:val="8"/>
        </w:num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b/>
          <w:i/>
          <w:color w:val="000000" w:themeColor="text1"/>
          <w:sz w:val="24"/>
          <w:szCs w:val="24"/>
        </w:rPr>
        <w:t xml:space="preserve">Enhanced Industry Relevance: </w:t>
      </w:r>
      <w:r w:rsidR="00E4675C" w:rsidRPr="00A4329F">
        <w:rPr>
          <w:rFonts w:ascii="Times New Roman" w:eastAsia="Times New Roman" w:hAnsi="Times New Roman" w:cs="Times New Roman"/>
          <w:color w:val="000000" w:themeColor="text1"/>
          <w:sz w:val="24"/>
          <w:szCs w:val="24"/>
        </w:rPr>
        <w:t>Emphasis on food diversity and cultural integration guarantees the event is demand-pulling for the industry.</w:t>
      </w:r>
    </w:p>
    <w:p w14:paraId="36A98384" w14:textId="0686DE68" w:rsidR="00573FAA" w:rsidRPr="00A4329F" w:rsidRDefault="00000000">
      <w:pPr>
        <w:numPr>
          <w:ilvl w:val="0"/>
          <w:numId w:val="8"/>
        </w:num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b/>
          <w:i/>
          <w:color w:val="000000" w:themeColor="text1"/>
          <w:sz w:val="24"/>
          <w:szCs w:val="24"/>
        </w:rPr>
        <w:t xml:space="preserve">Expanded Audience Reach: </w:t>
      </w:r>
      <w:r w:rsidR="00E4675C" w:rsidRPr="00A4329F">
        <w:rPr>
          <w:rFonts w:ascii="Times New Roman" w:eastAsia="Times New Roman" w:hAnsi="Times New Roman" w:cs="Times New Roman"/>
          <w:color w:val="000000" w:themeColor="text1"/>
          <w:sz w:val="24"/>
          <w:szCs w:val="24"/>
        </w:rPr>
        <w:t>Twofold marketing through online platforms and possible live streaming maximizes exposure and reachability to events</w:t>
      </w:r>
      <w:r w:rsidRPr="00A4329F">
        <w:rPr>
          <w:rFonts w:ascii="Times New Roman" w:eastAsia="Times New Roman" w:hAnsi="Times New Roman" w:cs="Times New Roman"/>
          <w:color w:val="000000" w:themeColor="text1"/>
          <w:sz w:val="24"/>
          <w:szCs w:val="24"/>
        </w:rPr>
        <w:t xml:space="preserve"> (Maksi </w:t>
      </w:r>
      <w:r w:rsidRPr="00A4329F">
        <w:rPr>
          <w:rFonts w:ascii="Times New Roman" w:eastAsia="Times New Roman" w:hAnsi="Times New Roman" w:cs="Times New Roman"/>
          <w:i/>
          <w:color w:val="000000" w:themeColor="text1"/>
          <w:sz w:val="24"/>
          <w:szCs w:val="24"/>
        </w:rPr>
        <w:t>et al</w:t>
      </w:r>
      <w:r w:rsidRPr="00A4329F">
        <w:rPr>
          <w:rFonts w:ascii="Times New Roman" w:eastAsia="Times New Roman" w:hAnsi="Times New Roman" w:cs="Times New Roman"/>
          <w:color w:val="000000" w:themeColor="text1"/>
          <w:sz w:val="24"/>
          <w:szCs w:val="24"/>
        </w:rPr>
        <w:t>., 2024).</w:t>
      </w:r>
    </w:p>
    <w:p w14:paraId="20273499" w14:textId="1FC43FD7" w:rsidR="00573FAA" w:rsidRPr="00A4329F" w:rsidRDefault="00000000">
      <w:pPr>
        <w:numPr>
          <w:ilvl w:val="0"/>
          <w:numId w:val="8"/>
        </w:num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b/>
          <w:i/>
          <w:color w:val="000000" w:themeColor="text1"/>
          <w:sz w:val="24"/>
          <w:szCs w:val="24"/>
        </w:rPr>
        <w:t xml:space="preserve">Competitive Positioning: </w:t>
      </w:r>
      <w:r w:rsidR="00E4675C" w:rsidRPr="00A4329F">
        <w:rPr>
          <w:rFonts w:ascii="Times New Roman" w:eastAsia="Times New Roman" w:hAnsi="Times New Roman" w:cs="Times New Roman"/>
          <w:color w:val="000000" w:themeColor="text1"/>
          <w:sz w:val="24"/>
          <w:szCs w:val="24"/>
        </w:rPr>
        <w:t>Product differentiation through workshops of culture, participative activities, as well as sustainability attains more marketplace presence.</w:t>
      </w:r>
    </w:p>
    <w:p w14:paraId="1B199CAA" w14:textId="06028768" w:rsidR="00573FAA" w:rsidRPr="00A4329F" w:rsidRDefault="00000000">
      <w:pPr>
        <w:numPr>
          <w:ilvl w:val="0"/>
          <w:numId w:val="8"/>
        </w:num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b/>
          <w:i/>
          <w:color w:val="000000" w:themeColor="text1"/>
          <w:sz w:val="24"/>
          <w:szCs w:val="24"/>
        </w:rPr>
        <w:t xml:space="preserve">Financial Sustainability: </w:t>
      </w:r>
      <w:r w:rsidR="00E4675C" w:rsidRPr="00A4329F">
        <w:rPr>
          <w:rFonts w:ascii="Times New Roman" w:eastAsia="Times New Roman" w:hAnsi="Times New Roman" w:cs="Times New Roman"/>
          <w:color w:val="000000" w:themeColor="text1"/>
          <w:sz w:val="24"/>
          <w:szCs w:val="24"/>
        </w:rPr>
        <w:t>Having diverse sources of revenue streams (sale of tickets, rentals from vendors, sponsorships) guarantees long-term viability.</w:t>
      </w:r>
    </w:p>
    <w:p w14:paraId="409BD962" w14:textId="77777777" w:rsidR="00573FAA" w:rsidRPr="00A4329F" w:rsidRDefault="00000000">
      <w:pPr>
        <w:pStyle w:val="Heading1"/>
        <w:rPr>
          <w:color w:val="000000" w:themeColor="text1"/>
        </w:rPr>
      </w:pPr>
      <w:bookmarkStart w:id="14" w:name="_ewtaqzap03s6" w:colFirst="0" w:colLast="0"/>
      <w:bookmarkStart w:id="15" w:name="_Toc191676296"/>
      <w:bookmarkEnd w:id="14"/>
      <w:r w:rsidRPr="00A4329F">
        <w:rPr>
          <w:color w:val="000000" w:themeColor="text1"/>
        </w:rPr>
        <w:t>Situational and Cultural Considerations</w:t>
      </w:r>
      <w:bookmarkEnd w:id="15"/>
    </w:p>
    <w:p w14:paraId="35EF6436" w14:textId="45DBF6D2" w:rsidR="00573FAA" w:rsidRPr="00A4329F" w:rsidRDefault="00000000">
      <w:p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color w:val="000000" w:themeColor="text1"/>
          <w:sz w:val="24"/>
          <w:szCs w:val="24"/>
        </w:rPr>
        <w:t>Flavours Without Borders relies on situational and cultural variable knowledge that affects hospitality and guest experience. The variables make the event personal, welcoming, and enjoyable to a diverse group of individuals.</w:t>
      </w:r>
    </w:p>
    <w:p w14:paraId="3BE43CC4" w14:textId="01500F66" w:rsidR="00573FAA" w:rsidRPr="00A4329F" w:rsidRDefault="00000000">
      <w:p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color w:val="000000" w:themeColor="text1"/>
          <w:sz w:val="24"/>
          <w:szCs w:val="24"/>
        </w:rPr>
        <w:t xml:space="preserve">When discussing the variables, the SOAR (Strengths, Opportunities, Aspirations, and Results) method will be employed (Cole </w:t>
      </w:r>
      <w:r w:rsidRPr="00A4329F">
        <w:rPr>
          <w:rFonts w:ascii="Times New Roman" w:eastAsia="Times New Roman" w:hAnsi="Times New Roman" w:cs="Times New Roman"/>
          <w:i/>
          <w:color w:val="000000" w:themeColor="text1"/>
          <w:sz w:val="24"/>
          <w:szCs w:val="24"/>
        </w:rPr>
        <w:t>et al</w:t>
      </w:r>
      <w:r w:rsidRPr="00A4329F">
        <w:rPr>
          <w:rFonts w:ascii="Times New Roman" w:eastAsia="Times New Roman" w:hAnsi="Times New Roman" w:cs="Times New Roman"/>
          <w:color w:val="000000" w:themeColor="text1"/>
          <w:sz w:val="24"/>
          <w:szCs w:val="24"/>
        </w:rPr>
        <w:t>., 2022).</w:t>
      </w:r>
    </w:p>
    <w:p w14:paraId="3DFBFA2E" w14:textId="77777777" w:rsidR="00573FAA" w:rsidRPr="00A4329F" w:rsidRDefault="00000000">
      <w:pPr>
        <w:spacing w:line="360" w:lineRule="auto"/>
        <w:jc w:val="both"/>
        <w:rPr>
          <w:rFonts w:ascii="Times New Roman" w:eastAsia="Times New Roman" w:hAnsi="Times New Roman" w:cs="Times New Roman"/>
          <w:b/>
          <w:color w:val="000000" w:themeColor="text1"/>
          <w:sz w:val="24"/>
          <w:szCs w:val="24"/>
        </w:rPr>
      </w:pPr>
      <w:r w:rsidRPr="00A4329F">
        <w:rPr>
          <w:rFonts w:ascii="Times New Roman" w:eastAsia="Times New Roman" w:hAnsi="Times New Roman" w:cs="Times New Roman"/>
          <w:b/>
          <w:color w:val="000000" w:themeColor="text1"/>
          <w:sz w:val="24"/>
          <w:szCs w:val="24"/>
        </w:rPr>
        <w:t>1. Strengths</w:t>
      </w:r>
    </w:p>
    <w:p w14:paraId="06B97B6D" w14:textId="719545FA" w:rsidR="00573FAA" w:rsidRPr="00A4329F" w:rsidRDefault="00000000">
      <w:pPr>
        <w:numPr>
          <w:ilvl w:val="0"/>
          <w:numId w:val="10"/>
        </w:numPr>
        <w:spacing w:line="360" w:lineRule="auto"/>
        <w:jc w:val="both"/>
        <w:rPr>
          <w:rFonts w:ascii="Times New Roman" w:eastAsia="Times New Roman" w:hAnsi="Times New Roman" w:cs="Times New Roman"/>
          <w:color w:val="000000" w:themeColor="text1"/>
          <w:sz w:val="24"/>
          <w:szCs w:val="24"/>
        </w:rPr>
      </w:pPr>
      <w:r w:rsidRPr="00A4329F">
        <w:rPr>
          <w:rFonts w:ascii="Times New Roman" w:eastAsia="Times New Roman" w:hAnsi="Times New Roman" w:cs="Times New Roman"/>
          <w:b/>
          <w:i/>
          <w:color w:val="000000" w:themeColor="text1"/>
          <w:sz w:val="24"/>
          <w:szCs w:val="24"/>
        </w:rPr>
        <w:t xml:space="preserve">Cultural Inclusivity: </w:t>
      </w:r>
      <w:r w:rsidRPr="00A4329F">
        <w:rPr>
          <w:rFonts w:ascii="Times New Roman" w:eastAsia="Times New Roman" w:hAnsi="Times New Roman" w:cs="Times New Roman"/>
          <w:color w:val="000000" w:themeColor="text1"/>
          <w:sz w:val="24"/>
          <w:szCs w:val="24"/>
        </w:rPr>
        <w:t xml:space="preserve">The event aligns with the increasing demand for diverse and inclusive dining experiences, attracting hospitality professionals and </w:t>
      </w:r>
      <w:r w:rsidR="0078635D" w:rsidRPr="00A4329F">
        <w:rPr>
          <w:rFonts w:ascii="Times New Roman" w:eastAsia="Times New Roman" w:hAnsi="Times New Roman" w:cs="Times New Roman"/>
          <w:color w:val="000000" w:themeColor="text1"/>
          <w:sz w:val="24"/>
          <w:szCs w:val="24"/>
        </w:rPr>
        <w:t>travellers</w:t>
      </w:r>
      <w:r w:rsidRPr="00A4329F">
        <w:rPr>
          <w:rFonts w:ascii="Times New Roman" w:eastAsia="Times New Roman" w:hAnsi="Times New Roman" w:cs="Times New Roman"/>
          <w:color w:val="000000" w:themeColor="text1"/>
          <w:sz w:val="24"/>
          <w:szCs w:val="24"/>
        </w:rPr>
        <w:t>.</w:t>
      </w:r>
    </w:p>
    <w:p w14:paraId="14C0A75E" w14:textId="77777777" w:rsidR="00573FAA" w:rsidRPr="0078635D" w:rsidRDefault="00000000">
      <w:pPr>
        <w:numPr>
          <w:ilvl w:val="0"/>
          <w:numId w:val="10"/>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Strategic Location: </w:t>
      </w:r>
      <w:r w:rsidRPr="0078635D">
        <w:rPr>
          <w:rFonts w:ascii="Times New Roman" w:eastAsia="Times New Roman" w:hAnsi="Times New Roman" w:cs="Times New Roman"/>
          <w:sz w:val="24"/>
          <w:szCs w:val="24"/>
        </w:rPr>
        <w:t>Park Plaza Westminster Bridge is a multicultural city with excellent transport links, making it accessible for international guests.</w:t>
      </w:r>
    </w:p>
    <w:p w14:paraId="3DE17F6A" w14:textId="485FD6A8" w:rsidR="00573FAA" w:rsidRPr="0078635D" w:rsidRDefault="00000000">
      <w:pPr>
        <w:numPr>
          <w:ilvl w:val="0"/>
          <w:numId w:val="10"/>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Industry Alignment: </w:t>
      </w:r>
      <w:r w:rsidRPr="0078635D">
        <w:rPr>
          <w:rFonts w:ascii="Times New Roman" w:eastAsia="Times New Roman" w:hAnsi="Times New Roman" w:cs="Times New Roman"/>
          <w:sz w:val="24"/>
          <w:szCs w:val="24"/>
        </w:rPr>
        <w:t>The event supports the hospitality sector</w:t>
      </w:r>
      <w:r w:rsidR="001708E4">
        <w:rPr>
          <w:rFonts w:ascii="Times New Roman" w:eastAsia="Times New Roman" w:hAnsi="Times New Roman" w:cs="Times New Roman"/>
          <w:sz w:val="24"/>
          <w:szCs w:val="24"/>
        </w:rPr>
        <w:t>’</w:t>
      </w:r>
      <w:r w:rsidRPr="0078635D">
        <w:rPr>
          <w:rFonts w:ascii="Times New Roman" w:eastAsia="Times New Roman" w:hAnsi="Times New Roman" w:cs="Times New Roman"/>
          <w:sz w:val="24"/>
          <w:szCs w:val="24"/>
        </w:rPr>
        <w:t>s focus on diversity, equality, and inclusion (DEI), strengthening its relevance.</w:t>
      </w:r>
    </w:p>
    <w:p w14:paraId="0EE1DD2D"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2. Opportunities</w:t>
      </w:r>
    </w:p>
    <w:p w14:paraId="09EECEC2" w14:textId="77777777" w:rsidR="00573FAA" w:rsidRPr="0078635D" w:rsidRDefault="00000000">
      <w:pPr>
        <w:numPr>
          <w:ilvl w:val="0"/>
          <w:numId w:val="3"/>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Expanding Culinary Tourism: </w:t>
      </w:r>
      <w:r w:rsidRPr="0078635D">
        <w:rPr>
          <w:rFonts w:ascii="Times New Roman" w:eastAsia="Times New Roman" w:hAnsi="Times New Roman" w:cs="Times New Roman"/>
          <w:sz w:val="24"/>
          <w:szCs w:val="24"/>
        </w:rPr>
        <w:t>With the global rise in food-focused travel, the event can position itself as a leading culinary and cultural experience in London (Recuero-Virto and Arróspide, 2024).</w:t>
      </w:r>
    </w:p>
    <w:p w14:paraId="297E9FED" w14:textId="77777777" w:rsidR="00573FAA" w:rsidRPr="0078635D" w:rsidRDefault="00000000">
      <w:pPr>
        <w:numPr>
          <w:ilvl w:val="0"/>
          <w:numId w:val="3"/>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lastRenderedPageBreak/>
        <w:t xml:space="preserve">Partnerships and Sponsorships: </w:t>
      </w:r>
      <w:r w:rsidRPr="0078635D">
        <w:rPr>
          <w:rFonts w:ascii="Times New Roman" w:eastAsia="Times New Roman" w:hAnsi="Times New Roman" w:cs="Times New Roman"/>
          <w:sz w:val="24"/>
          <w:szCs w:val="24"/>
        </w:rPr>
        <w:t>Collaboration with hotels, food brands, and cultural organizations can enhance funding and promotional reach.</w:t>
      </w:r>
    </w:p>
    <w:p w14:paraId="79CA0A74" w14:textId="77777777" w:rsidR="00573FAA" w:rsidRPr="0078635D" w:rsidRDefault="00000000">
      <w:pPr>
        <w:numPr>
          <w:ilvl w:val="0"/>
          <w:numId w:val="3"/>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b/>
          <w:i/>
          <w:sz w:val="24"/>
          <w:szCs w:val="24"/>
        </w:rPr>
        <w:t xml:space="preserve">Technology Integration: </w:t>
      </w:r>
      <w:r w:rsidRPr="0078635D">
        <w:rPr>
          <w:rFonts w:ascii="Times New Roman" w:eastAsia="Times New Roman" w:hAnsi="Times New Roman" w:cs="Times New Roman"/>
          <w:sz w:val="24"/>
          <w:szCs w:val="24"/>
        </w:rPr>
        <w:t>Live streaming and digital engagement can attract global audiences beyond physical attendees.</w:t>
      </w:r>
    </w:p>
    <w:p w14:paraId="57000FA8"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3. Aspirations</w:t>
      </w:r>
    </w:p>
    <w:p w14:paraId="38658243" w14:textId="77777777" w:rsidR="00573FAA" w:rsidRPr="0078635D" w:rsidRDefault="00000000">
      <w:pPr>
        <w:numPr>
          <w:ilvl w:val="0"/>
          <w:numId w:val="9"/>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Establishing Flavours Without Borders as an annual international event recognized in the hospitality industry.</w:t>
      </w:r>
    </w:p>
    <w:p w14:paraId="29432333" w14:textId="77777777" w:rsidR="00573FAA" w:rsidRPr="0078635D" w:rsidRDefault="00000000">
      <w:pPr>
        <w:numPr>
          <w:ilvl w:val="0"/>
          <w:numId w:val="9"/>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Promoting inclusive hospitality training, and encouraging hotels to implement diverse menus.</w:t>
      </w:r>
    </w:p>
    <w:p w14:paraId="0FAA33B9" w14:textId="77777777" w:rsidR="00573FAA" w:rsidRPr="0078635D" w:rsidRDefault="00000000">
      <w:pPr>
        <w:numPr>
          <w:ilvl w:val="0"/>
          <w:numId w:val="9"/>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Creating a platform for emerging chefs to showcase authentic cultural cuisine.</w:t>
      </w:r>
    </w:p>
    <w:p w14:paraId="0F8EEBAB" w14:textId="77777777" w:rsidR="00573FAA" w:rsidRPr="0078635D" w:rsidRDefault="00000000">
      <w:pPr>
        <w:spacing w:line="360" w:lineRule="auto"/>
        <w:jc w:val="both"/>
        <w:rPr>
          <w:rFonts w:ascii="Times New Roman" w:eastAsia="Times New Roman" w:hAnsi="Times New Roman" w:cs="Times New Roman"/>
          <w:b/>
          <w:sz w:val="24"/>
          <w:szCs w:val="24"/>
        </w:rPr>
      </w:pPr>
      <w:r w:rsidRPr="0078635D">
        <w:rPr>
          <w:rFonts w:ascii="Times New Roman" w:eastAsia="Times New Roman" w:hAnsi="Times New Roman" w:cs="Times New Roman"/>
          <w:b/>
          <w:sz w:val="24"/>
          <w:szCs w:val="24"/>
        </w:rPr>
        <w:t>4. Results</w:t>
      </w:r>
    </w:p>
    <w:p w14:paraId="78F3C015" w14:textId="77777777" w:rsidR="00573FAA" w:rsidRPr="0078635D" w:rsidRDefault="00000000">
      <w:pPr>
        <w:numPr>
          <w:ilvl w:val="0"/>
          <w:numId w:val="2"/>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 xml:space="preserve">Increased awareness of cultural diversity in hospitality (Nguyen </w:t>
      </w:r>
      <w:r w:rsidRPr="0078635D">
        <w:rPr>
          <w:rFonts w:ascii="Times New Roman" w:eastAsia="Times New Roman" w:hAnsi="Times New Roman" w:cs="Times New Roman"/>
          <w:i/>
          <w:sz w:val="24"/>
          <w:szCs w:val="24"/>
        </w:rPr>
        <w:t>et al</w:t>
      </w:r>
      <w:r w:rsidRPr="0078635D">
        <w:rPr>
          <w:rFonts w:ascii="Times New Roman" w:eastAsia="Times New Roman" w:hAnsi="Times New Roman" w:cs="Times New Roman"/>
          <w:sz w:val="24"/>
          <w:szCs w:val="24"/>
        </w:rPr>
        <w:t>., 2022).</w:t>
      </w:r>
    </w:p>
    <w:p w14:paraId="3A1CD1FA" w14:textId="77777777" w:rsidR="00573FAA" w:rsidRPr="0078635D" w:rsidRDefault="00000000">
      <w:pPr>
        <w:numPr>
          <w:ilvl w:val="0"/>
          <w:numId w:val="2"/>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Strengthened industry connections and professional networking opportunities.</w:t>
      </w:r>
    </w:p>
    <w:p w14:paraId="7EB03078" w14:textId="77777777" w:rsidR="00573FAA" w:rsidRPr="0078635D" w:rsidRDefault="00000000">
      <w:pPr>
        <w:numPr>
          <w:ilvl w:val="0"/>
          <w:numId w:val="2"/>
        </w:num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Enhanced reputation for Park Plaza and participating brands as diversity-focused establishments.</w:t>
      </w:r>
    </w:p>
    <w:p w14:paraId="484064D4" w14:textId="77777777"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By leveraging SOAR, Flavours Without Borders ensures cultural sensitivity, strategic growth, and industry impact while fostering a global appreciation for culinary diversity.</w:t>
      </w:r>
    </w:p>
    <w:p w14:paraId="6968EEF5" w14:textId="77777777" w:rsidR="00573FAA" w:rsidRPr="0078635D" w:rsidRDefault="00000000">
      <w:pPr>
        <w:pStyle w:val="Heading1"/>
      </w:pPr>
      <w:bookmarkStart w:id="16" w:name="_io3enaiabb1s" w:colFirst="0" w:colLast="0"/>
      <w:bookmarkStart w:id="17" w:name="_Toc191676297"/>
      <w:bookmarkEnd w:id="16"/>
      <w:r w:rsidRPr="0078635D">
        <w:t>Conclusion</w:t>
      </w:r>
      <w:bookmarkEnd w:id="17"/>
    </w:p>
    <w:p w14:paraId="79A413F4" w14:textId="5CDA1CC4" w:rsidR="00573FAA"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Flavours Without Borders is an organized event that addresses event management principles, cultural sensitivity, and industry applicability. With the use of the EMBOK event cycle, the event fosters a systematic process from inception to closure, efficient implementation, and risk management. The experience itself is a culinary immersion, complete with live demonstration cooking, tasting, workshop, and networking. Hospitality industry professionals and foodies alike will all experience experiential learning of multicultural foods and open-dining concepts. With a definitive purpose of driving culinary diversity within the hospitality industry, the event establishes SMART goals towards industry involvement, education, and marketing effectiveness. Effective execution of these objectives is realized through efficient event management, which involves skills in planning, budgeting, marketing, and logistics coordination. Financial viability is established by ticket receipts, sponsorship, and fees from traders and has an estimated surplus of £25,500. The event also mirrors main industry trends including increasing culinary tourism, sustainability, and digital participation and catering for competition, increasing cost, and finance requirements. Situational and cultural factors, translated via the SOAR model, drive the event</w:t>
      </w:r>
      <w:r w:rsidR="001708E4">
        <w:rPr>
          <w:rFonts w:ascii="Times New Roman" w:eastAsia="Times New Roman" w:hAnsi="Times New Roman" w:cs="Times New Roman"/>
          <w:sz w:val="24"/>
          <w:szCs w:val="24"/>
        </w:rPr>
        <w:t>’</w:t>
      </w:r>
      <w:r w:rsidRPr="0078635D">
        <w:rPr>
          <w:rFonts w:ascii="Times New Roman" w:eastAsia="Times New Roman" w:hAnsi="Times New Roman" w:cs="Times New Roman"/>
          <w:sz w:val="24"/>
          <w:szCs w:val="24"/>
        </w:rPr>
        <w:t xml:space="preserve">s strengths, opportunities, aspirations, and </w:t>
      </w:r>
      <w:r w:rsidRPr="0078635D">
        <w:rPr>
          <w:rFonts w:ascii="Times New Roman" w:eastAsia="Times New Roman" w:hAnsi="Times New Roman" w:cs="Times New Roman"/>
          <w:sz w:val="24"/>
          <w:szCs w:val="24"/>
        </w:rPr>
        <w:lastRenderedPageBreak/>
        <w:t>outcomes, with the promise of long-term development and results. With new programming, market strategy, and industrial alliance, Flavours Without Borders has a clear path to being a substantial and enduring event to promote cultural inclusiveness in international hospitality.</w:t>
      </w:r>
      <w:r w:rsidRPr="0078635D">
        <w:br w:type="page"/>
      </w:r>
    </w:p>
    <w:p w14:paraId="269E6783" w14:textId="77777777" w:rsidR="00573FAA" w:rsidRPr="0078635D" w:rsidRDefault="00000000">
      <w:pPr>
        <w:pStyle w:val="Heading1"/>
      </w:pPr>
      <w:bookmarkStart w:id="18" w:name="_6q36p3jq1upb" w:colFirst="0" w:colLast="0"/>
      <w:bookmarkStart w:id="19" w:name="_Toc191676298"/>
      <w:bookmarkEnd w:id="18"/>
      <w:r w:rsidRPr="0078635D">
        <w:lastRenderedPageBreak/>
        <w:t>References</w:t>
      </w:r>
      <w:bookmarkEnd w:id="19"/>
    </w:p>
    <w:p w14:paraId="2D27875B"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Abell, A. and Biswas, D., 2023. Digital engagement on social media: how food image content influences social media and influencer marketing outcomes. </w:t>
      </w:r>
      <w:r w:rsidRPr="0078635D">
        <w:rPr>
          <w:rFonts w:ascii="Times New Roman" w:hAnsi="Times New Roman" w:cs="Times New Roman"/>
          <w:i/>
          <w:color w:val="222222"/>
          <w:sz w:val="24"/>
          <w:szCs w:val="24"/>
          <w:highlight w:val="white"/>
        </w:rPr>
        <w:t>Journal of Interactive Marketing</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58</w:t>
      </w:r>
      <w:r w:rsidRPr="0078635D">
        <w:rPr>
          <w:rFonts w:ascii="Times New Roman" w:hAnsi="Times New Roman" w:cs="Times New Roman"/>
          <w:color w:val="222222"/>
          <w:sz w:val="24"/>
          <w:szCs w:val="24"/>
          <w:highlight w:val="white"/>
        </w:rPr>
        <w:t>(1), pp.1-15.</w:t>
      </w:r>
    </w:p>
    <w:p w14:paraId="60808174"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Bilgihan, A. and Ricci, P., 2024. The new era of hotel marketing: integrating cutting-edge technologies with core marketing principles. </w:t>
      </w:r>
      <w:r w:rsidRPr="0078635D">
        <w:rPr>
          <w:rFonts w:ascii="Times New Roman" w:hAnsi="Times New Roman" w:cs="Times New Roman"/>
          <w:i/>
          <w:color w:val="222222"/>
          <w:sz w:val="24"/>
          <w:szCs w:val="24"/>
          <w:highlight w:val="white"/>
        </w:rPr>
        <w:t>Journal of Hospitality and Tourism Technology</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15</w:t>
      </w:r>
      <w:r w:rsidRPr="0078635D">
        <w:rPr>
          <w:rFonts w:ascii="Times New Roman" w:hAnsi="Times New Roman" w:cs="Times New Roman"/>
          <w:color w:val="222222"/>
          <w:sz w:val="24"/>
          <w:szCs w:val="24"/>
          <w:highlight w:val="white"/>
        </w:rPr>
        <w:t>(1), pp.123-137.</w:t>
      </w:r>
    </w:p>
    <w:p w14:paraId="3CF31F59" w14:textId="77777777" w:rsidR="00FC361F"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 xml:space="preserve">BRI, 2025. </w:t>
      </w:r>
      <w:r w:rsidRPr="0078635D">
        <w:rPr>
          <w:rFonts w:ascii="Times New Roman" w:eastAsia="Times New Roman" w:hAnsi="Times New Roman" w:cs="Times New Roman"/>
          <w:i/>
          <w:sz w:val="24"/>
          <w:szCs w:val="24"/>
        </w:rPr>
        <w:t>Online Cooking Class Market Size, Share, Growth, 2032.</w:t>
      </w:r>
      <w:r w:rsidRPr="0078635D">
        <w:rPr>
          <w:rFonts w:ascii="Times New Roman" w:eastAsia="Times New Roman" w:hAnsi="Times New Roman" w:cs="Times New Roman"/>
          <w:sz w:val="24"/>
          <w:szCs w:val="24"/>
        </w:rPr>
        <w:t xml:space="preserve"> Available at: https://www.businessresearchinsights.com/market-reports/online-cooking-class-market-102782 (Accessed on: 24 January 2025).</w:t>
      </w:r>
    </w:p>
    <w:p w14:paraId="56067BDD"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Burazer, L., 2021, April. Post-Pandemic Trends in Global Cultural Attitudes-A Case of a Large vs. Small Culture. In </w:t>
      </w:r>
      <w:r w:rsidRPr="0078635D">
        <w:rPr>
          <w:rFonts w:ascii="Times New Roman" w:hAnsi="Times New Roman" w:cs="Times New Roman"/>
          <w:i/>
          <w:color w:val="222222"/>
          <w:sz w:val="24"/>
          <w:szCs w:val="24"/>
          <w:highlight w:val="white"/>
        </w:rPr>
        <w:t>BOOK OF PROCEEDINGS</w:t>
      </w:r>
      <w:r w:rsidRPr="0078635D">
        <w:rPr>
          <w:rFonts w:ascii="Times New Roman" w:hAnsi="Times New Roman" w:cs="Times New Roman"/>
          <w:color w:val="222222"/>
          <w:sz w:val="24"/>
          <w:szCs w:val="24"/>
          <w:highlight w:val="white"/>
        </w:rPr>
        <w:t xml:space="preserve"> (Vol. 2, p. 356).</w:t>
      </w:r>
    </w:p>
    <w:p w14:paraId="51CAA1A7"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Cole, M.L., Stavros, J.M., Cox, J. and Stavros, A., 2022. Measuring strengths, opportunities, aspirations, and results: Psychometric properties of the 12-item SOAR scale. </w:t>
      </w:r>
      <w:r w:rsidRPr="0078635D">
        <w:rPr>
          <w:rFonts w:ascii="Times New Roman" w:hAnsi="Times New Roman" w:cs="Times New Roman"/>
          <w:i/>
          <w:color w:val="222222"/>
          <w:sz w:val="24"/>
          <w:szCs w:val="24"/>
          <w:highlight w:val="white"/>
        </w:rPr>
        <w:t>Frontiers in Psychology</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13</w:t>
      </w:r>
      <w:r w:rsidRPr="0078635D">
        <w:rPr>
          <w:rFonts w:ascii="Times New Roman" w:hAnsi="Times New Roman" w:cs="Times New Roman"/>
          <w:color w:val="222222"/>
          <w:sz w:val="24"/>
          <w:szCs w:val="24"/>
          <w:highlight w:val="white"/>
        </w:rPr>
        <w:t>, p.854406.</w:t>
      </w:r>
    </w:p>
    <w:p w14:paraId="65A871BC"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Denizova, V., 2024. Fostering Cultural Connection and Sustainability in Modern Hotel Design. </w:t>
      </w:r>
      <w:r w:rsidRPr="0078635D">
        <w:rPr>
          <w:rFonts w:ascii="Times New Roman" w:hAnsi="Times New Roman" w:cs="Times New Roman"/>
          <w:i/>
          <w:color w:val="222222"/>
          <w:sz w:val="24"/>
          <w:szCs w:val="24"/>
          <w:highlight w:val="white"/>
        </w:rPr>
        <w:t>НЕДВИЖИМИ ИМОТИ &amp; БИЗНЕС</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8</w:t>
      </w:r>
      <w:r w:rsidRPr="0078635D">
        <w:rPr>
          <w:rFonts w:ascii="Times New Roman" w:hAnsi="Times New Roman" w:cs="Times New Roman"/>
          <w:color w:val="222222"/>
          <w:sz w:val="24"/>
          <w:szCs w:val="24"/>
          <w:highlight w:val="white"/>
        </w:rPr>
        <w:t>(3), pp.162-172.</w:t>
      </w:r>
    </w:p>
    <w:p w14:paraId="0A2032FC" w14:textId="77777777" w:rsidR="00FC361F"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 xml:space="preserve">F&amp;B Insights, 2025. </w:t>
      </w:r>
      <w:r w:rsidRPr="0078635D">
        <w:rPr>
          <w:rFonts w:ascii="Times New Roman" w:eastAsia="Times New Roman" w:hAnsi="Times New Roman" w:cs="Times New Roman"/>
          <w:i/>
          <w:sz w:val="24"/>
          <w:szCs w:val="24"/>
        </w:rPr>
        <w:t>National Geographic Traveller (UK) Food Festival: Embark on a Culinary Adventure.</w:t>
      </w:r>
      <w:r w:rsidRPr="0078635D">
        <w:rPr>
          <w:rFonts w:ascii="Times New Roman" w:eastAsia="Times New Roman" w:hAnsi="Times New Roman" w:cs="Times New Roman"/>
          <w:sz w:val="24"/>
          <w:szCs w:val="24"/>
        </w:rPr>
        <w:t xml:space="preserve"> Available at: https://www.foodbeverage-outlook.com/food-beverage-insights/national-geographic-traveller-uk-food-festival-embark-on-a-culinary-adventure#:~:text=National%20Geographic%20Traveller%20(UK)%20Food%20Festival%20welcomed%20over%207%2C000%20foodies,chefs%20and%20expert%20food%20writers. (Accessed on: 24 January 2025).</w:t>
      </w:r>
    </w:p>
    <w:p w14:paraId="1050A06D" w14:textId="77777777" w:rsidR="00FC361F" w:rsidRPr="0078635D"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 xml:space="preserve">Hilton, 2025. </w:t>
      </w:r>
      <w:r w:rsidRPr="0078635D">
        <w:rPr>
          <w:rFonts w:ascii="Times New Roman" w:eastAsia="Times New Roman" w:hAnsi="Times New Roman" w:cs="Times New Roman"/>
          <w:i/>
          <w:sz w:val="24"/>
          <w:szCs w:val="24"/>
        </w:rPr>
        <w:t>Culture and Experiences Will Drive Leisure Travel Decisions.</w:t>
      </w:r>
      <w:r w:rsidRPr="0078635D">
        <w:rPr>
          <w:rFonts w:ascii="Times New Roman" w:eastAsia="Times New Roman" w:hAnsi="Times New Roman" w:cs="Times New Roman"/>
          <w:sz w:val="24"/>
          <w:szCs w:val="24"/>
        </w:rPr>
        <w:t xml:space="preserve"> Available at: https://stories.hilton.com/2024trends-culture-experiences (Accessed on: 24 January 2025).</w:t>
      </w:r>
    </w:p>
    <w:p w14:paraId="002735E4"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Kastuti, T.I. and Susanto, D.R., 2024. The role of destination attributes in shaping Memorable Tourism Experiences (MTE): Investigating hospitableness from the perspective of international tourists in Bali. </w:t>
      </w:r>
      <w:r w:rsidRPr="0078635D">
        <w:rPr>
          <w:rFonts w:ascii="Times New Roman" w:hAnsi="Times New Roman" w:cs="Times New Roman"/>
          <w:i/>
          <w:color w:val="222222"/>
          <w:sz w:val="24"/>
          <w:szCs w:val="24"/>
          <w:highlight w:val="white"/>
        </w:rPr>
        <w:t>Journal of Resilient Economies</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4</w:t>
      </w:r>
      <w:r w:rsidRPr="0078635D">
        <w:rPr>
          <w:rFonts w:ascii="Times New Roman" w:hAnsi="Times New Roman" w:cs="Times New Roman"/>
          <w:color w:val="222222"/>
          <w:sz w:val="24"/>
          <w:szCs w:val="24"/>
          <w:highlight w:val="white"/>
        </w:rPr>
        <w:t>(2), pp.112-120.</w:t>
      </w:r>
    </w:p>
    <w:p w14:paraId="7B4B1975"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Kraff, H. and Jernsand, E.M., 2023. Multicultural food events–opportunities for intercultural exchange and risks of stereotypification. </w:t>
      </w:r>
      <w:r w:rsidRPr="0078635D">
        <w:rPr>
          <w:rFonts w:ascii="Times New Roman" w:hAnsi="Times New Roman" w:cs="Times New Roman"/>
          <w:i/>
          <w:color w:val="222222"/>
          <w:sz w:val="24"/>
          <w:szCs w:val="24"/>
          <w:highlight w:val="white"/>
        </w:rPr>
        <w:t>Tourism recreation research</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48</w:t>
      </w:r>
      <w:r w:rsidRPr="0078635D">
        <w:rPr>
          <w:rFonts w:ascii="Times New Roman" w:hAnsi="Times New Roman" w:cs="Times New Roman"/>
          <w:color w:val="222222"/>
          <w:sz w:val="24"/>
          <w:szCs w:val="24"/>
          <w:highlight w:val="white"/>
        </w:rPr>
        <w:t>(6), pp.844-855.</w:t>
      </w:r>
    </w:p>
    <w:p w14:paraId="0B1C8F1A"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Kwiatkowski, G., Hjalager, A.M., Ossowska, L., Janiszewska, D. and Kurdyś-Kujawska, A., 2024. The entrepreneurial orientation of exhibitors and vendors at food festivals. </w:t>
      </w:r>
      <w:r w:rsidRPr="0078635D">
        <w:rPr>
          <w:rFonts w:ascii="Times New Roman" w:hAnsi="Times New Roman" w:cs="Times New Roman"/>
          <w:i/>
          <w:color w:val="222222"/>
          <w:sz w:val="24"/>
          <w:szCs w:val="24"/>
          <w:highlight w:val="white"/>
        </w:rPr>
        <w:t>Journal of Policy Research in Tourism, Leisure and Events</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16</w:t>
      </w:r>
      <w:r w:rsidRPr="0078635D">
        <w:rPr>
          <w:rFonts w:ascii="Times New Roman" w:hAnsi="Times New Roman" w:cs="Times New Roman"/>
          <w:color w:val="222222"/>
          <w:sz w:val="24"/>
          <w:szCs w:val="24"/>
          <w:highlight w:val="white"/>
        </w:rPr>
        <w:t>(2), pp.207-226.</w:t>
      </w:r>
    </w:p>
    <w:p w14:paraId="61AA8207"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lastRenderedPageBreak/>
        <w:t xml:space="preserve">Maksi, S.J., Keller, K.L., Dardis, F., Vecchi, M., Freeman, J., Evans, R.K., Boyland, E. and Masterson, T.D., 2024. The food and beverage cues in digital marketing model: Special considerations of social media, gaming, and livestreaming environments for food marketing and eating behavior research. </w:t>
      </w:r>
      <w:r w:rsidRPr="0078635D">
        <w:rPr>
          <w:rFonts w:ascii="Times New Roman" w:hAnsi="Times New Roman" w:cs="Times New Roman"/>
          <w:i/>
          <w:color w:val="222222"/>
          <w:sz w:val="24"/>
          <w:szCs w:val="24"/>
          <w:highlight w:val="white"/>
        </w:rPr>
        <w:t>Frontiers in Nutrition</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10</w:t>
      </w:r>
      <w:r w:rsidRPr="0078635D">
        <w:rPr>
          <w:rFonts w:ascii="Times New Roman" w:hAnsi="Times New Roman" w:cs="Times New Roman"/>
          <w:color w:val="222222"/>
          <w:sz w:val="24"/>
          <w:szCs w:val="24"/>
          <w:highlight w:val="white"/>
        </w:rPr>
        <w:t>, p.1325265.</w:t>
      </w:r>
    </w:p>
    <w:p w14:paraId="654B3F7A" w14:textId="61EE3B0B"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Marinakou, E. and Giousmpasoglou, C., 2022. Chefs</w:t>
      </w:r>
      <w:r w:rsidR="001708E4">
        <w:rPr>
          <w:rFonts w:ascii="Times New Roman" w:hAnsi="Times New Roman" w:cs="Times New Roman"/>
          <w:color w:val="222222"/>
          <w:sz w:val="24"/>
          <w:szCs w:val="24"/>
          <w:highlight w:val="white"/>
        </w:rPr>
        <w:t>’</w:t>
      </w:r>
      <w:r w:rsidRPr="0078635D">
        <w:rPr>
          <w:rFonts w:ascii="Times New Roman" w:hAnsi="Times New Roman" w:cs="Times New Roman"/>
          <w:color w:val="222222"/>
          <w:sz w:val="24"/>
          <w:szCs w:val="24"/>
          <w:highlight w:val="white"/>
        </w:rPr>
        <w:t xml:space="preserve"> competencies: a stakeholder</w:t>
      </w:r>
      <w:r w:rsidR="001708E4">
        <w:rPr>
          <w:rFonts w:ascii="Times New Roman" w:hAnsi="Times New Roman" w:cs="Times New Roman"/>
          <w:color w:val="222222"/>
          <w:sz w:val="24"/>
          <w:szCs w:val="24"/>
          <w:highlight w:val="white"/>
        </w:rPr>
        <w:t>’</w:t>
      </w:r>
      <w:r w:rsidRPr="0078635D">
        <w:rPr>
          <w:rFonts w:ascii="Times New Roman" w:hAnsi="Times New Roman" w:cs="Times New Roman"/>
          <w:color w:val="222222"/>
          <w:sz w:val="24"/>
          <w:szCs w:val="24"/>
          <w:highlight w:val="white"/>
        </w:rPr>
        <w:t xml:space="preserve">s perspective. </w:t>
      </w:r>
      <w:r w:rsidRPr="0078635D">
        <w:rPr>
          <w:rFonts w:ascii="Times New Roman" w:hAnsi="Times New Roman" w:cs="Times New Roman"/>
          <w:i/>
          <w:color w:val="222222"/>
          <w:sz w:val="24"/>
          <w:szCs w:val="24"/>
          <w:highlight w:val="white"/>
        </w:rPr>
        <w:t>Journal of Hospitality and Tourism Insights</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5</w:t>
      </w:r>
      <w:r w:rsidRPr="0078635D">
        <w:rPr>
          <w:rFonts w:ascii="Times New Roman" w:hAnsi="Times New Roman" w:cs="Times New Roman"/>
          <w:color w:val="222222"/>
          <w:sz w:val="24"/>
          <w:szCs w:val="24"/>
          <w:highlight w:val="white"/>
        </w:rPr>
        <w:t>(1), pp.205-229.</w:t>
      </w:r>
    </w:p>
    <w:p w14:paraId="12CF0B9B"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Musiyiwa, R. and Jacobson, J., 2024. Leveraging influencer relations professionals for sponsorship disclosure in social media influencer marketing. </w:t>
      </w:r>
      <w:r w:rsidRPr="0078635D">
        <w:rPr>
          <w:rFonts w:ascii="Times New Roman" w:hAnsi="Times New Roman" w:cs="Times New Roman"/>
          <w:i/>
          <w:color w:val="222222"/>
          <w:sz w:val="24"/>
          <w:szCs w:val="24"/>
          <w:highlight w:val="white"/>
        </w:rPr>
        <w:t>Journal of Interactive Advertising</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24</w:t>
      </w:r>
      <w:r w:rsidRPr="0078635D">
        <w:rPr>
          <w:rFonts w:ascii="Times New Roman" w:hAnsi="Times New Roman" w:cs="Times New Roman"/>
          <w:color w:val="222222"/>
          <w:sz w:val="24"/>
          <w:szCs w:val="24"/>
          <w:highlight w:val="white"/>
        </w:rPr>
        <w:t>(1), pp.66-83.</w:t>
      </w:r>
    </w:p>
    <w:p w14:paraId="2BFCFC72"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Nguyen, N.T., Yadav, M., Pande, S., Bhanot, A. and Hasan, M.F., 2022. Impact of diversity management on organizational performance in hotel organizations: a conceptual framework. </w:t>
      </w:r>
      <w:r w:rsidRPr="0078635D">
        <w:rPr>
          <w:rFonts w:ascii="Times New Roman" w:hAnsi="Times New Roman" w:cs="Times New Roman"/>
          <w:i/>
          <w:color w:val="222222"/>
          <w:sz w:val="24"/>
          <w:szCs w:val="24"/>
          <w:highlight w:val="white"/>
        </w:rPr>
        <w:t>International Journal of System Assurance Engineering and Management</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13</w:t>
      </w:r>
      <w:r w:rsidRPr="0078635D">
        <w:rPr>
          <w:rFonts w:ascii="Times New Roman" w:hAnsi="Times New Roman" w:cs="Times New Roman"/>
          <w:color w:val="222222"/>
          <w:sz w:val="24"/>
          <w:szCs w:val="24"/>
          <w:highlight w:val="white"/>
        </w:rPr>
        <w:t>(Suppl 1), pp.186-196.</w:t>
      </w:r>
    </w:p>
    <w:p w14:paraId="236D71AA"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Penny, J., 2022. Bringing the Stage to the Screen: Enhanced Audio Introductions to Complement Broadcast Audio Description. </w:t>
      </w:r>
      <w:r w:rsidRPr="0078635D">
        <w:rPr>
          <w:rFonts w:ascii="Times New Roman" w:hAnsi="Times New Roman" w:cs="Times New Roman"/>
          <w:i/>
          <w:color w:val="222222"/>
          <w:sz w:val="24"/>
          <w:szCs w:val="24"/>
          <w:highlight w:val="white"/>
        </w:rPr>
        <w:t>Journal of Audiovisual Translation</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5</w:t>
      </w:r>
      <w:r w:rsidRPr="0078635D">
        <w:rPr>
          <w:rFonts w:ascii="Times New Roman" w:hAnsi="Times New Roman" w:cs="Times New Roman"/>
          <w:color w:val="222222"/>
          <w:sz w:val="24"/>
          <w:szCs w:val="24"/>
          <w:highlight w:val="white"/>
        </w:rPr>
        <w:t>(2), pp.194-212.</w:t>
      </w:r>
    </w:p>
    <w:p w14:paraId="38AE4ED7"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Recuero-Virto, N. and Arróspide, C.V., 2024. Culinary destination enchantment: The strategic interplay of local gastronomy in regional tourism development. </w:t>
      </w:r>
      <w:r w:rsidRPr="0078635D">
        <w:rPr>
          <w:rFonts w:ascii="Times New Roman" w:hAnsi="Times New Roman" w:cs="Times New Roman"/>
          <w:i/>
          <w:color w:val="222222"/>
          <w:sz w:val="24"/>
          <w:szCs w:val="24"/>
          <w:highlight w:val="white"/>
        </w:rPr>
        <w:t>International Journal of Gastronomy and Food Science</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36</w:t>
      </w:r>
      <w:r w:rsidRPr="0078635D">
        <w:rPr>
          <w:rFonts w:ascii="Times New Roman" w:hAnsi="Times New Roman" w:cs="Times New Roman"/>
          <w:color w:val="222222"/>
          <w:sz w:val="24"/>
          <w:szCs w:val="24"/>
          <w:highlight w:val="white"/>
        </w:rPr>
        <w:t>, p.100931.</w:t>
      </w:r>
    </w:p>
    <w:p w14:paraId="12135DE8" w14:textId="77777777" w:rsidR="00FC361F" w:rsidRPr="0078635D" w:rsidRDefault="00000000">
      <w:pPr>
        <w:spacing w:line="360" w:lineRule="auto"/>
        <w:jc w:val="both"/>
        <w:rPr>
          <w:rFonts w:ascii="Times New Roman" w:hAnsi="Times New Roman" w:cs="Times New Roman"/>
          <w:color w:val="222222"/>
          <w:sz w:val="24"/>
          <w:szCs w:val="24"/>
          <w:highlight w:val="white"/>
        </w:rPr>
      </w:pPr>
      <w:r w:rsidRPr="0078635D">
        <w:rPr>
          <w:rFonts w:ascii="Times New Roman" w:hAnsi="Times New Roman" w:cs="Times New Roman"/>
          <w:color w:val="222222"/>
          <w:sz w:val="24"/>
          <w:szCs w:val="24"/>
          <w:highlight w:val="white"/>
        </w:rPr>
        <w:t xml:space="preserve">Richards, G., 2021. Evolving research perspectives on food and gastronomic experiences in tourism. </w:t>
      </w:r>
      <w:r w:rsidRPr="0078635D">
        <w:rPr>
          <w:rFonts w:ascii="Times New Roman" w:hAnsi="Times New Roman" w:cs="Times New Roman"/>
          <w:i/>
          <w:color w:val="222222"/>
          <w:sz w:val="24"/>
          <w:szCs w:val="24"/>
          <w:highlight w:val="white"/>
        </w:rPr>
        <w:t>International Journal of Contemporary Hospitality Management</w:t>
      </w:r>
      <w:r w:rsidRPr="0078635D">
        <w:rPr>
          <w:rFonts w:ascii="Times New Roman" w:hAnsi="Times New Roman" w:cs="Times New Roman"/>
          <w:color w:val="222222"/>
          <w:sz w:val="24"/>
          <w:szCs w:val="24"/>
          <w:highlight w:val="white"/>
        </w:rPr>
        <w:t xml:space="preserve">, </w:t>
      </w:r>
      <w:r w:rsidRPr="0078635D">
        <w:rPr>
          <w:rFonts w:ascii="Times New Roman" w:hAnsi="Times New Roman" w:cs="Times New Roman"/>
          <w:i/>
          <w:color w:val="222222"/>
          <w:sz w:val="24"/>
          <w:szCs w:val="24"/>
          <w:highlight w:val="white"/>
        </w:rPr>
        <w:t>33</w:t>
      </w:r>
      <w:r w:rsidRPr="0078635D">
        <w:rPr>
          <w:rFonts w:ascii="Times New Roman" w:hAnsi="Times New Roman" w:cs="Times New Roman"/>
          <w:color w:val="222222"/>
          <w:sz w:val="24"/>
          <w:szCs w:val="24"/>
          <w:highlight w:val="white"/>
        </w:rPr>
        <w:t>(3), pp.1037-1058.</w:t>
      </w:r>
    </w:p>
    <w:p w14:paraId="0C0651EB" w14:textId="77777777" w:rsidR="00FC361F" w:rsidRDefault="00000000">
      <w:pPr>
        <w:spacing w:line="360" w:lineRule="auto"/>
        <w:jc w:val="both"/>
        <w:rPr>
          <w:rFonts w:ascii="Times New Roman" w:eastAsia="Times New Roman" w:hAnsi="Times New Roman" w:cs="Times New Roman"/>
          <w:sz w:val="24"/>
          <w:szCs w:val="24"/>
        </w:rPr>
      </w:pPr>
      <w:r w:rsidRPr="0078635D">
        <w:rPr>
          <w:rFonts w:ascii="Times New Roman" w:eastAsia="Times New Roman" w:hAnsi="Times New Roman" w:cs="Times New Roman"/>
          <w:sz w:val="24"/>
          <w:szCs w:val="24"/>
        </w:rPr>
        <w:t xml:space="preserve">Technavio, 2025. </w:t>
      </w:r>
      <w:r w:rsidRPr="0078635D">
        <w:rPr>
          <w:rFonts w:ascii="Times New Roman" w:eastAsia="Times New Roman" w:hAnsi="Times New Roman" w:cs="Times New Roman"/>
          <w:i/>
          <w:sz w:val="24"/>
          <w:szCs w:val="24"/>
        </w:rPr>
        <w:t>Culinary Tourism Market Size 2024-2028.</w:t>
      </w:r>
      <w:r w:rsidRPr="0078635D">
        <w:rPr>
          <w:rFonts w:ascii="Times New Roman" w:eastAsia="Times New Roman" w:hAnsi="Times New Roman" w:cs="Times New Roman"/>
          <w:sz w:val="24"/>
          <w:szCs w:val="24"/>
        </w:rPr>
        <w:t xml:space="preserve"> Available at: https://www.technavio.com/report/culinary-tourism-market-industry-analysis (Accessed on: 24 January 2025).</w:t>
      </w:r>
    </w:p>
    <w:p w14:paraId="606B2FFD" w14:textId="68C049B2" w:rsidR="00AF0E51" w:rsidRDefault="00000000">
      <w:pPr>
        <w:spacing w:line="360" w:lineRule="auto"/>
        <w:jc w:val="both"/>
        <w:rPr>
          <w:rFonts w:ascii="Times New Roman" w:eastAsia="Times New Roman" w:hAnsi="Times New Roman" w:cs="Times New Roman"/>
          <w:sz w:val="24"/>
          <w:szCs w:val="24"/>
        </w:rPr>
      </w:pPr>
      <w:r w:rsidRPr="00FC361F">
        <w:rPr>
          <w:rFonts w:ascii="Times New Roman" w:eastAsia="Times New Roman" w:hAnsi="Times New Roman" w:cs="Times New Roman"/>
          <w:sz w:val="24"/>
          <w:szCs w:val="24"/>
        </w:rPr>
        <w:t>van Antwerpen, S., 2023. A proposed integration of the event and project management body of knowledge. </w:t>
      </w:r>
      <w:r w:rsidRPr="00FC361F">
        <w:rPr>
          <w:rFonts w:ascii="Times New Roman" w:eastAsia="Times New Roman" w:hAnsi="Times New Roman" w:cs="Times New Roman"/>
          <w:i/>
          <w:iCs/>
          <w:sz w:val="24"/>
          <w:szCs w:val="24"/>
        </w:rPr>
        <w:t>International Journal of Applied Sciences in Tourism and Events</w:t>
      </w:r>
      <w:r w:rsidRPr="00FC361F">
        <w:rPr>
          <w:rFonts w:ascii="Times New Roman" w:eastAsia="Times New Roman" w:hAnsi="Times New Roman" w:cs="Times New Roman"/>
          <w:sz w:val="24"/>
          <w:szCs w:val="24"/>
        </w:rPr>
        <w:t>, </w:t>
      </w:r>
      <w:r w:rsidRPr="00FC361F">
        <w:rPr>
          <w:rFonts w:ascii="Times New Roman" w:eastAsia="Times New Roman" w:hAnsi="Times New Roman" w:cs="Times New Roman"/>
          <w:i/>
          <w:iCs/>
          <w:sz w:val="24"/>
          <w:szCs w:val="24"/>
        </w:rPr>
        <w:t>7</w:t>
      </w:r>
      <w:r w:rsidRPr="00FC361F">
        <w:rPr>
          <w:rFonts w:ascii="Times New Roman" w:eastAsia="Times New Roman" w:hAnsi="Times New Roman" w:cs="Times New Roman"/>
          <w:sz w:val="24"/>
          <w:szCs w:val="24"/>
        </w:rPr>
        <w:t>(2), pp.107-119.</w:t>
      </w:r>
    </w:p>
    <w:p w14:paraId="33D81518" w14:textId="77777777" w:rsidR="00AF0E51" w:rsidRDefault="00AF0E5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F6F37E5" w14:textId="2CD3BDB7" w:rsidR="0078635D" w:rsidRDefault="00AF0E51" w:rsidP="0088562A">
      <w:pPr>
        <w:pStyle w:val="Heading1"/>
      </w:pPr>
      <w:bookmarkStart w:id="20" w:name="_Toc191676299"/>
      <w:r>
        <w:lastRenderedPageBreak/>
        <w:t xml:space="preserve">Appendix 1 </w:t>
      </w:r>
      <w:r w:rsidR="0088562A">
        <w:t>–</w:t>
      </w:r>
      <w:r>
        <w:t xml:space="preserve"> </w:t>
      </w:r>
      <w:r w:rsidR="0088562A">
        <w:t>Gantt Chart</w:t>
      </w:r>
      <w:bookmarkEnd w:id="20"/>
    </w:p>
    <w:tbl>
      <w:tblPr>
        <w:tblW w:w="9475" w:type="dxa"/>
        <w:tblCellMar>
          <w:left w:w="0" w:type="dxa"/>
          <w:right w:w="0" w:type="dxa"/>
        </w:tblCellMar>
        <w:tblLook w:val="04A0" w:firstRow="1" w:lastRow="0" w:firstColumn="1" w:lastColumn="0" w:noHBand="0" w:noVBand="1"/>
      </w:tblPr>
      <w:tblGrid>
        <w:gridCol w:w="2848"/>
        <w:gridCol w:w="1317"/>
        <w:gridCol w:w="1079"/>
        <w:gridCol w:w="949"/>
        <w:gridCol w:w="993"/>
        <w:gridCol w:w="907"/>
        <w:gridCol w:w="1382"/>
      </w:tblGrid>
      <w:tr w:rsidR="0088562A" w:rsidRPr="0088562A" w14:paraId="1FDB566B" w14:textId="77777777" w:rsidTr="0088562A">
        <w:trPr>
          <w:trHeight w:val="194"/>
        </w:trPr>
        <w:tc>
          <w:tcPr>
            <w:tcW w:w="2848"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5F958E4"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Task</w:t>
            </w:r>
          </w:p>
        </w:tc>
        <w:tc>
          <w:tcPr>
            <w:tcW w:w="13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9D418E9"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March</w:t>
            </w:r>
          </w:p>
        </w:tc>
        <w:tc>
          <w:tcPr>
            <w:tcW w:w="1079"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8CCAD09"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April</w:t>
            </w:r>
          </w:p>
        </w:tc>
        <w:tc>
          <w:tcPr>
            <w:tcW w:w="949"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F171EFE"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May</w:t>
            </w:r>
          </w:p>
        </w:tc>
        <w:tc>
          <w:tcPr>
            <w:tcW w:w="993"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50CBF40"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June</w:t>
            </w:r>
          </w:p>
        </w:tc>
        <w:tc>
          <w:tcPr>
            <w:tcW w:w="90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511F74F"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July</w:t>
            </w:r>
          </w:p>
        </w:tc>
        <w:tc>
          <w:tcPr>
            <w:tcW w:w="1382"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1D494B52"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August</w:t>
            </w:r>
          </w:p>
        </w:tc>
      </w:tr>
      <w:tr w:rsidR="0088562A" w:rsidRPr="0088562A" w14:paraId="4654BC86" w14:textId="77777777" w:rsidTr="0088562A">
        <w:trPr>
          <w:trHeight w:val="212"/>
        </w:trPr>
        <w:tc>
          <w:tcPr>
            <w:tcW w:w="284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C8F013E"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Initiation</w:t>
            </w:r>
          </w:p>
        </w:tc>
        <w:tc>
          <w:tcPr>
            <w:tcW w:w="13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2F6E1B" w14:textId="216BAA6D" w:rsidR="0088562A" w:rsidRPr="0088562A" w:rsidRDefault="0088562A" w:rsidP="008856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0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9FDFB2" w14:textId="3A75D8DC" w:rsidR="0088562A" w:rsidRPr="0088562A" w:rsidRDefault="0088562A" w:rsidP="008856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9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5579FE" w14:textId="560D51C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935E64E"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D120DE"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13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E6B904"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r>
      <w:tr w:rsidR="0088562A" w:rsidRPr="0088562A" w14:paraId="2B64EDEE" w14:textId="77777777" w:rsidTr="0088562A">
        <w:trPr>
          <w:trHeight w:val="194"/>
        </w:trPr>
        <w:tc>
          <w:tcPr>
            <w:tcW w:w="284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BD13413"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Planning</w:t>
            </w:r>
          </w:p>
        </w:tc>
        <w:tc>
          <w:tcPr>
            <w:tcW w:w="13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3C79D1C"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10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E31DB3"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F756C2" w14:textId="580721AC" w:rsidR="0088562A" w:rsidRPr="0088562A" w:rsidRDefault="0088562A" w:rsidP="008856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C83E8B"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sz w:val="24"/>
                <w:szCs w:val="24"/>
              </w:rPr>
              <w:t>X</w:t>
            </w:r>
          </w:p>
        </w:tc>
        <w:tc>
          <w:tcPr>
            <w:tcW w:w="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14542F"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13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EE41F4"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r>
      <w:tr w:rsidR="0088562A" w:rsidRPr="0088562A" w14:paraId="01E927CD" w14:textId="77777777" w:rsidTr="0088562A">
        <w:trPr>
          <w:trHeight w:val="194"/>
        </w:trPr>
        <w:tc>
          <w:tcPr>
            <w:tcW w:w="284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A089774"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Implementation</w:t>
            </w:r>
          </w:p>
        </w:tc>
        <w:tc>
          <w:tcPr>
            <w:tcW w:w="13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A72EBC"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10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B8A3DC"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73064B"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C516C8" w14:textId="24A3B048" w:rsidR="0088562A" w:rsidRPr="0088562A" w:rsidRDefault="0088562A" w:rsidP="008856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07BE96"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sz w:val="24"/>
                <w:szCs w:val="24"/>
              </w:rPr>
              <w:t>X</w:t>
            </w:r>
          </w:p>
        </w:tc>
        <w:tc>
          <w:tcPr>
            <w:tcW w:w="13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2768B9"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r>
      <w:tr w:rsidR="0088562A" w:rsidRPr="0088562A" w14:paraId="5C37659B" w14:textId="77777777" w:rsidTr="0088562A">
        <w:trPr>
          <w:trHeight w:val="194"/>
        </w:trPr>
        <w:tc>
          <w:tcPr>
            <w:tcW w:w="284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8A8857D"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Event Execution</w:t>
            </w:r>
          </w:p>
        </w:tc>
        <w:tc>
          <w:tcPr>
            <w:tcW w:w="13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15F816"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10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9DB2F24"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AC7F65"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A0478B"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E57104"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sz w:val="24"/>
                <w:szCs w:val="24"/>
              </w:rPr>
              <w:t>X</w:t>
            </w:r>
          </w:p>
        </w:tc>
        <w:tc>
          <w:tcPr>
            <w:tcW w:w="13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2D9845"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r>
      <w:tr w:rsidR="0088562A" w:rsidRPr="0088562A" w14:paraId="0E17FF3B" w14:textId="77777777" w:rsidTr="0088562A">
        <w:trPr>
          <w:trHeight w:val="194"/>
        </w:trPr>
        <w:tc>
          <w:tcPr>
            <w:tcW w:w="284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41E3A4"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b/>
                <w:bCs/>
                <w:sz w:val="24"/>
                <w:szCs w:val="24"/>
              </w:rPr>
              <w:t>Closure</w:t>
            </w:r>
          </w:p>
        </w:tc>
        <w:tc>
          <w:tcPr>
            <w:tcW w:w="13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C6FFD6"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10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51BF36"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2147DE"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CEF3E7" w14:textId="77777777" w:rsidR="0088562A" w:rsidRPr="0088562A" w:rsidRDefault="0088562A" w:rsidP="0088562A">
            <w:pPr>
              <w:spacing w:line="360" w:lineRule="auto"/>
              <w:jc w:val="both"/>
              <w:rPr>
                <w:rFonts w:ascii="Times New Roman" w:eastAsia="Times New Roman" w:hAnsi="Times New Roman" w:cs="Times New Roman"/>
                <w:sz w:val="24"/>
                <w:szCs w:val="24"/>
              </w:rPr>
            </w:pPr>
          </w:p>
        </w:tc>
        <w:tc>
          <w:tcPr>
            <w:tcW w:w="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6FC01A" w14:textId="77777777" w:rsidR="0088562A" w:rsidRPr="0088562A" w:rsidRDefault="0088562A" w:rsidP="0088562A">
            <w:pPr>
              <w:spacing w:line="360" w:lineRule="auto"/>
              <w:jc w:val="both"/>
              <w:rPr>
                <w:rFonts w:ascii="Times New Roman" w:eastAsia="Times New Roman" w:hAnsi="Times New Roman" w:cs="Times New Roman"/>
                <w:sz w:val="24"/>
                <w:szCs w:val="24"/>
              </w:rPr>
            </w:pPr>
            <w:r w:rsidRPr="0088562A">
              <w:rPr>
                <w:rFonts w:ascii="Times New Roman" w:eastAsia="Times New Roman" w:hAnsi="Times New Roman" w:cs="Times New Roman"/>
                <w:sz w:val="24"/>
                <w:szCs w:val="24"/>
              </w:rPr>
              <w:t>X</w:t>
            </w:r>
          </w:p>
        </w:tc>
        <w:tc>
          <w:tcPr>
            <w:tcW w:w="13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929A7D2" w14:textId="0EAC39DF" w:rsidR="0088562A" w:rsidRPr="0088562A" w:rsidRDefault="0088562A" w:rsidP="008856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bl>
    <w:p w14:paraId="7ACFEF7E" w14:textId="77777777" w:rsidR="0088562A" w:rsidRPr="0078635D" w:rsidRDefault="0088562A">
      <w:pPr>
        <w:spacing w:line="360" w:lineRule="auto"/>
        <w:jc w:val="both"/>
        <w:rPr>
          <w:rFonts w:ascii="Times New Roman" w:eastAsia="Times New Roman" w:hAnsi="Times New Roman" w:cs="Times New Roman"/>
          <w:sz w:val="24"/>
          <w:szCs w:val="24"/>
        </w:rPr>
      </w:pPr>
    </w:p>
    <w:sectPr w:rsidR="0088562A" w:rsidRPr="0078635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4088D" w14:textId="77777777" w:rsidR="003C1A8E" w:rsidRDefault="003C1A8E">
      <w:pPr>
        <w:spacing w:line="240" w:lineRule="auto"/>
      </w:pPr>
      <w:r>
        <w:separator/>
      </w:r>
    </w:p>
  </w:endnote>
  <w:endnote w:type="continuationSeparator" w:id="0">
    <w:p w14:paraId="41959379" w14:textId="77777777" w:rsidR="003C1A8E" w:rsidRDefault="003C1A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C7E96" w14:textId="77777777" w:rsidR="00AF0E51" w:rsidRDefault="00AF0E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445970"/>
      <w:docPartObj>
        <w:docPartGallery w:val="Page Numbers (Bottom of Page)"/>
        <w:docPartUnique/>
      </w:docPartObj>
    </w:sdtPr>
    <w:sdtContent>
      <w:p w14:paraId="6E5E17E6" w14:textId="7B873766" w:rsidR="0080147D" w:rsidRPr="0078635D" w:rsidRDefault="00000000">
        <w:pPr>
          <w:pStyle w:val="Footer"/>
          <w:jc w:val="right"/>
        </w:pPr>
        <w:r w:rsidRPr="0078635D">
          <w:fldChar w:fldCharType="begin"/>
        </w:r>
        <w:r w:rsidRPr="0078635D">
          <w:instrText xml:space="preserve"> PAGE   \* MERGEFORMAT </w:instrText>
        </w:r>
        <w:r w:rsidRPr="0078635D">
          <w:fldChar w:fldCharType="separate"/>
        </w:r>
        <w:r w:rsidRPr="0078635D">
          <w:t>2</w:t>
        </w:r>
        <w:r w:rsidRPr="0078635D">
          <w:fldChar w:fldCharType="end"/>
        </w:r>
      </w:p>
    </w:sdtContent>
  </w:sdt>
  <w:p w14:paraId="646C80A3" w14:textId="77777777" w:rsidR="0080147D" w:rsidRPr="0078635D" w:rsidRDefault="008014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0F347" w14:textId="77777777" w:rsidR="00AF0E51" w:rsidRDefault="00AF0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B6535" w14:textId="77777777" w:rsidR="003C1A8E" w:rsidRDefault="003C1A8E">
      <w:pPr>
        <w:spacing w:line="240" w:lineRule="auto"/>
      </w:pPr>
      <w:r>
        <w:separator/>
      </w:r>
    </w:p>
  </w:footnote>
  <w:footnote w:type="continuationSeparator" w:id="0">
    <w:p w14:paraId="47258D44" w14:textId="77777777" w:rsidR="003C1A8E" w:rsidRDefault="003C1A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CFB94" w14:textId="77777777" w:rsidR="00AF0E51" w:rsidRDefault="00AF0E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7996E" w14:textId="77777777" w:rsidR="00AF0E51" w:rsidRDefault="00AF0E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FCA87" w14:textId="77777777" w:rsidR="00AF0E51" w:rsidRDefault="00AF0E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53FC"/>
    <w:multiLevelType w:val="multilevel"/>
    <w:tmpl w:val="4E92C9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FC07E1"/>
    <w:multiLevelType w:val="multilevel"/>
    <w:tmpl w:val="E446EC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81C790D"/>
    <w:multiLevelType w:val="multilevel"/>
    <w:tmpl w:val="98429A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6F054DB"/>
    <w:multiLevelType w:val="multilevel"/>
    <w:tmpl w:val="5AA877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88049D3"/>
    <w:multiLevelType w:val="multilevel"/>
    <w:tmpl w:val="F4EA4D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2930BA9"/>
    <w:multiLevelType w:val="multilevel"/>
    <w:tmpl w:val="FD624A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11E79B9"/>
    <w:multiLevelType w:val="multilevel"/>
    <w:tmpl w:val="27CAE8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2DF4241"/>
    <w:multiLevelType w:val="multilevel"/>
    <w:tmpl w:val="E11ED2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39E6537"/>
    <w:multiLevelType w:val="multilevel"/>
    <w:tmpl w:val="56A6B9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45D0B24"/>
    <w:multiLevelType w:val="multilevel"/>
    <w:tmpl w:val="4FC24B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6241FCD"/>
    <w:multiLevelType w:val="multilevel"/>
    <w:tmpl w:val="646E6A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52332975">
    <w:abstractNumId w:val="1"/>
  </w:num>
  <w:num w:numId="2" w16cid:durableId="2052922361">
    <w:abstractNumId w:val="10"/>
  </w:num>
  <w:num w:numId="3" w16cid:durableId="147677268">
    <w:abstractNumId w:val="7"/>
  </w:num>
  <w:num w:numId="4" w16cid:durableId="1985160607">
    <w:abstractNumId w:val="3"/>
  </w:num>
  <w:num w:numId="5" w16cid:durableId="1096482940">
    <w:abstractNumId w:val="8"/>
  </w:num>
  <w:num w:numId="6" w16cid:durableId="112137796">
    <w:abstractNumId w:val="6"/>
  </w:num>
  <w:num w:numId="7" w16cid:durableId="659045224">
    <w:abstractNumId w:val="5"/>
  </w:num>
  <w:num w:numId="8" w16cid:durableId="710422305">
    <w:abstractNumId w:val="4"/>
  </w:num>
  <w:num w:numId="9" w16cid:durableId="1561473881">
    <w:abstractNumId w:val="2"/>
  </w:num>
  <w:num w:numId="10" w16cid:durableId="521629318">
    <w:abstractNumId w:val="9"/>
  </w:num>
  <w:num w:numId="11" w16cid:durableId="1864898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FAA"/>
    <w:rsid w:val="0003668F"/>
    <w:rsid w:val="000C4AD0"/>
    <w:rsid w:val="001708E4"/>
    <w:rsid w:val="00230E01"/>
    <w:rsid w:val="00236A8E"/>
    <w:rsid w:val="003C0A85"/>
    <w:rsid w:val="003C1A8E"/>
    <w:rsid w:val="004349EF"/>
    <w:rsid w:val="00451BE1"/>
    <w:rsid w:val="00455F12"/>
    <w:rsid w:val="00463DF5"/>
    <w:rsid w:val="00510B48"/>
    <w:rsid w:val="00547E1E"/>
    <w:rsid w:val="0057312D"/>
    <w:rsid w:val="00573FAA"/>
    <w:rsid w:val="005F16FF"/>
    <w:rsid w:val="005F5D82"/>
    <w:rsid w:val="00647CA3"/>
    <w:rsid w:val="00701353"/>
    <w:rsid w:val="0078635D"/>
    <w:rsid w:val="0080147D"/>
    <w:rsid w:val="00824574"/>
    <w:rsid w:val="00826011"/>
    <w:rsid w:val="0088562A"/>
    <w:rsid w:val="00895248"/>
    <w:rsid w:val="0092059F"/>
    <w:rsid w:val="009545B0"/>
    <w:rsid w:val="009711B4"/>
    <w:rsid w:val="009B7CE1"/>
    <w:rsid w:val="00A13AE8"/>
    <w:rsid w:val="00A4329F"/>
    <w:rsid w:val="00AE160C"/>
    <w:rsid w:val="00AF0E51"/>
    <w:rsid w:val="00AF2443"/>
    <w:rsid w:val="00AF75E3"/>
    <w:rsid w:val="00BD0C69"/>
    <w:rsid w:val="00CD318C"/>
    <w:rsid w:val="00CE5D7C"/>
    <w:rsid w:val="00D35DE7"/>
    <w:rsid w:val="00E4675C"/>
    <w:rsid w:val="00E74538"/>
    <w:rsid w:val="00F227F7"/>
    <w:rsid w:val="00FA75A7"/>
    <w:rsid w:val="00FC36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80537"/>
  <w15:docId w15:val="{3D076EDF-64C5-4195-8937-4E8DFE68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0135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01353"/>
    <w:pPr>
      <w:spacing w:after="100"/>
    </w:pPr>
  </w:style>
  <w:style w:type="character" w:styleId="Hyperlink">
    <w:name w:val="Hyperlink"/>
    <w:basedOn w:val="DefaultParagraphFont"/>
    <w:uiPriority w:val="99"/>
    <w:unhideWhenUsed/>
    <w:rsid w:val="00701353"/>
    <w:rPr>
      <w:color w:val="0000FF" w:themeColor="hyperlink"/>
      <w:u w:val="single"/>
    </w:rPr>
  </w:style>
  <w:style w:type="paragraph" w:styleId="Header">
    <w:name w:val="header"/>
    <w:basedOn w:val="Normal"/>
    <w:link w:val="HeaderChar"/>
    <w:uiPriority w:val="99"/>
    <w:unhideWhenUsed/>
    <w:rsid w:val="0080147D"/>
    <w:pPr>
      <w:tabs>
        <w:tab w:val="center" w:pos="4513"/>
        <w:tab w:val="right" w:pos="9026"/>
      </w:tabs>
      <w:spacing w:line="240" w:lineRule="auto"/>
    </w:pPr>
  </w:style>
  <w:style w:type="character" w:customStyle="1" w:styleId="HeaderChar">
    <w:name w:val="Header Char"/>
    <w:basedOn w:val="DefaultParagraphFont"/>
    <w:link w:val="Header"/>
    <w:uiPriority w:val="99"/>
    <w:rsid w:val="0080147D"/>
  </w:style>
  <w:style w:type="paragraph" w:styleId="Footer">
    <w:name w:val="footer"/>
    <w:basedOn w:val="Normal"/>
    <w:link w:val="FooterChar"/>
    <w:uiPriority w:val="99"/>
    <w:unhideWhenUsed/>
    <w:rsid w:val="0080147D"/>
    <w:pPr>
      <w:tabs>
        <w:tab w:val="center" w:pos="4513"/>
        <w:tab w:val="right" w:pos="9026"/>
      </w:tabs>
      <w:spacing w:line="240" w:lineRule="auto"/>
    </w:pPr>
  </w:style>
  <w:style w:type="character" w:customStyle="1" w:styleId="FooterChar">
    <w:name w:val="Footer Char"/>
    <w:basedOn w:val="DefaultParagraphFont"/>
    <w:link w:val="Footer"/>
    <w:uiPriority w:val="99"/>
    <w:rsid w:val="00801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23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7DCC6-4F14-48C3-9A53-CFF478CC6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3708</Words>
  <Characters>21136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Dragomir (2227451)</cp:lastModifiedBy>
  <cp:revision>2</cp:revision>
  <dcterms:created xsi:type="dcterms:W3CDTF">2025-02-28T23:16:00Z</dcterms:created>
  <dcterms:modified xsi:type="dcterms:W3CDTF">2025-02-28T23:16:00Z</dcterms:modified>
</cp:coreProperties>
</file>